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60"/>
        <w:spacing w:after="0"/>
        <w:rPr>
          <w:sz w:val="20"/>
          <w:szCs w:val="20"/>
          <w:color w:val="auto"/>
        </w:rPr>
      </w:pPr>
      <w:r>
        <w:rPr>
          <w:rFonts w:ascii="Arial" w:cs="Arial" w:eastAsia="Arial" w:hAnsi="Arial"/>
          <w:sz w:val="25"/>
          <w:szCs w:val="25"/>
          <w:color w:val="auto"/>
        </w:rPr>
        <w:t>UNITED STATES</w:t>
      </w:r>
    </w:p>
    <w:p>
      <w:pPr>
        <w:spacing w:after="0" w:line="145" w:lineRule="exact"/>
        <w:rPr>
          <w:sz w:val="24"/>
          <w:szCs w:val="24"/>
          <w:color w:val="auto"/>
        </w:rPr>
      </w:pPr>
    </w:p>
    <w:p>
      <w:pPr>
        <w:jc w:val="center"/>
        <w:ind w:right="-860"/>
        <w:spacing w:after="0"/>
        <w:rPr>
          <w:sz w:val="20"/>
          <w:szCs w:val="20"/>
          <w:color w:val="auto"/>
        </w:rPr>
      </w:pPr>
      <w:r>
        <w:rPr>
          <w:rFonts w:ascii="Arial" w:cs="Arial" w:eastAsia="Arial" w:hAnsi="Arial"/>
          <w:sz w:val="25"/>
          <w:szCs w:val="25"/>
          <w:color w:val="auto"/>
        </w:rPr>
        <w:t>SECURITIES AND EXCHANGE COMMISSION</w:t>
      </w:r>
    </w:p>
    <w:p>
      <w:pPr>
        <w:spacing w:after="0" w:line="148"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ind w:left="4440"/>
        <w:spacing w:after="0"/>
        <w:rPr>
          <w:sz w:val="20"/>
          <w:szCs w:val="20"/>
          <w:color w:val="auto"/>
        </w:rPr>
      </w:pPr>
      <w:r>
        <w:rPr>
          <w:rFonts w:ascii="Arial" w:cs="Arial" w:eastAsia="Arial" w:hAnsi="Arial"/>
          <w:sz w:val="25"/>
          <w:szCs w:val="25"/>
          <w:b w:val="1"/>
          <w:bCs w:val="1"/>
          <w:color w:val="auto"/>
        </w:rPr>
        <w:t>SCHEDULE 14A</w:t>
      </w:r>
    </w:p>
    <w:p>
      <w:pPr>
        <w:spacing w:after="0" w:line="150" w:lineRule="exact"/>
        <w:rPr>
          <w:sz w:val="24"/>
          <w:szCs w:val="24"/>
          <w:color w:val="auto"/>
        </w:rPr>
      </w:pPr>
    </w:p>
    <w:tbl>
      <w:tblPr>
        <w:tblLayout w:type="fixed"/>
        <w:tblInd w:w="1270" w:type="dxa"/>
        <w:tblCellMar>
          <w:top w:w="0" w:type="dxa"/>
          <w:left w:w="0" w:type="dxa"/>
          <w:bottom w:w="0" w:type="dxa"/>
          <w:right w:w="0" w:type="dxa"/>
        </w:tblCellMar>
      </w:tblPr>
      <w:tr>
        <w:trPr>
          <w:trHeight w:val="239"/>
        </w:trPr>
        <w:tc>
          <w:tcPr>
            <w:tcW w:w="7740" w:type="dxa"/>
            <w:vAlign w:val="bottom"/>
          </w:tcPr>
          <w:p>
            <w:pPr>
              <w:ind w:left="840"/>
              <w:spacing w:after="0"/>
              <w:rPr>
                <w:sz w:val="20"/>
                <w:szCs w:val="20"/>
                <w:color w:val="auto"/>
              </w:rPr>
            </w:pPr>
            <w:r>
              <w:rPr>
                <w:rFonts w:ascii="Arial" w:cs="Arial" w:eastAsia="Arial" w:hAnsi="Arial"/>
                <w:sz w:val="18"/>
                <w:szCs w:val="18"/>
                <w:color w:val="auto"/>
              </w:rPr>
              <w:t>Proxy Statement Pursuant to Section 14(a) of the Securities Exchange Act of 1934</w:t>
            </w:r>
          </w:p>
        </w:tc>
        <w:tc>
          <w:tcPr>
            <w:tcW w:w="480" w:type="dxa"/>
            <w:vAlign w:val="bottom"/>
          </w:tcPr>
          <w:p>
            <w:pPr>
              <w:spacing w:after="0"/>
              <w:rPr>
                <w:sz w:val="20"/>
                <w:szCs w:val="20"/>
                <w:color w:val="auto"/>
              </w:rPr>
            </w:pPr>
          </w:p>
        </w:tc>
      </w:tr>
      <w:tr>
        <w:trPr>
          <w:trHeight w:val="375"/>
        </w:trPr>
        <w:tc>
          <w:tcPr>
            <w:tcW w:w="77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w:t>
            </w:r>
          </w:p>
        </w:tc>
        <w:tc>
          <w:tcPr>
            <w:tcW w:w="480" w:type="dxa"/>
            <w:vAlign w:val="bottom"/>
          </w:tcPr>
          <w:p>
            <w:pPr>
              <w:spacing w:after="0"/>
              <w:rPr>
                <w:sz w:val="24"/>
                <w:szCs w:val="24"/>
                <w:color w:val="auto"/>
              </w:rPr>
            </w:pPr>
          </w:p>
        </w:tc>
      </w:tr>
      <w:tr>
        <w:trPr>
          <w:trHeight w:val="161"/>
        </w:trPr>
        <w:tc>
          <w:tcPr>
            <w:tcW w:w="77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304"/>
        </w:trPr>
        <w:tc>
          <w:tcPr>
            <w:tcW w:w="7740" w:type="dxa"/>
            <w:vAlign w:val="bottom"/>
            <w:tcBorders>
              <w:left w:val="single" w:sz="8" w:color="auto"/>
              <w:bottom w:val="single" w:sz="8" w:color="auto"/>
            </w:tcBorders>
          </w:tcPr>
          <w:p>
            <w:pPr>
              <w:ind w:left="20"/>
              <w:spacing w:after="0" w:line="304"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Check the appropriate box:</w:t>
            </w:r>
          </w:p>
        </w:tc>
        <w:tc>
          <w:tcPr>
            <w:tcW w:w="4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r>
      <w:tr>
        <w:trPr>
          <w:trHeight w:val="204"/>
        </w:trPr>
        <w:tc>
          <w:tcPr>
            <w:tcW w:w="7740" w:type="dxa"/>
            <w:vAlign w:val="bottom"/>
            <w:tcBorders>
              <w:left w:val="single" w:sz="8" w:color="auto"/>
            </w:tcBorders>
          </w:tcPr>
          <w:p>
            <w:pPr>
              <w:ind w:left="20"/>
              <w:spacing w:after="0" w:line="204"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23"/>
                <w:szCs w:val="23"/>
                <w:color w:val="auto"/>
                <w:vertAlign w:val="superscript"/>
              </w:rPr>
              <w:t>​ ​</w:t>
            </w:r>
            <w:r>
              <w:rPr>
                <w:rFonts w:ascii="Arial" w:cs="Arial" w:eastAsia="Arial" w:hAnsi="Arial"/>
                <w:sz w:val="14"/>
                <w:szCs w:val="14"/>
                <w:b w:val="1"/>
                <w:bCs w:val="1"/>
                <w:color w:val="auto"/>
              </w:rPr>
              <w:t xml:space="preserve"> Preliminary Proxy Statement</w:t>
            </w:r>
          </w:p>
        </w:tc>
        <w:tc>
          <w:tcPr>
            <w:tcW w:w="480" w:type="dxa"/>
            <w:vAlign w:val="bottom"/>
            <w:tcBorders>
              <w:right w:val="single" w:sz="8" w:color="auto"/>
            </w:tcBorders>
          </w:tcPr>
          <w:p>
            <w:pPr>
              <w:ind w:left="360"/>
              <w:spacing w:after="0" w:line="204" w:lineRule="exact"/>
              <w:rPr>
                <w:sz w:val="20"/>
                <w:szCs w:val="20"/>
                <w:color w:val="auto"/>
              </w:rPr>
            </w:pPr>
            <w:r>
              <w:rPr>
                <w:rFonts w:ascii="Arial" w:cs="Arial" w:eastAsia="Arial" w:hAnsi="Arial"/>
                <w:sz w:val="18"/>
                <w:szCs w:val="18"/>
                <w:color w:val="auto"/>
              </w:rPr>
              <w:t>​</w:t>
            </w:r>
          </w:p>
        </w:tc>
      </w:tr>
      <w:tr>
        <w:trPr>
          <w:trHeight w:val="257"/>
        </w:trPr>
        <w:tc>
          <w:tcPr>
            <w:tcW w:w="7740" w:type="dxa"/>
            <w:vAlign w:val="bottom"/>
            <w:tcBorders>
              <w:left w:val="single" w:sz="8" w:color="auto"/>
            </w:tcBorders>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Confidential, for Use of the Commission Only (as permitted by Rule 14a-6(e)(2))</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Borders>
              <w:left w:val="single" w:sz="8" w:color="auto"/>
            </w:tcBorders>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Definitive Proxy Statement</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Borders>
              <w:left w:val="single" w:sz="8" w:color="auto"/>
            </w:tcBorders>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Definitive Additional Materials</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397"/>
        </w:trPr>
        <w:tc>
          <w:tcPr>
            <w:tcW w:w="7740" w:type="dxa"/>
            <w:vAlign w:val="bottom"/>
            <w:tcBorders>
              <w:left w:val="single" w:sz="8" w:color="auto"/>
              <w:bottom w:val="single" w:sz="8" w:color="auto"/>
            </w:tcBorders>
          </w:tcPr>
          <w:p>
            <w:pPr>
              <w:ind w:left="20"/>
              <w:spacing w:after="0" w:line="396"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w:t>
            </w:r>
            <w:r>
              <w:rPr>
                <w:rFonts w:ascii="MS PGothic" w:cs="MS PGothic" w:eastAsia="MS PGothic" w:hAnsi="MS PGothic"/>
                <w:sz w:val="18"/>
                <w:szCs w:val="18"/>
                <w:color w:val="auto"/>
              </w:rPr>
              <w:t>☐</w:t>
            </w:r>
            <w:r>
              <w:rPr>
                <w:rFonts w:ascii="Arial" w:cs="Arial" w:eastAsia="Arial" w:hAnsi="Arial"/>
                <w:sz w:val="35"/>
                <w:szCs w:val="35"/>
                <w:b w:val="1"/>
                <w:bCs w:val="1"/>
                <w:color w:val="auto"/>
                <w:vertAlign w:val="superscript"/>
              </w:rPr>
              <w:t>​ ​</w:t>
            </w:r>
            <w:r>
              <w:rPr>
                <w:rFonts w:ascii="Arial" w:cs="Arial" w:eastAsia="Arial" w:hAnsi="Arial"/>
                <w:sz w:val="18"/>
                <w:szCs w:val="18"/>
                <w:b w:val="1"/>
                <w:bCs w:val="1"/>
                <w:color w:val="auto"/>
              </w:rPr>
              <w:t xml:space="preserve"> Soliciting Material under §240.14a-12</w:t>
            </w:r>
          </w:p>
        </w:tc>
        <w:tc>
          <w:tcPr>
            <w:tcW w:w="4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2171700</wp:posOffset>
            </wp:positionH>
            <wp:positionV relativeFrom="paragraph">
              <wp:posOffset>154305</wp:posOffset>
            </wp:positionV>
            <wp:extent cx="2468880"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480"/>
        <w:spacing w:after="0"/>
        <w:rPr>
          <w:sz w:val="20"/>
          <w:szCs w:val="20"/>
          <w:color w:val="auto"/>
        </w:rPr>
      </w:pPr>
      <w:r>
        <w:rPr>
          <w:rFonts w:ascii="Arial" w:cs="Arial" w:eastAsia="Arial" w:hAnsi="Arial"/>
          <w:sz w:val="25"/>
          <w:szCs w:val="25"/>
          <w:b w:val="1"/>
          <w:bCs w:val="1"/>
          <w:color w:val="auto"/>
        </w:rPr>
        <w:t>CENTURY THERAPEUTICS, INC.</w:t>
      </w:r>
    </w:p>
    <w:p>
      <w:pPr>
        <w:spacing w:after="0" w:line="60"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(Name of Registrant as Specified In Its Charter)</w:t>
      </w:r>
    </w:p>
    <w:p>
      <w:pPr>
        <w:spacing w:after="0" w:line="178" w:lineRule="exact"/>
        <w:rPr>
          <w:sz w:val="24"/>
          <w:szCs w:val="24"/>
          <w:color w:val="auto"/>
        </w:rPr>
      </w:pPr>
    </w:p>
    <w:tbl>
      <w:tblPr>
        <w:tblLayout w:type="fixed"/>
        <w:tblInd w:w="1260" w:type="dxa"/>
        <w:tblCellMar>
          <w:top w:w="0" w:type="dxa"/>
          <w:left w:w="0" w:type="dxa"/>
          <w:bottom w:w="0" w:type="dxa"/>
          <w:right w:w="0" w:type="dxa"/>
        </w:tblCellMar>
      </w:tblPr>
      <w:tr>
        <w:trPr>
          <w:trHeight w:val="325"/>
        </w:trPr>
        <w:tc>
          <w:tcPr>
            <w:tcW w:w="6280" w:type="dxa"/>
            <w:vAlign w:val="bottom"/>
            <w:tcBorders>
              <w:top w:val="single" w:sz="8" w:color="auto"/>
              <w:bottom w:val="single" w:sz="8" w:color="auto"/>
            </w:tcBorders>
          </w:tcPr>
          <w:p>
            <w:pPr>
              <w:ind w:left="20"/>
              <w:spacing w:after="0" w:line="32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Payment of Filing Fee (Check all boxes that apply):</w:t>
            </w:r>
          </w:p>
        </w:tc>
        <w:tc>
          <w:tcPr>
            <w:tcW w:w="1920" w:type="dxa"/>
            <w:vAlign w:val="bottom"/>
            <w:tcBorders>
              <w:top w:val="single" w:sz="8" w:color="auto"/>
              <w:bottom w:val="single" w:sz="8" w:color="auto"/>
            </w:tcBorders>
          </w:tcPr>
          <w:p>
            <w:pPr>
              <w:ind w:left="1820"/>
              <w:spacing w:after="0"/>
              <w:rPr>
                <w:sz w:val="20"/>
                <w:szCs w:val="20"/>
                <w:color w:val="auto"/>
              </w:rPr>
            </w:pPr>
            <w:r>
              <w:rPr>
                <w:rFonts w:ascii="Arial" w:cs="Arial" w:eastAsia="Arial" w:hAnsi="Arial"/>
                <w:sz w:val="18"/>
                <w:szCs w:val="18"/>
                <w:color w:val="auto"/>
              </w:rPr>
              <w:t>​</w:t>
            </w:r>
          </w:p>
        </w:tc>
      </w:tr>
      <w:tr>
        <w:trPr>
          <w:trHeight w:val="204"/>
        </w:trPr>
        <w:tc>
          <w:tcPr>
            <w:tcW w:w="6280" w:type="dxa"/>
            <w:vAlign w:val="bottom"/>
          </w:tcPr>
          <w:p>
            <w:pPr>
              <w:ind w:left="20"/>
              <w:spacing w:after="0" w:line="204"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23"/>
                <w:szCs w:val="23"/>
                <w:color w:val="auto"/>
                <w:vertAlign w:val="superscript"/>
              </w:rPr>
              <w:t>​ ​</w:t>
            </w:r>
            <w:r>
              <w:rPr>
                <w:rFonts w:ascii="Arial" w:cs="Arial" w:eastAsia="Arial" w:hAnsi="Arial"/>
                <w:sz w:val="14"/>
                <w:szCs w:val="14"/>
                <w:b w:val="1"/>
                <w:bCs w:val="1"/>
                <w:color w:val="auto"/>
              </w:rPr>
              <w:t xml:space="preserve"> No fee required</w:t>
            </w:r>
          </w:p>
        </w:tc>
        <w:tc>
          <w:tcPr>
            <w:tcW w:w="1920" w:type="dxa"/>
            <w:vAlign w:val="bottom"/>
          </w:tcPr>
          <w:p>
            <w:pPr>
              <w:ind w:left="1820"/>
              <w:spacing w:after="0" w:line="204" w:lineRule="exact"/>
              <w:rPr>
                <w:sz w:val="20"/>
                <w:szCs w:val="20"/>
                <w:color w:val="auto"/>
              </w:rPr>
            </w:pPr>
            <w:r>
              <w:rPr>
                <w:rFonts w:ascii="Arial" w:cs="Arial" w:eastAsia="Arial" w:hAnsi="Arial"/>
                <w:sz w:val="18"/>
                <w:szCs w:val="18"/>
                <w:color w:val="auto"/>
              </w:rPr>
              <w:t>​</w:t>
            </w:r>
          </w:p>
        </w:tc>
      </w:tr>
      <w:tr>
        <w:trPr>
          <w:trHeight w:val="288"/>
        </w:trPr>
        <w:tc>
          <w:tcPr>
            <w:tcW w:w="6280" w:type="dxa"/>
            <w:vAlign w:val="bottom"/>
          </w:tcPr>
          <w:p>
            <w:pPr>
              <w:ind w:left="20"/>
              <w:spacing w:after="0" w:line="288"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b w:val="1"/>
                <w:bCs w:val="1"/>
                <w:color w:val="auto"/>
              </w:rPr>
              <w:t xml:space="preserve"> </w:t>
            </w:r>
            <w:r>
              <w:rPr>
                <w:rFonts w:ascii="MS PGothic" w:cs="MS PGothic" w:eastAsia="MS PGothic" w:hAnsi="MS PGothic"/>
                <w:sz w:val="17"/>
                <w:szCs w:val="17"/>
                <w:color w:val="auto"/>
              </w:rPr>
              <w:t>☐</w:t>
            </w:r>
            <w:r>
              <w:rPr>
                <w:rFonts w:ascii="Arial" w:cs="Arial" w:eastAsia="Arial" w:hAnsi="Arial"/>
                <w:sz w:val="33"/>
                <w:szCs w:val="33"/>
                <w:color w:val="auto"/>
                <w:vertAlign w:val="superscript"/>
              </w:rPr>
              <w:t>​ ​</w:t>
            </w:r>
            <w:r>
              <w:rPr>
                <w:rFonts w:ascii="Arial" w:cs="Arial" w:eastAsia="Arial" w:hAnsi="Arial"/>
                <w:sz w:val="17"/>
                <w:szCs w:val="17"/>
                <w:b w:val="1"/>
                <w:bCs w:val="1"/>
                <w:color w:val="auto"/>
              </w:rPr>
              <w:t xml:space="preserve"> Fee paid previously with preliminary materials</w:t>
            </w:r>
          </w:p>
        </w:tc>
        <w:tc>
          <w:tcPr>
            <w:tcW w:w="1920" w:type="dxa"/>
            <w:vAlign w:val="bottom"/>
          </w:tcPr>
          <w:p>
            <w:pPr>
              <w:ind w:left="1820"/>
              <w:spacing w:after="0"/>
              <w:rPr>
                <w:sz w:val="20"/>
                <w:szCs w:val="20"/>
                <w:color w:val="auto"/>
              </w:rPr>
            </w:pPr>
            <w:r>
              <w:rPr>
                <w:rFonts w:ascii="Arial" w:cs="Arial" w:eastAsia="Arial" w:hAnsi="Arial"/>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-530225</wp:posOffset>
            </wp:positionV>
            <wp:extent cx="5212080" cy="916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916940"/>
                    </a:xfrm>
                    <a:prstGeom prst="rect">
                      <a:avLst/>
                    </a:prstGeom>
                    <a:noFill/>
                  </pic:spPr>
                </pic:pic>
              </a:graphicData>
            </a:graphic>
          </wp:anchor>
        </w:drawing>
      </w:r>
    </w:p>
    <w:p>
      <w:pPr>
        <w:ind w:left="1280"/>
        <w:spacing w:after="0" w:line="18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 </w:t>
      </w:r>
      <w:r>
        <w:rPr>
          <w:rFonts w:ascii="Arial" w:cs="Arial" w:eastAsia="Arial" w:hAnsi="Arial"/>
          <w:sz w:val="18"/>
          <w:szCs w:val="18"/>
          <w:b w:val="1"/>
          <w:bCs w:val="1"/>
          <w:color w:val="auto"/>
        </w:rPr>
        <w:t>Fee computed on table in exhibit required by Item 25(b) per Exchange Act Rules 14a-6(i)</w:t>
      </w:r>
      <w:r>
        <w:rPr>
          <w:rFonts w:ascii="Arial" w:cs="Arial" w:eastAsia="Arial" w:hAnsi="Arial"/>
          <w:sz w:val="18"/>
          <w:szCs w:val="18"/>
          <w:color w:val="auto"/>
        </w:rPr>
        <w:t xml:space="preserve"> ​</w:t>
      </w:r>
    </w:p>
    <w:p>
      <w:pPr>
        <w:spacing w:after="0" w:line="36"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3105150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FC0014"/>
        </w:rPr>
        <w:t>PRELIMINARY COPY SUBJECT TO COMPLETION DATED APRIL 16, 2024</w:t>
      </w:r>
    </w:p>
    <w:p>
      <w:pPr>
        <w:spacing w:after="0" w:line="158"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FC0014"/>
        </w:rPr>
        <w:t>In accordance with Rule 14a-6(d) under Regulation 14A, please be advised that Century Therapeutics, Inc.</w:t>
      </w:r>
    </w:p>
    <w:p>
      <w:pPr>
        <w:spacing w:after="0" w:line="27"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FC0014"/>
        </w:rPr>
        <w:t>intends to release definitive copies of this Proxy Statement to security holders on or about April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117475</wp:posOffset>
            </wp:positionV>
            <wp:extent cx="2468880" cy="711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88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25 North 38th Street, 11th Floor</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Philadelphia, Pennsylvania 19104</w:t>
      </w:r>
    </w:p>
    <w:p>
      <w:pPr>
        <w:spacing w:after="0" w:line="20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2024 ANNUAL MEETING OF STOCKHOLDERS</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To be Held on June 20, 2024</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April 25, 2024</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jc w:val="both"/>
        <w:ind w:left="880" w:right="20"/>
        <w:spacing w:after="0" w:line="256" w:lineRule="auto"/>
        <w:rPr>
          <w:sz w:val="20"/>
          <w:szCs w:val="20"/>
          <w:color w:val="auto"/>
        </w:rPr>
      </w:pPr>
      <w:r>
        <w:rPr>
          <w:rFonts w:ascii="Arial" w:cs="Arial" w:eastAsia="Arial" w:hAnsi="Arial"/>
          <w:sz w:val="18"/>
          <w:szCs w:val="18"/>
          <w:color w:val="auto"/>
        </w:rPr>
        <w:t>We are pleased to invite you to attend the 2024 Annual Meeting of Stockholders of Century Therapeutics, Inc., or the Annual Meeting, which will be held at 9:00 a.m., Eastern Time, on Thursday, June 20, 2024. The Annual Meeting will be held in virtual meeting format only. You will not be able to attend the Annual Meeting physically. We believe that the virtual meeting format enables stockholders to attend and participate from any location around the world at no cost, provides for cost savings to Century Therapeutics, Inc. and reduces the environmental impact of our Annual Meeting. The Annual Meeting can be accessed via the Internet at https://web.lumiconnect.com/265375813, using the password century2024.</w:t>
      </w:r>
    </w:p>
    <w:p>
      <w:pPr>
        <w:spacing w:after="0" w:line="102" w:lineRule="exact"/>
        <w:rPr>
          <w:sz w:val="20"/>
          <w:szCs w:val="20"/>
          <w:color w:val="auto"/>
        </w:rPr>
      </w:pPr>
    </w:p>
    <w:p>
      <w:pPr>
        <w:jc w:val="both"/>
        <w:ind w:left="880" w:right="20"/>
        <w:spacing w:after="0" w:line="257" w:lineRule="auto"/>
        <w:rPr>
          <w:sz w:val="20"/>
          <w:szCs w:val="20"/>
          <w:color w:val="auto"/>
        </w:rPr>
      </w:pPr>
      <w:r>
        <w:rPr>
          <w:rFonts w:ascii="Arial" w:cs="Arial" w:eastAsia="Arial" w:hAnsi="Arial"/>
          <w:sz w:val="18"/>
          <w:szCs w:val="18"/>
          <w:color w:val="auto"/>
        </w:rPr>
        <w:t>Details regarding the business to be conducted at the Annual Meeting are more fully described in the accompanying Notice of 2024 Annual Meeting of Stockholders, or the Notice, and 2024 Annual Meeting Proxy Statement, or the Proxy Statement. Other than the proposals described in the Proxy Statement, our Board of Directors is not aware of any other matters to be presented for a vote at the Annual Meeting. We are pleased to take advantage of the Securities and Exchange Commission, or SEC, rules that allow companies to furnish their proxy materials over the Internet.</w:t>
      </w:r>
    </w:p>
    <w:p>
      <w:pPr>
        <w:spacing w:after="0" w:line="115" w:lineRule="exact"/>
        <w:rPr>
          <w:sz w:val="20"/>
          <w:szCs w:val="20"/>
          <w:color w:val="auto"/>
        </w:rPr>
      </w:pPr>
    </w:p>
    <w:p>
      <w:pPr>
        <w:jc w:val="both"/>
        <w:ind w:left="880" w:right="40"/>
        <w:spacing w:after="0" w:line="268" w:lineRule="auto"/>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 Whether or not you plan to virtually attend the Annual Meeting, we encourage you to</w:t>
      </w:r>
      <w:r>
        <w:rPr>
          <w:rFonts w:ascii="Arial" w:cs="Arial" w:eastAsia="Arial" w:hAnsi="Arial"/>
          <w:sz w:val="18"/>
          <w:szCs w:val="18"/>
          <w:b w:val="1"/>
          <w:bCs w:val="1"/>
          <w:color w:val="auto"/>
        </w:rPr>
        <w:t xml:space="preserve"> </w:t>
      </w:r>
      <w:r>
        <w:rPr>
          <w:rFonts w:ascii="Arial" w:cs="Arial" w:eastAsia="Arial" w:hAnsi="Arial"/>
          <w:sz w:val="18"/>
          <w:szCs w:val="18"/>
          <w:color w:val="auto"/>
        </w:rPr>
        <w:t>vote as soon as possible to ensure that your shares are represented. Information about voting methods is set forth in the accompanying Notice and Proxy Statement.</w:t>
      </w:r>
    </w:p>
    <w:p>
      <w:pPr>
        <w:spacing w:after="0" w:line="103" w:lineRule="exact"/>
        <w:rPr>
          <w:sz w:val="20"/>
          <w:szCs w:val="20"/>
          <w:color w:val="auto"/>
        </w:rPr>
      </w:pPr>
    </w:p>
    <w:p>
      <w:pPr>
        <w:jc w:val="both"/>
        <w:ind w:left="880" w:right="40"/>
        <w:spacing w:after="0" w:line="287" w:lineRule="auto"/>
        <w:rPr>
          <w:sz w:val="20"/>
          <w:szCs w:val="20"/>
          <w:color w:val="auto"/>
        </w:rPr>
      </w:pPr>
      <w:r>
        <w:rPr>
          <w:rFonts w:ascii="Arial" w:cs="Arial" w:eastAsia="Arial" w:hAnsi="Arial"/>
          <w:sz w:val="18"/>
          <w:szCs w:val="18"/>
          <w:color w:val="auto"/>
        </w:rPr>
        <w:t>If you have any questions with respect to voting, please call our Senior Vice President, Finance and Operations, Douglas Carr, at (267) 817-5790.</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9880"/>
          </w:cols>
          <w:pgMar w:left="580" w:top="97" w:right="1439" w:bottom="1440" w:gutter="0" w:footer="0" w:header="0"/>
        </w:sectPr>
      </w:pP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372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sectPr>
          <w:pgSz w:w="11900" w:h="16838" w:orient="portrait"/>
          <w:cols w:equalWidth="0" w:num="3">
            <w:col w:w="4520" w:space="720"/>
            <w:col w:w="3880" w:space="720"/>
            <w:col w:w="40"/>
          </w:cols>
          <w:pgMar w:left="580" w:top="97" w:right="1439" w:bottom="1440" w:gutter="0" w:footer="0" w:header="0"/>
          <w:type w:val="continuous"/>
        </w:sectPr>
      </w:pPr>
    </w:p>
    <w:p>
      <w:pPr>
        <w:ind w:left="1060"/>
        <w:spacing w:after="0"/>
        <w:rPr>
          <w:sz w:val="20"/>
          <w:szCs w:val="20"/>
          <w:color w:val="auto"/>
        </w:rPr>
      </w:pPr>
      <w:r>
        <w:rPr>
          <w:rFonts w:ascii="Arial" w:cs="Arial" w:eastAsia="Arial" w:hAnsi="Arial"/>
          <w:sz w:val="18"/>
          <w:szCs w:val="18"/>
          <w:color w:val="auto"/>
        </w:rPr>
        <w:t>Joseph Jimenez</w:t>
      </w:r>
    </w:p>
    <w:p>
      <w:pPr>
        <w:spacing w:after="0" w:line="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Brent Pfeiffenberger, Pharm.D.</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ectPr>
          <w:pgSz w:w="11900" w:h="16838" w:orient="portrait"/>
          <w:cols w:equalWidth="0" w:num="2">
            <w:col w:w="4740" w:space="720"/>
            <w:col w:w="4420"/>
          </w:cols>
          <w:pgMar w:left="580" w:top="97" w:right="1439" w:bottom="1440" w:gutter="0" w:footer="0" w:header="0"/>
          <w:type w:val="continuous"/>
        </w:sectPr>
      </w:pPr>
    </w:p>
    <w:p>
      <w:pPr>
        <w:spacing w:after="0" w:line="32" w:lineRule="exact"/>
        <w:rPr>
          <w:sz w:val="20"/>
          <w:szCs w:val="20"/>
          <w:color w:val="auto"/>
        </w:rPr>
      </w:pPr>
    </w:p>
    <w:p>
      <w:pPr>
        <w:ind w:left="2680" w:right="1840" w:firstLine="25"/>
        <w:spacing w:after="0" w:line="328" w:lineRule="auto"/>
        <w:rPr>
          <w:sz w:val="20"/>
          <w:szCs w:val="20"/>
          <w:color w:val="auto"/>
        </w:rPr>
      </w:pPr>
      <w:r>
        <w:rPr>
          <w:rFonts w:ascii="Arial" w:cs="Arial" w:eastAsia="Arial" w:hAnsi="Arial"/>
          <w:sz w:val="17"/>
          <w:szCs w:val="17"/>
          <w:b w:val="1"/>
          <w:bCs w:val="1"/>
          <w:color w:val="auto"/>
        </w:rPr>
        <w:t>THIS PROXY STATEMENT AND ENCLOSED PROXY CARD ARE FIRST BEING MADE AVAILABLE ON OR ABOUT APRIL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1091565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1015365</wp:posOffset>
            </wp:positionV>
            <wp:extent cx="2468880" cy="711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88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NOTICE OF 2024 ANNUAL MEETING OF STOCKHOLDERS</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To be Held on June 20, 2024</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Dear Stockholders: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2024 Annual Meeting of Stockholders of Century Therapeutics, Inc., or the</w:t>
      </w:r>
    </w:p>
    <w:p>
      <w:pPr>
        <w:spacing w:after="0" w:line="14" w:lineRule="exact"/>
        <w:rPr>
          <w:sz w:val="20"/>
          <w:szCs w:val="20"/>
          <w:color w:val="auto"/>
        </w:rPr>
      </w:pPr>
    </w:p>
    <w:p>
      <w:pPr>
        <w:ind w:left="880" w:right="60"/>
        <w:spacing w:after="0" w:line="263" w:lineRule="auto"/>
        <w:rPr>
          <w:sz w:val="20"/>
          <w:szCs w:val="20"/>
          <w:color w:val="auto"/>
        </w:rPr>
      </w:pPr>
      <w:r>
        <w:rPr>
          <w:rFonts w:ascii="Arial" w:cs="Arial" w:eastAsia="Arial" w:hAnsi="Arial"/>
          <w:sz w:val="17"/>
          <w:szCs w:val="17"/>
          <w:color w:val="auto"/>
        </w:rPr>
        <w:t>Annual Meeting, will be held on Thursday, June 20, 2024, at 9:00 a.m. Eastern Time. The Annual Meeting will be held in a virtual meeting format only. We are holding the meeting for the purpose of considering and acting upon:</w:t>
      </w:r>
    </w:p>
    <w:p>
      <w:pPr>
        <w:spacing w:after="0" w:line="13" w:lineRule="exact"/>
        <w:rPr>
          <w:sz w:val="20"/>
          <w:szCs w:val="20"/>
          <w:color w:val="auto"/>
        </w:rPr>
      </w:pPr>
    </w:p>
    <w:p>
      <w:pPr>
        <w:ind w:left="1600" w:right="60" w:hanging="370"/>
        <w:spacing w:after="0" w:line="290" w:lineRule="auto"/>
        <w:tabs>
          <w:tab w:leader="none" w:pos="1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election of the three director nominees that are set forth in the attached 2024 Annual Meeting Proxy Statement, or the Proxy Statement, to serve as Class III directors, whose term will expire in 2027;</w:t>
      </w:r>
    </w:p>
    <w:p>
      <w:pPr>
        <w:ind w:left="1600" w:right="60" w:hanging="370"/>
        <w:spacing w:after="0" w:line="271"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or EY, as our independent registered public accounting firm for the 2024 fiscal year;</w:t>
      </w:r>
    </w:p>
    <w:p>
      <w:pPr>
        <w:spacing w:after="0" w:line="5" w:lineRule="exact"/>
        <w:rPr>
          <w:rFonts w:ascii="Arial" w:cs="Arial" w:eastAsia="Arial" w:hAnsi="Arial"/>
          <w:sz w:val="18"/>
          <w:szCs w:val="18"/>
          <w:color w:val="auto"/>
        </w:rPr>
      </w:pPr>
    </w:p>
    <w:p>
      <w:pPr>
        <w:jc w:val="both"/>
        <w:ind w:left="1600" w:right="40" w:hanging="370"/>
        <w:spacing w:after="0" w:line="245"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approval of an amendment to our Second Amended and Restated Certificate of Incorporation to limit the liability of certain of our officers of the Company as permitted by recent amendments to Delaware law;</w:t>
      </w:r>
    </w:p>
    <w:p>
      <w:pPr>
        <w:spacing w:after="0" w:line="27" w:lineRule="exact"/>
        <w:rPr>
          <w:rFonts w:ascii="Arial" w:cs="Arial" w:eastAsia="Arial" w:hAnsi="Arial"/>
          <w:sz w:val="18"/>
          <w:szCs w:val="18"/>
          <w:color w:val="auto"/>
        </w:rPr>
      </w:pPr>
    </w:p>
    <w:p>
      <w:pPr>
        <w:ind w:left="1600" w:right="60" w:hanging="370"/>
        <w:spacing w:after="0" w:line="256"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adjournment of the Annual Meeting to the extent there are insufficient votes at the Annual Meeting to approve the immediately preceding proposal; and</w:t>
      </w:r>
    </w:p>
    <w:p>
      <w:pPr>
        <w:spacing w:after="0" w:line="17" w:lineRule="exact"/>
        <w:rPr>
          <w:rFonts w:ascii="Arial" w:cs="Arial" w:eastAsia="Arial" w:hAnsi="Arial"/>
          <w:sz w:val="18"/>
          <w:szCs w:val="18"/>
          <w:color w:val="auto"/>
        </w:rPr>
      </w:pPr>
    </w:p>
    <w:p>
      <w:pPr>
        <w:ind w:left="1600" w:right="60" w:hanging="370"/>
        <w:spacing w:after="0" w:line="271"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other matters that may properly be brought before the Annual Meeting or any adjournment or postponement thereof.</w:t>
      </w:r>
    </w:p>
    <w:p>
      <w:pPr>
        <w:spacing w:after="0" w:line="5" w:lineRule="exact"/>
        <w:rPr>
          <w:sz w:val="20"/>
          <w:szCs w:val="20"/>
          <w:color w:val="auto"/>
        </w:rPr>
      </w:pPr>
    </w:p>
    <w:p>
      <w:pPr>
        <w:ind w:left="880" w:right="40"/>
        <w:spacing w:after="0" w:line="271"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of 2024 Annual Meeting of Stockholders, or the Notice.</w:t>
      </w:r>
    </w:p>
    <w:p>
      <w:pPr>
        <w:sectPr>
          <w:pgSz w:w="11900" w:h="16838" w:orient="portrait"/>
          <w:cols w:equalWidth="0" w:num="1">
            <w:col w:w="9900"/>
          </w:cols>
          <w:pgMar w:left="580" w:top="97" w:right="1419" w:bottom="1440" w:gutter="0" w:footer="0" w:header="0"/>
        </w:sectPr>
      </w:pPr>
    </w:p>
    <w:p>
      <w:pPr>
        <w:spacing w:after="0" w:line="154"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MEETING INFORMATION</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p>
      <w:pPr>
        <w:ind w:left="880"/>
        <w:spacing w:after="0" w:line="184" w:lineRule="auto"/>
        <w:rPr>
          <w:sz w:val="20"/>
          <w:szCs w:val="20"/>
          <w:color w:val="auto"/>
        </w:rPr>
      </w:pPr>
      <w:r>
        <w:rPr>
          <w:rFonts w:ascii="Arial" w:cs="Arial" w:eastAsia="Arial" w:hAnsi="Arial"/>
          <w:sz w:val="17"/>
          <w:szCs w:val="17"/>
          <w:b w:val="1"/>
          <w:bCs w:val="1"/>
          <w:color w:val="auto"/>
        </w:rPr>
        <w:t>Time:</w:t>
      </w:r>
      <w:r>
        <w:rPr>
          <w:rFonts w:ascii="Arial" w:cs="Arial" w:eastAsia="Arial" w:hAnsi="Arial"/>
          <w:sz w:val="32"/>
          <w:szCs w:val="32"/>
          <w:color w:val="auto"/>
          <w:vertAlign w:val="superscript"/>
        </w:rPr>
        <w:t>​</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Website Address: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8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110" w:hanging="110"/>
        <w:spacing w:after="0"/>
        <w:tabs>
          <w:tab w:leader="none" w:pos="110" w:val="left"/>
        </w:tabs>
        <w:numPr>
          <w:ilvl w:val="0"/>
          <w:numId w:val="2"/>
        </w:numPr>
        <w:rPr>
          <w:rFonts w:ascii="Arial" w:cs="Arial" w:eastAsia="Arial" w:hAnsi="Arial"/>
          <w:sz w:val="18"/>
          <w:szCs w:val="18"/>
          <w:color w:val="auto"/>
        </w:rPr>
      </w:pPr>
      <w:r>
        <w:rPr>
          <w:rFonts w:ascii="Arial" w:cs="Arial" w:eastAsia="Arial" w:hAnsi="Arial"/>
          <w:sz w:val="18"/>
          <w:szCs w:val="18"/>
          <w:color w:val="auto"/>
        </w:rPr>
        <w:t>​ June 20, 2024</w:t>
      </w:r>
    </w:p>
    <w:p>
      <w:pPr>
        <w:spacing w:after="0" w:line="31" w:lineRule="exact"/>
        <w:rPr>
          <w:rFonts w:ascii="Arial" w:cs="Arial" w:eastAsia="Arial" w:hAnsi="Arial"/>
          <w:sz w:val="18"/>
          <w:szCs w:val="18"/>
          <w:color w:val="auto"/>
        </w:rPr>
      </w:pPr>
    </w:p>
    <w:p>
      <w:pPr>
        <w:ind w:left="110" w:hanging="110"/>
        <w:spacing w:after="0" w:line="181" w:lineRule="auto"/>
        <w:tabs>
          <w:tab w:leader="none" w:pos="110" w:val="left"/>
        </w:tabs>
        <w:numPr>
          <w:ilvl w:val="0"/>
          <w:numId w:val="2"/>
        </w:numPr>
        <w:rPr>
          <w:rFonts w:ascii="Arial" w:cs="Arial" w:eastAsia="Arial" w:hAnsi="Arial"/>
          <w:sz w:val="32"/>
          <w:szCs w:val="32"/>
          <w:color w:val="auto"/>
          <w:vertAlign w:val="superscript"/>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9:00 a.m., Eastern Time</w:t>
      </w:r>
    </w:p>
    <w:p>
      <w:pPr>
        <w:spacing w:after="0" w:line="1" w:lineRule="exact"/>
        <w:rPr>
          <w:rFonts w:ascii="Arial" w:cs="Arial" w:eastAsia="Arial" w:hAnsi="Arial"/>
          <w:sz w:val="32"/>
          <w:szCs w:val="32"/>
          <w:color w:val="auto"/>
          <w:vertAlign w:val="superscript"/>
        </w:rPr>
      </w:pPr>
    </w:p>
    <w:p>
      <w:pPr>
        <w:ind w:left="210" w:hanging="210"/>
        <w:spacing w:after="0" w:line="251" w:lineRule="auto"/>
        <w:tabs>
          <w:tab w:leader="none" w:pos="102" w:val="left"/>
        </w:tabs>
        <w:numPr>
          <w:ilvl w:val="0"/>
          <w:numId w:val="2"/>
        </w:numPr>
        <w:rPr>
          <w:rFonts w:ascii="Arial" w:cs="Arial" w:eastAsia="Arial" w:hAnsi="Arial"/>
          <w:sz w:val="18"/>
          <w:szCs w:val="18"/>
          <w:color w:val="auto"/>
        </w:rPr>
      </w:pPr>
      <w:r>
        <w:rPr>
          <w:rFonts w:ascii="Arial" w:cs="Arial" w:eastAsia="Arial" w:hAnsi="Arial"/>
          <w:sz w:val="18"/>
          <w:szCs w:val="18"/>
          <w:color w:val="auto"/>
        </w:rPr>
        <w:t>​ The meeting can be accessed by visiting https://web.lumiconnect.com/265375813 (password: century2024), where you will be able to listen to the meeting live, submit questions and vote online. There will be no physical location for stockholders to attend.</w:t>
      </w:r>
    </w:p>
    <w:p>
      <w:pPr>
        <w:spacing w:after="0" w:line="2" w:lineRule="exact"/>
        <w:rPr>
          <w:rFonts w:ascii="Arial" w:cs="Arial" w:eastAsia="Arial" w:hAnsi="Arial"/>
          <w:sz w:val="18"/>
          <w:szCs w:val="18"/>
          <w:color w:val="auto"/>
        </w:rPr>
      </w:pPr>
    </w:p>
    <w:p>
      <w:pPr>
        <w:ind w:left="110" w:hanging="110"/>
        <w:spacing w:after="0" w:line="200" w:lineRule="auto"/>
        <w:tabs>
          <w:tab w:leader="none" w:pos="110" w:val="left"/>
        </w:tabs>
        <w:numPr>
          <w:ilvl w:val="0"/>
          <w:numId w:val="2"/>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You can vote if you were a stockholder of record on April 24,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9" w:lineRule="exact"/>
        <w:rPr>
          <w:sz w:val="20"/>
          <w:szCs w:val="20"/>
          <w:color w:val="auto"/>
        </w:rPr>
      </w:pPr>
    </w:p>
    <w:p>
      <w:pPr>
        <w:sectPr>
          <w:pgSz w:w="11900" w:h="16838" w:orient="portrait"/>
          <w:cols w:equalWidth="0" w:num="3">
            <w:col w:w="2960" w:space="70"/>
            <w:col w:w="6690" w:space="120"/>
            <w:col w:w="60"/>
          </w:cols>
          <w:pgMar w:left="580" w:top="97" w:right="1419" w:bottom="1440" w:gutter="0" w:footer="0" w:header="0"/>
          <w:type w:val="continuous"/>
        </w:sectPr>
      </w:pPr>
    </w:p>
    <w:p>
      <w:pPr>
        <w:ind w:left="880" w:right="40"/>
        <w:spacing w:after="0" w:line="226" w:lineRule="auto"/>
        <w:rPr>
          <w:sz w:val="20"/>
          <w:szCs w:val="20"/>
          <w:color w:val="auto"/>
        </w:rPr>
      </w:pPr>
      <w:r>
        <w:rPr>
          <w:rFonts w:ascii="Arial" w:cs="Arial" w:eastAsia="Arial" w:hAnsi="Arial"/>
          <w:sz w:val="18"/>
          <w:szCs w:val="18"/>
          <w:b w:val="1"/>
          <w:bCs w:val="1"/>
          <w:i w:val="1"/>
          <w:iCs w:val="1"/>
          <w:color w:val="auto"/>
        </w:rPr>
        <w:t>Your vote matters</w:t>
      </w:r>
      <w:r>
        <w:rPr>
          <w:rFonts w:ascii="Arial" w:cs="Arial" w:eastAsia="Arial" w:hAnsi="Arial"/>
          <w:sz w:val="18"/>
          <w:szCs w:val="18"/>
          <w:i w:val="1"/>
          <w:iCs w:val="1"/>
          <w:color w:val="auto"/>
        </w:rPr>
        <w:t>. Whether or not you plan to virtually attend the Annual Meeting, please ensure that your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shares are represented by voting, signing, dating and returning your proxy in the enclosed envelope, which</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requires no postage if mailed in the United States.</w:t>
      </w:r>
    </w:p>
    <w:p>
      <w:pPr>
        <w:spacing w:after="0" w:line="4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Douglas Carr</w:t>
      </w:r>
    </w:p>
    <w:p>
      <w:pPr>
        <w:ind w:left="5920"/>
        <w:spacing w:after="0" w:line="234" w:lineRule="auto"/>
        <w:rPr>
          <w:sz w:val="20"/>
          <w:szCs w:val="20"/>
          <w:color w:val="auto"/>
        </w:rPr>
      </w:pPr>
      <w:r>
        <w:rPr>
          <w:rFonts w:ascii="Arial" w:cs="Arial" w:eastAsia="Arial" w:hAnsi="Arial"/>
          <w:sz w:val="18"/>
          <w:szCs w:val="18"/>
          <w:i w:val="1"/>
          <w:iCs w:val="1"/>
          <w:color w:val="auto"/>
        </w:rPr>
        <w:t>Senior Vice President, Finance and Operations,</w:t>
      </w:r>
    </w:p>
    <w:p>
      <w:pPr>
        <w:ind w:left="5920"/>
        <w:spacing w:after="0" w:line="235" w:lineRule="auto"/>
        <w:rPr>
          <w:sz w:val="20"/>
          <w:szCs w:val="20"/>
          <w:color w:val="auto"/>
        </w:rPr>
      </w:pPr>
      <w:r>
        <w:rPr>
          <w:rFonts w:ascii="Arial" w:cs="Arial" w:eastAsia="Arial" w:hAnsi="Arial"/>
          <w:sz w:val="18"/>
          <w:szCs w:val="18"/>
          <w:i w:val="1"/>
          <w:iCs w:val="1"/>
          <w:color w:val="auto"/>
        </w:rPr>
        <w:t>and Secretary</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April 25, 2024</w:t>
      </w:r>
    </w:p>
    <w:p>
      <w:pPr>
        <w:spacing w:after="0" w:line="45" w:lineRule="exact"/>
        <w:rPr>
          <w:sz w:val="20"/>
          <w:szCs w:val="20"/>
          <w:color w:val="auto"/>
        </w:rPr>
      </w:pPr>
    </w:p>
    <w:p>
      <w:pPr>
        <w:ind w:left="880" w:right="40"/>
        <w:spacing w:after="0" w:line="251"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JUNE 20, 2024. This Proxy Statement and the proxy card are being furnished</w:t>
      </w:r>
    </w:p>
    <w:p>
      <w:pPr>
        <w:ind w:left="880"/>
        <w:spacing w:after="0" w:line="235" w:lineRule="auto"/>
        <w:rPr>
          <w:sz w:val="20"/>
          <w:szCs w:val="20"/>
          <w:color w:val="auto"/>
        </w:rPr>
      </w:pPr>
      <w:r>
        <w:rPr>
          <w:rFonts w:ascii="Arial" w:cs="Arial" w:eastAsia="Arial" w:hAnsi="Arial"/>
          <w:sz w:val="18"/>
          <w:szCs w:val="18"/>
          <w:b w:val="1"/>
          <w:bCs w:val="1"/>
          <w:color w:val="auto"/>
        </w:rPr>
        <w:t>to our stockholders on or about April 25, 2024. This Proxy Statement and our Annual Report on Form 10-</w:t>
      </w:r>
    </w:p>
    <w:p>
      <w:pPr>
        <w:ind w:left="880" w:right="40"/>
        <w:spacing w:after="0" w:line="226" w:lineRule="auto"/>
        <w:rPr>
          <w:sz w:val="20"/>
          <w:szCs w:val="20"/>
          <w:color w:val="auto"/>
        </w:rPr>
      </w:pPr>
      <w:r>
        <w:rPr>
          <w:rFonts w:ascii="Arial" w:cs="Arial" w:eastAsia="Arial" w:hAnsi="Arial"/>
          <w:sz w:val="18"/>
          <w:szCs w:val="18"/>
          <w:b w:val="1"/>
          <w:bCs w:val="1"/>
          <w:color w:val="auto"/>
        </w:rPr>
        <w:t>K for the fiscal year ended December 31, 2023 are available to holders of our common stock at www.astproxyportal.com/ast/24419. If you would like to receive, without charge, a paper copy of our</w:t>
      </w:r>
    </w:p>
    <w:p>
      <w:pPr>
        <w:ind w:left="880"/>
        <w:spacing w:after="0" w:line="236" w:lineRule="auto"/>
        <w:rPr>
          <w:sz w:val="20"/>
          <w:szCs w:val="20"/>
          <w:color w:val="auto"/>
        </w:rPr>
      </w:pPr>
      <w:r>
        <w:rPr>
          <w:rFonts w:ascii="Arial" w:cs="Arial" w:eastAsia="Arial" w:hAnsi="Arial"/>
          <w:sz w:val="18"/>
          <w:szCs w:val="18"/>
          <w:b w:val="1"/>
          <w:bCs w:val="1"/>
          <w:color w:val="auto"/>
        </w:rPr>
        <w:t>Annual Report on Form 10-K for the fiscal year ended December 31, 2023, including the financial</w:t>
      </w:r>
    </w:p>
    <w:p>
      <w:pPr>
        <w:spacing w:after="0" w:line="1" w:lineRule="exact"/>
        <w:rPr>
          <w:sz w:val="20"/>
          <w:szCs w:val="20"/>
          <w:color w:val="auto"/>
        </w:rPr>
      </w:pPr>
    </w:p>
    <w:p>
      <w:pPr>
        <w:ind w:left="880" w:right="60"/>
        <w:spacing w:after="0" w:line="244" w:lineRule="auto"/>
        <w:rPr>
          <w:sz w:val="20"/>
          <w:szCs w:val="20"/>
          <w:color w:val="auto"/>
        </w:rPr>
      </w:pPr>
      <w:r>
        <w:rPr>
          <w:rFonts w:ascii="Arial" w:cs="Arial" w:eastAsia="Arial" w:hAnsi="Arial"/>
          <w:sz w:val="18"/>
          <w:szCs w:val="18"/>
          <w:b w:val="1"/>
          <w:bCs w:val="1"/>
          <w:color w:val="auto"/>
        </w:rPr>
        <w:t>statements, please send your request to Corporate Secretary, Century Therapeutics, Inc., 25 North 38th Street, 11th Floor, Philadelphia, PA 19104.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457835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​SUMMARY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73" w:lineRule="auto"/>
        <w:rPr>
          <w:sz w:val="20"/>
          <w:szCs w:val="20"/>
          <w:color w:val="auto"/>
        </w:rPr>
      </w:pPr>
      <w:r>
        <w:rPr>
          <w:rFonts w:ascii="Arial" w:cs="Arial" w:eastAsia="Arial" w:hAnsi="Arial"/>
          <w:sz w:val="18"/>
          <w:szCs w:val="18"/>
          <w:color w:val="148CD9"/>
        </w:rPr>
        <w:t>This summary highlights information contained elsewhere in this Proxy Statement and our Annual Report on Form 10-K for the fiscal year ended December 31, 2023, or the 2023 Annual Report. This summary does not contain all of the information you should consider and we encourage you to read this Proxy Statement and the 2023 Annual Report carefully before voting.</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2024 Annual Meeting of Stockholders</w:t>
      </w:r>
    </w:p>
    <w:p>
      <w:pPr>
        <w:spacing w:after="0" w:line="197"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bottom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060" w:type="dxa"/>
            <w:vAlign w:val="bottom"/>
            <w:tcBorders>
              <w:top w:val="single" w:sz="8" w:color="auto"/>
              <w:bottom w:val="single" w:sz="8" w:color="auto"/>
            </w:tcBorders>
            <w:shd w:val="clear" w:color="auto" w:fill="148CD9"/>
          </w:tcPr>
          <w:p>
            <w:pPr>
              <w:ind w:left="400"/>
              <w:spacing w:after="0"/>
              <w:rPr>
                <w:sz w:val="20"/>
                <w:szCs w:val="20"/>
                <w:color w:val="auto"/>
              </w:rPr>
            </w:pPr>
            <w:r>
              <w:rPr>
                <w:rFonts w:ascii="Arial" w:cs="Arial" w:eastAsia="Arial" w:hAnsi="Arial"/>
                <w:sz w:val="16"/>
                <w:szCs w:val="16"/>
                <w:b w:val="1"/>
                <w:bCs w:val="1"/>
                <w:color w:val="FFFFFF"/>
              </w:rPr>
              <w:t>TIME AND DATE</w:t>
            </w:r>
          </w:p>
        </w:tc>
        <w:tc>
          <w:tcPr>
            <w:tcW w:w="3240" w:type="dxa"/>
            <w:vAlign w:val="bottom"/>
            <w:tcBorders>
              <w:top w:val="single" w:sz="8" w:color="auto"/>
              <w:bottom w:val="single" w:sz="8" w:color="auto"/>
            </w:tcBorders>
            <w:shd w:val="clear" w:color="auto" w:fill="148CD9"/>
          </w:tcPr>
          <w:p>
            <w:pPr>
              <w:ind w:left="4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RECORD DATE </w:t>
            </w:r>
            <w:r>
              <w:rPr>
                <w:rFonts w:ascii="Arial" w:cs="Arial" w:eastAsia="Arial" w:hAnsi="Arial"/>
                <w:sz w:val="31"/>
                <w:szCs w:val="31"/>
                <w:b w:val="1"/>
                <w:bCs w:val="1"/>
                <w:color w:val="FFFFFF"/>
                <w:vertAlign w:val="subscript"/>
              </w:rPr>
              <w:t>​ ​</w:t>
            </w:r>
          </w:p>
        </w:tc>
        <w:tc>
          <w:tcPr>
            <w:tcW w:w="1680" w:type="dxa"/>
            <w:vAlign w:val="bottom"/>
            <w:tcBorders>
              <w:top w:val="single" w:sz="8" w:color="auto"/>
              <w:bottom w:val="single" w:sz="8" w:color="auto"/>
            </w:tcBorders>
            <w:gridSpan w:val="2"/>
            <w:shd w:val="clear" w:color="auto" w:fill="148CD9"/>
          </w:tcPr>
          <w:p>
            <w:pPr>
              <w:jc w:val="center"/>
              <w:ind w:left="13"/>
              <w:spacing w:after="0"/>
              <w:rPr>
                <w:sz w:val="20"/>
                <w:szCs w:val="20"/>
                <w:color w:val="auto"/>
              </w:rPr>
            </w:pPr>
            <w:r>
              <w:rPr>
                <w:rFonts w:ascii="Arial" w:cs="Arial" w:eastAsia="Arial" w:hAnsi="Arial"/>
                <w:sz w:val="16"/>
                <w:szCs w:val="16"/>
                <w:b w:val="1"/>
                <w:bCs w:val="1"/>
                <w:color w:val="FFFFFF"/>
                <w:w w:val="98"/>
              </w:rPr>
              <w:t>WEBSITE ADDRESS</w:t>
            </w:r>
          </w:p>
        </w:tc>
        <w:tc>
          <w:tcPr>
            <w:tcW w:w="220" w:type="dxa"/>
            <w:vAlign w:val="bottom"/>
            <w:tcBorders>
              <w:top w:val="single" w:sz="8" w:color="auto"/>
              <w:bottom w:val="single" w:sz="8" w:color="auto"/>
            </w:tcBorders>
            <w:shd w:val="clear" w:color="auto" w:fill="148CD9"/>
          </w:tcPr>
          <w:p>
            <w:pPr>
              <w:spacing w:after="0"/>
              <w:rPr>
                <w:sz w:val="23"/>
                <w:szCs w:val="23"/>
                <w:color w:val="auto"/>
              </w:rPr>
            </w:pPr>
          </w:p>
        </w:tc>
        <w:tc>
          <w:tcPr>
            <w:tcW w:w="220" w:type="dxa"/>
            <w:vAlign w:val="bottom"/>
            <w:tcBorders>
              <w:top w:val="single" w:sz="8" w:color="auto"/>
              <w:bottom w:val="single" w:sz="8" w:color="auto"/>
            </w:tcBorders>
            <w:shd w:val="clear" w:color="auto" w:fill="148CD9"/>
          </w:tcPr>
          <w:p>
            <w:pPr>
              <w:spacing w:after="0"/>
              <w:rPr>
                <w:sz w:val="23"/>
                <w:szCs w:val="23"/>
                <w:color w:val="auto"/>
              </w:rPr>
            </w:pPr>
          </w:p>
        </w:tc>
        <w:tc>
          <w:tcPr>
            <w:tcW w:w="1320" w:type="dxa"/>
            <w:vAlign w:val="bottom"/>
            <w:tcBorders>
              <w:top w:val="single" w:sz="8" w:color="auto"/>
              <w:bottom w:val="single" w:sz="8" w:color="auto"/>
            </w:tcBorders>
            <w:shd w:val="clear" w:color="auto" w:fill="148CD9"/>
          </w:tcPr>
          <w:p>
            <w:pPr>
              <w:spacing w:after="0"/>
              <w:rPr>
                <w:sz w:val="23"/>
                <w:szCs w:val="23"/>
                <w:color w:val="auto"/>
              </w:rPr>
            </w:pPr>
          </w:p>
        </w:tc>
        <w:tc>
          <w:tcPr>
            <w:tcW w:w="140" w:type="dxa"/>
            <w:vAlign w:val="bottom"/>
            <w:tcBorders>
              <w:top w:val="single" w:sz="8" w:color="auto"/>
              <w:bottom w:val="single" w:sz="8" w:color="auto"/>
              <w:right w:val="single" w:sz="8" w:color="auto"/>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4"/>
        </w:trPr>
        <w:tc>
          <w:tcPr>
            <w:tcW w:w="120" w:type="dxa"/>
            <w:vAlign w:val="bottom"/>
            <w:tcBorders>
              <w:left w:val="single" w:sz="8" w:color="auto"/>
            </w:tcBorders>
          </w:tcPr>
          <w:p>
            <w:pPr>
              <w:spacing w:after="0"/>
              <w:rPr>
                <w:sz w:val="17"/>
                <w:szCs w:val="17"/>
                <w:color w:val="auto"/>
              </w:rPr>
            </w:pPr>
          </w:p>
        </w:tc>
        <w:tc>
          <w:tcPr>
            <w:tcW w:w="2060" w:type="dxa"/>
            <w:vAlign w:val="bottom"/>
          </w:tcPr>
          <w:p>
            <w:pPr>
              <w:spacing w:after="0"/>
              <w:rPr>
                <w:sz w:val="17"/>
                <w:szCs w:val="17"/>
                <w:color w:val="auto"/>
              </w:rPr>
            </w:pPr>
          </w:p>
        </w:tc>
        <w:tc>
          <w:tcPr>
            <w:tcW w:w="6680" w:type="dxa"/>
            <w:vAlign w:val="bottom"/>
            <w:gridSpan w:val="6"/>
          </w:tcPr>
          <w:p>
            <w:pPr>
              <w:jc w:val="center"/>
              <w:ind w:left="1452"/>
              <w:spacing w:after="0" w:line="204" w:lineRule="exact"/>
              <w:rPr>
                <w:sz w:val="20"/>
                <w:szCs w:val="20"/>
                <w:color w:val="auto"/>
              </w:rPr>
            </w:pPr>
            <w:r>
              <w:rPr>
                <w:rFonts w:ascii="Arial" w:cs="Arial" w:eastAsia="Arial" w:hAnsi="Arial"/>
                <w:sz w:val="18"/>
                <w:szCs w:val="18"/>
                <w:color w:val="auto"/>
                <w:w w:val="99"/>
              </w:rPr>
              <w:t>The meeting can be accessed by visiting</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Thursday, June 20, 2024</w:t>
            </w:r>
          </w:p>
        </w:tc>
        <w:tc>
          <w:tcPr>
            <w:tcW w:w="6680" w:type="dxa"/>
            <w:vAlign w:val="bottom"/>
            <w:gridSpan w:val="6"/>
          </w:tcPr>
          <w:p>
            <w:pPr>
              <w:jc w:val="center"/>
              <w:ind w:left="1492"/>
              <w:spacing w:after="0"/>
              <w:rPr>
                <w:sz w:val="20"/>
                <w:szCs w:val="20"/>
                <w:color w:val="auto"/>
              </w:rPr>
            </w:pPr>
            <w:r>
              <w:rPr>
                <w:rFonts w:ascii="Arial" w:cs="Arial" w:eastAsia="Arial" w:hAnsi="Arial"/>
                <w:sz w:val="18"/>
                <w:szCs w:val="18"/>
                <w:color w:val="auto"/>
                <w:w w:val="99"/>
              </w:rPr>
              <w:t>https://web.lumiconnect.com/265375813</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180" w:type="dxa"/>
            <w:vAlign w:val="bottom"/>
            <w:tcBorders>
              <w:left w:val="single" w:sz="8" w:color="auto"/>
            </w:tcBorders>
            <w:gridSpan w:val="2"/>
            <w:vMerge w:val="continue"/>
          </w:tcPr>
          <w:p>
            <w:pPr>
              <w:spacing w:after="0"/>
              <w:rPr>
                <w:sz w:val="16"/>
                <w:szCs w:val="16"/>
                <w:color w:val="auto"/>
              </w:rPr>
            </w:pPr>
          </w:p>
        </w:tc>
        <w:tc>
          <w:tcPr>
            <w:tcW w:w="6680" w:type="dxa"/>
            <w:vAlign w:val="bottom"/>
            <w:gridSpan w:val="6"/>
          </w:tcPr>
          <w:p>
            <w:pPr>
              <w:ind w:left="40"/>
              <w:spacing w:after="0" w:line="195" w:lineRule="exact"/>
              <w:rPr>
                <w:sz w:val="20"/>
                <w:szCs w:val="20"/>
                <w:color w:val="auto"/>
              </w:rPr>
            </w:pPr>
            <w:r>
              <w:rPr>
                <w:rFonts w:ascii="Arial" w:cs="Arial" w:eastAsia="Arial" w:hAnsi="Arial"/>
                <w:sz w:val="18"/>
                <w:szCs w:val="18"/>
                <w:color w:val="auto"/>
              </w:rPr>
              <w:t>​ ​ April 24, 2024 ​ ​ (password: century2024), where you will be able to listen to the</w:t>
            </w:r>
          </w:p>
        </w:tc>
        <w:tc>
          <w:tcPr>
            <w:tcW w:w="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2060" w:type="dxa"/>
            <w:vAlign w:val="bottom"/>
          </w:tcPr>
          <w:p>
            <w:pPr>
              <w:ind w:left="60"/>
              <w:spacing w:after="0" w:line="202" w:lineRule="exact"/>
              <w:rPr>
                <w:sz w:val="20"/>
                <w:szCs w:val="20"/>
                <w:color w:val="auto"/>
              </w:rPr>
            </w:pPr>
            <w:r>
              <w:rPr>
                <w:rFonts w:ascii="Arial" w:cs="Arial" w:eastAsia="Arial" w:hAnsi="Arial"/>
                <w:sz w:val="18"/>
                <w:szCs w:val="18"/>
                <w:color w:val="auto"/>
              </w:rPr>
              <w:t>9:00 a.m., Eastern Time</w:t>
            </w:r>
          </w:p>
        </w:tc>
        <w:tc>
          <w:tcPr>
            <w:tcW w:w="6680" w:type="dxa"/>
            <w:vAlign w:val="bottom"/>
            <w:gridSpan w:val="6"/>
            <w:vMerge w:val="restart"/>
          </w:tcPr>
          <w:p>
            <w:pPr>
              <w:jc w:val="center"/>
              <w:ind w:left="1492"/>
              <w:spacing w:after="0"/>
              <w:rPr>
                <w:sz w:val="20"/>
                <w:szCs w:val="20"/>
                <w:color w:val="auto"/>
              </w:rPr>
            </w:pPr>
            <w:r>
              <w:rPr>
                <w:rFonts w:ascii="Arial" w:cs="Arial" w:eastAsia="Arial" w:hAnsi="Arial"/>
                <w:sz w:val="18"/>
                <w:szCs w:val="18"/>
                <w:color w:val="auto"/>
                <w:w w:val="99"/>
              </w:rPr>
              <w:t>meeting live, submit questions and vote online. There will be no</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120" w:type="dxa"/>
            <w:vAlign w:val="bottom"/>
            <w:tcBorders>
              <w:left w:val="single" w:sz="8" w:color="auto"/>
            </w:tcBorders>
          </w:tcPr>
          <w:p>
            <w:pPr>
              <w:spacing w:after="0"/>
              <w:rPr>
                <w:sz w:val="3"/>
                <w:szCs w:val="3"/>
                <w:color w:val="auto"/>
              </w:rPr>
            </w:pPr>
          </w:p>
        </w:tc>
        <w:tc>
          <w:tcPr>
            <w:tcW w:w="2060" w:type="dxa"/>
            <w:vAlign w:val="bottom"/>
          </w:tcPr>
          <w:p>
            <w:pPr>
              <w:spacing w:after="0"/>
              <w:rPr>
                <w:sz w:val="3"/>
                <w:szCs w:val="3"/>
                <w:color w:val="auto"/>
              </w:rPr>
            </w:pPr>
          </w:p>
        </w:tc>
        <w:tc>
          <w:tcPr>
            <w:tcW w:w="6680" w:type="dxa"/>
            <w:vAlign w:val="bottom"/>
            <w:gridSpan w:val="6"/>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6680" w:type="dxa"/>
            <w:vAlign w:val="bottom"/>
            <w:gridSpan w:val="6"/>
          </w:tcPr>
          <w:p>
            <w:pPr>
              <w:jc w:val="center"/>
              <w:ind w:left="1492"/>
              <w:spacing w:after="0"/>
              <w:rPr>
                <w:sz w:val="20"/>
                <w:szCs w:val="20"/>
                <w:color w:val="auto"/>
              </w:rPr>
            </w:pPr>
            <w:r>
              <w:rPr>
                <w:rFonts w:ascii="Arial" w:cs="Arial" w:eastAsia="Arial" w:hAnsi="Arial"/>
                <w:sz w:val="18"/>
                <w:szCs w:val="18"/>
                <w:color w:val="auto"/>
                <w:w w:val="99"/>
              </w:rPr>
              <w:t>physical location for stockholders to attend.</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420" w:type="dxa"/>
            <w:vAlign w:val="bottom"/>
            <w:tcBorders>
              <w:left w:val="single" w:sz="8" w:color="auto"/>
              <w:bottom w:val="single" w:sz="8" w:color="auto"/>
            </w:tcBorders>
            <w:gridSpan w:val="3"/>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1"/>
        </w:trPr>
        <w:tc>
          <w:tcPr>
            <w:tcW w:w="5420" w:type="dxa"/>
            <w:vAlign w:val="bottom"/>
            <w:gridSpan w:val="3"/>
          </w:tcPr>
          <w:p>
            <w:pPr>
              <w:ind w:left="20"/>
              <w:spacing w:after="0"/>
              <w:rPr>
                <w:sz w:val="20"/>
                <w:szCs w:val="20"/>
                <w:color w:val="auto"/>
              </w:rPr>
            </w:pPr>
            <w:r>
              <w:rPr>
                <w:rFonts w:ascii="Arial" w:cs="Arial" w:eastAsia="Arial" w:hAnsi="Arial"/>
                <w:sz w:val="18"/>
                <w:szCs w:val="18"/>
                <w:b w:val="1"/>
                <w:bCs w:val="1"/>
                <w:color w:val="auto"/>
              </w:rPr>
              <w:t>Summary of Stockholder Voting Matters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tcBorders>
            <w:vMerge w:val="restart"/>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5300" w:type="dxa"/>
            <w:vAlign w:val="bottom"/>
            <w:gridSpan w:val="2"/>
            <w:vMerge w:val="restart"/>
            <w:shd w:val="clear" w:color="auto" w:fill="148CD9"/>
          </w:tcPr>
          <w:p>
            <w:pPr>
              <w:ind w:left="1960"/>
              <w:spacing w:after="0"/>
              <w:rPr>
                <w:sz w:val="20"/>
                <w:szCs w:val="20"/>
                <w:color w:val="auto"/>
              </w:rPr>
            </w:pPr>
            <w:r>
              <w:rPr>
                <w:rFonts w:ascii="Arial" w:cs="Arial" w:eastAsia="Arial" w:hAnsi="Arial"/>
                <w:sz w:val="16"/>
                <w:szCs w:val="16"/>
                <w:b w:val="1"/>
                <w:bCs w:val="1"/>
                <w:color w:val="FFFFFF"/>
              </w:rPr>
              <w:t>VOTING MATTERS</w:t>
            </w:r>
          </w:p>
        </w:tc>
        <w:tc>
          <w:tcPr>
            <w:tcW w:w="32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 ​</w:t>
            </w:r>
          </w:p>
        </w:tc>
        <w:tc>
          <w:tcPr>
            <w:tcW w:w="1360" w:type="dxa"/>
            <w:vAlign w:val="bottom"/>
            <w:shd w:val="clear" w:color="auto" w:fill="148CD9"/>
          </w:tcPr>
          <w:p>
            <w:pPr>
              <w:jc w:val="center"/>
              <w:ind w:right="13"/>
              <w:spacing w:after="0"/>
              <w:rPr>
                <w:sz w:val="20"/>
                <w:szCs w:val="20"/>
                <w:color w:val="auto"/>
              </w:rPr>
            </w:pPr>
            <w:r>
              <w:rPr>
                <w:rFonts w:ascii="Arial" w:cs="Arial" w:eastAsia="Arial" w:hAnsi="Arial"/>
                <w:sz w:val="16"/>
                <w:szCs w:val="16"/>
                <w:b w:val="1"/>
                <w:bCs w:val="1"/>
                <w:color w:val="FFFFFF"/>
                <w:w w:val="99"/>
              </w:rPr>
              <w:t>FOR MORE</w:t>
            </w:r>
          </w:p>
        </w:tc>
        <w:tc>
          <w:tcPr>
            <w:tcW w:w="220" w:type="dxa"/>
            <w:vAlign w:val="bottom"/>
            <w:vMerge w:val="restart"/>
            <w:shd w:val="clear" w:color="auto" w:fill="148CD9"/>
          </w:tcPr>
          <w:p>
            <w:pPr>
              <w:ind w:left="60"/>
              <w:spacing w:after="0"/>
              <w:rPr>
                <w:sz w:val="20"/>
                <w:szCs w:val="20"/>
                <w:color w:val="auto"/>
              </w:rPr>
            </w:pPr>
            <w:r>
              <w:rPr>
                <w:rFonts w:ascii="Arial" w:cs="Arial" w:eastAsia="Arial" w:hAnsi="Arial"/>
                <w:sz w:val="16"/>
                <w:szCs w:val="16"/>
                <w:b w:val="1"/>
                <w:bCs w:val="1"/>
                <w:color w:val="FFFFFF"/>
              </w:rPr>
              <w:t>​ ​</w:t>
            </w:r>
          </w:p>
        </w:tc>
        <w:tc>
          <w:tcPr>
            <w:tcW w:w="220" w:type="dxa"/>
            <w:vAlign w:val="bottom"/>
            <w:shd w:val="clear" w:color="auto" w:fill="148CD9"/>
          </w:tcPr>
          <w:p>
            <w:pPr>
              <w:spacing w:after="0"/>
              <w:rPr>
                <w:sz w:val="20"/>
                <w:szCs w:val="20"/>
                <w:color w:val="auto"/>
              </w:rPr>
            </w:pPr>
          </w:p>
        </w:tc>
        <w:tc>
          <w:tcPr>
            <w:tcW w:w="1320" w:type="dxa"/>
            <w:vAlign w:val="bottom"/>
            <w:shd w:val="clear" w:color="auto" w:fill="148CD9"/>
          </w:tcPr>
          <w:p>
            <w:pPr>
              <w:jc w:val="center"/>
              <w:ind w:right="173"/>
              <w:spacing w:after="0"/>
              <w:rPr>
                <w:sz w:val="20"/>
                <w:szCs w:val="20"/>
                <w:color w:val="auto"/>
              </w:rPr>
            </w:pPr>
            <w:r>
              <w:rPr>
                <w:rFonts w:ascii="Arial" w:cs="Arial" w:eastAsia="Arial" w:hAnsi="Arial"/>
                <w:sz w:val="16"/>
                <w:szCs w:val="16"/>
                <w:b w:val="1"/>
                <w:bCs w:val="1"/>
                <w:color w:val="FFFFFF"/>
              </w:rPr>
              <w:t>BOARD OF</w:t>
            </w:r>
          </w:p>
        </w:tc>
        <w:tc>
          <w:tcPr>
            <w:tcW w:w="140" w:type="dxa"/>
            <w:vAlign w:val="bottom"/>
            <w:tcBorders>
              <w:right w:val="single" w:sz="8" w:color="auto"/>
            </w:tcBorders>
            <w:vMerge w:val="restart"/>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vMerge w:val="continue"/>
            <w:shd w:val="clear" w:color="auto" w:fill="148CD9"/>
          </w:tcPr>
          <w:p>
            <w:pPr>
              <w:spacing w:after="0"/>
              <w:rPr>
                <w:sz w:val="14"/>
                <w:szCs w:val="14"/>
                <w:color w:val="auto"/>
              </w:rPr>
            </w:pPr>
          </w:p>
        </w:tc>
        <w:tc>
          <w:tcPr>
            <w:tcW w:w="5300" w:type="dxa"/>
            <w:vAlign w:val="bottom"/>
            <w:gridSpan w:val="2"/>
            <w:vMerge w:val="continue"/>
            <w:shd w:val="clear" w:color="auto" w:fill="148CD9"/>
          </w:tcPr>
          <w:p>
            <w:pPr>
              <w:spacing w:after="0"/>
              <w:rPr>
                <w:sz w:val="14"/>
                <w:szCs w:val="14"/>
                <w:color w:val="auto"/>
              </w:rPr>
            </w:pPr>
          </w:p>
        </w:tc>
        <w:tc>
          <w:tcPr>
            <w:tcW w:w="320" w:type="dxa"/>
            <w:vAlign w:val="bottom"/>
            <w:vMerge w:val="continue"/>
            <w:shd w:val="clear" w:color="auto" w:fill="148CD9"/>
          </w:tcPr>
          <w:p>
            <w:pPr>
              <w:spacing w:after="0"/>
              <w:rPr>
                <w:sz w:val="14"/>
                <w:szCs w:val="14"/>
                <w:color w:val="auto"/>
              </w:rPr>
            </w:pPr>
          </w:p>
        </w:tc>
        <w:tc>
          <w:tcPr>
            <w:tcW w:w="1360" w:type="dxa"/>
            <w:vAlign w:val="bottom"/>
            <w:shd w:val="clear" w:color="auto" w:fill="148CD9"/>
          </w:tcPr>
          <w:p>
            <w:pPr>
              <w:jc w:val="center"/>
              <w:spacing w:after="0" w:line="162" w:lineRule="exact"/>
              <w:rPr>
                <w:sz w:val="20"/>
                <w:szCs w:val="20"/>
                <w:color w:val="auto"/>
              </w:rPr>
            </w:pPr>
            <w:r>
              <w:rPr>
                <w:rFonts w:ascii="Arial" w:cs="Arial" w:eastAsia="Arial" w:hAnsi="Arial"/>
                <w:sz w:val="16"/>
                <w:szCs w:val="16"/>
                <w:b w:val="1"/>
                <w:bCs w:val="1"/>
                <w:color w:val="FFFFFF"/>
                <w:w w:val="99"/>
              </w:rPr>
              <w:t>INFORMATION</w:t>
            </w:r>
          </w:p>
        </w:tc>
        <w:tc>
          <w:tcPr>
            <w:tcW w:w="220" w:type="dxa"/>
            <w:vAlign w:val="bottom"/>
            <w:vMerge w:val="continue"/>
            <w:shd w:val="clear" w:color="auto" w:fill="148CD9"/>
          </w:tcPr>
          <w:p>
            <w:pPr>
              <w:spacing w:after="0"/>
              <w:rPr>
                <w:sz w:val="14"/>
                <w:szCs w:val="14"/>
                <w:color w:val="auto"/>
              </w:rPr>
            </w:pPr>
          </w:p>
        </w:tc>
        <w:tc>
          <w:tcPr>
            <w:tcW w:w="220" w:type="dxa"/>
            <w:vAlign w:val="bottom"/>
            <w:shd w:val="clear" w:color="auto" w:fill="148CD9"/>
          </w:tcPr>
          <w:p>
            <w:pPr>
              <w:spacing w:after="0"/>
              <w:rPr>
                <w:sz w:val="14"/>
                <w:szCs w:val="14"/>
                <w:color w:val="auto"/>
              </w:rPr>
            </w:pPr>
          </w:p>
        </w:tc>
        <w:tc>
          <w:tcPr>
            <w:tcW w:w="1320" w:type="dxa"/>
            <w:vAlign w:val="bottom"/>
            <w:shd w:val="clear" w:color="auto" w:fill="148CD9"/>
          </w:tcPr>
          <w:p>
            <w:pPr>
              <w:jc w:val="center"/>
              <w:ind w:right="173"/>
              <w:spacing w:after="0" w:line="162" w:lineRule="exact"/>
              <w:rPr>
                <w:sz w:val="20"/>
                <w:szCs w:val="20"/>
                <w:color w:val="auto"/>
              </w:rPr>
            </w:pPr>
            <w:r>
              <w:rPr>
                <w:rFonts w:ascii="Arial" w:cs="Arial" w:eastAsia="Arial" w:hAnsi="Arial"/>
                <w:sz w:val="16"/>
                <w:szCs w:val="16"/>
                <w:b w:val="1"/>
                <w:bCs w:val="1"/>
                <w:color w:val="FFFFFF"/>
                <w:w w:val="99"/>
              </w:rPr>
              <w:t>DIRECTORS</w:t>
            </w:r>
          </w:p>
        </w:tc>
        <w:tc>
          <w:tcPr>
            <w:tcW w:w="140" w:type="dxa"/>
            <w:vAlign w:val="bottom"/>
            <w:tcBorders>
              <w:right w:val="single" w:sz="8" w:color="auto"/>
            </w:tcBorders>
            <w:vMerge w:val="continue"/>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Borders>
              <w:left w:val="single" w:sz="8" w:color="auto"/>
              <w:bottom w:val="single" w:sz="8" w:color="auto"/>
            </w:tcBorders>
            <w:shd w:val="clear" w:color="auto" w:fill="148CD9"/>
          </w:tcPr>
          <w:p>
            <w:pPr>
              <w:spacing w:after="0"/>
              <w:rPr>
                <w:sz w:val="12"/>
                <w:szCs w:val="12"/>
                <w:color w:val="auto"/>
              </w:rPr>
            </w:pPr>
          </w:p>
        </w:tc>
        <w:tc>
          <w:tcPr>
            <w:tcW w:w="2060" w:type="dxa"/>
            <w:vAlign w:val="bottom"/>
            <w:tcBorders>
              <w:bottom w:val="single" w:sz="8" w:color="auto"/>
            </w:tcBorders>
            <w:shd w:val="clear" w:color="auto" w:fill="148CD9"/>
          </w:tcPr>
          <w:p>
            <w:pPr>
              <w:spacing w:after="0"/>
              <w:rPr>
                <w:sz w:val="12"/>
                <w:szCs w:val="12"/>
                <w:color w:val="auto"/>
              </w:rPr>
            </w:pPr>
          </w:p>
        </w:tc>
        <w:tc>
          <w:tcPr>
            <w:tcW w:w="3240" w:type="dxa"/>
            <w:vAlign w:val="bottom"/>
            <w:tcBorders>
              <w:bottom w:val="single" w:sz="8" w:color="auto"/>
            </w:tcBorders>
            <w:shd w:val="clear" w:color="auto" w:fill="148CD9"/>
          </w:tcPr>
          <w:p>
            <w:pPr>
              <w:spacing w:after="0"/>
              <w:rPr>
                <w:sz w:val="12"/>
                <w:szCs w:val="12"/>
                <w:color w:val="auto"/>
              </w:rPr>
            </w:pPr>
          </w:p>
        </w:tc>
        <w:tc>
          <w:tcPr>
            <w:tcW w:w="320" w:type="dxa"/>
            <w:vAlign w:val="bottom"/>
            <w:tcBorders>
              <w:bottom w:val="single" w:sz="8" w:color="auto"/>
            </w:tcBorders>
            <w:shd w:val="clear" w:color="auto" w:fill="148CD9"/>
          </w:tcPr>
          <w:p>
            <w:pPr>
              <w:spacing w:after="0"/>
              <w:rPr>
                <w:sz w:val="12"/>
                <w:szCs w:val="12"/>
                <w:color w:val="auto"/>
              </w:rPr>
            </w:pPr>
          </w:p>
        </w:tc>
        <w:tc>
          <w:tcPr>
            <w:tcW w:w="1360" w:type="dxa"/>
            <w:vAlign w:val="bottom"/>
            <w:tcBorders>
              <w:bottom w:val="single" w:sz="8" w:color="auto"/>
            </w:tcBorders>
            <w:shd w:val="clear" w:color="auto" w:fill="148CD9"/>
          </w:tcPr>
          <w:p>
            <w:pPr>
              <w:spacing w:after="0"/>
              <w:rPr>
                <w:sz w:val="12"/>
                <w:szCs w:val="12"/>
                <w:color w:val="auto"/>
              </w:rPr>
            </w:pPr>
          </w:p>
        </w:tc>
        <w:tc>
          <w:tcPr>
            <w:tcW w:w="220" w:type="dxa"/>
            <w:vAlign w:val="bottom"/>
            <w:tcBorders>
              <w:bottom w:val="single" w:sz="8" w:color="auto"/>
            </w:tcBorders>
            <w:shd w:val="clear" w:color="auto" w:fill="148CD9"/>
          </w:tcPr>
          <w:p>
            <w:pPr>
              <w:spacing w:after="0"/>
              <w:rPr>
                <w:sz w:val="12"/>
                <w:szCs w:val="12"/>
                <w:color w:val="auto"/>
              </w:rPr>
            </w:pPr>
          </w:p>
        </w:tc>
        <w:tc>
          <w:tcPr>
            <w:tcW w:w="1540" w:type="dxa"/>
            <w:vAlign w:val="bottom"/>
            <w:tcBorders>
              <w:bottom w:val="single" w:sz="8" w:color="auto"/>
            </w:tcBorders>
            <w:gridSpan w:val="2"/>
            <w:shd w:val="clear" w:color="auto" w:fill="148CD9"/>
          </w:tcPr>
          <w:p>
            <w:pPr>
              <w:jc w:val="center"/>
              <w:spacing w:after="0" w:line="148" w:lineRule="exact"/>
              <w:rPr>
                <w:sz w:val="20"/>
                <w:szCs w:val="20"/>
                <w:color w:val="auto"/>
              </w:rPr>
            </w:pPr>
            <w:r>
              <w:rPr>
                <w:rFonts w:ascii="Arial" w:cs="Arial" w:eastAsia="Arial" w:hAnsi="Arial"/>
                <w:sz w:val="16"/>
                <w:szCs w:val="16"/>
                <w:b w:val="1"/>
                <w:bCs w:val="1"/>
                <w:color w:val="FFFFFF"/>
                <w:w w:val="98"/>
              </w:rPr>
              <w:t>RECOMMENDATION</w:t>
            </w:r>
          </w:p>
        </w:tc>
        <w:tc>
          <w:tcPr>
            <w:tcW w:w="140" w:type="dxa"/>
            <w:vAlign w:val="bottom"/>
            <w:tcBorders>
              <w:bottom w:val="single" w:sz="8" w:color="auto"/>
              <w:right w:val="single" w:sz="8" w:color="auto"/>
            </w:tcBorders>
            <w:shd w:val="clear" w:color="auto" w:fill="148CD9"/>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1DA46F"/>
              </w:rPr>
              <w:t>PROPOSAL 1</w:t>
            </w:r>
            <w:r>
              <w:rPr>
                <w:rFonts w:ascii="Arial" w:cs="Arial" w:eastAsia="Arial" w:hAnsi="Arial"/>
                <w:sz w:val="18"/>
                <w:szCs w:val="18"/>
                <w:color w:val="1DA46F"/>
              </w:rPr>
              <w:t>: Election of Class III Directors for a Three-Year</w:t>
            </w: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1DA46F"/>
              </w:rPr>
              <w:t>Term Expiring in 2027</w:t>
            </w:r>
          </w:p>
        </w:tc>
        <w:tc>
          <w:tcPr>
            <w:tcW w:w="3240" w:type="dxa"/>
            <w:vAlign w:val="bottom"/>
          </w:tcPr>
          <w:p>
            <w:pPr>
              <w:spacing w:after="0"/>
              <w:rPr>
                <w:sz w:val="20"/>
                <w:szCs w:val="20"/>
                <w:color w:val="auto"/>
              </w:rPr>
            </w:pPr>
          </w:p>
        </w:tc>
        <w:tc>
          <w:tcPr>
            <w:tcW w:w="3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rPr>
              <w:t>Page 42</w:t>
            </w:r>
          </w:p>
        </w:tc>
        <w:tc>
          <w:tcPr>
            <w:tcW w:w="220" w:type="dxa"/>
            <w:vAlign w:val="bottom"/>
            <w:vMerge w:val="restart"/>
          </w:tcPr>
          <w:p>
            <w:pPr>
              <w:spacing w:after="0"/>
              <w:rPr>
                <w:sz w:val="20"/>
                <w:szCs w:val="20"/>
                <w:color w:val="auto"/>
              </w:rPr>
            </w:pPr>
            <w:r>
              <w:rPr>
                <w:rFonts w:ascii="Arial" w:cs="Arial" w:eastAsia="Arial" w:hAnsi="Arial"/>
                <w:sz w:val="18"/>
                <w:szCs w:val="18"/>
                <w:b w:val="1"/>
                <w:bCs w:val="1"/>
                <w:color w:val="auto"/>
              </w:rPr>
              <w:t>​ ​</w:t>
            </w:r>
          </w:p>
        </w:tc>
        <w:tc>
          <w:tcPr>
            <w:tcW w:w="22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3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FOR Each</w:t>
            </w:r>
          </w:p>
        </w:tc>
        <w:tc>
          <w:tcPr>
            <w:tcW w:w="1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20" w:type="dxa"/>
            <w:vAlign w:val="bottom"/>
            <w:tcBorders>
              <w:left w:val="single" w:sz="8" w:color="auto"/>
            </w:tcBorders>
          </w:tcPr>
          <w:p>
            <w:pPr>
              <w:spacing w:after="0"/>
              <w:rPr>
                <w:sz w:val="7"/>
                <w:szCs w:val="7"/>
                <w:color w:val="auto"/>
              </w:rPr>
            </w:pPr>
          </w:p>
        </w:tc>
        <w:tc>
          <w:tcPr>
            <w:tcW w:w="2060" w:type="dxa"/>
            <w:vAlign w:val="bottom"/>
            <w:vMerge w:val="restart"/>
          </w:tcPr>
          <w:p>
            <w:pPr>
              <w:ind w:left="20"/>
              <w:spacing w:after="0"/>
              <w:rPr>
                <w:sz w:val="20"/>
                <w:szCs w:val="20"/>
                <w:color w:val="auto"/>
              </w:rPr>
            </w:pPr>
            <w:r>
              <w:rPr>
                <w:rFonts w:ascii="Arial" w:cs="Arial" w:eastAsia="Arial" w:hAnsi="Arial"/>
                <w:sz w:val="18"/>
                <w:szCs w:val="18"/>
                <w:color w:val="auto"/>
                <w:w w:val="99"/>
              </w:rPr>
              <w:t>Kimberly Blackwell, M.D.,</w:t>
            </w:r>
          </w:p>
        </w:tc>
        <w:tc>
          <w:tcPr>
            <w:tcW w:w="32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20" w:type="dxa"/>
            <w:vAlign w:val="bottom"/>
            <w:tcBorders>
              <w:lef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32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vMerge w:val="restart"/>
          </w:tcPr>
          <w:p>
            <w:pPr>
              <w:ind w:left="140"/>
              <w:spacing w:after="0" w:line="181" w:lineRule="exact"/>
              <w:rPr>
                <w:sz w:val="20"/>
                <w:szCs w:val="20"/>
                <w:color w:val="auto"/>
              </w:rPr>
            </w:pPr>
            <w:r>
              <w:rPr>
                <w:rFonts w:ascii="Arial" w:cs="Arial" w:eastAsia="Arial" w:hAnsi="Arial"/>
                <w:sz w:val="18"/>
                <w:szCs w:val="18"/>
                <w:b w:val="1"/>
                <w:bCs w:val="1"/>
                <w:color w:val="auto"/>
              </w:rPr>
              <w:t>Nominee</w:t>
            </w:r>
          </w:p>
        </w:tc>
        <w:tc>
          <w:tcPr>
            <w:tcW w:w="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0" w:type="dxa"/>
            <w:vAlign w:val="bottom"/>
            <w:tcBorders>
              <w:lef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32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180" w:type="dxa"/>
            <w:vAlign w:val="bottom"/>
            <w:tcBorders>
              <w:left w:val="single" w:sz="8" w:color="auto"/>
            </w:tcBorders>
            <w:gridSpan w:val="2"/>
          </w:tcPr>
          <w:p>
            <w:pPr>
              <w:ind w:left="20"/>
              <w:spacing w:after="0" w:line="197" w:lineRule="exact"/>
              <w:rPr>
                <w:sz w:val="20"/>
                <w:szCs w:val="20"/>
                <w:color w:val="auto"/>
              </w:rPr>
            </w:pPr>
            <w:r>
              <w:rPr>
                <w:rFonts w:ascii="Arial" w:cs="Arial" w:eastAsia="Arial" w:hAnsi="Arial"/>
                <w:sz w:val="18"/>
                <w:szCs w:val="18"/>
                <w:color w:val="auto"/>
              </w:rPr>
              <w:t>​ Joseph Jimenez, and</w:t>
            </w:r>
          </w:p>
        </w:tc>
        <w:tc>
          <w:tcPr>
            <w:tcW w:w="3240" w:type="dxa"/>
            <w:vAlign w:val="bottom"/>
          </w:tcPr>
          <w:p>
            <w:pPr>
              <w:spacing w:after="0"/>
              <w:rPr>
                <w:sz w:val="17"/>
                <w:szCs w:val="17"/>
                <w:color w:val="auto"/>
              </w:rPr>
            </w:pPr>
          </w:p>
        </w:tc>
        <w:tc>
          <w:tcPr>
            <w:tcW w:w="320" w:type="dxa"/>
            <w:vAlign w:val="bottom"/>
          </w:tcPr>
          <w:p>
            <w:pPr>
              <w:ind w:left="40"/>
              <w:spacing w:after="0" w:line="197" w:lineRule="exact"/>
              <w:rPr>
                <w:sz w:val="20"/>
                <w:szCs w:val="20"/>
                <w:color w:val="auto"/>
              </w:rPr>
            </w:pPr>
            <w:r>
              <w:rPr>
                <w:rFonts w:ascii="Arial" w:cs="Arial" w:eastAsia="Arial" w:hAnsi="Arial"/>
                <w:sz w:val="18"/>
                <w:szCs w:val="18"/>
                <w:color w:val="auto"/>
              </w:rPr>
              <w:t>​</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0" w:type="dxa"/>
            <w:vAlign w:val="bottom"/>
            <w:tcBorders>
              <w:left w:val="single" w:sz="8" w:color="auto"/>
              <w:bottom w:val="single" w:sz="8" w:color="auto"/>
            </w:tcBorders>
          </w:tcPr>
          <w:p>
            <w:pPr>
              <w:spacing w:after="0"/>
              <w:rPr>
                <w:sz w:val="21"/>
                <w:szCs w:val="21"/>
                <w:color w:val="auto"/>
              </w:rPr>
            </w:pPr>
          </w:p>
        </w:tc>
        <w:tc>
          <w:tcPr>
            <w:tcW w:w="5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Brent Pfeiffenberger, Pharm.D.</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1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1DA46F"/>
              </w:rPr>
              <w:t>PROPOSAL 2</w:t>
            </w:r>
            <w:r>
              <w:rPr>
                <w:rFonts w:ascii="Arial" w:cs="Arial" w:eastAsia="Arial" w:hAnsi="Arial"/>
                <w:sz w:val="18"/>
                <w:szCs w:val="18"/>
                <w:color w:val="1DA46F"/>
              </w:rPr>
              <w:t>: Ratification of Appointment of EY as our</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1360" w:type="dxa"/>
            <w:vAlign w:val="bottom"/>
          </w:tcPr>
          <w:p>
            <w:pPr>
              <w:jc w:val="center"/>
              <w:spacing w:after="0"/>
              <w:rPr>
                <w:sz w:val="20"/>
                <w:szCs w:val="20"/>
                <w:color w:val="auto"/>
              </w:rPr>
            </w:pPr>
            <w:r>
              <w:rPr>
                <w:rFonts w:ascii="Arial" w:cs="Arial" w:eastAsia="Arial" w:hAnsi="Arial"/>
                <w:sz w:val="18"/>
                <w:szCs w:val="18"/>
                <w:color w:val="auto"/>
              </w:rPr>
              <w:t>Page 43</w:t>
            </w:r>
          </w:p>
        </w:tc>
        <w:tc>
          <w:tcPr>
            <w:tcW w:w="44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 ​ </w:t>
            </w:r>
            <w:r>
              <w:rPr>
                <w:rFonts w:ascii="MS PGothic" w:cs="MS PGothic" w:eastAsia="MS PGothic" w:hAnsi="MS PGothic"/>
                <w:sz w:val="18"/>
                <w:szCs w:val="18"/>
                <w:color w:val="auto"/>
                <w:highlight w:val="black"/>
              </w:rPr>
              <w:t>✓</w:t>
            </w:r>
          </w:p>
        </w:tc>
        <w:tc>
          <w:tcPr>
            <w:tcW w:w="1320" w:type="dxa"/>
            <w:vAlign w:val="bottom"/>
          </w:tcPr>
          <w:p>
            <w:pPr>
              <w:ind w:left="140"/>
              <w:spacing w:after="0"/>
              <w:rPr>
                <w:sz w:val="20"/>
                <w:szCs w:val="20"/>
                <w:color w:val="auto"/>
              </w:rPr>
            </w:pPr>
            <w:r>
              <w:rPr>
                <w:rFonts w:ascii="Arial" w:cs="Arial" w:eastAsia="Arial" w:hAnsi="Arial"/>
                <w:sz w:val="18"/>
                <w:szCs w:val="18"/>
                <w:b w:val="1"/>
                <w:bCs w:val="1"/>
                <w:color w:val="auto"/>
              </w:rPr>
              <w:t>FOR</w:t>
            </w:r>
          </w:p>
        </w:tc>
        <w:tc>
          <w:tcPr>
            <w:tcW w:w="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Borders>
              <w:left w:val="single" w:sz="8" w:color="auto"/>
              <w:bottom w:val="single" w:sz="8" w:color="auto"/>
            </w:tcBorders>
          </w:tcPr>
          <w:p>
            <w:pPr>
              <w:spacing w:after="0"/>
              <w:rPr>
                <w:sz w:val="17"/>
                <w:szCs w:val="17"/>
                <w:color w:val="auto"/>
              </w:rPr>
            </w:pPr>
          </w:p>
        </w:tc>
        <w:tc>
          <w:tcPr>
            <w:tcW w:w="530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1DA46F"/>
              </w:rPr>
              <w:t>Independent Registered Public Accounting Firm for 2024</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20" w:type="dxa"/>
            <w:vAlign w:val="bottom"/>
            <w:tcBorders>
              <w:left w:val="single" w:sz="8" w:color="auto"/>
            </w:tcBorders>
          </w:tcPr>
          <w:p>
            <w:pPr>
              <w:spacing w:after="0"/>
              <w:rPr>
                <w:sz w:val="21"/>
                <w:szCs w:val="21"/>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1DA46F"/>
              </w:rPr>
              <w:t>PROPOSAL 3</w:t>
            </w:r>
            <w:r>
              <w:rPr>
                <w:rFonts w:ascii="Arial" w:cs="Arial" w:eastAsia="Arial" w:hAnsi="Arial"/>
                <w:sz w:val="18"/>
                <w:szCs w:val="18"/>
                <w:color w:val="1DA46F"/>
              </w:rPr>
              <w:t>: Approval of an amendment to our Second</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1DA46F"/>
              </w:rPr>
              <w:t>​</w:t>
            </w:r>
          </w:p>
        </w:tc>
        <w:tc>
          <w:tcPr>
            <w:tcW w:w="5300" w:type="dxa"/>
            <w:vAlign w:val="bottom"/>
            <w:gridSpan w:val="2"/>
          </w:tcPr>
          <w:p>
            <w:pPr>
              <w:ind w:left="20"/>
              <w:spacing w:after="0"/>
              <w:rPr>
                <w:sz w:val="20"/>
                <w:szCs w:val="20"/>
                <w:color w:val="auto"/>
              </w:rPr>
            </w:pPr>
            <w:r>
              <w:rPr>
                <w:rFonts w:ascii="Arial" w:cs="Arial" w:eastAsia="Arial" w:hAnsi="Arial"/>
                <w:sz w:val="18"/>
                <w:szCs w:val="18"/>
                <w:color w:val="1DA46F"/>
              </w:rPr>
              <w:t>Amended and Restated Certificate of Incorporation to limit the</w:t>
            </w:r>
          </w:p>
        </w:tc>
        <w:tc>
          <w:tcPr>
            <w:tcW w:w="320" w:type="dxa"/>
            <w:vAlign w:val="bottom"/>
          </w:tcPr>
          <w:p>
            <w:pPr>
              <w:ind w:left="40"/>
              <w:spacing w:after="0"/>
              <w:rPr>
                <w:sz w:val="20"/>
                <w:szCs w:val="20"/>
                <w:color w:val="auto"/>
              </w:rPr>
            </w:pPr>
            <w:r>
              <w:rPr>
                <w:rFonts w:ascii="Arial" w:cs="Arial" w:eastAsia="Arial" w:hAnsi="Arial"/>
                <w:sz w:val="18"/>
                <w:szCs w:val="18"/>
                <w:color w:val="1DA46F"/>
              </w:rPr>
              <w:t>​ ​</w:t>
            </w:r>
          </w:p>
        </w:tc>
        <w:tc>
          <w:tcPr>
            <w:tcW w:w="1360" w:type="dxa"/>
            <w:vAlign w:val="bottom"/>
          </w:tcPr>
          <w:p>
            <w:pPr>
              <w:jc w:val="center"/>
              <w:spacing w:after="0"/>
              <w:rPr>
                <w:sz w:val="20"/>
                <w:szCs w:val="20"/>
                <w:color w:val="auto"/>
              </w:rPr>
            </w:pPr>
            <w:r>
              <w:rPr>
                <w:rFonts w:ascii="Arial" w:cs="Arial" w:eastAsia="Arial" w:hAnsi="Arial"/>
                <w:sz w:val="18"/>
                <w:szCs w:val="18"/>
                <w:color w:val="auto"/>
              </w:rPr>
              <w:t>Page 44</w:t>
            </w:r>
          </w:p>
        </w:tc>
        <w:tc>
          <w:tcPr>
            <w:tcW w:w="440" w:type="dxa"/>
            <w:vAlign w:val="bottom"/>
            <w:gridSpan w:val="2"/>
          </w:tcPr>
          <w:p>
            <w:pPr>
              <w:jc w:val="right"/>
              <w:spacing w:after="0" w:line="207" w:lineRule="exact"/>
              <w:rPr>
                <w:sz w:val="20"/>
                <w:szCs w:val="20"/>
                <w:color w:val="auto"/>
              </w:rPr>
            </w:pPr>
            <w:r>
              <w:rPr>
                <w:rFonts w:ascii="Arial" w:cs="Arial" w:eastAsia="Arial" w:hAnsi="Arial"/>
                <w:sz w:val="18"/>
                <w:szCs w:val="18"/>
                <w:color w:val="1DA46F"/>
              </w:rPr>
              <w:t xml:space="preserve">​ ​ </w:t>
            </w:r>
            <w:r>
              <w:rPr>
                <w:rFonts w:ascii="MS PGothic" w:cs="MS PGothic" w:eastAsia="MS PGothic" w:hAnsi="MS PGothic"/>
                <w:sz w:val="18"/>
                <w:szCs w:val="18"/>
                <w:color w:val="000000"/>
                <w:highlight w:val="black"/>
              </w:rPr>
              <w:t>✓</w:t>
            </w:r>
          </w:p>
        </w:tc>
        <w:tc>
          <w:tcPr>
            <w:tcW w:w="1320" w:type="dxa"/>
            <w:vAlign w:val="bottom"/>
          </w:tcPr>
          <w:p>
            <w:pPr>
              <w:ind w:left="140"/>
              <w:spacing w:after="0"/>
              <w:rPr>
                <w:sz w:val="20"/>
                <w:szCs w:val="20"/>
                <w:color w:val="auto"/>
              </w:rPr>
            </w:pPr>
            <w:r>
              <w:rPr>
                <w:rFonts w:ascii="Arial" w:cs="Arial" w:eastAsia="Arial" w:hAnsi="Arial"/>
                <w:sz w:val="18"/>
                <w:szCs w:val="18"/>
                <w:b w:val="1"/>
                <w:bCs w:val="1"/>
                <w:color w:val="auto"/>
              </w:rPr>
              <w:t>FOR</w:t>
            </w:r>
          </w:p>
        </w:tc>
        <w:tc>
          <w:tcPr>
            <w:tcW w:w="140" w:type="dxa"/>
            <w:vAlign w:val="bottom"/>
            <w:tcBorders>
              <w:right w:val="single" w:sz="8" w:color="auto"/>
            </w:tcBorders>
          </w:tcPr>
          <w:p>
            <w:pPr>
              <w:spacing w:after="0"/>
              <w:rPr>
                <w:sz w:val="20"/>
                <w:szCs w:val="20"/>
                <w:color w:val="auto"/>
              </w:rPr>
            </w:pPr>
            <w:r>
              <w:rPr>
                <w:rFonts w:ascii="Arial" w:cs="Arial" w:eastAsia="Arial" w:hAnsi="Arial"/>
                <w:sz w:val="18"/>
                <w:szCs w:val="18"/>
                <w:color w:val="1DA46F"/>
              </w:rPr>
              <w:t>​</w:t>
            </w:r>
          </w:p>
        </w:tc>
        <w:tc>
          <w:tcPr>
            <w:tcW w:w="0" w:type="dxa"/>
            <w:vAlign w:val="bottom"/>
          </w:tcPr>
          <w:p>
            <w:pPr>
              <w:spacing w:after="0"/>
              <w:rPr>
                <w:sz w:val="1"/>
                <w:szCs w:val="1"/>
                <w:color w:val="auto"/>
              </w:rPr>
            </w:pPr>
          </w:p>
        </w:tc>
      </w:tr>
      <w:tr>
        <w:trPr>
          <w:trHeight w:val="198"/>
        </w:trPr>
        <w:tc>
          <w:tcPr>
            <w:tcW w:w="120" w:type="dxa"/>
            <w:vAlign w:val="bottom"/>
            <w:tcBorders>
              <w:left w:val="single" w:sz="8" w:color="auto"/>
            </w:tcBorders>
          </w:tcPr>
          <w:p>
            <w:pPr>
              <w:spacing w:after="0"/>
              <w:rPr>
                <w:sz w:val="17"/>
                <w:szCs w:val="17"/>
                <w:color w:val="auto"/>
              </w:rPr>
            </w:pPr>
          </w:p>
        </w:tc>
        <w:tc>
          <w:tcPr>
            <w:tcW w:w="5300" w:type="dxa"/>
            <w:vAlign w:val="bottom"/>
            <w:gridSpan w:val="2"/>
          </w:tcPr>
          <w:p>
            <w:pPr>
              <w:ind w:left="20"/>
              <w:spacing w:after="0" w:line="198" w:lineRule="exact"/>
              <w:rPr>
                <w:sz w:val="20"/>
                <w:szCs w:val="20"/>
                <w:color w:val="auto"/>
              </w:rPr>
            </w:pPr>
            <w:r>
              <w:rPr>
                <w:rFonts w:ascii="Arial" w:cs="Arial" w:eastAsia="Arial" w:hAnsi="Arial"/>
                <w:sz w:val="18"/>
                <w:szCs w:val="18"/>
                <w:color w:val="1DA46F"/>
              </w:rPr>
              <w:t>liability of certain officers of the Company as permitted by recent</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0" w:type="dxa"/>
            <w:vAlign w:val="bottom"/>
            <w:tcBorders>
              <w:left w:val="single" w:sz="8" w:color="auto"/>
              <w:bottom w:val="single" w:sz="8" w:color="auto"/>
            </w:tcBorders>
          </w:tcPr>
          <w:p>
            <w:pPr>
              <w:spacing w:after="0"/>
              <w:rPr>
                <w:sz w:val="21"/>
                <w:szCs w:val="21"/>
                <w:color w:val="auto"/>
              </w:rPr>
            </w:pPr>
          </w:p>
        </w:tc>
        <w:tc>
          <w:tcPr>
            <w:tcW w:w="5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1DA46F"/>
              </w:rPr>
              <w:t>amendments to Delaware law</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tcBorders>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1DA46F"/>
                <w:w w:val="99"/>
              </w:rPr>
              <w:t xml:space="preserve">Proposal 4: </w:t>
            </w:r>
            <w:r>
              <w:rPr>
                <w:rFonts w:ascii="Arial" w:cs="Arial" w:eastAsia="Arial" w:hAnsi="Arial"/>
                <w:sz w:val="18"/>
                <w:szCs w:val="18"/>
                <w:color w:val="1DA46F"/>
                <w:w w:val="99"/>
              </w:rPr>
              <w:t>Approval of adjournment of the Annual Meeting to the</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gridSpan w:val="2"/>
            <w:vMerge w:val="restart"/>
          </w:tcPr>
          <w:p>
            <w:pPr>
              <w:jc w:val="right"/>
              <w:spacing w:after="0" w:line="207" w:lineRule="exact"/>
              <w:rPr>
                <w:sz w:val="20"/>
                <w:szCs w:val="20"/>
                <w:color w:val="auto"/>
              </w:rPr>
            </w:pPr>
            <w:r>
              <w:rPr>
                <w:rFonts w:ascii="Arial" w:cs="Arial" w:eastAsia="Arial" w:hAnsi="Arial"/>
                <w:sz w:val="18"/>
                <w:szCs w:val="18"/>
                <w:color w:val="1DA46F"/>
              </w:rPr>
              <w:t xml:space="preserve">​ ​ </w:t>
            </w:r>
            <w:r>
              <w:rPr>
                <w:rFonts w:ascii="MS PGothic" w:cs="MS PGothic" w:eastAsia="MS PGothic" w:hAnsi="MS PGothic"/>
                <w:sz w:val="18"/>
                <w:szCs w:val="18"/>
                <w:color w:val="000000"/>
                <w:highlight w:val="black"/>
              </w:rPr>
              <w:t>✓</w:t>
            </w:r>
          </w:p>
        </w:tc>
        <w:tc>
          <w:tcPr>
            <w:tcW w:w="13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Borders>
              <w:left w:val="single" w:sz="8" w:color="auto"/>
            </w:tcBorders>
            <w:gridSpan w:val="4"/>
          </w:tcPr>
          <w:p>
            <w:pPr>
              <w:ind w:left="20"/>
              <w:spacing w:after="0"/>
              <w:rPr>
                <w:sz w:val="20"/>
                <w:szCs w:val="20"/>
                <w:color w:val="auto"/>
              </w:rPr>
            </w:pPr>
            <w:r>
              <w:rPr>
                <w:rFonts w:ascii="Arial" w:cs="Arial" w:eastAsia="Arial" w:hAnsi="Arial"/>
                <w:sz w:val="18"/>
                <w:szCs w:val="18"/>
                <w:color w:val="1DA46F"/>
              </w:rPr>
              <w:t>​ extent there are insufficient votes at the Annual Meeting to approve​ ​</w:t>
            </w:r>
          </w:p>
        </w:tc>
        <w:tc>
          <w:tcPr>
            <w:tcW w:w="1360" w:type="dxa"/>
            <w:vAlign w:val="bottom"/>
          </w:tcPr>
          <w:p>
            <w:pPr>
              <w:jc w:val="center"/>
              <w:spacing w:after="0"/>
              <w:rPr>
                <w:sz w:val="20"/>
                <w:szCs w:val="20"/>
                <w:color w:val="auto"/>
              </w:rPr>
            </w:pPr>
            <w:r>
              <w:rPr>
                <w:rFonts w:ascii="Arial" w:cs="Arial" w:eastAsia="Arial" w:hAnsi="Arial"/>
                <w:sz w:val="18"/>
                <w:szCs w:val="18"/>
                <w:color w:val="auto"/>
              </w:rPr>
              <w:t>Page 47</w:t>
            </w:r>
          </w:p>
        </w:tc>
        <w:tc>
          <w:tcPr>
            <w:tcW w:w="440" w:type="dxa"/>
            <w:vAlign w:val="bottom"/>
            <w:gridSpan w:val="2"/>
            <w:vMerge w:val="continue"/>
          </w:tcPr>
          <w:p>
            <w:pPr>
              <w:spacing w:after="0"/>
              <w:rPr>
                <w:sz w:val="19"/>
                <w:szCs w:val="19"/>
                <w:color w:val="auto"/>
              </w:rPr>
            </w:pPr>
          </w:p>
        </w:tc>
        <w:tc>
          <w:tcPr>
            <w:tcW w:w="1320" w:type="dxa"/>
            <w:vAlign w:val="bottom"/>
          </w:tcPr>
          <w:p>
            <w:pPr>
              <w:ind w:left="140"/>
              <w:spacing w:after="0"/>
              <w:rPr>
                <w:sz w:val="20"/>
                <w:szCs w:val="20"/>
                <w:color w:val="auto"/>
              </w:rPr>
            </w:pPr>
            <w:r>
              <w:rPr>
                <w:rFonts w:ascii="Arial" w:cs="Arial" w:eastAsia="Arial" w:hAnsi="Arial"/>
                <w:sz w:val="18"/>
                <w:szCs w:val="18"/>
                <w:b w:val="1"/>
                <w:bCs w:val="1"/>
                <w:color w:val="auto"/>
              </w:rPr>
              <w:t>FOR</w:t>
            </w:r>
          </w:p>
        </w:tc>
        <w:tc>
          <w:tcPr>
            <w:tcW w:w="140" w:type="dxa"/>
            <w:vAlign w:val="bottom"/>
            <w:tcBorders>
              <w:right w:val="single" w:sz="8" w:color="auto"/>
            </w:tcBorders>
          </w:tcPr>
          <w:p>
            <w:pPr>
              <w:spacing w:after="0"/>
              <w:rPr>
                <w:sz w:val="20"/>
                <w:szCs w:val="20"/>
                <w:color w:val="auto"/>
              </w:rPr>
            </w:pPr>
            <w:r>
              <w:rPr>
                <w:rFonts w:ascii="Arial" w:cs="Arial" w:eastAsia="Arial" w:hAnsi="Arial"/>
                <w:sz w:val="18"/>
                <w:szCs w:val="18"/>
                <w:color w:val="1DA46F"/>
              </w:rPr>
              <w:t>​</w:t>
            </w:r>
          </w:p>
        </w:tc>
        <w:tc>
          <w:tcPr>
            <w:tcW w:w="0" w:type="dxa"/>
            <w:vAlign w:val="bottom"/>
          </w:tcPr>
          <w:p>
            <w:pPr>
              <w:spacing w:after="0"/>
              <w:rPr>
                <w:sz w:val="1"/>
                <w:szCs w:val="1"/>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1DA46F"/>
              </w:rPr>
              <w:t>the immediately preceding proposal</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Our Director Nominees</w:t>
      </w:r>
    </w:p>
    <w:p>
      <w:pPr>
        <w:spacing w:after="0" w:line="158"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You are being asked to vote on the election of Kimberly Blackwell, M.D., Joseph Jimenez and Brent Pfeiffenberger, Pharm.D. as Class III directors, each to serve for a three-year term expiring at our 2027 Annual Meeting of Stockholders. The number of members of our Board of Directors, or the Board, is currently set at eight members and is divided into three classes, each of which has a three-year term. Class I consists of two directors, Class II consists of three directors and Class III consists of three directors.</w:t>
      </w:r>
    </w:p>
    <w:p>
      <w:pPr>
        <w:spacing w:after="0" w:line="118" w:lineRule="exact"/>
        <w:rPr>
          <w:sz w:val="20"/>
          <w:szCs w:val="20"/>
          <w:color w:val="auto"/>
        </w:rPr>
      </w:pPr>
    </w:p>
    <w:p>
      <w:pPr>
        <w:jc w:val="both"/>
        <w:ind w:left="880" w:right="19"/>
        <w:spacing w:after="0" w:line="264" w:lineRule="auto"/>
        <w:rPr>
          <w:sz w:val="20"/>
          <w:szCs w:val="20"/>
          <w:color w:val="auto"/>
        </w:rPr>
      </w:pPr>
      <w:r>
        <w:rPr>
          <w:rFonts w:ascii="Arial" w:cs="Arial" w:eastAsia="Arial" w:hAnsi="Arial"/>
          <w:sz w:val="18"/>
          <w:szCs w:val="18"/>
          <w:color w:val="auto"/>
        </w:rPr>
        <w:t>The term of office of our Class III directors expires at the Annual Meeting. We are nominating Kimberly Blackwell, M.D., Joseph Jimenez and Brent Pfeiffenberger, Pharm.D. for election at our Annual Meeting to serve until the 2027 Annual Meeting of Stockholders and until their successors, if any, are elected or appointed, or their earlier death, resignation, retirement, disqualification or removal. Directors are elected by a plurality of the votes properly cast by our stockholders at the Annual Meeting. The three nominees receiving the most FOR votes (among votes properly cast online at the meeting or by proxy) will be elected. If no contrary indication is made, shares represented by executed proxies will be voted FOR the election of Kimberly Blackwell, M.D., Joseph Jimenez and Brent Pfeiffenberger, Pharm.D. Each nominee has agreed to serve as a director if elected, and we have no reason to believe that any nominee will be unable to serve.</w:t>
      </w:r>
    </w:p>
    <w:p>
      <w:pPr>
        <w:spacing w:after="0" w:line="286"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70" w:type="dxa"/>
        <w:tblCellMar>
          <w:top w:w="0" w:type="dxa"/>
          <w:left w:w="0" w:type="dxa"/>
          <w:bottom w:w="0" w:type="dxa"/>
          <w:right w:w="0" w:type="dxa"/>
        </w:tblCellMar>
      </w:tblPr>
      <w:tr>
        <w:trPr>
          <w:trHeight w:val="378"/>
        </w:trPr>
        <w:tc>
          <w:tcPr>
            <w:tcW w:w="120" w:type="dxa"/>
            <w:vAlign w:val="bottom"/>
            <w:tcBorders>
              <w:left w:val="single" w:sz="8" w:color="1DA46F"/>
            </w:tcBorders>
            <w:shd w:val="clear" w:color="auto" w:fill="1DA46F"/>
          </w:tcPr>
          <w:p>
            <w:pPr>
              <w:ind w:left="20"/>
              <w:spacing w:after="0"/>
              <w:rPr>
                <w:sz w:val="20"/>
                <w:szCs w:val="20"/>
                <w:color w:val="auto"/>
              </w:rPr>
            </w:pPr>
            <w:r>
              <w:rPr>
                <w:rFonts w:ascii="Arial" w:cs="Arial" w:eastAsia="Arial" w:hAnsi="Arial"/>
                <w:sz w:val="32"/>
                <w:szCs w:val="32"/>
                <w:b w:val="1"/>
                <w:bCs w:val="1"/>
                <w:color w:val="FFFFFF"/>
              </w:rPr>
              <w:t>​</w:t>
            </w:r>
          </w:p>
        </w:tc>
        <w:tc>
          <w:tcPr>
            <w:tcW w:w="4900" w:type="dxa"/>
            <w:vAlign w:val="bottom"/>
            <w:gridSpan w:val="8"/>
            <w:shd w:val="clear" w:color="auto" w:fill="1DA46F"/>
          </w:tcPr>
          <w:p>
            <w:pPr>
              <w:spacing w:after="0"/>
              <w:rPr>
                <w:sz w:val="20"/>
                <w:szCs w:val="20"/>
                <w:color w:val="auto"/>
              </w:rPr>
            </w:pPr>
            <w:r>
              <w:rPr>
                <w:rFonts w:ascii="Arial" w:cs="Arial" w:eastAsia="Arial" w:hAnsi="Arial"/>
                <w:sz w:val="32"/>
                <w:szCs w:val="32"/>
                <w:b w:val="1"/>
                <w:bCs w:val="1"/>
                <w:color w:val="FFFFFF"/>
              </w:rPr>
              <w:t>SUMMARY INFORMATION</w:t>
            </w:r>
          </w:p>
        </w:tc>
        <w:tc>
          <w:tcPr>
            <w:tcW w:w="540" w:type="dxa"/>
            <w:vAlign w:val="bottom"/>
            <w:shd w:val="clear" w:color="auto" w:fill="1DA46F"/>
          </w:tcPr>
          <w:p>
            <w:pPr>
              <w:spacing w:after="0"/>
              <w:rPr>
                <w:sz w:val="24"/>
                <w:szCs w:val="24"/>
                <w:color w:val="auto"/>
              </w:rPr>
            </w:pPr>
          </w:p>
        </w:tc>
        <w:tc>
          <w:tcPr>
            <w:tcW w:w="660" w:type="dxa"/>
            <w:vAlign w:val="bottom"/>
            <w:shd w:val="clear" w:color="auto" w:fill="1DA46F"/>
          </w:tcPr>
          <w:p>
            <w:pPr>
              <w:spacing w:after="0"/>
              <w:rPr>
                <w:sz w:val="24"/>
                <w:szCs w:val="24"/>
                <w:color w:val="auto"/>
              </w:rPr>
            </w:pPr>
          </w:p>
        </w:tc>
        <w:tc>
          <w:tcPr>
            <w:tcW w:w="260" w:type="dxa"/>
            <w:vAlign w:val="bottom"/>
            <w:shd w:val="clear" w:color="auto" w:fill="1DA46F"/>
          </w:tcPr>
          <w:p>
            <w:pPr>
              <w:spacing w:after="0"/>
              <w:rPr>
                <w:sz w:val="24"/>
                <w:szCs w:val="24"/>
                <w:color w:val="auto"/>
              </w:rPr>
            </w:pPr>
          </w:p>
        </w:tc>
        <w:tc>
          <w:tcPr>
            <w:tcW w:w="80" w:type="dxa"/>
            <w:vAlign w:val="bottom"/>
            <w:shd w:val="clear" w:color="auto" w:fill="1DA46F"/>
          </w:tcPr>
          <w:p>
            <w:pPr>
              <w:spacing w:after="0"/>
              <w:rPr>
                <w:sz w:val="24"/>
                <w:szCs w:val="24"/>
                <w:color w:val="auto"/>
              </w:rPr>
            </w:pPr>
          </w:p>
        </w:tc>
        <w:tc>
          <w:tcPr>
            <w:tcW w:w="80" w:type="dxa"/>
            <w:vAlign w:val="bottom"/>
            <w:shd w:val="clear" w:color="auto" w:fill="1DA46F"/>
          </w:tcPr>
          <w:p>
            <w:pPr>
              <w:spacing w:after="0"/>
              <w:rPr>
                <w:sz w:val="24"/>
                <w:szCs w:val="24"/>
                <w:color w:val="auto"/>
              </w:rPr>
            </w:pPr>
          </w:p>
        </w:tc>
        <w:tc>
          <w:tcPr>
            <w:tcW w:w="420" w:type="dxa"/>
            <w:vAlign w:val="bottom"/>
            <w:shd w:val="clear" w:color="auto" w:fill="1DA46F"/>
          </w:tcPr>
          <w:p>
            <w:pPr>
              <w:spacing w:after="0"/>
              <w:rPr>
                <w:sz w:val="24"/>
                <w:szCs w:val="24"/>
                <w:color w:val="auto"/>
              </w:rPr>
            </w:pPr>
          </w:p>
        </w:tc>
        <w:tc>
          <w:tcPr>
            <w:tcW w:w="320" w:type="dxa"/>
            <w:vAlign w:val="bottom"/>
            <w:shd w:val="clear" w:color="auto" w:fill="1DA46F"/>
          </w:tcPr>
          <w:p>
            <w:pPr>
              <w:spacing w:after="0"/>
              <w:rPr>
                <w:sz w:val="24"/>
                <w:szCs w:val="24"/>
                <w:color w:val="auto"/>
              </w:rPr>
            </w:pPr>
          </w:p>
        </w:tc>
        <w:tc>
          <w:tcPr>
            <w:tcW w:w="480" w:type="dxa"/>
            <w:vAlign w:val="bottom"/>
            <w:shd w:val="clear" w:color="auto" w:fill="1DA46F"/>
          </w:tcPr>
          <w:p>
            <w:pPr>
              <w:spacing w:after="0"/>
              <w:rPr>
                <w:sz w:val="24"/>
                <w:szCs w:val="24"/>
                <w:color w:val="auto"/>
              </w:rPr>
            </w:pPr>
          </w:p>
        </w:tc>
        <w:tc>
          <w:tcPr>
            <w:tcW w:w="280" w:type="dxa"/>
            <w:vAlign w:val="bottom"/>
            <w:shd w:val="clear" w:color="auto" w:fill="1DA46F"/>
          </w:tcPr>
          <w:p>
            <w:pPr>
              <w:spacing w:after="0"/>
              <w:rPr>
                <w:sz w:val="24"/>
                <w:szCs w:val="24"/>
                <w:color w:val="auto"/>
              </w:rPr>
            </w:pPr>
          </w:p>
        </w:tc>
        <w:tc>
          <w:tcPr>
            <w:tcW w:w="700" w:type="dxa"/>
            <w:vAlign w:val="bottom"/>
            <w:shd w:val="clear" w:color="auto" w:fill="1DA46F"/>
          </w:tcPr>
          <w:p>
            <w:pPr>
              <w:spacing w:after="0"/>
              <w:rPr>
                <w:sz w:val="24"/>
                <w:szCs w:val="24"/>
                <w:color w:val="auto"/>
              </w:rPr>
            </w:pPr>
          </w:p>
        </w:tc>
        <w:tc>
          <w:tcPr>
            <w:tcW w:w="160" w:type="dxa"/>
            <w:vAlign w:val="bottom"/>
            <w:tcBorders>
              <w:right w:val="single" w:sz="8" w:color="1DA46F"/>
            </w:tcBorders>
            <w:shd w:val="clear" w:color="auto" w:fill="1DA46F"/>
          </w:tcPr>
          <w:p>
            <w:pPr>
              <w:jc w:val="right"/>
              <w:spacing w:after="0"/>
              <w:rPr>
                <w:sz w:val="20"/>
                <w:szCs w:val="20"/>
                <w:color w:val="auto"/>
              </w:rPr>
            </w:pPr>
            <w:r>
              <w:rPr>
                <w:rFonts w:ascii="Arial" w:cs="Arial" w:eastAsia="Arial" w:hAnsi="Arial"/>
                <w:sz w:val="32"/>
                <w:szCs w:val="32"/>
                <w:b w:val="1"/>
                <w:bCs w:val="1"/>
                <w:color w:val="FFFFFF"/>
              </w:rPr>
              <w:t>​</w:t>
            </w:r>
          </w:p>
        </w:tc>
        <w:tc>
          <w:tcPr>
            <w:tcW w:w="0" w:type="dxa"/>
            <w:vAlign w:val="bottom"/>
          </w:tcPr>
          <w:p>
            <w:pPr>
              <w:spacing w:after="0"/>
              <w:rPr>
                <w:sz w:val="1"/>
                <w:szCs w:val="1"/>
                <w:color w:val="auto"/>
              </w:rPr>
            </w:pPr>
          </w:p>
        </w:tc>
      </w:tr>
      <w:tr>
        <w:trPr>
          <w:trHeight w:val="324"/>
        </w:trPr>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bottom w:val="single" w:sz="8" w:color="148CD9"/>
            </w:tcBorders>
            <w:vMerge w:val="restart"/>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340" w:type="dxa"/>
            <w:vAlign w:val="bottom"/>
            <w:tcBorders>
              <w:bottom w:val="single" w:sz="8" w:color="148CD9"/>
            </w:tcBorders>
            <w:shd w:val="clear" w:color="auto" w:fill="148CD9"/>
          </w:tcPr>
          <w:p>
            <w:pPr>
              <w:spacing w:after="0"/>
              <w:rPr>
                <w:sz w:val="17"/>
                <w:szCs w:val="17"/>
                <w:color w:val="auto"/>
              </w:rPr>
            </w:pPr>
          </w:p>
        </w:tc>
        <w:tc>
          <w:tcPr>
            <w:tcW w:w="1180" w:type="dxa"/>
            <w:vAlign w:val="bottom"/>
            <w:tcBorders>
              <w:bottom w:val="single" w:sz="8" w:color="148CD9"/>
            </w:tcBorders>
            <w:vMerge w:val="restart"/>
            <w:shd w:val="clear" w:color="auto" w:fill="148CD9"/>
          </w:tcPr>
          <w:p>
            <w:pPr>
              <w:jc w:val="center"/>
              <w:ind w:right="252"/>
              <w:spacing w:after="0"/>
              <w:rPr>
                <w:sz w:val="20"/>
                <w:szCs w:val="20"/>
                <w:color w:val="auto"/>
              </w:rPr>
            </w:pPr>
            <w:r>
              <w:rPr>
                <w:rFonts w:ascii="Arial" w:cs="Arial" w:eastAsia="Arial" w:hAnsi="Arial"/>
                <w:sz w:val="16"/>
                <w:szCs w:val="16"/>
                <w:b w:val="1"/>
                <w:bCs w:val="1"/>
                <w:color w:val="FFFFFF"/>
              </w:rPr>
              <w:t>NAME</w:t>
            </w:r>
          </w:p>
        </w:tc>
        <w:tc>
          <w:tcPr>
            <w:tcW w:w="1680" w:type="dxa"/>
            <w:vAlign w:val="bottom"/>
            <w:tcBorders>
              <w:bottom w:val="single" w:sz="8" w:color="148CD9"/>
            </w:tcBorders>
            <w:gridSpan w:val="4"/>
            <w:vMerge w:val="restart"/>
            <w:shd w:val="clear" w:color="auto" w:fill="148CD9"/>
          </w:tcPr>
          <w:p>
            <w:pPr>
              <w:ind w:left="60"/>
              <w:spacing w:after="0" w:line="264" w:lineRule="exact"/>
              <w:rPr>
                <w:sz w:val="20"/>
                <w:szCs w:val="20"/>
                <w:color w:val="auto"/>
              </w:rPr>
            </w:pPr>
            <w:r>
              <w:rPr>
                <w:rFonts w:ascii="Arial" w:cs="Arial" w:eastAsia="Arial" w:hAnsi="Arial"/>
                <w:sz w:val="16"/>
                <w:szCs w:val="16"/>
                <w:b w:val="1"/>
                <w:bCs w:val="1"/>
                <w:color w:val="FFFFFF"/>
                <w:w w:val="99"/>
              </w:rPr>
              <w:t xml:space="preserve">​ ​ AGE ​ ​ </w:t>
            </w:r>
            <w:r>
              <w:rPr>
                <w:rFonts w:ascii="Arial" w:cs="Arial" w:eastAsia="Arial" w:hAnsi="Arial"/>
                <w:sz w:val="30"/>
                <w:szCs w:val="30"/>
                <w:b w:val="1"/>
                <w:bCs w:val="1"/>
                <w:color w:val="FFFFFF"/>
                <w:w w:val="99"/>
                <w:vertAlign w:val="superscript"/>
              </w:rPr>
              <w:t>DIRECTOR</w:t>
            </w:r>
          </w:p>
        </w:tc>
        <w:tc>
          <w:tcPr>
            <w:tcW w:w="200" w:type="dxa"/>
            <w:vAlign w:val="bottom"/>
            <w:tcBorders>
              <w:bottom w:val="single" w:sz="8" w:color="148CD9"/>
            </w:tcBorders>
            <w:vMerge w:val="restart"/>
            <w:shd w:val="clear" w:color="auto" w:fill="148CD9"/>
          </w:tcPr>
          <w:p>
            <w:pPr>
              <w:ind w:left="40"/>
              <w:spacing w:after="0"/>
              <w:rPr>
                <w:sz w:val="20"/>
                <w:szCs w:val="20"/>
                <w:color w:val="auto"/>
              </w:rPr>
            </w:pPr>
            <w:r>
              <w:rPr>
                <w:rFonts w:ascii="Arial" w:cs="Arial" w:eastAsia="Arial" w:hAnsi="Arial"/>
                <w:sz w:val="16"/>
                <w:szCs w:val="16"/>
                <w:b w:val="1"/>
                <w:bCs w:val="1"/>
                <w:color w:val="FFFFFF"/>
              </w:rPr>
              <w:t>​ ​</w:t>
            </w:r>
          </w:p>
        </w:tc>
        <w:tc>
          <w:tcPr>
            <w:tcW w:w="1500" w:type="dxa"/>
            <w:vAlign w:val="bottom"/>
            <w:tcBorders>
              <w:bottom w:val="single" w:sz="8" w:color="148CD9"/>
            </w:tcBorders>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w w:val="96"/>
              </w:rPr>
              <w:t>OCCUPATION</w:t>
            </w:r>
          </w:p>
        </w:tc>
        <w:tc>
          <w:tcPr>
            <w:tcW w:w="1460" w:type="dxa"/>
            <w:vAlign w:val="bottom"/>
            <w:tcBorders>
              <w:bottom w:val="single" w:sz="8" w:color="148CD9"/>
            </w:tcBorders>
            <w:gridSpan w:val="3"/>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 ​ INDEPENDENT ​</w:t>
            </w:r>
          </w:p>
        </w:tc>
        <w:tc>
          <w:tcPr>
            <w:tcW w:w="80" w:type="dxa"/>
            <w:vAlign w:val="bottom"/>
            <w:tcBorders>
              <w:bottom w:val="single" w:sz="8" w:color="auto"/>
            </w:tcBorders>
            <w:shd w:val="clear" w:color="auto" w:fill="148CD9"/>
          </w:tcPr>
          <w:p>
            <w:pPr>
              <w:jc w:val="right"/>
              <w:spacing w:after="0" w:line="183" w:lineRule="exact"/>
              <w:rPr>
                <w:sz w:val="20"/>
                <w:szCs w:val="20"/>
                <w:color w:val="auto"/>
              </w:rPr>
            </w:pPr>
            <w:r>
              <w:rPr>
                <w:rFonts w:ascii="Arial" w:cs="Arial" w:eastAsia="Arial" w:hAnsi="Arial"/>
                <w:sz w:val="16"/>
                <w:szCs w:val="16"/>
                <w:b w:val="1"/>
                <w:bCs w:val="1"/>
                <w:color w:val="FFFFFF"/>
              </w:rPr>
              <w:t>​</w:t>
            </w:r>
          </w:p>
        </w:tc>
        <w:tc>
          <w:tcPr>
            <w:tcW w:w="2280" w:type="dxa"/>
            <w:vAlign w:val="bottom"/>
            <w:tcBorders>
              <w:bottom w:val="single" w:sz="8" w:color="auto"/>
            </w:tcBorders>
            <w:gridSpan w:val="6"/>
            <w:shd w:val="clear" w:color="auto" w:fill="148CD9"/>
          </w:tcPr>
          <w:p>
            <w:pPr>
              <w:ind w:left="60"/>
              <w:spacing w:after="0" w:line="183" w:lineRule="exact"/>
              <w:rPr>
                <w:sz w:val="20"/>
                <w:szCs w:val="20"/>
                <w:color w:val="auto"/>
              </w:rPr>
            </w:pPr>
            <w:r>
              <w:rPr>
                <w:rFonts w:ascii="Arial" w:cs="Arial" w:eastAsia="Arial" w:hAnsi="Arial"/>
                <w:sz w:val="16"/>
                <w:szCs w:val="16"/>
                <w:b w:val="1"/>
                <w:bCs w:val="1"/>
                <w:color w:val="FFFFFF"/>
              </w:rPr>
              <w:t>COMMITTEE MEMBERSHIPS</w:t>
            </w:r>
          </w:p>
        </w:tc>
        <w:tc>
          <w:tcPr>
            <w:tcW w:w="160" w:type="dxa"/>
            <w:vAlign w:val="bottom"/>
            <w:tcBorders>
              <w:bottom w:val="single" w:sz="8" w:color="auto"/>
              <w:right w:val="single" w:sz="8" w:color="auto"/>
            </w:tcBorders>
            <w:shd w:val="clear" w:color="auto" w:fill="148CD9"/>
          </w:tcPr>
          <w:p>
            <w:pPr>
              <w:jc w:val="right"/>
              <w:spacing w:after="0" w:line="183" w:lineRule="exact"/>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48"/>
        </w:trPr>
        <w:tc>
          <w:tcPr>
            <w:tcW w:w="120" w:type="dxa"/>
            <w:vAlign w:val="bottom"/>
            <w:tcBorders>
              <w:left w:val="single" w:sz="8" w:color="auto"/>
            </w:tcBorders>
            <w:vMerge w:val="continue"/>
            <w:shd w:val="clear" w:color="auto" w:fill="148CD9"/>
          </w:tcPr>
          <w:p>
            <w:pPr>
              <w:spacing w:after="0"/>
              <w:rPr>
                <w:sz w:val="4"/>
                <w:szCs w:val="4"/>
                <w:color w:val="auto"/>
              </w:rPr>
            </w:pPr>
          </w:p>
        </w:tc>
        <w:tc>
          <w:tcPr>
            <w:tcW w:w="340" w:type="dxa"/>
            <w:vAlign w:val="bottom"/>
            <w:shd w:val="clear" w:color="auto" w:fill="148CD9"/>
          </w:tcPr>
          <w:p>
            <w:pPr>
              <w:spacing w:after="0"/>
              <w:rPr>
                <w:sz w:val="4"/>
                <w:szCs w:val="4"/>
                <w:color w:val="auto"/>
              </w:rPr>
            </w:pPr>
          </w:p>
        </w:tc>
        <w:tc>
          <w:tcPr>
            <w:tcW w:w="1180" w:type="dxa"/>
            <w:vAlign w:val="bottom"/>
            <w:vMerge w:val="continue"/>
            <w:shd w:val="clear" w:color="auto" w:fill="148CD9"/>
          </w:tcPr>
          <w:p>
            <w:pPr>
              <w:spacing w:after="0"/>
              <w:rPr>
                <w:sz w:val="4"/>
                <w:szCs w:val="4"/>
                <w:color w:val="auto"/>
              </w:rPr>
            </w:pPr>
          </w:p>
        </w:tc>
        <w:tc>
          <w:tcPr>
            <w:tcW w:w="1680" w:type="dxa"/>
            <w:vAlign w:val="bottom"/>
            <w:gridSpan w:val="4"/>
            <w:vMerge w:val="continue"/>
            <w:shd w:val="clear" w:color="auto" w:fill="148CD9"/>
          </w:tcPr>
          <w:p>
            <w:pPr>
              <w:spacing w:after="0"/>
              <w:rPr>
                <w:sz w:val="4"/>
                <w:szCs w:val="4"/>
                <w:color w:val="auto"/>
              </w:rPr>
            </w:pPr>
          </w:p>
        </w:tc>
        <w:tc>
          <w:tcPr>
            <w:tcW w:w="200" w:type="dxa"/>
            <w:vAlign w:val="bottom"/>
            <w:vMerge w:val="continue"/>
            <w:shd w:val="clear" w:color="auto" w:fill="148CD9"/>
          </w:tcPr>
          <w:p>
            <w:pPr>
              <w:spacing w:after="0"/>
              <w:rPr>
                <w:sz w:val="4"/>
                <w:szCs w:val="4"/>
                <w:color w:val="auto"/>
              </w:rPr>
            </w:pPr>
          </w:p>
        </w:tc>
        <w:tc>
          <w:tcPr>
            <w:tcW w:w="1500" w:type="dxa"/>
            <w:vAlign w:val="bottom"/>
            <w:vMerge w:val="continue"/>
            <w:shd w:val="clear" w:color="auto" w:fill="148CD9"/>
          </w:tcPr>
          <w:p>
            <w:pPr>
              <w:spacing w:after="0"/>
              <w:rPr>
                <w:sz w:val="4"/>
                <w:szCs w:val="4"/>
                <w:color w:val="auto"/>
              </w:rPr>
            </w:pPr>
          </w:p>
        </w:tc>
        <w:tc>
          <w:tcPr>
            <w:tcW w:w="1460" w:type="dxa"/>
            <w:vAlign w:val="bottom"/>
            <w:gridSpan w:val="3"/>
            <w:vMerge w:val="continue"/>
            <w:shd w:val="clear" w:color="auto" w:fill="148CD9"/>
          </w:tcPr>
          <w:p>
            <w:pPr>
              <w:spacing w:after="0"/>
              <w:rPr>
                <w:sz w:val="4"/>
                <w:szCs w:val="4"/>
                <w:color w:val="auto"/>
              </w:rPr>
            </w:pPr>
          </w:p>
        </w:tc>
        <w:tc>
          <w:tcPr>
            <w:tcW w:w="80" w:type="dxa"/>
            <w:vAlign w:val="bottom"/>
            <w:vMerge w:val="restart"/>
            <w:shd w:val="clear" w:color="auto" w:fill="148CD9"/>
          </w:tcPr>
          <w:p>
            <w:pPr>
              <w:jc w:val="right"/>
              <w:spacing w:after="0"/>
              <w:rPr>
                <w:sz w:val="20"/>
                <w:szCs w:val="20"/>
                <w:color w:val="auto"/>
              </w:rPr>
            </w:pPr>
            <w:r>
              <w:rPr>
                <w:rFonts w:ascii="Arial" w:cs="Arial" w:eastAsia="Arial" w:hAnsi="Arial"/>
                <w:sz w:val="16"/>
                <w:szCs w:val="16"/>
                <w:b w:val="1"/>
                <w:bCs w:val="1"/>
                <w:color w:val="FFFFFF"/>
              </w:rPr>
              <w:t>​</w:t>
            </w:r>
          </w:p>
        </w:tc>
        <w:tc>
          <w:tcPr>
            <w:tcW w:w="80" w:type="dxa"/>
            <w:vAlign w:val="bottom"/>
            <w:shd w:val="clear" w:color="auto" w:fill="148CD9"/>
          </w:tcPr>
          <w:p>
            <w:pPr>
              <w:spacing w:after="0"/>
              <w:rPr>
                <w:sz w:val="4"/>
                <w:szCs w:val="4"/>
                <w:color w:val="auto"/>
              </w:rPr>
            </w:pPr>
          </w:p>
        </w:tc>
        <w:tc>
          <w:tcPr>
            <w:tcW w:w="42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AC</w:t>
            </w:r>
          </w:p>
        </w:tc>
        <w:tc>
          <w:tcPr>
            <w:tcW w:w="320" w:type="dxa"/>
            <w:vAlign w:val="bottom"/>
            <w:vMerge w:val="restart"/>
            <w:shd w:val="clear" w:color="auto" w:fill="148CD9"/>
          </w:tcPr>
          <w:p>
            <w:pPr>
              <w:ind w:left="100"/>
              <w:spacing w:after="0"/>
              <w:rPr>
                <w:sz w:val="20"/>
                <w:szCs w:val="20"/>
                <w:color w:val="auto"/>
              </w:rPr>
            </w:pPr>
            <w:r>
              <w:rPr>
                <w:rFonts w:ascii="Arial" w:cs="Arial" w:eastAsia="Arial" w:hAnsi="Arial"/>
                <w:sz w:val="16"/>
                <w:szCs w:val="16"/>
                <w:b w:val="1"/>
                <w:bCs w:val="1"/>
                <w:color w:val="FFFFFF"/>
              </w:rPr>
              <w:t>​ ​</w:t>
            </w:r>
          </w:p>
        </w:tc>
        <w:tc>
          <w:tcPr>
            <w:tcW w:w="48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CC</w:t>
            </w:r>
          </w:p>
        </w:tc>
        <w:tc>
          <w:tcPr>
            <w:tcW w:w="280" w:type="dxa"/>
            <w:vAlign w:val="bottom"/>
            <w:vMerge w:val="restart"/>
            <w:shd w:val="clear" w:color="auto" w:fill="148CD9"/>
          </w:tcPr>
          <w:p>
            <w:pPr>
              <w:ind w:left="40"/>
              <w:spacing w:after="0"/>
              <w:rPr>
                <w:sz w:val="20"/>
                <w:szCs w:val="20"/>
                <w:color w:val="auto"/>
              </w:rPr>
            </w:pPr>
            <w:r>
              <w:rPr>
                <w:rFonts w:ascii="Arial" w:cs="Arial" w:eastAsia="Arial" w:hAnsi="Arial"/>
                <w:sz w:val="16"/>
                <w:szCs w:val="16"/>
                <w:b w:val="1"/>
                <w:bCs w:val="1"/>
                <w:color w:val="FFFFFF"/>
              </w:rPr>
              <w:t>​ ​</w:t>
            </w:r>
          </w:p>
        </w:tc>
        <w:tc>
          <w:tcPr>
            <w:tcW w:w="70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NCGC</w:t>
            </w:r>
          </w:p>
        </w:tc>
        <w:tc>
          <w:tcPr>
            <w:tcW w:w="160" w:type="dxa"/>
            <w:vAlign w:val="bottom"/>
            <w:tcBorders>
              <w:right w:val="single" w:sz="8" w:color="auto"/>
            </w:tcBorders>
            <w:vMerge w:val="restart"/>
            <w:shd w:val="clear" w:color="auto" w:fill="148CD9"/>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89"/>
        </w:trPr>
        <w:tc>
          <w:tcPr>
            <w:tcW w:w="120" w:type="dxa"/>
            <w:vAlign w:val="bottom"/>
            <w:tcBorders>
              <w:left w:val="single" w:sz="8" w:color="auto"/>
              <w:bottom w:val="single" w:sz="8" w:color="auto"/>
            </w:tcBorders>
            <w:shd w:val="clear" w:color="auto" w:fill="148CD9"/>
          </w:tcPr>
          <w:p>
            <w:pPr>
              <w:spacing w:after="0"/>
              <w:rPr>
                <w:sz w:val="16"/>
                <w:szCs w:val="16"/>
                <w:color w:val="auto"/>
              </w:rPr>
            </w:pPr>
          </w:p>
        </w:tc>
        <w:tc>
          <w:tcPr>
            <w:tcW w:w="340" w:type="dxa"/>
            <w:vAlign w:val="bottom"/>
            <w:tcBorders>
              <w:bottom w:val="single" w:sz="8" w:color="auto"/>
            </w:tcBorders>
            <w:shd w:val="clear" w:color="auto" w:fill="148CD9"/>
          </w:tcPr>
          <w:p>
            <w:pPr>
              <w:spacing w:after="0"/>
              <w:rPr>
                <w:sz w:val="16"/>
                <w:szCs w:val="16"/>
                <w:color w:val="auto"/>
              </w:rPr>
            </w:pPr>
          </w:p>
        </w:tc>
        <w:tc>
          <w:tcPr>
            <w:tcW w:w="1180" w:type="dxa"/>
            <w:vAlign w:val="bottom"/>
            <w:tcBorders>
              <w:bottom w:val="single" w:sz="8" w:color="auto"/>
            </w:tcBorders>
            <w:shd w:val="clear" w:color="auto" w:fill="148CD9"/>
          </w:tcPr>
          <w:p>
            <w:pPr>
              <w:spacing w:after="0"/>
              <w:rPr>
                <w:sz w:val="16"/>
                <w:szCs w:val="16"/>
                <w:color w:val="auto"/>
              </w:rPr>
            </w:pPr>
          </w:p>
        </w:tc>
        <w:tc>
          <w:tcPr>
            <w:tcW w:w="260" w:type="dxa"/>
            <w:vAlign w:val="bottom"/>
            <w:tcBorders>
              <w:bottom w:val="single" w:sz="8" w:color="auto"/>
            </w:tcBorders>
            <w:shd w:val="clear" w:color="auto" w:fill="148CD9"/>
          </w:tcPr>
          <w:p>
            <w:pPr>
              <w:spacing w:after="0"/>
              <w:rPr>
                <w:sz w:val="16"/>
                <w:szCs w:val="16"/>
                <w:color w:val="auto"/>
              </w:rPr>
            </w:pPr>
          </w:p>
        </w:tc>
        <w:tc>
          <w:tcPr>
            <w:tcW w:w="300" w:type="dxa"/>
            <w:vAlign w:val="bottom"/>
            <w:tcBorders>
              <w:bottom w:val="single" w:sz="8" w:color="auto"/>
            </w:tcBorders>
            <w:shd w:val="clear" w:color="auto" w:fill="148CD9"/>
          </w:tcPr>
          <w:p>
            <w:pPr>
              <w:spacing w:after="0"/>
              <w:rPr>
                <w:sz w:val="16"/>
                <w:szCs w:val="16"/>
                <w:color w:val="auto"/>
              </w:rPr>
            </w:pPr>
          </w:p>
        </w:tc>
        <w:tc>
          <w:tcPr>
            <w:tcW w:w="400" w:type="dxa"/>
            <w:vAlign w:val="bottom"/>
            <w:tcBorders>
              <w:bottom w:val="single" w:sz="8" w:color="auto"/>
            </w:tcBorders>
            <w:shd w:val="clear" w:color="auto" w:fill="148CD9"/>
          </w:tcPr>
          <w:p>
            <w:pPr>
              <w:spacing w:after="0"/>
              <w:rPr>
                <w:sz w:val="16"/>
                <w:szCs w:val="16"/>
                <w:color w:val="auto"/>
              </w:rPr>
            </w:pPr>
          </w:p>
        </w:tc>
        <w:tc>
          <w:tcPr>
            <w:tcW w:w="720" w:type="dxa"/>
            <w:vAlign w:val="bottom"/>
            <w:tcBorders>
              <w:bottom w:val="single" w:sz="8" w:color="auto"/>
            </w:tcBorders>
            <w:shd w:val="clear" w:color="auto" w:fill="148CD9"/>
          </w:tcPr>
          <w:p>
            <w:pPr>
              <w:jc w:val="center"/>
              <w:ind w:right="92"/>
              <w:spacing w:after="0"/>
              <w:rPr>
                <w:sz w:val="20"/>
                <w:szCs w:val="20"/>
                <w:color w:val="auto"/>
              </w:rPr>
            </w:pPr>
            <w:r>
              <w:rPr>
                <w:rFonts w:ascii="Arial" w:cs="Arial" w:eastAsia="Arial" w:hAnsi="Arial"/>
                <w:sz w:val="16"/>
                <w:szCs w:val="16"/>
                <w:b w:val="1"/>
                <w:bCs w:val="1"/>
                <w:color w:val="FFFFFF"/>
              </w:rPr>
              <w:t>SINCE</w:t>
            </w:r>
          </w:p>
        </w:tc>
        <w:tc>
          <w:tcPr>
            <w:tcW w:w="200" w:type="dxa"/>
            <w:vAlign w:val="bottom"/>
            <w:tcBorders>
              <w:bottom w:val="single" w:sz="8" w:color="auto"/>
            </w:tcBorders>
            <w:shd w:val="clear" w:color="auto" w:fill="148CD9"/>
          </w:tcPr>
          <w:p>
            <w:pPr>
              <w:spacing w:after="0"/>
              <w:rPr>
                <w:sz w:val="16"/>
                <w:szCs w:val="16"/>
                <w:color w:val="auto"/>
              </w:rPr>
            </w:pPr>
          </w:p>
        </w:tc>
        <w:tc>
          <w:tcPr>
            <w:tcW w:w="1500" w:type="dxa"/>
            <w:vAlign w:val="bottom"/>
            <w:tcBorders>
              <w:bottom w:val="single" w:sz="8" w:color="auto"/>
            </w:tcBorders>
            <w:shd w:val="clear" w:color="auto" w:fill="148CD9"/>
          </w:tcPr>
          <w:p>
            <w:pPr>
              <w:spacing w:after="0"/>
              <w:rPr>
                <w:sz w:val="16"/>
                <w:szCs w:val="16"/>
                <w:color w:val="auto"/>
              </w:rPr>
            </w:pPr>
          </w:p>
        </w:tc>
        <w:tc>
          <w:tcPr>
            <w:tcW w:w="540" w:type="dxa"/>
            <w:vAlign w:val="bottom"/>
            <w:tcBorders>
              <w:bottom w:val="single" w:sz="8" w:color="auto"/>
            </w:tcBorders>
            <w:shd w:val="clear" w:color="auto" w:fill="148CD9"/>
          </w:tcPr>
          <w:p>
            <w:pPr>
              <w:spacing w:after="0"/>
              <w:rPr>
                <w:sz w:val="16"/>
                <w:szCs w:val="16"/>
                <w:color w:val="auto"/>
              </w:rPr>
            </w:pPr>
          </w:p>
        </w:tc>
        <w:tc>
          <w:tcPr>
            <w:tcW w:w="660" w:type="dxa"/>
            <w:vAlign w:val="bottom"/>
            <w:tcBorders>
              <w:bottom w:val="single" w:sz="8" w:color="auto"/>
            </w:tcBorders>
            <w:shd w:val="clear" w:color="auto" w:fill="148CD9"/>
          </w:tcPr>
          <w:p>
            <w:pPr>
              <w:spacing w:after="0"/>
              <w:rPr>
                <w:sz w:val="16"/>
                <w:szCs w:val="16"/>
                <w:color w:val="auto"/>
              </w:rPr>
            </w:pPr>
          </w:p>
        </w:tc>
        <w:tc>
          <w:tcPr>
            <w:tcW w:w="260" w:type="dxa"/>
            <w:vAlign w:val="bottom"/>
            <w:tcBorders>
              <w:bottom w:val="single" w:sz="8" w:color="auto"/>
            </w:tcBorders>
            <w:shd w:val="clear" w:color="auto" w:fill="148CD9"/>
          </w:tcPr>
          <w:p>
            <w:pPr>
              <w:spacing w:after="0"/>
              <w:rPr>
                <w:sz w:val="16"/>
                <w:szCs w:val="16"/>
                <w:color w:val="auto"/>
              </w:rPr>
            </w:pPr>
          </w:p>
        </w:tc>
        <w:tc>
          <w:tcPr>
            <w:tcW w:w="80" w:type="dxa"/>
            <w:vAlign w:val="bottom"/>
            <w:tcBorders>
              <w:bottom w:val="single" w:sz="8" w:color="auto"/>
            </w:tcBorders>
            <w:vMerge w:val="continue"/>
            <w:shd w:val="clear" w:color="auto" w:fill="148CD9"/>
          </w:tcPr>
          <w:p>
            <w:pPr>
              <w:spacing w:after="0"/>
              <w:rPr>
                <w:sz w:val="16"/>
                <w:szCs w:val="16"/>
                <w:color w:val="auto"/>
              </w:rPr>
            </w:pPr>
          </w:p>
        </w:tc>
        <w:tc>
          <w:tcPr>
            <w:tcW w:w="80" w:type="dxa"/>
            <w:vAlign w:val="bottom"/>
            <w:tcBorders>
              <w:bottom w:val="single" w:sz="8" w:color="auto"/>
            </w:tcBorders>
            <w:shd w:val="clear" w:color="auto" w:fill="148CD9"/>
          </w:tcPr>
          <w:p>
            <w:pPr>
              <w:spacing w:after="0"/>
              <w:rPr>
                <w:sz w:val="16"/>
                <w:szCs w:val="16"/>
                <w:color w:val="auto"/>
              </w:rPr>
            </w:pPr>
          </w:p>
        </w:tc>
        <w:tc>
          <w:tcPr>
            <w:tcW w:w="420" w:type="dxa"/>
            <w:vAlign w:val="bottom"/>
            <w:tcBorders>
              <w:bottom w:val="single" w:sz="8" w:color="auto"/>
            </w:tcBorders>
            <w:vMerge w:val="continue"/>
            <w:shd w:val="clear" w:color="auto" w:fill="148CD9"/>
          </w:tcPr>
          <w:p>
            <w:pPr>
              <w:spacing w:after="0"/>
              <w:rPr>
                <w:sz w:val="16"/>
                <w:szCs w:val="16"/>
                <w:color w:val="auto"/>
              </w:rPr>
            </w:pPr>
          </w:p>
        </w:tc>
        <w:tc>
          <w:tcPr>
            <w:tcW w:w="320" w:type="dxa"/>
            <w:vAlign w:val="bottom"/>
            <w:tcBorders>
              <w:bottom w:val="single" w:sz="8" w:color="auto"/>
            </w:tcBorders>
            <w:vMerge w:val="continue"/>
            <w:shd w:val="clear" w:color="auto" w:fill="148CD9"/>
          </w:tcPr>
          <w:p>
            <w:pPr>
              <w:spacing w:after="0"/>
              <w:rPr>
                <w:sz w:val="16"/>
                <w:szCs w:val="16"/>
                <w:color w:val="auto"/>
              </w:rPr>
            </w:pPr>
          </w:p>
        </w:tc>
        <w:tc>
          <w:tcPr>
            <w:tcW w:w="480" w:type="dxa"/>
            <w:vAlign w:val="bottom"/>
            <w:tcBorders>
              <w:bottom w:val="single" w:sz="8" w:color="auto"/>
            </w:tcBorders>
            <w:vMerge w:val="continue"/>
            <w:shd w:val="clear" w:color="auto" w:fill="148CD9"/>
          </w:tcPr>
          <w:p>
            <w:pPr>
              <w:spacing w:after="0"/>
              <w:rPr>
                <w:sz w:val="16"/>
                <w:szCs w:val="16"/>
                <w:color w:val="auto"/>
              </w:rPr>
            </w:pPr>
          </w:p>
        </w:tc>
        <w:tc>
          <w:tcPr>
            <w:tcW w:w="280" w:type="dxa"/>
            <w:vAlign w:val="bottom"/>
            <w:tcBorders>
              <w:bottom w:val="single" w:sz="8" w:color="auto"/>
            </w:tcBorders>
            <w:vMerge w:val="continue"/>
            <w:shd w:val="clear" w:color="auto" w:fill="148CD9"/>
          </w:tcPr>
          <w:p>
            <w:pPr>
              <w:spacing w:after="0"/>
              <w:rPr>
                <w:sz w:val="16"/>
                <w:szCs w:val="16"/>
                <w:color w:val="auto"/>
              </w:rPr>
            </w:pPr>
          </w:p>
        </w:tc>
        <w:tc>
          <w:tcPr>
            <w:tcW w:w="700" w:type="dxa"/>
            <w:vAlign w:val="bottom"/>
            <w:tcBorders>
              <w:bottom w:val="single" w:sz="8" w:color="auto"/>
            </w:tcBorders>
            <w:vMerge w:val="continue"/>
            <w:shd w:val="clear" w:color="auto" w:fill="148CD9"/>
          </w:tcPr>
          <w:p>
            <w:pPr>
              <w:spacing w:after="0"/>
              <w:rPr>
                <w:sz w:val="16"/>
                <w:szCs w:val="16"/>
                <w:color w:val="auto"/>
              </w:rPr>
            </w:pPr>
          </w:p>
        </w:tc>
        <w:tc>
          <w:tcPr>
            <w:tcW w:w="160" w:type="dxa"/>
            <w:vAlign w:val="bottom"/>
            <w:tcBorders>
              <w:bottom w:val="single" w:sz="8" w:color="auto"/>
              <w:right w:val="single" w:sz="8" w:color="auto"/>
            </w:tcBorders>
            <w:vMerge w:val="continue"/>
            <w:shd w:val="clear" w:color="auto" w:fill="148CD9"/>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Chief Medical</w:t>
            </w: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restart"/>
          </w:tcPr>
          <w:p>
            <w:pPr>
              <w:jc w:val="center"/>
              <w:ind w:right="252"/>
              <w:spacing w:after="0"/>
              <w:rPr>
                <w:sz w:val="20"/>
                <w:szCs w:val="20"/>
                <w:color w:val="auto"/>
              </w:rPr>
            </w:pPr>
            <w:r>
              <w:rPr>
                <w:rFonts w:ascii="Arial" w:cs="Arial" w:eastAsia="Arial" w:hAnsi="Arial"/>
                <w:sz w:val="18"/>
                <w:szCs w:val="18"/>
                <w:b w:val="1"/>
                <w:bCs w:val="1"/>
                <w:color w:val="auto"/>
                <w:w w:val="98"/>
              </w:rPr>
              <w:t>Kimberly</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Officer and Senior</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ind w:left="80"/>
              <w:spacing w:after="0"/>
              <w:rPr>
                <w:sz w:val="20"/>
                <w:szCs w:val="20"/>
                <w:color w:val="auto"/>
              </w:rPr>
            </w:pPr>
            <w:r>
              <w:rPr>
                <w:rFonts w:ascii="Arial" w:cs="Arial" w:eastAsia="Arial" w:hAnsi="Arial"/>
                <w:sz w:val="18"/>
                <w:szCs w:val="18"/>
                <w:color w:val="auto"/>
              </w:rPr>
              <w:t>​ ​</w:t>
            </w:r>
          </w:p>
        </w:tc>
        <w:tc>
          <w:tcPr>
            <w:tcW w:w="720" w:type="dxa"/>
            <w:vAlign w:val="bottom"/>
          </w:tcPr>
          <w:p>
            <w:pPr>
              <w:jc w:val="center"/>
              <w:ind w:right="112"/>
              <w:spacing w:after="0"/>
              <w:rPr>
                <w:sz w:val="20"/>
                <w:szCs w:val="20"/>
                <w:color w:val="auto"/>
              </w:rPr>
            </w:pPr>
            <w:r>
              <w:rPr>
                <w:rFonts w:ascii="Arial" w:cs="Arial" w:eastAsia="Arial" w:hAnsi="Arial"/>
                <w:sz w:val="18"/>
                <w:szCs w:val="18"/>
                <w:color w:val="auto"/>
                <w:w w:val="99"/>
              </w:rPr>
              <w:t>2021</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Vice President,</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660" w:type="dxa"/>
            <w:vAlign w:val="bottom"/>
          </w:tcPr>
          <w:p>
            <w:pPr>
              <w:jc w:val="center"/>
              <w:ind w:right="110"/>
              <w:spacing w:after="0"/>
              <w:rPr>
                <w:sz w:val="20"/>
                <w:szCs w:val="20"/>
                <w:color w:val="auto"/>
              </w:rPr>
            </w:pPr>
            <w:r>
              <w:rPr>
                <w:rFonts w:ascii="Arial" w:cs="Arial" w:eastAsia="Arial" w:hAnsi="Arial"/>
                <w:sz w:val="18"/>
                <w:szCs w:val="18"/>
                <w:color w:val="auto"/>
                <w:w w:val="96"/>
              </w:rPr>
              <w:t>Yes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M</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 ​</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M</w:t>
            </w: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120" w:type="dxa"/>
            <w:vAlign w:val="bottom"/>
            <w:tcBorders>
              <w:left w:val="single" w:sz="8" w:color="auto"/>
            </w:tcBorders>
          </w:tcPr>
          <w:p>
            <w:pPr>
              <w:spacing w:after="0"/>
              <w:rPr>
                <w:sz w:val="14"/>
                <w:szCs w:val="14"/>
                <w:color w:val="auto"/>
              </w:rPr>
            </w:pPr>
          </w:p>
        </w:tc>
        <w:tc>
          <w:tcPr>
            <w:tcW w:w="1520" w:type="dxa"/>
            <w:vAlign w:val="bottom"/>
            <w:gridSpan w:val="2"/>
          </w:tcPr>
          <w:p>
            <w:pPr>
              <w:jc w:val="center"/>
              <w:spacing w:after="0" w:line="170" w:lineRule="exact"/>
              <w:rPr>
                <w:sz w:val="20"/>
                <w:szCs w:val="20"/>
                <w:color w:val="auto"/>
              </w:rPr>
            </w:pPr>
            <w:r>
              <w:rPr>
                <w:rFonts w:ascii="Arial" w:cs="Arial" w:eastAsia="Arial" w:hAnsi="Arial"/>
                <w:sz w:val="18"/>
                <w:szCs w:val="18"/>
                <w:b w:val="1"/>
                <w:bCs w:val="1"/>
                <w:color w:val="auto"/>
                <w:w w:val="98"/>
              </w:rPr>
              <w:t>Blackwell, M.D.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spacing w:after="0" w:line="170" w:lineRule="exact"/>
              <w:rPr>
                <w:sz w:val="20"/>
                <w:szCs w:val="20"/>
                <w:color w:val="auto"/>
              </w:rPr>
            </w:pPr>
            <w:r>
              <w:rPr>
                <w:rFonts w:ascii="Arial" w:cs="Arial" w:eastAsia="Arial" w:hAnsi="Arial"/>
                <w:sz w:val="18"/>
                <w:szCs w:val="18"/>
                <w:color w:val="auto"/>
                <w:w w:val="99"/>
              </w:rPr>
              <w:t>Clinical Oncology</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Development at</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0" w:type="dxa"/>
            <w:vAlign w:val="bottom"/>
            <w:tcBorders>
              <w:left w:val="single" w:sz="8" w:color="auto"/>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Tempus Labs, Inc.</w:t>
            </w:r>
          </w:p>
        </w:tc>
        <w:tc>
          <w:tcPr>
            <w:tcW w:w="5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1640" w:type="dxa"/>
            <w:vAlign w:val="bottom"/>
            <w:tcBorders>
              <w:left w:val="single" w:sz="8" w:color="auto"/>
            </w:tcBorders>
            <w:gridSpan w:val="3"/>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Joseph Jimenez</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ind w:left="80"/>
              <w:spacing w:after="0"/>
              <w:rPr>
                <w:sz w:val="20"/>
                <w:szCs w:val="20"/>
                <w:color w:val="auto"/>
              </w:rPr>
            </w:pPr>
            <w:r>
              <w:rPr>
                <w:rFonts w:ascii="Arial" w:cs="Arial" w:eastAsia="Arial" w:hAnsi="Arial"/>
                <w:sz w:val="18"/>
                <w:szCs w:val="18"/>
                <w:color w:val="auto"/>
              </w:rPr>
              <w:t>​ ​</w:t>
            </w:r>
          </w:p>
        </w:tc>
        <w:tc>
          <w:tcPr>
            <w:tcW w:w="720" w:type="dxa"/>
            <w:vAlign w:val="bottom"/>
          </w:tcPr>
          <w:p>
            <w:pPr>
              <w:jc w:val="center"/>
              <w:ind w:right="112"/>
              <w:spacing w:after="0"/>
              <w:rPr>
                <w:sz w:val="20"/>
                <w:szCs w:val="20"/>
                <w:color w:val="auto"/>
              </w:rPr>
            </w:pPr>
            <w:r>
              <w:rPr>
                <w:rFonts w:ascii="Arial" w:cs="Arial" w:eastAsia="Arial" w:hAnsi="Arial"/>
                <w:sz w:val="18"/>
                <w:szCs w:val="18"/>
                <w:color w:val="auto"/>
                <w:w w:val="99"/>
              </w:rPr>
              <w:t>2019</w:t>
            </w:r>
          </w:p>
        </w:tc>
        <w:tc>
          <w:tcPr>
            <w:tcW w:w="2240" w:type="dxa"/>
            <w:vAlign w:val="bottom"/>
            <w:gridSpan w:val="3"/>
          </w:tcPr>
          <w:p>
            <w:pPr>
              <w:ind w:left="40"/>
              <w:spacing w:after="0" w:line="295" w:lineRule="exact"/>
              <w:rPr>
                <w:sz w:val="20"/>
                <w:szCs w:val="20"/>
                <w:color w:val="auto"/>
              </w:rPr>
            </w:pPr>
            <w:r>
              <w:rPr>
                <w:rFonts w:ascii="Arial" w:cs="Arial" w:eastAsia="Arial" w:hAnsi="Arial"/>
                <w:sz w:val="34"/>
                <w:szCs w:val="34"/>
                <w:color w:val="auto"/>
                <w:vertAlign w:val="subscript"/>
              </w:rPr>
              <w:t>​ ​</w:t>
            </w:r>
            <w:r>
              <w:rPr>
                <w:rFonts w:ascii="Arial" w:cs="Arial" w:eastAsia="Arial" w:hAnsi="Arial"/>
                <w:sz w:val="18"/>
                <w:szCs w:val="18"/>
                <w:color w:val="auto"/>
              </w:rPr>
              <w:t xml:space="preserve">Managing Director, </w:t>
            </w:r>
            <w:r>
              <w:rPr>
                <w:rFonts w:ascii="Arial" w:cs="Arial" w:eastAsia="Arial" w:hAnsi="Arial"/>
                <w:sz w:val="34"/>
                <w:szCs w:val="34"/>
                <w:color w:val="auto"/>
                <w:vertAlign w:val="subscript"/>
              </w:rPr>
              <w:t>​ ​</w:t>
            </w:r>
          </w:p>
        </w:tc>
        <w:tc>
          <w:tcPr>
            <w:tcW w:w="660" w:type="dxa"/>
            <w:vAlign w:val="bottom"/>
          </w:tcPr>
          <w:p>
            <w:pPr>
              <w:jc w:val="center"/>
              <w:ind w:right="110"/>
              <w:spacing w:after="0"/>
              <w:rPr>
                <w:sz w:val="20"/>
                <w:szCs w:val="20"/>
                <w:color w:val="auto"/>
              </w:rPr>
            </w:pPr>
            <w:r>
              <w:rPr>
                <w:rFonts w:ascii="Arial" w:cs="Arial" w:eastAsia="Arial" w:hAnsi="Arial"/>
                <w:sz w:val="18"/>
                <w:szCs w:val="18"/>
                <w:color w:val="auto"/>
                <w:w w:val="96"/>
              </w:rPr>
              <w:t>Yes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80" w:type="dxa"/>
            <w:vAlign w:val="bottom"/>
          </w:tcPr>
          <w:p>
            <w:pPr>
              <w:jc w:val="center"/>
              <w:spacing w:after="0"/>
              <w:rPr>
                <w:sz w:val="20"/>
                <w:szCs w:val="20"/>
                <w:color w:val="auto"/>
              </w:rPr>
            </w:pPr>
            <w:r>
              <w:rPr>
                <w:rFonts w:ascii="Arial" w:cs="Arial" w:eastAsia="Arial" w:hAnsi="Arial"/>
                <w:sz w:val="18"/>
                <w:szCs w:val="18"/>
                <w:color w:val="auto"/>
              </w:rPr>
              <w:t>M</w:t>
            </w:r>
          </w:p>
        </w:tc>
        <w:tc>
          <w:tcPr>
            <w:tcW w:w="280" w:type="dxa"/>
            <w:vAlign w:val="bottom"/>
          </w:tcPr>
          <w:p>
            <w:pPr>
              <w:ind w:left="40"/>
              <w:spacing w:after="0"/>
              <w:rPr>
                <w:sz w:val="20"/>
                <w:szCs w:val="20"/>
                <w:color w:val="auto"/>
              </w:rPr>
            </w:pPr>
            <w:r>
              <w:rPr>
                <w:rFonts w:ascii="Arial" w:cs="Arial" w:eastAsia="Arial" w:hAnsi="Arial"/>
                <w:sz w:val="18"/>
                <w:szCs w:val="18"/>
                <w:color w:val="auto"/>
              </w:rPr>
              <w:t>​ ​</w:t>
            </w:r>
          </w:p>
        </w:tc>
        <w:tc>
          <w:tcPr>
            <w:tcW w:w="700" w:type="dxa"/>
            <w:vAlign w:val="bottom"/>
          </w:tcPr>
          <w:p>
            <w:pPr>
              <w:jc w:val="center"/>
              <w:spacing w:after="0"/>
              <w:rPr>
                <w:sz w:val="20"/>
                <w:szCs w:val="20"/>
                <w:color w:val="auto"/>
              </w:rPr>
            </w:pPr>
            <w:r>
              <w:rPr>
                <w:rFonts w:ascii="Arial" w:cs="Arial" w:eastAsia="Arial" w:hAnsi="Arial"/>
                <w:sz w:val="18"/>
                <w:szCs w:val="18"/>
                <w:color w:val="auto"/>
              </w:rPr>
              <w:t>C</w:t>
            </w: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Borders>
              <w:left w:val="single" w:sz="8" w:color="auto"/>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Aditum Bio</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20" w:type="dxa"/>
            <w:vAlign w:val="bottom"/>
            <w:tcBorders>
              <w:lef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center"/>
              <w:ind w:right="252"/>
              <w:spacing w:after="0"/>
              <w:rPr>
                <w:sz w:val="20"/>
                <w:szCs w:val="20"/>
                <w:color w:val="auto"/>
              </w:rPr>
            </w:pPr>
            <w:r>
              <w:rPr>
                <w:rFonts w:ascii="Arial" w:cs="Arial" w:eastAsia="Arial" w:hAnsi="Arial"/>
                <w:sz w:val="18"/>
                <w:szCs w:val="18"/>
                <w:b w:val="1"/>
                <w:bCs w:val="1"/>
                <w:color w:val="auto"/>
              </w:rPr>
              <w:t>Brent</w:t>
            </w: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40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720" w:type="dxa"/>
            <w:vAlign w:val="bottom"/>
            <w:vMerge w:val="restart"/>
          </w:tcPr>
          <w:p>
            <w:pPr>
              <w:jc w:val="center"/>
              <w:ind w:right="112"/>
              <w:spacing w:after="0"/>
              <w:rPr>
                <w:sz w:val="20"/>
                <w:szCs w:val="20"/>
                <w:color w:val="auto"/>
              </w:rPr>
            </w:pPr>
            <w:r>
              <w:rPr>
                <w:rFonts w:ascii="Arial" w:cs="Arial" w:eastAsia="Arial" w:hAnsi="Arial"/>
                <w:sz w:val="18"/>
                <w:szCs w:val="18"/>
                <w:color w:val="auto"/>
                <w:w w:val="99"/>
              </w:rPr>
              <w:t>2024</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Chief Executive</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660" w:type="dxa"/>
            <w:vAlign w:val="bottom"/>
            <w:vMerge w:val="restart"/>
          </w:tcPr>
          <w:p>
            <w:pPr>
              <w:jc w:val="center"/>
              <w:ind w:right="90"/>
              <w:spacing w:after="0"/>
              <w:rPr>
                <w:sz w:val="20"/>
                <w:szCs w:val="20"/>
                <w:color w:val="auto"/>
              </w:rPr>
            </w:pPr>
            <w:r>
              <w:rPr>
                <w:rFonts w:ascii="Arial" w:cs="Arial" w:eastAsia="Arial" w:hAnsi="Arial"/>
                <w:sz w:val="18"/>
                <w:szCs w:val="18"/>
                <w:color w:val="auto"/>
              </w:rPr>
              <w:t>No</w:t>
            </w:r>
          </w:p>
        </w:tc>
        <w:tc>
          <w:tcPr>
            <w:tcW w:w="420" w:type="dxa"/>
            <w:vAlign w:val="bottom"/>
            <w:gridSpan w:val="3"/>
            <w:vMerge w:val="restart"/>
          </w:tcPr>
          <w:p>
            <w:pPr>
              <w:jc w:val="right"/>
              <w:spacing w:after="0"/>
              <w:rPr>
                <w:sz w:val="20"/>
                <w:szCs w:val="20"/>
                <w:color w:val="auto"/>
              </w:rPr>
            </w:pPr>
            <w:r>
              <w:rPr>
                <w:rFonts w:ascii="Arial" w:cs="Arial" w:eastAsia="Arial" w:hAnsi="Arial"/>
                <w:sz w:val="18"/>
                <w:szCs w:val="18"/>
                <w:color w:val="auto"/>
              </w:rPr>
              <w:t>​ ​</w:t>
            </w:r>
          </w:p>
        </w:tc>
        <w:tc>
          <w:tcPr>
            <w:tcW w:w="4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ind w:left="100"/>
              <w:spacing w:after="0"/>
              <w:rPr>
                <w:sz w:val="20"/>
                <w:szCs w:val="20"/>
                <w:color w:val="auto"/>
              </w:rPr>
            </w:pPr>
            <w:r>
              <w:rPr>
                <w:rFonts w:ascii="Arial" w:cs="Arial" w:eastAsia="Arial" w:hAnsi="Arial"/>
                <w:sz w:val="18"/>
                <w:szCs w:val="18"/>
                <w:color w:val="auto"/>
              </w:rPr>
              <w:t>​ ​</w:t>
            </w: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vMerge w:val="continue"/>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Pfeiffenberger,</w:t>
            </w:r>
          </w:p>
        </w:tc>
        <w:tc>
          <w:tcPr>
            <w:tcW w:w="26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Officer, Century</w:t>
            </w:r>
          </w:p>
        </w:tc>
        <w:tc>
          <w:tcPr>
            <w:tcW w:w="5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2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rPr>
              <w:t>Pharm.D.</w:t>
            </w: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Therapeutics, Inc.</w:t>
            </w:r>
          </w:p>
        </w:tc>
        <w:tc>
          <w:tcPr>
            <w:tcW w:w="5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120" w:type="dxa"/>
            <w:vAlign w:val="bottom"/>
          </w:tcPr>
          <w:p>
            <w:pPr>
              <w:spacing w:after="0"/>
              <w:rPr>
                <w:sz w:val="24"/>
                <w:szCs w:val="24"/>
                <w:color w:val="auto"/>
              </w:rPr>
            </w:pPr>
          </w:p>
        </w:tc>
        <w:tc>
          <w:tcPr>
            <w:tcW w:w="3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2140" w:type="dxa"/>
            <w:vAlign w:val="bottom"/>
            <w:gridSpan w:val="4"/>
          </w:tcPr>
          <w:p>
            <w:pPr>
              <w:ind w:left="320"/>
              <w:spacing w:after="0"/>
              <w:rPr>
                <w:sz w:val="20"/>
                <w:szCs w:val="20"/>
                <w:color w:val="auto"/>
              </w:rPr>
            </w:pPr>
            <w:r>
              <w:rPr>
                <w:rFonts w:ascii="Arial" w:cs="Arial" w:eastAsia="Arial" w:hAnsi="Arial"/>
                <w:sz w:val="18"/>
                <w:szCs w:val="18"/>
                <w:b w:val="1"/>
                <w:bCs w:val="1"/>
                <w:color w:val="auto"/>
              </w:rPr>
              <w:t xml:space="preserve">AC </w:t>
            </w:r>
            <w:r>
              <w:rPr>
                <w:rFonts w:ascii="Arial" w:cs="Arial" w:eastAsia="Arial" w:hAnsi="Arial"/>
                <w:sz w:val="18"/>
                <w:szCs w:val="18"/>
                <w:color w:val="auto"/>
              </w:rPr>
              <w:t>= Audit Committee</w:t>
            </w:r>
          </w:p>
        </w:tc>
        <w:tc>
          <w:tcPr>
            <w:tcW w:w="36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 xml:space="preserve">​ ​ CC </w:t>
            </w:r>
            <w:r>
              <w:rPr>
                <w:rFonts w:ascii="Arial" w:cs="Arial" w:eastAsia="Arial" w:hAnsi="Arial"/>
                <w:sz w:val="18"/>
                <w:szCs w:val="18"/>
                <w:color w:val="auto"/>
              </w:rPr>
              <w:t>= Compensation Committee</w:t>
            </w:r>
            <w:r>
              <w:rPr>
                <w:rFonts w:ascii="Arial" w:cs="Arial" w:eastAsia="Arial" w:hAnsi="Arial"/>
                <w:sz w:val="18"/>
                <w:szCs w:val="18"/>
                <w:b w:val="1"/>
                <w:bCs w:val="1"/>
                <w:color w:val="auto"/>
              </w:rPr>
              <w:t xml:space="preserve"> ​ ​</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left="52"/>
              <w:spacing w:after="0"/>
              <w:rPr>
                <w:sz w:val="20"/>
                <w:szCs w:val="20"/>
                <w:color w:val="auto"/>
              </w:rPr>
            </w:pPr>
            <w:r>
              <w:rPr>
                <w:rFonts w:ascii="Arial" w:cs="Arial" w:eastAsia="Arial" w:hAnsi="Arial"/>
                <w:sz w:val="18"/>
                <w:szCs w:val="18"/>
                <w:b w:val="1"/>
                <w:bCs w:val="1"/>
                <w:color w:val="auto"/>
                <w:w w:val="99"/>
              </w:rPr>
              <w:t xml:space="preserve">C </w:t>
            </w:r>
            <w:r>
              <w:rPr>
                <w:rFonts w:ascii="Arial" w:cs="Arial" w:eastAsia="Arial" w:hAnsi="Arial"/>
                <w:sz w:val="18"/>
                <w:szCs w:val="18"/>
                <w:color w:val="auto"/>
                <w:w w:val="99"/>
              </w:rPr>
              <w:t>= Chair</w:t>
            </w:r>
          </w:p>
        </w:tc>
        <w:tc>
          <w:tcPr>
            <w:tcW w:w="28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0" w:type="dxa"/>
            <w:vAlign w:val="bottom"/>
          </w:tcPr>
          <w:p>
            <w:pPr>
              <w:spacing w:after="0"/>
              <w:rPr>
                <w:sz w:val="24"/>
                <w:szCs w:val="24"/>
                <w:color w:val="auto"/>
              </w:rPr>
            </w:pPr>
          </w:p>
        </w:tc>
        <w:tc>
          <w:tcPr>
            <w:tcW w:w="3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5100" w:type="dxa"/>
            <w:vAlign w:val="bottom"/>
            <w:gridSpan w:val="8"/>
          </w:tcPr>
          <w:p>
            <w:pPr>
              <w:ind w:left="240"/>
              <w:spacing w:after="0"/>
              <w:rPr>
                <w:sz w:val="20"/>
                <w:szCs w:val="20"/>
                <w:color w:val="auto"/>
              </w:rPr>
            </w:pPr>
            <w:r>
              <w:rPr>
                <w:rFonts w:ascii="Arial" w:cs="Arial" w:eastAsia="Arial" w:hAnsi="Arial"/>
                <w:sz w:val="18"/>
                <w:szCs w:val="18"/>
                <w:b w:val="1"/>
                <w:bCs w:val="1"/>
                <w:color w:val="auto"/>
              </w:rPr>
              <w:t xml:space="preserve">NCGC </w:t>
            </w:r>
            <w:r>
              <w:rPr>
                <w:rFonts w:ascii="Arial" w:cs="Arial" w:eastAsia="Arial" w:hAnsi="Arial"/>
                <w:sz w:val="18"/>
                <w:szCs w:val="18"/>
                <w:color w:val="auto"/>
              </w:rPr>
              <w:t>= Nominating and Corporate Governance Committee</w:t>
            </w: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 ​</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left="52"/>
              <w:spacing w:after="0"/>
              <w:rPr>
                <w:sz w:val="20"/>
                <w:szCs w:val="20"/>
                <w:color w:val="auto"/>
              </w:rPr>
            </w:pPr>
            <w:r>
              <w:rPr>
                <w:rFonts w:ascii="Arial" w:cs="Arial" w:eastAsia="Arial" w:hAnsi="Arial"/>
                <w:sz w:val="18"/>
                <w:szCs w:val="18"/>
                <w:b w:val="1"/>
                <w:bCs w:val="1"/>
                <w:color w:val="auto"/>
                <w:w w:val="98"/>
              </w:rPr>
              <w:t xml:space="preserve">M </w:t>
            </w:r>
            <w:r>
              <w:rPr>
                <w:rFonts w:ascii="Arial" w:cs="Arial" w:eastAsia="Arial" w:hAnsi="Arial"/>
                <w:sz w:val="18"/>
                <w:szCs w:val="18"/>
                <w:color w:val="auto"/>
                <w:w w:val="98"/>
              </w:rPr>
              <w:t>= Member</w:t>
            </w:r>
          </w:p>
        </w:tc>
        <w:tc>
          <w:tcPr>
            <w:tcW w:w="28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CORPORATE GOVERNANCE HIGHLIGHTS</w:t>
      </w:r>
    </w:p>
    <w:p>
      <w:pPr>
        <w:spacing w:after="0" w:line="158"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The following table summarizes our current Board structure and key elements of our corporate governance framework:</w:t>
      </w:r>
    </w:p>
    <w:p>
      <w:pPr>
        <w:spacing w:after="0" w:line="125"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3320" w:type="dxa"/>
            <w:vAlign w:val="bottom"/>
            <w:tcBorders>
              <w:top w:val="single" w:sz="8" w:color="auto"/>
              <w:left w:val="single" w:sz="8" w:color="auto"/>
              <w:bottom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3120" w:type="dxa"/>
            <w:vAlign w:val="bottom"/>
            <w:tcBorders>
              <w:top w:val="single" w:sz="8" w:color="auto"/>
              <w:bottom w:val="single" w:sz="8" w:color="auto"/>
            </w:tcBorders>
            <w:shd w:val="clear" w:color="auto" w:fill="148CD9"/>
          </w:tcPr>
          <w:p>
            <w:pPr>
              <w:ind w:left="340"/>
              <w:spacing w:after="0"/>
              <w:rPr>
                <w:sz w:val="20"/>
                <w:szCs w:val="20"/>
                <w:color w:val="auto"/>
              </w:rPr>
            </w:pPr>
            <w:r>
              <w:rPr>
                <w:rFonts w:ascii="Arial" w:cs="Arial" w:eastAsia="Arial" w:hAnsi="Arial"/>
                <w:sz w:val="16"/>
                <w:szCs w:val="16"/>
                <w:b w:val="1"/>
                <w:bCs w:val="1"/>
                <w:color w:val="FFFFFF"/>
              </w:rPr>
              <w:t>GOVERNANCE ITEMS</w:t>
            </w:r>
          </w:p>
        </w:tc>
        <w:tc>
          <w:tcPr>
            <w:tcW w:w="1420" w:type="dxa"/>
            <w:vAlign w:val="bottom"/>
            <w:tcBorders>
              <w:top w:val="single" w:sz="8" w:color="auto"/>
              <w:bottom w:val="single" w:sz="8" w:color="auto"/>
            </w:tcBorders>
            <w:shd w:val="clear" w:color="auto" w:fill="148CD9"/>
          </w:tcPr>
          <w:p>
            <w:pPr>
              <w:spacing w:after="0"/>
              <w:rPr>
                <w:sz w:val="23"/>
                <w:szCs w:val="23"/>
                <w:color w:val="auto"/>
              </w:rPr>
            </w:pPr>
          </w:p>
        </w:tc>
        <w:tc>
          <w:tcPr>
            <w:tcW w:w="900" w:type="dxa"/>
            <w:vAlign w:val="bottom"/>
            <w:tcBorders>
              <w:top w:val="single" w:sz="8" w:color="auto"/>
              <w:bottom w:val="single" w:sz="8" w:color="auto"/>
            </w:tcBorders>
            <w:shd w:val="clear" w:color="auto" w:fill="148CD9"/>
          </w:tcPr>
          <w:p>
            <w:pPr>
              <w:spacing w:after="0"/>
              <w:rPr>
                <w:sz w:val="23"/>
                <w:szCs w:val="23"/>
                <w:color w:val="auto"/>
              </w:rPr>
            </w:pPr>
          </w:p>
        </w:tc>
        <w:tc>
          <w:tcPr>
            <w:tcW w:w="240" w:type="dxa"/>
            <w:vAlign w:val="bottom"/>
            <w:tcBorders>
              <w:top w:val="single" w:sz="8" w:color="auto"/>
              <w:bottom w:val="single" w:sz="8" w:color="auto"/>
              <w:right w:val="single" w:sz="8" w:color="auto"/>
            </w:tcBorders>
            <w:shd w:val="clear" w:color="auto" w:fill="148CD9"/>
          </w:tcPr>
          <w:p>
            <w:pPr>
              <w:ind w:left="160"/>
              <w:spacing w:after="0"/>
              <w:rPr>
                <w:sz w:val="20"/>
                <w:szCs w:val="20"/>
                <w:color w:val="auto"/>
              </w:rPr>
            </w:pPr>
            <w:r>
              <w:rPr>
                <w:rFonts w:ascii="Arial" w:cs="Arial" w:eastAsia="Arial" w:hAnsi="Arial"/>
                <w:sz w:val="16"/>
                <w:szCs w:val="16"/>
                <w:b w:val="1"/>
                <w:bCs w:val="1"/>
                <w:color w:val="FFFFFF"/>
              </w:rPr>
              <w:t>​</w:t>
            </w:r>
          </w:p>
        </w:tc>
      </w:tr>
      <w:tr>
        <w:trPr>
          <w:trHeight w:val="250"/>
        </w:trPr>
        <w:tc>
          <w:tcPr>
            <w:tcW w:w="332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Size of Board (set by the Board)</w:t>
            </w:r>
          </w:p>
        </w:tc>
        <w:tc>
          <w:tcPr>
            <w:tcW w:w="3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332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Number of Independent Directors</w:t>
            </w:r>
          </w:p>
        </w:tc>
        <w:tc>
          <w:tcPr>
            <w:tcW w:w="3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332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Independent Chairman of the Board</w:t>
            </w:r>
          </w:p>
        </w:tc>
        <w:tc>
          <w:tcPr>
            <w:tcW w:w="3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332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Board Self-Evaluation</w:t>
            </w:r>
          </w:p>
        </w:tc>
        <w:tc>
          <w:tcPr>
            <w:tcW w:w="3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Annual</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332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Review of Independence of Board</w:t>
            </w:r>
          </w:p>
        </w:tc>
        <w:tc>
          <w:tcPr>
            <w:tcW w:w="3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Annual</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644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Independent Directors Meet Without Management Present</w:t>
            </w: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644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Voting Standard for Election of Directors in Uncontested Elections</w:t>
            </w: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Plurality</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644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Diversity of Board background, gender, experience and skills</w:t>
            </w: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RECENT CORPORATE HIGHLIGHTS</w:t>
      </w:r>
    </w:p>
    <w:p>
      <w:pPr>
        <w:spacing w:after="0" w:line="144" w:lineRule="exact"/>
        <w:rPr>
          <w:sz w:val="20"/>
          <w:szCs w:val="20"/>
          <w:color w:val="auto"/>
        </w:rPr>
      </w:pPr>
    </w:p>
    <w:p>
      <w:pPr>
        <w:jc w:val="both"/>
        <w:ind w:left="1420" w:right="19" w:hanging="190"/>
        <w:spacing w:after="0" w:line="262"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November 2023, we announced a new worldwide license agreement and expansion of existing licenses with FUJIFILM Cellular Dynamics Inc., or FCDI, for the development and commercialization of cell therapies derived from iPSCs for the treatment of autoimmune and inflammatory diseases, including type 1 diabetes, multiple sclerosis, lupus, or SLE, and rheumatoid arthritis.</w:t>
      </w:r>
    </w:p>
    <w:p>
      <w:pPr>
        <w:spacing w:after="0" w:line="81" w:lineRule="exact"/>
        <w:rPr>
          <w:rFonts w:ascii="Arial" w:cs="Arial" w:eastAsia="Arial" w:hAnsi="Arial"/>
          <w:sz w:val="18"/>
          <w:szCs w:val="18"/>
          <w:color w:val="auto"/>
        </w:rPr>
      </w:pPr>
    </w:p>
    <w:p>
      <w:pPr>
        <w:ind w:left="1420" w:right="39" w:hanging="190"/>
        <w:spacing w:after="0" w:line="287"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December 2023, we appointed Brent Pfeiffenberger, Pharm.D. to serve as our President and Chief Executive Officer.</w:t>
      </w:r>
    </w:p>
    <w:p>
      <w:pPr>
        <w:spacing w:after="0" w:line="71" w:lineRule="exact"/>
        <w:rPr>
          <w:rFonts w:ascii="Arial" w:cs="Arial" w:eastAsia="Arial" w:hAnsi="Arial"/>
          <w:sz w:val="18"/>
          <w:szCs w:val="18"/>
          <w:color w:val="auto"/>
        </w:rPr>
      </w:pPr>
    </w:p>
    <w:p>
      <w:pPr>
        <w:jc w:val="both"/>
        <w:ind w:left="1420" w:right="19" w:hanging="190"/>
        <w:spacing w:after="0" w:line="262"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December 2023, we received FDA clearance for the Investigational New Drug, or IND, application of CNTY-101 in patients with moderate to severe SLE who have failed at least two standard immunosuppressive therapies. This represents the second IND clearance for CNTY-101 and the first in an autoimmune and inflammatory disease indication.</w:t>
      </w:r>
    </w:p>
    <w:p>
      <w:pPr>
        <w:spacing w:after="0" w:line="95" w:lineRule="exact"/>
        <w:rPr>
          <w:rFonts w:ascii="Arial" w:cs="Arial" w:eastAsia="Arial" w:hAnsi="Arial"/>
          <w:sz w:val="18"/>
          <w:szCs w:val="18"/>
          <w:color w:val="auto"/>
        </w:rPr>
      </w:pPr>
    </w:p>
    <w:p>
      <w:pPr>
        <w:ind w:left="1420" w:right="39" w:hanging="190"/>
        <w:spacing w:after="0" w:line="287"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2024, we presented preclinical data from our iPSC-derived cell therapy platform in six posters at the 2024 American Association for Cancer Research Annual Meeting in San Diego, California.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​SUMMARY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1420" w:right="39" w:hanging="190"/>
        <w:spacing w:after="0" w:line="262"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April 2024, we acquired Clade Therapeutics to further strengthen our pipeline with additional programs and platform technology that incorporate complementary, novel and differentiated advances in iPSC engineering. The aggregate purchase price of the acquisition was approximately $35 million upfront, comprised of $15 million in cash and approximately 4,535,333 shares of common stock.</w:t>
      </w:r>
    </w:p>
    <w:p>
      <w:pPr>
        <w:spacing w:after="0" w:line="68" w:lineRule="exact"/>
        <w:rPr>
          <w:rFonts w:ascii="Arial" w:cs="Arial" w:eastAsia="Arial" w:hAnsi="Arial"/>
          <w:sz w:val="18"/>
          <w:szCs w:val="18"/>
          <w:color w:val="auto"/>
        </w:rPr>
      </w:pPr>
    </w:p>
    <w:p>
      <w:pPr>
        <w:ind w:left="1420" w:right="39" w:hanging="190"/>
        <w:spacing w:after="0" w:line="28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April 2024, we completed a $60 million private placement where we issued 15,873,011 shares of common stock to certain institutional investors at a price per share of $3.78.</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rPr>
          <w:sz w:val="20"/>
          <w:szCs w:val="20"/>
          <w:color w:val="auto"/>
        </w:rPr>
      </w:pPr>
      <w:r>
        <w:rPr>
          <w:rFonts w:ascii="Arial" w:cs="Arial" w:eastAsia="Arial" w:hAnsi="Arial"/>
          <w:sz w:val="32"/>
          <w:szCs w:val="32"/>
          <w:b w:val="1"/>
          <w:bCs w:val="1"/>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12"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SUMMARY</w:t>
      </w:r>
      <w:r>
        <w:rPr>
          <w:rFonts w:ascii="Arial" w:cs="Arial" w:eastAsia="Arial" w:hAnsi="Arial"/>
          <w:sz w:val="18"/>
          <w:szCs w:val="18"/>
          <w:color w:val="000000"/>
        </w:rPr>
        <w:t>​</w:t>
      </w:r>
      <w:r>
        <w:rPr>
          <w:rFonts w:ascii="Arial" w:cs="Arial" w:eastAsia="Arial" w:hAnsi="Arial"/>
          <w:sz w:val="18"/>
          <w:szCs w:val="18"/>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-110490</wp:posOffset>
            </wp:positionV>
            <wp:extent cx="5700395"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0395" cy="120015"/>
                    </a:xfrm>
                    <a:prstGeom prst="rect">
                      <a:avLst/>
                    </a:prstGeom>
                    <a:noFill/>
                  </pic:spPr>
                </pic:pic>
              </a:graphicData>
            </a:graphic>
          </wp:anchor>
        </w:drawing>
      </w:r>
    </w:p>
    <w:p>
      <w:pPr>
        <w:spacing w:after="0" w:line="25" w:lineRule="exact"/>
        <w:rPr>
          <w:sz w:val="20"/>
          <w:szCs w:val="20"/>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CORPORATE GOVERNANCE HIGHLIGHTS</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RECENT CORPORATE HIGHLIGHTS</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-313055</wp:posOffset>
            </wp:positionV>
            <wp:extent cx="570039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12065</wp:posOffset>
            </wp:positionV>
            <wp:extent cx="5700395"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214630"/>
                    </a:xfrm>
                    <a:prstGeom prst="rect">
                      <a:avLst/>
                    </a:prstGeom>
                    <a:noFill/>
                  </pic:spPr>
                </pic:pic>
              </a:graphicData>
            </a:graphic>
          </wp:anchor>
        </w:drawing>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GENERAL</w:t>
      </w:r>
      <w:r>
        <w:rPr>
          <w:rFonts w:ascii="Arial" w:cs="Arial" w:eastAsia="Arial" w:hAnsi="Arial"/>
          <w:sz w:val="18"/>
          <w:szCs w:val="18"/>
          <w:color w:val="000000"/>
        </w:rPr>
        <w:t>​</w:t>
      </w:r>
      <w:r>
        <w:rPr>
          <w:rFonts w:ascii="Arial" w:cs="Arial" w:eastAsia="Arial" w:hAnsi="Arial"/>
          <w:sz w:val="18"/>
          <w:szCs w:val="18"/>
          <w:color w:val="0000EE"/>
        </w:rPr>
        <w:t xml:space="preserve"> INFORMATION ABOUT THE MEETING</w:t>
      </w:r>
    </w:p>
    <w:p>
      <w:pPr>
        <w:spacing w:after="0" w:line="59" w:lineRule="exact"/>
        <w:rPr>
          <w:sz w:val="20"/>
          <w:szCs w:val="20"/>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PROXY SOLICITATION</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STOCKHOLDERS ENTITLED TO VOTE</w:t>
      </w:r>
    </w:p>
    <w:p>
      <w:pPr>
        <w:spacing w:after="0" w:line="5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VOTING METHODS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HOW YOUR SHARES WILL BE VOTED</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BROKER VOTING AND VOTES REQUIRED FOR EACH PROPOSAL</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QUORUM</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PROXY SOLICITATION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-1002030</wp:posOffset>
            </wp:positionV>
            <wp:extent cx="570039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-667385</wp:posOffset>
            </wp:positionV>
            <wp:extent cx="57003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-324485</wp:posOffset>
            </wp:positionV>
            <wp:extent cx="57003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BOARD</w:t>
      </w:r>
      <w:r>
        <w:rPr>
          <w:rFonts w:ascii="Arial" w:cs="Arial" w:eastAsia="Arial" w:hAnsi="Arial"/>
          <w:sz w:val="18"/>
          <w:szCs w:val="18"/>
          <w:color w:val="000000"/>
        </w:rPr>
        <w:t>​</w:t>
      </w:r>
      <w:r>
        <w:rPr>
          <w:rFonts w:ascii="Arial" w:cs="Arial" w:eastAsia="Arial" w:hAnsi="Arial"/>
          <w:sz w:val="18"/>
          <w:szCs w:val="18"/>
          <w:color w:val="0000EE"/>
        </w:rPr>
        <w:t xml:space="preserve"> OF DIRECTORS</w:t>
      </w:r>
    </w:p>
    <w:p>
      <w:pPr>
        <w:spacing w:after="0" w:line="63" w:lineRule="exact"/>
        <w:rPr>
          <w:sz w:val="20"/>
          <w:szCs w:val="20"/>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BOARD STRUCTURE AND COMPOSITION</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CRITERIA FOR BOARD MEMBERSHIP</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SELECTION OF CANDIDATES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BOARD DIVERSITY</w:t>
      </w:r>
    </w:p>
    <w:p>
      <w:pPr>
        <w:spacing w:after="0" w:line="58"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7"/>
          <w:szCs w:val="17"/>
          <w:u w:val="single" w:color="auto"/>
          <w:color w:val="0000EE"/>
        </w:rPr>
        <w:t>BOARD OVERSIGHT OF COMPANY CULTURE AND ENVIRONMENTAL, SOCIAL AND</w:t>
      </w:r>
    </w:p>
    <w:p>
      <w:pPr>
        <w:spacing w:after="0" w:line="29"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GOVERNANCE HIGHLIGHTS</w:t>
      </w:r>
    </w:p>
    <w:p>
      <w:pPr>
        <w:spacing w:after="0" w:line="58"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-975995</wp:posOffset>
            </wp:positionV>
            <wp:extent cx="570039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-633095</wp:posOffset>
            </wp:positionV>
            <wp:extent cx="57003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-153035</wp:posOffset>
            </wp:positionV>
            <wp:extent cx="570039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CORPORATE</w:t>
      </w:r>
      <w:r>
        <w:rPr>
          <w:rFonts w:ascii="Arial" w:cs="Arial" w:eastAsia="Arial" w:hAnsi="Arial"/>
          <w:sz w:val="18"/>
          <w:szCs w:val="18"/>
          <w:color w:val="000000"/>
        </w:rPr>
        <w:t>​</w:t>
      </w:r>
      <w:r>
        <w:rPr>
          <w:rFonts w:ascii="Arial" w:cs="Arial" w:eastAsia="Arial" w:hAnsi="Arial"/>
          <w:sz w:val="18"/>
          <w:szCs w:val="18"/>
          <w:color w:val="0000EE"/>
        </w:rPr>
        <w:t xml:space="preserve"> GOVERNANCE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96850"/>
                    </a:xfrm>
                    <a:prstGeom prst="rect">
                      <a:avLst/>
                    </a:prstGeom>
                    <a:noFill/>
                  </pic:spPr>
                </pic:pic>
              </a:graphicData>
            </a:graphic>
          </wp:anchor>
        </w:drawing>
      </w:r>
    </w:p>
    <w:p>
      <w:pPr>
        <w:spacing w:after="0" w:line="43" w:lineRule="exact"/>
        <w:rPr>
          <w:sz w:val="20"/>
          <w:szCs w:val="20"/>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BOARD INDEPENDENCE</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BOARD LEADERSHIP STRUCTURE</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BOARD COMMITTEES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RISK MANAGEMENT</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EVALUATING BOARD EFFECTIVENESS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CODE OF BUSINESS CONDUCT AND ETHICS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DIRECTOR ORIENTATION AND CONTINUING EDUCATION</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CORPORATE GOVERNANCE GUIDELINES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COMPENSATION CONSULTANT</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COMPENSATION COMMITTEE INTERLOCKS AND INSIDER PARTICIPATION</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FAMILY RELATIONSHIPS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-1696085</wp:posOffset>
            </wp:positionV>
            <wp:extent cx="570039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-1353185</wp:posOffset>
            </wp:positionV>
            <wp:extent cx="570039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-1010285</wp:posOffset>
            </wp:positionV>
            <wp:extent cx="570039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-667385</wp:posOffset>
            </wp:positionV>
            <wp:extent cx="570039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-324485</wp:posOffset>
            </wp:positionV>
            <wp:extent cx="570039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DIRECTOR</w:t>
      </w:r>
      <w:r>
        <w:rPr>
          <w:rFonts w:ascii="Arial" w:cs="Arial" w:eastAsia="Arial" w:hAnsi="Arial"/>
          <w:sz w:val="18"/>
          <w:szCs w:val="18"/>
          <w:color w:val="000000"/>
        </w:rPr>
        <w:t>​</w:t>
      </w:r>
      <w:r>
        <w:rPr>
          <w:rFonts w:ascii="Arial" w:cs="Arial" w:eastAsia="Arial" w:hAnsi="Arial"/>
          <w:sz w:val="18"/>
          <w:szCs w:val="18"/>
          <w:color w:val="0000EE"/>
        </w:rPr>
        <w:t xml:space="preserve"> COMPENSATION</w:t>
      </w:r>
    </w:p>
    <w:p>
      <w:pPr>
        <w:spacing w:after="0" w:line="63" w:lineRule="exact"/>
        <w:rPr>
          <w:sz w:val="20"/>
          <w:szCs w:val="20"/>
          <w:color w:val="auto"/>
        </w:rPr>
      </w:pPr>
    </w:p>
    <w:p>
      <w:pPr>
        <w:ind w:left="1600" w:hanging="730"/>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INDEPENDENT</w:t>
      </w:r>
      <w:r>
        <w:rPr>
          <w:rFonts w:ascii="Arial" w:cs="Arial" w:eastAsia="Arial" w:hAnsi="Arial"/>
          <w:sz w:val="18"/>
          <w:szCs w:val="18"/>
          <w:color w:val="000000"/>
        </w:rPr>
        <w:t>​</w:t>
      </w:r>
      <w:r>
        <w:rPr>
          <w:rFonts w:ascii="Arial" w:cs="Arial" w:eastAsia="Arial" w:hAnsi="Arial"/>
          <w:sz w:val="18"/>
          <w:szCs w:val="18"/>
          <w:color w:val="0000EE"/>
        </w:rPr>
        <w:t xml:space="preserve"> REGISTERED PUBLIC ACCOUNTING FIRM</w:t>
      </w:r>
    </w:p>
    <w:p>
      <w:pPr>
        <w:spacing w:after="0" w:line="63" w:lineRule="exact"/>
        <w:rPr>
          <w:sz w:val="20"/>
          <w:szCs w:val="20"/>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INDEPENDENT REGISTERED PUBLIC ACCOUNTING FIRM FEES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AUDIT COMMITTEE 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-153035</wp:posOffset>
            </wp:positionV>
            <wp:extent cx="570039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AUDIT</w:t>
      </w:r>
      <w:r>
        <w:rPr>
          <w:rFonts w:ascii="Arial" w:cs="Arial" w:eastAsia="Arial" w:hAnsi="Arial"/>
          <w:sz w:val="18"/>
          <w:szCs w:val="18"/>
          <w:color w:val="000000"/>
        </w:rPr>
        <w:t>​</w:t>
      </w:r>
      <w:r>
        <w:rPr>
          <w:rFonts w:ascii="Arial" w:cs="Arial" w:eastAsia="Arial" w:hAnsi="Arial"/>
          <w:sz w:val="18"/>
          <w:szCs w:val="18"/>
          <w:color w:val="0000EE"/>
        </w:rPr>
        <w:t xml:space="preserve">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248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2482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EXECUTIVE</w:t>
      </w:r>
      <w:r>
        <w:rPr>
          <w:rFonts w:ascii="Arial" w:cs="Arial" w:eastAsia="Arial" w:hAnsi="Arial"/>
          <w:sz w:val="18"/>
          <w:szCs w:val="18"/>
          <w:color w:val="000000"/>
        </w:rPr>
        <w:t>​</w:t>
      </w:r>
      <w:r>
        <w:rPr>
          <w:rFonts w:ascii="Arial" w:cs="Arial" w:eastAsia="Arial" w:hAnsi="Arial"/>
          <w:sz w:val="18"/>
          <w:szCs w:val="18"/>
          <w:color w:val="0000EE"/>
        </w:rPr>
        <w:t xml:space="preser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7"/>
        </w:trPr>
        <w:tc>
          <w:tcPr>
            <w:tcW w:w="260" w:type="dxa"/>
            <w:vAlign w:val="bottom"/>
          </w:tcPr>
          <w:p>
            <w:pPr>
              <w:spacing w:after="0"/>
              <w:rPr>
                <w:sz w:val="24"/>
                <w:szCs w:val="24"/>
                <w:color w:val="auto"/>
              </w:rPr>
            </w:pPr>
          </w:p>
        </w:tc>
        <w:tc>
          <w:tcPr>
            <w:tcW w:w="220" w:type="dxa"/>
            <w:vAlign w:val="bottom"/>
            <w:gridSpan w:val="4"/>
          </w:tcPr>
          <w:p>
            <w:pPr>
              <w:jc w:val="center"/>
              <w:spacing w:after="0"/>
              <w:rPr>
                <w:sz w:val="20"/>
                <w:szCs w:val="20"/>
                <w:color w:val="auto"/>
              </w:rPr>
            </w:pPr>
            <w:r>
              <w:rPr>
                <w:rFonts w:ascii="Arial" w:cs="Arial" w:eastAsia="Arial" w:hAnsi="Arial"/>
                <w:sz w:val="32"/>
                <w:szCs w:val="32"/>
                <w:b w:val="1"/>
                <w:bCs w:val="1"/>
                <w:color w:val="FFFFFF"/>
              </w:rPr>
              <w:t>​</w:t>
            </w:r>
          </w:p>
        </w:tc>
      </w:tr>
      <w:tr>
        <w:trPr>
          <w:trHeight w:val="496"/>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0000EE"/>
              </w:rPr>
              <w:t>i</w:t>
            </w:r>
            <w:r>
              <w:rPr>
                <w:rFonts w:ascii="Arial" w:cs="Arial" w:eastAsia="Arial" w:hAnsi="Arial"/>
                <w:sz w:val="18"/>
                <w:szCs w:val="18"/>
                <w:color w:val="000000"/>
              </w:rPr>
              <w:t>​</w:t>
            </w:r>
          </w:p>
        </w:tc>
      </w:tr>
      <w:tr>
        <w:trPr>
          <w:trHeight w:val="194"/>
        </w:trPr>
        <w:tc>
          <w:tcPr>
            <w:tcW w:w="260" w:type="dxa"/>
            <w:vAlign w:val="bottom"/>
          </w:tcPr>
          <w:p>
            <w:pPr>
              <w:spacing w:after="0" w:line="188"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EE"/>
            </w:tcBorders>
          </w:tcPr>
          <w:p>
            <w:pPr>
              <w:jc w:val="center"/>
              <w:spacing w:after="0" w:line="175" w:lineRule="exact"/>
              <w:rPr>
                <w:sz w:val="20"/>
                <w:szCs w:val="20"/>
                <w:color w:val="auto"/>
              </w:rPr>
            </w:pPr>
            <w:r>
              <w:rPr>
                <w:rFonts w:ascii="Arial" w:cs="Arial" w:eastAsia="Arial" w:hAnsi="Arial"/>
                <w:sz w:val="18"/>
                <w:szCs w:val="18"/>
                <w:color w:val="0000EE"/>
                <w:w w:val="99"/>
              </w:rPr>
              <w:t>ii</w:t>
            </w:r>
          </w:p>
        </w:tc>
        <w:tc>
          <w:tcPr>
            <w:tcW w:w="6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r>
      <w:tr>
        <w:trPr>
          <w:trHeight w:val="237"/>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9"/>
              </w:rPr>
              <w:t>ii</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88"/>
              </w:rPr>
              <w:t>v</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1"/>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0000EE"/>
              </w:rPr>
              <w:t>7</w:t>
            </w:r>
            <w:r>
              <w:rPr>
                <w:rFonts w:ascii="Arial" w:cs="Arial" w:eastAsia="Arial" w:hAnsi="Arial"/>
                <w:sz w:val="18"/>
                <w:szCs w:val="18"/>
                <w:color w:val="000000"/>
              </w:rPr>
              <w:t>​</w:t>
            </w:r>
          </w:p>
        </w:tc>
      </w:tr>
      <w:tr>
        <w:trPr>
          <w:trHeight w:val="264"/>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00" w:type="dxa"/>
            <w:vAlign w:val="bottom"/>
            <w:tcBorders>
              <w:top w:val="single" w:sz="8" w:color="0000EE"/>
              <w:bottom w:val="single" w:sz="8" w:color="0000EE"/>
            </w:tcBorders>
            <w:gridSpan w:val="2"/>
          </w:tcPr>
          <w:p>
            <w:pPr>
              <w:jc w:val="center"/>
              <w:spacing w:after="0"/>
              <w:rPr>
                <w:sz w:val="20"/>
                <w:szCs w:val="20"/>
                <w:color w:val="auto"/>
              </w:rPr>
            </w:pPr>
            <w:r>
              <w:rPr>
                <w:rFonts w:ascii="Arial" w:cs="Arial" w:eastAsia="Arial" w:hAnsi="Arial"/>
                <w:sz w:val="18"/>
                <w:szCs w:val="18"/>
                <w:color w:val="0000EE"/>
                <w:w w:val="99"/>
              </w:rPr>
              <w:t>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13</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13</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14</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14</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16</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17</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19</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21</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22</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700" w:space="720"/>
            <w:col w:w="480"/>
          </w:cols>
          <w:pgMar w:left="580" w:top="97" w:right="1419" w:bottom="1440" w:gutter="0" w:footer="0" w:header="0"/>
        </w:sectPr>
      </w:pPr>
    </w:p>
    <w:p>
      <w:pPr>
        <w:spacing w:after="0" w:line="133"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​TABLE OF CONTENTS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332"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EXECUTIVE</w:t>
      </w:r>
      <w:r>
        <w:rPr>
          <w:rFonts w:ascii="Arial" w:cs="Arial" w:eastAsia="Arial" w:hAnsi="Arial"/>
          <w:sz w:val="18"/>
          <w:szCs w:val="18"/>
          <w:color w:val="000000"/>
        </w:rPr>
        <w:t>​</w:t>
      </w:r>
      <w:r>
        <w:rPr>
          <w:rFonts w:ascii="Arial" w:cs="Arial" w:eastAsia="Arial" w:hAnsi="Arial"/>
          <w:sz w:val="18"/>
          <w:szCs w:val="18"/>
          <w:color w:val="0000EE"/>
        </w:rPr>
        <w:t xml:space="preser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-110490</wp:posOffset>
            </wp:positionV>
            <wp:extent cx="570039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20015"/>
                    </a:xfrm>
                    <a:prstGeom prst="rect">
                      <a:avLst/>
                    </a:prstGeom>
                    <a:noFill/>
                  </pic:spPr>
                </pic:pic>
              </a:graphicData>
            </a:graphic>
          </wp:anchor>
        </w:drawing>
      </w:r>
    </w:p>
    <w:p>
      <w:pPr>
        <w:spacing w:after="0" w:line="25" w:lineRule="exact"/>
        <w:rPr>
          <w:sz w:val="20"/>
          <w:szCs w:val="20"/>
          <w:color w:val="auto"/>
        </w:rPr>
      </w:pPr>
    </w:p>
    <w:p>
      <w:pPr>
        <w:ind w:left="1600" w:hanging="730"/>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SUMMARY COMPENSATION TABLE</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PLEDGING AND HEDGING POLICIES</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COMPENSATION RECOVERY POLICY</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OUTSTANDING EQUITY AWARDS AT FISCAL YEAR-END</w:t>
      </w:r>
    </w:p>
    <w:p>
      <w:pPr>
        <w:spacing w:after="0" w:line="53" w:lineRule="exact"/>
        <w:rPr>
          <w:rFonts w:ascii="Arial" w:cs="Arial" w:eastAsia="Arial" w:hAnsi="Arial"/>
          <w:sz w:val="18"/>
          <w:szCs w:val="18"/>
          <w:color w:val="auto"/>
        </w:rPr>
      </w:pPr>
    </w:p>
    <w:p>
      <w:pPr>
        <w:ind w:left="1600" w:hanging="730"/>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-641985</wp:posOffset>
            </wp:positionV>
            <wp:extent cx="570039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-316230</wp:posOffset>
            </wp:positionV>
            <wp:extent cx="570039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CERTAIN</w:t>
      </w:r>
      <w:r>
        <w:rPr>
          <w:rFonts w:ascii="Arial" w:cs="Arial" w:eastAsia="Arial" w:hAnsi="Arial"/>
          <w:sz w:val="18"/>
          <w:szCs w:val="18"/>
          <w:color w:val="000000"/>
        </w:rPr>
        <w:t>​</w:t>
      </w:r>
      <w:r>
        <w:rPr>
          <w:rFonts w:ascii="Arial" w:cs="Arial" w:eastAsia="Arial" w:hAnsi="Arial"/>
          <w:sz w:val="18"/>
          <w:szCs w:val="18"/>
          <w:color w:val="0000EE"/>
        </w:rPr>
        <w:t xml:space="preserve"> RELATIONSHIPS AND RELATED PARTY TRANSACTIONS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EQUITY</w:t>
      </w:r>
      <w:r>
        <w:rPr>
          <w:rFonts w:ascii="Arial" w:cs="Arial" w:eastAsia="Arial" w:hAnsi="Arial"/>
          <w:sz w:val="18"/>
          <w:szCs w:val="18"/>
          <w:color w:val="000000"/>
        </w:rPr>
        <w:t>​</w:t>
      </w:r>
      <w:r>
        <w:rPr>
          <w:rFonts w:ascii="Arial" w:cs="Arial" w:eastAsia="Arial" w:hAnsi="Arial"/>
          <w:sz w:val="18"/>
          <w:szCs w:val="18"/>
          <w:color w:val="0000EE"/>
        </w:rPr>
        <w:t xml:space="preserve">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248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248920"/>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SECURITY</w:t>
      </w:r>
      <w:r>
        <w:rPr>
          <w:rFonts w:ascii="Arial" w:cs="Arial" w:eastAsia="Arial" w:hAnsi="Arial"/>
          <w:sz w:val="18"/>
          <w:szCs w:val="18"/>
          <w:color w:val="000000"/>
        </w:rPr>
        <w:t>​</w:t>
      </w:r>
      <w:r>
        <w:rPr>
          <w:rFonts w:ascii="Arial" w:cs="Arial" w:eastAsia="Arial" w:hAnsi="Arial"/>
          <w:sz w:val="18"/>
          <w:szCs w:val="18"/>
          <w:color w:val="0000EE"/>
        </w:rPr>
        <w:t xml:space="preserve"> OWNERSHIP OF CERTAIN BENEFICIAL OWNERS AND MANAGEMENT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ITEMS</w:t>
      </w:r>
      <w:r>
        <w:rPr>
          <w:rFonts w:ascii="Arial" w:cs="Arial" w:eastAsia="Arial" w:hAnsi="Arial"/>
          <w:sz w:val="18"/>
          <w:szCs w:val="18"/>
          <w:color w:val="000000"/>
        </w:rPr>
        <w:t>​</w:t>
      </w:r>
      <w:r>
        <w:rPr>
          <w:rFonts w:ascii="Arial" w:cs="Arial" w:eastAsia="Arial" w:hAnsi="Arial"/>
          <w:sz w:val="18"/>
          <w:szCs w:val="18"/>
          <w:color w:val="0000EE"/>
        </w:rPr>
        <w:t xml:space="preserve">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3346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334645"/>
                    </a:xfrm>
                    <a:prstGeom prst="rect">
                      <a:avLst/>
                    </a:prstGeom>
                    <a:noFill/>
                  </pic:spPr>
                </pic:pic>
              </a:graphicData>
            </a:graphic>
          </wp:anchor>
        </w:drawing>
      </w:r>
    </w:p>
    <w:p>
      <w:pPr>
        <w:spacing w:after="0" w:line="39"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0000EE"/>
        </w:rPr>
        <w:t>PROPOSAL 1: ELECTION OF CLASS III DIRECTORS FOR A THREE-YEAR TERM</w:t>
      </w:r>
    </w:p>
    <w:p>
      <w:pPr>
        <w:spacing w:after="0" w:line="18" w:lineRule="exact"/>
        <w:rPr>
          <w:sz w:val="20"/>
          <w:szCs w:val="20"/>
          <w:color w:val="auto"/>
        </w:rPr>
      </w:pPr>
    </w:p>
    <w:p>
      <w:pPr>
        <w:ind w:left="1600" w:hanging="73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EXPIRING IN 2027</w:t>
      </w:r>
    </w:p>
    <w:p>
      <w:pPr>
        <w:spacing w:after="0" w:line="45"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u w:val="single" w:color="auto"/>
          <w:color w:val="0000EE"/>
        </w:rPr>
        <w:t>PROPOSAL 2: RATIFICATION OF APPOINTMENT OF ERNST &amp; YOUNG LLP AS OUR</w:t>
      </w:r>
    </w:p>
    <w:p>
      <w:pPr>
        <w:spacing w:after="0" w:line="27" w:lineRule="exact"/>
        <w:rPr>
          <w:rFonts w:ascii="Arial" w:cs="Arial" w:eastAsia="Arial" w:hAnsi="Arial"/>
          <w:sz w:val="18"/>
          <w:szCs w:val="18"/>
          <w:color w:val="auto"/>
        </w:rPr>
      </w:pPr>
    </w:p>
    <w:p>
      <w:pPr>
        <w:ind w:left="1600" w:hanging="73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INDEPENDENT REGISTERED PUBLIC ACCOUNTING FIRM FOR 2024</w:t>
      </w:r>
    </w:p>
    <w:p>
      <w:pPr>
        <w:spacing w:after="0" w:line="45" w:lineRule="exact"/>
        <w:rPr>
          <w:rFonts w:ascii="Arial" w:cs="Arial" w:eastAsia="Arial" w:hAnsi="Arial"/>
          <w:sz w:val="18"/>
          <w:szCs w:val="18"/>
          <w:color w:val="auto"/>
        </w:rPr>
      </w:pPr>
    </w:p>
    <w:p>
      <w:pPr>
        <w:ind w:left="1600" w:right="420"/>
        <w:spacing w:after="0" w:line="272" w:lineRule="auto"/>
        <w:rPr>
          <w:rFonts w:ascii="Arial" w:cs="Arial" w:eastAsia="Arial" w:hAnsi="Arial"/>
          <w:sz w:val="18"/>
          <w:szCs w:val="18"/>
          <w:color w:val="auto"/>
        </w:rPr>
      </w:pPr>
      <w:r>
        <w:rPr>
          <w:rFonts w:ascii="Arial" w:cs="Arial" w:eastAsia="Arial" w:hAnsi="Arial"/>
          <w:sz w:val="17"/>
          <w:szCs w:val="17"/>
          <w:u w:val="single" w:color="auto"/>
          <w:color w:val="0000EE"/>
        </w:rPr>
        <w:t>PROPOSAL 3: APPROVAL OF AN AMENDMENT TO OUR SECOND AMENDED AND RESTATED CERTIFICATE OF INCORPORATION TO LIMIT THE LIABILITY OF CERTAIN OFFICERS OF THE COMPANY AS PERMITTED BY RECENT AMENDMENTS</w:t>
      </w:r>
    </w:p>
    <w:p>
      <w:pPr>
        <w:spacing w:after="0" w:line="1" w:lineRule="exact"/>
        <w:rPr>
          <w:rFonts w:ascii="Arial" w:cs="Arial" w:eastAsia="Arial" w:hAnsi="Arial"/>
          <w:sz w:val="18"/>
          <w:szCs w:val="18"/>
          <w:color w:val="auto"/>
        </w:rPr>
      </w:pPr>
    </w:p>
    <w:p>
      <w:pPr>
        <w:ind w:left="1600" w:hanging="73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TO DELAWARE LAW</w:t>
      </w:r>
    </w:p>
    <w:p>
      <w:pPr>
        <w:spacing w:after="0" w:line="45" w:lineRule="exact"/>
        <w:rPr>
          <w:rFonts w:ascii="Arial" w:cs="Arial" w:eastAsia="Arial" w:hAnsi="Arial"/>
          <w:sz w:val="18"/>
          <w:szCs w:val="18"/>
          <w:color w:val="auto"/>
        </w:rPr>
      </w:pPr>
    </w:p>
    <w:p>
      <w:pPr>
        <w:ind w:left="1600" w:right="80"/>
        <w:spacing w:after="0" w:line="276" w:lineRule="auto"/>
        <w:rPr>
          <w:rFonts w:ascii="Arial" w:cs="Arial" w:eastAsia="Arial" w:hAnsi="Arial"/>
          <w:sz w:val="18"/>
          <w:szCs w:val="18"/>
          <w:color w:val="auto"/>
        </w:rPr>
      </w:pPr>
      <w:r>
        <w:rPr>
          <w:rFonts w:ascii="Arial" w:cs="Arial" w:eastAsia="Arial" w:hAnsi="Arial"/>
          <w:sz w:val="17"/>
          <w:szCs w:val="17"/>
          <w:u w:val="single" w:color="auto"/>
          <w:color w:val="0000EE"/>
        </w:rPr>
        <w:t>PROPOSAL 4: ADJOURNMENT OF THE ANNUAL MEETING TO THE EXTENT THERE ARE INSUFFICIENT VOTES AT THE ANNUAL MEETING TO APPROVE THE IMMEDIATELY</w:t>
      </w:r>
    </w:p>
    <w:p>
      <w:pPr>
        <w:ind w:left="1600" w:hanging="73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PRECEDING PROCPSAL.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-1013460</wp:posOffset>
            </wp:positionV>
            <wp:extent cx="5700395" cy="582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58293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14605</wp:posOffset>
            </wp:positionV>
            <wp:extent cx="5700395"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OTHER</w:t>
      </w:r>
      <w:r>
        <w:rPr>
          <w:rFonts w:ascii="Arial" w:cs="Arial" w:eastAsia="Arial" w:hAnsi="Arial"/>
          <w:sz w:val="18"/>
          <w:szCs w:val="18"/>
          <w:color w:val="000000"/>
        </w:rPr>
        <w:t>​</w:t>
      </w:r>
      <w:r>
        <w:rPr>
          <w:rFonts w:ascii="Arial" w:cs="Arial" w:eastAsia="Arial" w:hAnsi="Arial"/>
          <w:sz w:val="18"/>
          <w:szCs w:val="18"/>
          <w:color w:val="0000EE"/>
        </w:rPr>
        <w:t xml:space="preserve"> INFORMATION</w:t>
      </w:r>
    </w:p>
    <w:p>
      <w:pPr>
        <w:spacing w:after="0" w:line="63" w:lineRule="exact"/>
        <w:rPr>
          <w:sz w:val="20"/>
          <w:szCs w:val="20"/>
          <w:color w:val="auto"/>
        </w:rPr>
      </w:pPr>
    </w:p>
    <w:p>
      <w:pPr>
        <w:ind w:left="1600" w:hanging="73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OTHER MATTERS</w:t>
      </w:r>
    </w:p>
    <w:p>
      <w:pPr>
        <w:spacing w:after="0" w:line="58"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7"/>
          <w:szCs w:val="17"/>
          <w:u w:val="single" w:color="auto"/>
          <w:color w:val="0000EE"/>
        </w:rPr>
        <w:t>REQUIREMENTS FOR SUBMISSION OF STOCKHOLDER PROPOSALS FOR NEXT YEAR’S</w:t>
      </w:r>
    </w:p>
    <w:p>
      <w:pPr>
        <w:spacing w:after="0" w:line="29" w:lineRule="exact"/>
        <w:rPr>
          <w:rFonts w:ascii="Arial" w:cs="Arial" w:eastAsia="Arial" w:hAnsi="Arial"/>
          <w:sz w:val="18"/>
          <w:szCs w:val="18"/>
          <w:color w:val="auto"/>
        </w:rPr>
      </w:pPr>
    </w:p>
    <w:p>
      <w:pPr>
        <w:ind w:left="1600" w:hanging="73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ANNUAL MEETING</w:t>
      </w:r>
    </w:p>
    <w:p>
      <w:pPr>
        <w:spacing w:after="0" w:line="58" w:lineRule="exact"/>
        <w:rPr>
          <w:rFonts w:ascii="Arial" w:cs="Arial" w:eastAsia="Arial" w:hAnsi="Arial"/>
          <w:sz w:val="18"/>
          <w:szCs w:val="18"/>
          <w:color w:val="auto"/>
        </w:rPr>
      </w:pPr>
    </w:p>
    <w:p>
      <w:pPr>
        <w:ind w:left="1600" w:hanging="73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STOCKHOLDER COMMUNICATIONS TO THE BOARD</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AVAILABILITY OF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-633095</wp:posOffset>
            </wp:positionV>
            <wp:extent cx="5700395"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0395" cy="30861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-153035</wp:posOffset>
            </wp:positionV>
            <wp:extent cx="570039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24</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24</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27</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27</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27</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28</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32</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35</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36</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38</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38</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40</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43</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43</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43</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43</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44</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160" w:space="260"/>
            <w:col w:w="480"/>
          </w:cols>
          <w:pgMar w:left="580" w:top="97" w:right="1419" w:bottom="1440" w:gutter="0" w:footer="0" w:header="0"/>
          <w:type w:val="continuous"/>
        </w:sectPr>
      </w:pP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STATEMENT</w:t>
      </w:r>
    </w:p>
    <w:p>
      <w:pPr>
        <w:spacing w:after="0" w:line="158" w:lineRule="exact"/>
        <w:rPr>
          <w:sz w:val="20"/>
          <w:szCs w:val="20"/>
          <w:color w:val="auto"/>
        </w:rPr>
      </w:pPr>
    </w:p>
    <w:p>
      <w:pPr>
        <w:jc w:val="both"/>
        <w:ind w:left="880" w:right="40"/>
        <w:spacing w:after="0" w:line="259" w:lineRule="auto"/>
        <w:rPr>
          <w:sz w:val="20"/>
          <w:szCs w:val="20"/>
          <w:color w:val="auto"/>
        </w:rPr>
      </w:pPr>
      <w:r>
        <w:rPr>
          <w:rFonts w:ascii="Arial" w:cs="Arial" w:eastAsia="Arial" w:hAnsi="Arial"/>
          <w:sz w:val="18"/>
          <w:szCs w:val="18"/>
          <w:color w:val="auto"/>
        </w:rPr>
        <w:t>This Proxy Statement, with the enclosed proxy card, is being furnished to stockholders of Century Therapeutics, Inc. in connection with the solicitation by our Board of proxies to be voted at our Annual Meeting and at any postponements or adjournments thereof. The Annual Meeting will be held on Thursday, June 20, 2024, at 9:00 a.m., Eastern Time, via the Internet at https://web.lumiconnect.com/265375813, using the password century2024.</w:t>
      </w:r>
    </w:p>
    <w:p>
      <w:pPr>
        <w:spacing w:after="0" w:line="112" w:lineRule="exact"/>
        <w:rPr>
          <w:sz w:val="20"/>
          <w:szCs w:val="20"/>
          <w:color w:val="auto"/>
        </w:rPr>
      </w:pPr>
    </w:p>
    <w:p>
      <w:pPr>
        <w:jc w:val="both"/>
        <w:ind w:left="880" w:right="60"/>
        <w:spacing w:after="0" w:line="268" w:lineRule="auto"/>
        <w:rPr>
          <w:sz w:val="20"/>
          <w:szCs w:val="20"/>
          <w:color w:val="auto"/>
        </w:rPr>
      </w:pPr>
      <w:r>
        <w:rPr>
          <w:rFonts w:ascii="Arial" w:cs="Arial" w:eastAsia="Arial" w:hAnsi="Arial"/>
          <w:sz w:val="18"/>
          <w:szCs w:val="18"/>
          <w:color w:val="auto"/>
        </w:rPr>
        <w:t>This Proxy Statement and the enclosed proxy card are first being furnished to our stockholders on or about April 25, 2024. The Notice of Internet Availability of Proxy Materials being mailed to the stockholders is not part of the Proxy Statement.</w:t>
      </w:r>
    </w:p>
    <w:p>
      <w:pPr>
        <w:sectPr>
          <w:pgSz w:w="11900" w:h="16838" w:orient="portrait"/>
          <w:cols w:equalWidth="0" w:num="1">
            <w:col w:w="990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​GENERAL INFORMATION ABOUT THE MEETING</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SOLICITATION</w:t>
      </w:r>
    </w:p>
    <w:p>
      <w:pPr>
        <w:spacing w:after="0" w:line="225"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b w:val="1"/>
          <w:bCs w:val="1"/>
          <w:color w:val="auto"/>
        </w:rPr>
        <w:t>Our Board is soliciting your vote on matters that will be presented at the Annual Meeting and at any adjournment or postponement thereof. This Proxy Statement contains information on these matters to assist you in voting your shares.</w:t>
      </w:r>
    </w:p>
    <w:p>
      <w:pPr>
        <w:spacing w:after="0" w:line="91" w:lineRule="exact"/>
        <w:rPr>
          <w:sz w:val="20"/>
          <w:szCs w:val="20"/>
          <w:color w:val="auto"/>
        </w:rPr>
      </w:pPr>
    </w:p>
    <w:p>
      <w:pPr>
        <w:jc w:val="both"/>
        <w:ind w:left="880" w:right="39"/>
        <w:spacing w:after="0" w:line="251" w:lineRule="auto"/>
        <w:rPr>
          <w:sz w:val="20"/>
          <w:szCs w:val="20"/>
          <w:color w:val="auto"/>
        </w:rPr>
      </w:pPr>
      <w:r>
        <w:rPr>
          <w:rFonts w:ascii="Arial" w:cs="Arial" w:eastAsia="Arial" w:hAnsi="Arial"/>
          <w:sz w:val="18"/>
          <w:szCs w:val="18"/>
          <w:color w:val="auto"/>
        </w:rPr>
        <w:t>This Proxy Statement and the proxy card are being furnished to our stockholders on or about April 25, 2024. This Proxy Statement and our 2023 Annual Report are available to holders of our common stock at www.astproxyportal.com/ast/24419. If you would like to receive, without charge, a paper copy of our 2023 Annual Report, including the financial statements, please send your request to Corporate Secretary, Century Therapeutics, Inc., 25 North 38th Street, 11th Floor, Philadelphia, PA 19104.</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STOCKHOLDERS ENTITLED TO VOTE</w:t>
      </w:r>
    </w:p>
    <w:p>
      <w:pPr>
        <w:spacing w:after="0" w:line="158"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All stockholders of record of our common stock at the close of business on April 24, 2024, or the Record Date, are entitled to receive the Notice and to vote their shares at the Annual Meeting. As of that date,               shares of our common stock were outstanding. Each share is entitled to one vote on each matter properly brought to the meeting.</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VOTING METHODS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may cast your vote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128905</wp:posOffset>
            </wp:positionV>
            <wp:extent cx="4003040" cy="1543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030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HOW YOUR SHARES WILL BE VOTED</w:t>
      </w:r>
    </w:p>
    <w:p>
      <w:pPr>
        <w:spacing w:after="0" w:line="158"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w:t>
      </w:r>
    </w:p>
    <w:p>
      <w:pPr>
        <w:spacing w:after="0" w:line="62" w:lineRule="exact"/>
        <w:rPr>
          <w:sz w:val="20"/>
          <w:szCs w:val="20"/>
          <w:color w:val="auto"/>
        </w:rPr>
      </w:pPr>
    </w:p>
    <w:p>
      <w:pPr>
        <w:jc w:val="both"/>
        <w:ind w:left="1420" w:right="39" w:hanging="190"/>
        <w:spacing w:after="0" w:line="268"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Vote over the Internet or by telephone as instructed above. Only your latest Internet or telephone vote is counted. You may not revoke or change your vote over the Internet or by telephone after 11:59 p.m., Eastern Time, on June 19, 2024.</w:t>
      </w:r>
    </w:p>
    <w:p>
      <w:pPr>
        <w:spacing w:after="0" w:line="49" w:lineRule="exact"/>
        <w:rPr>
          <w:rFonts w:ascii="Arial" w:cs="Arial" w:eastAsia="Arial" w:hAnsi="Arial"/>
          <w:sz w:val="18"/>
          <w:szCs w:val="18"/>
          <w:color w:val="auto"/>
        </w:rPr>
      </w:pPr>
    </w:p>
    <w:p>
      <w:pPr>
        <w:ind w:left="1420" w:right="19" w:hanging="190"/>
        <w:spacing w:after="0" w:line="28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 a new proxy card and submit it by mail, which must be received no later than June 19, 2024. Only your latest dated proxy card will be counted.</w:t>
      </w:r>
    </w:p>
    <w:p>
      <w:pPr>
        <w:spacing w:after="0" w:line="17" w:lineRule="exact"/>
        <w:rPr>
          <w:rFonts w:ascii="Arial" w:cs="Arial" w:eastAsia="Arial" w:hAnsi="Arial"/>
          <w:sz w:val="18"/>
          <w:szCs w:val="18"/>
          <w:color w:val="auto"/>
        </w:rPr>
      </w:pPr>
    </w:p>
    <w:p>
      <w:pPr>
        <w:ind w:left="1420" w:hanging="190"/>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Give our Secretary written notice before or during the meeting that you want to revoke your proxy.</w:t>
      </w:r>
    </w:p>
    <w:p>
      <w:pPr>
        <w:spacing w:after="0" w:line="103" w:lineRule="exact"/>
        <w:rPr>
          <w:rFonts w:ascii="Arial" w:cs="Arial" w:eastAsia="Arial" w:hAnsi="Arial"/>
          <w:sz w:val="18"/>
          <w:szCs w:val="18"/>
          <w:color w:val="auto"/>
        </w:rPr>
      </w:pPr>
    </w:p>
    <w:p>
      <w:pPr>
        <w:ind w:left="1420" w:right="39" w:hanging="190"/>
        <w:spacing w:after="0" w:line="28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Virtually attend the Annual Meeting at https://web.lumiconnect.com/265375813, using the password century2024,</w:t>
      </w:r>
    </w:p>
    <w:p>
      <w:pPr>
        <w:spacing w:after="0" w:line="31" w:lineRule="exact"/>
        <w:rPr>
          <w:rFonts w:ascii="Arial" w:cs="Arial" w:eastAsia="Arial" w:hAnsi="Arial"/>
          <w:sz w:val="18"/>
          <w:szCs w:val="18"/>
          <w:color w:val="auto"/>
        </w:rPr>
      </w:pPr>
    </w:p>
    <w:p>
      <w:pPr>
        <w:ind w:left="1420" w:hanging="190"/>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Virtually attending the Annual Meeting will not by itself revoke a previously granted proxy.</w:t>
      </w:r>
    </w:p>
    <w:p>
      <w:pPr>
        <w:spacing w:after="0" w:line="158" w:lineRule="exact"/>
        <w:rPr>
          <w:sz w:val="20"/>
          <w:szCs w:val="20"/>
          <w:color w:val="auto"/>
        </w:rPr>
      </w:pPr>
    </w:p>
    <w:p>
      <w:pPr>
        <w:ind w:left="880" w:right="39"/>
        <w:spacing w:after="0" w:line="271" w:lineRule="auto"/>
        <w:rPr>
          <w:sz w:val="20"/>
          <w:szCs w:val="20"/>
          <w:color w:val="auto"/>
        </w:rPr>
      </w:pPr>
      <w:r>
        <w:rPr>
          <w:rFonts w:ascii="Arial" w:cs="Arial" w:eastAsia="Arial" w:hAnsi="Arial"/>
          <w:sz w:val="18"/>
          <w:szCs w:val="18"/>
          <w:color w:val="auto"/>
        </w:rPr>
        <w:t>If your shares are held by your broker, bank or other holder of record as a nominee or agent (i.e., the shares are held in “street name”), you should follow the instructions provided by your broker, bank or other holder of record.</w:t>
      </w:r>
    </w:p>
    <w:p>
      <w:pPr>
        <w:spacing w:after="0" w:line="86" w:lineRule="exact"/>
        <w:rPr>
          <w:sz w:val="20"/>
          <w:szCs w:val="20"/>
          <w:color w:val="auto"/>
        </w:rPr>
      </w:pPr>
    </w:p>
    <w:p>
      <w:pPr>
        <w:ind w:left="880" w:right="19"/>
        <w:spacing w:after="0" w:line="318" w:lineRule="auto"/>
        <w:rPr>
          <w:sz w:val="20"/>
          <w:szCs w:val="20"/>
          <w:color w:val="auto"/>
        </w:rPr>
      </w:pPr>
      <w:r>
        <w:rPr>
          <w:rFonts w:ascii="Arial" w:cs="Arial" w:eastAsia="Arial" w:hAnsi="Arial"/>
          <w:sz w:val="17"/>
          <w:szCs w:val="17"/>
          <w:i w:val="1"/>
          <w:iCs w:val="1"/>
          <w:color w:val="auto"/>
        </w:rPr>
        <w:t>Deadline for Voting</w:t>
      </w:r>
      <w:r>
        <w:rPr>
          <w:rFonts w:ascii="Arial" w:cs="Arial" w:eastAsia="Arial" w:hAnsi="Arial"/>
          <w:sz w:val="17"/>
          <w:szCs w:val="17"/>
          <w:color w:val="auto"/>
        </w:rPr>
        <w:t>. The deadline for voting by telephone or Internet, other than by virtually attending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is 11:59 p.m. Eastern Time on June 19, 2024. If you are a registered stockholder and virtually attend the</w:t>
      </w:r>
    </w:p>
    <w:p>
      <w:pPr>
        <w:spacing w:after="0" w:line="224"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​GENERAL INFORMATION ABOUT THE MEETING</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Annual Meeting, you may deliver your vote online during the Annual Meeting. “Street name” stockholders who wish to vote at the Annual Meeting will need to obtain a proxy form from the institution that holds their shares.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BROKER VOTING AND VOTES REQUIRED FOR EACH PROPOSAL</w:t>
      </w:r>
    </w:p>
    <w:p>
      <w:pPr>
        <w:spacing w:after="0" w:line="144" w:lineRule="exact"/>
        <w:rPr>
          <w:sz w:val="20"/>
          <w:szCs w:val="20"/>
          <w:color w:val="auto"/>
        </w:rPr>
      </w:pPr>
    </w:p>
    <w:p>
      <w:pPr>
        <w:jc w:val="both"/>
        <w:ind w:left="880" w:right="19"/>
        <w:spacing w:after="0" w:line="259" w:lineRule="auto"/>
        <w:rPr>
          <w:sz w:val="20"/>
          <w:szCs w:val="20"/>
          <w:color w:val="auto"/>
        </w:rPr>
      </w:pPr>
      <w:r>
        <w:rPr>
          <w:rFonts w:ascii="Arial" w:cs="Arial" w:eastAsia="Arial" w:hAnsi="Arial"/>
          <w:sz w:val="18"/>
          <w:szCs w:val="18"/>
          <w:color w:val="auto"/>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p>
    <w:p>
      <w:pPr>
        <w:spacing w:after="0" w:line="112"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votes withheld, broker non-votes and abstentions are treated with respect to our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98425</wp:posOffset>
            </wp:positionV>
            <wp:extent cx="5700395" cy="3600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0395" cy="3600450"/>
                    </a:xfrm>
                    <a:prstGeom prst="rect">
                      <a:avLst/>
                    </a:prstGeom>
                    <a:noFill/>
                  </pic:spPr>
                </pic:pic>
              </a:graphicData>
            </a:graphic>
          </wp:anchor>
        </w:drawing>
      </w:r>
    </w:p>
    <w:p>
      <w:pPr>
        <w:spacing w:after="0" w:line="135"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 w:type="dxa"/>
            <w:vAlign w:val="bottom"/>
            <w:vMerge w:val="restart"/>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2520" w:type="dxa"/>
            <w:vAlign w:val="bottom"/>
            <w:vMerge w:val="restart"/>
            <w:shd w:val="clear" w:color="auto" w:fill="148CD9"/>
          </w:tcPr>
          <w:p>
            <w:pPr>
              <w:ind w:left="560"/>
              <w:spacing w:after="0"/>
              <w:rPr>
                <w:sz w:val="20"/>
                <w:szCs w:val="20"/>
                <w:color w:val="auto"/>
              </w:rPr>
            </w:pPr>
            <w:r>
              <w:rPr>
                <w:rFonts w:ascii="Arial" w:cs="Arial" w:eastAsia="Arial" w:hAnsi="Arial"/>
                <w:sz w:val="16"/>
                <w:szCs w:val="16"/>
                <w:b w:val="1"/>
                <w:bCs w:val="1"/>
                <w:color w:val="FFFFFF"/>
              </w:rPr>
              <w:t>VOTING MATTERS</w:t>
            </w:r>
          </w:p>
        </w:tc>
        <w:tc>
          <w:tcPr>
            <w:tcW w:w="280" w:type="dxa"/>
            <w:vAlign w:val="bottom"/>
            <w:vMerge w:val="restart"/>
            <w:shd w:val="clear" w:color="auto" w:fill="148CD9"/>
          </w:tcPr>
          <w:p>
            <w:pPr>
              <w:ind w:left="80"/>
              <w:spacing w:after="0"/>
              <w:rPr>
                <w:sz w:val="20"/>
                <w:szCs w:val="20"/>
                <w:color w:val="auto"/>
              </w:rPr>
            </w:pPr>
            <w:r>
              <w:rPr>
                <w:rFonts w:ascii="Arial" w:cs="Arial" w:eastAsia="Arial" w:hAnsi="Arial"/>
                <w:sz w:val="16"/>
                <w:szCs w:val="16"/>
                <w:b w:val="1"/>
                <w:bCs w:val="1"/>
                <w:color w:val="FFFFFF"/>
              </w:rPr>
              <w:t>​ ​</w:t>
            </w:r>
          </w:p>
        </w:tc>
        <w:tc>
          <w:tcPr>
            <w:tcW w:w="178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w w:val="99"/>
              </w:rPr>
              <w:t>VOTES REQUIRED</w:t>
            </w:r>
          </w:p>
        </w:tc>
        <w:tc>
          <w:tcPr>
            <w:tcW w:w="240" w:type="dxa"/>
            <w:vAlign w:val="bottom"/>
            <w:vMerge w:val="restart"/>
            <w:shd w:val="clear" w:color="auto" w:fill="148CD9"/>
          </w:tcPr>
          <w:p>
            <w:pPr>
              <w:ind w:left="80"/>
              <w:spacing w:after="0"/>
              <w:rPr>
                <w:sz w:val="20"/>
                <w:szCs w:val="20"/>
                <w:color w:val="auto"/>
              </w:rPr>
            </w:pPr>
            <w:r>
              <w:rPr>
                <w:rFonts w:ascii="Arial" w:cs="Arial" w:eastAsia="Arial" w:hAnsi="Arial"/>
                <w:sz w:val="16"/>
                <w:szCs w:val="16"/>
                <w:b w:val="1"/>
                <w:bCs w:val="1"/>
                <w:color w:val="FFFFFF"/>
              </w:rPr>
              <w:t>​ ​</w:t>
            </w:r>
          </w:p>
        </w:tc>
        <w:tc>
          <w:tcPr>
            <w:tcW w:w="188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TREATMENT OF</w:t>
            </w:r>
          </w:p>
        </w:tc>
        <w:tc>
          <w:tcPr>
            <w:tcW w:w="320" w:type="dxa"/>
            <w:vAlign w:val="bottom"/>
            <w:vMerge w:val="restart"/>
            <w:shd w:val="clear" w:color="auto" w:fill="148CD9"/>
          </w:tcPr>
          <w:p>
            <w:pPr>
              <w:ind w:left="40"/>
              <w:spacing w:after="0"/>
              <w:rPr>
                <w:sz w:val="20"/>
                <w:szCs w:val="20"/>
                <w:color w:val="auto"/>
              </w:rPr>
            </w:pPr>
            <w:r>
              <w:rPr>
                <w:rFonts w:ascii="Arial" w:cs="Arial" w:eastAsia="Arial" w:hAnsi="Arial"/>
                <w:sz w:val="16"/>
                <w:szCs w:val="16"/>
                <w:b w:val="1"/>
                <w:bCs w:val="1"/>
                <w:color w:val="FFFFFF"/>
              </w:rPr>
              <w:t>​ ​</w:t>
            </w:r>
          </w:p>
        </w:tc>
        <w:tc>
          <w:tcPr>
            <w:tcW w:w="160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8"/>
              </w:rPr>
              <w:t>BROKER</w:t>
            </w:r>
          </w:p>
        </w:tc>
        <w:tc>
          <w:tcPr>
            <w:tcW w:w="240" w:type="dxa"/>
            <w:vAlign w:val="bottom"/>
            <w:vMerge w:val="restart"/>
            <w:shd w:val="clear" w:color="auto" w:fill="148CD9"/>
          </w:tcPr>
          <w:p>
            <w:pPr>
              <w:ind w:left="18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vMerge w:val="continue"/>
            <w:shd w:val="clear" w:color="auto" w:fill="148CD9"/>
          </w:tcPr>
          <w:p>
            <w:pPr>
              <w:spacing w:after="0"/>
              <w:rPr>
                <w:sz w:val="14"/>
                <w:szCs w:val="14"/>
                <w:color w:val="auto"/>
              </w:rPr>
            </w:pPr>
          </w:p>
        </w:tc>
        <w:tc>
          <w:tcPr>
            <w:tcW w:w="2520" w:type="dxa"/>
            <w:vAlign w:val="bottom"/>
            <w:vMerge w:val="continue"/>
            <w:shd w:val="clear" w:color="auto" w:fill="148CD9"/>
          </w:tcPr>
          <w:p>
            <w:pPr>
              <w:spacing w:after="0"/>
              <w:rPr>
                <w:sz w:val="14"/>
                <w:szCs w:val="14"/>
                <w:color w:val="auto"/>
              </w:rPr>
            </w:pPr>
          </w:p>
        </w:tc>
        <w:tc>
          <w:tcPr>
            <w:tcW w:w="280" w:type="dxa"/>
            <w:vAlign w:val="bottom"/>
            <w:vMerge w:val="continue"/>
            <w:shd w:val="clear" w:color="auto" w:fill="148CD9"/>
          </w:tcPr>
          <w:p>
            <w:pPr>
              <w:spacing w:after="0"/>
              <w:rPr>
                <w:sz w:val="14"/>
                <w:szCs w:val="14"/>
                <w:color w:val="auto"/>
              </w:rPr>
            </w:pPr>
          </w:p>
        </w:tc>
        <w:tc>
          <w:tcPr>
            <w:tcW w:w="1780" w:type="dxa"/>
            <w:vAlign w:val="bottom"/>
            <w:vMerge w:val="continue"/>
            <w:shd w:val="clear" w:color="auto" w:fill="148CD9"/>
          </w:tcPr>
          <w:p>
            <w:pPr>
              <w:spacing w:after="0"/>
              <w:rPr>
                <w:sz w:val="14"/>
                <w:szCs w:val="14"/>
                <w:color w:val="auto"/>
              </w:rPr>
            </w:pPr>
          </w:p>
        </w:tc>
        <w:tc>
          <w:tcPr>
            <w:tcW w:w="240" w:type="dxa"/>
            <w:vAlign w:val="bottom"/>
            <w:vMerge w:val="continue"/>
            <w:shd w:val="clear" w:color="auto" w:fill="148CD9"/>
          </w:tcPr>
          <w:p>
            <w:pPr>
              <w:spacing w:after="0"/>
              <w:rPr>
                <w:sz w:val="14"/>
                <w:szCs w:val="14"/>
                <w:color w:val="auto"/>
              </w:rPr>
            </w:pPr>
          </w:p>
        </w:tc>
        <w:tc>
          <w:tcPr>
            <w:tcW w:w="1880" w:type="dxa"/>
            <w:vAlign w:val="bottom"/>
            <w:shd w:val="clear" w:color="auto" w:fill="148CD9"/>
          </w:tcPr>
          <w:p>
            <w:pPr>
              <w:jc w:val="center"/>
              <w:spacing w:after="0" w:line="162" w:lineRule="exact"/>
              <w:rPr>
                <w:sz w:val="20"/>
                <w:szCs w:val="20"/>
                <w:color w:val="auto"/>
              </w:rPr>
            </w:pPr>
            <w:r>
              <w:rPr>
                <w:rFonts w:ascii="Arial" w:cs="Arial" w:eastAsia="Arial" w:hAnsi="Arial"/>
                <w:sz w:val="16"/>
                <w:szCs w:val="16"/>
                <w:b w:val="1"/>
                <w:bCs w:val="1"/>
                <w:color w:val="FFFFFF"/>
              </w:rPr>
              <w:t>ABSTENTIONS AND</w:t>
            </w:r>
          </w:p>
        </w:tc>
        <w:tc>
          <w:tcPr>
            <w:tcW w:w="320" w:type="dxa"/>
            <w:vAlign w:val="bottom"/>
            <w:vMerge w:val="continue"/>
            <w:shd w:val="clear" w:color="auto" w:fill="148CD9"/>
          </w:tcPr>
          <w:p>
            <w:pPr>
              <w:spacing w:after="0"/>
              <w:rPr>
                <w:sz w:val="14"/>
                <w:szCs w:val="14"/>
                <w:color w:val="auto"/>
              </w:rPr>
            </w:pPr>
          </w:p>
        </w:tc>
        <w:tc>
          <w:tcPr>
            <w:tcW w:w="1600" w:type="dxa"/>
            <w:vAlign w:val="bottom"/>
            <w:shd w:val="clear" w:color="auto" w:fill="148CD9"/>
          </w:tcPr>
          <w:p>
            <w:pPr>
              <w:jc w:val="center"/>
              <w:spacing w:after="0" w:line="162" w:lineRule="exact"/>
              <w:rPr>
                <w:sz w:val="20"/>
                <w:szCs w:val="20"/>
                <w:color w:val="auto"/>
              </w:rPr>
            </w:pPr>
            <w:r>
              <w:rPr>
                <w:rFonts w:ascii="Arial" w:cs="Arial" w:eastAsia="Arial" w:hAnsi="Arial"/>
                <w:sz w:val="16"/>
                <w:szCs w:val="16"/>
                <w:b w:val="1"/>
                <w:bCs w:val="1"/>
                <w:color w:val="FFFFFF"/>
                <w:w w:val="99"/>
              </w:rPr>
              <w:t>DISCRETIONARY</w:t>
            </w:r>
          </w:p>
        </w:tc>
        <w:tc>
          <w:tcPr>
            <w:tcW w:w="240" w:type="dxa"/>
            <w:vAlign w:val="bottom"/>
            <w:vMerge w:val="continue"/>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shd w:val="clear" w:color="auto" w:fill="148CD9"/>
          </w:tcPr>
          <w:p>
            <w:pPr>
              <w:spacing w:after="0"/>
              <w:rPr>
                <w:sz w:val="17"/>
                <w:szCs w:val="17"/>
                <w:color w:val="auto"/>
              </w:rPr>
            </w:pPr>
          </w:p>
        </w:tc>
        <w:tc>
          <w:tcPr>
            <w:tcW w:w="2520" w:type="dxa"/>
            <w:vAlign w:val="bottom"/>
            <w:tcBorders>
              <w:bottom w:val="single" w:sz="8" w:color="auto"/>
            </w:tcBorders>
            <w:shd w:val="clear" w:color="auto" w:fill="148CD9"/>
          </w:tcPr>
          <w:p>
            <w:pPr>
              <w:spacing w:after="0"/>
              <w:rPr>
                <w:sz w:val="17"/>
                <w:szCs w:val="17"/>
                <w:color w:val="auto"/>
              </w:rPr>
            </w:pPr>
          </w:p>
        </w:tc>
        <w:tc>
          <w:tcPr>
            <w:tcW w:w="280" w:type="dxa"/>
            <w:vAlign w:val="bottom"/>
            <w:tcBorders>
              <w:bottom w:val="single" w:sz="8" w:color="auto"/>
            </w:tcBorders>
            <w:shd w:val="clear" w:color="auto" w:fill="148CD9"/>
          </w:tcPr>
          <w:p>
            <w:pPr>
              <w:spacing w:after="0"/>
              <w:rPr>
                <w:sz w:val="17"/>
                <w:szCs w:val="17"/>
                <w:color w:val="auto"/>
              </w:rPr>
            </w:pPr>
          </w:p>
        </w:tc>
        <w:tc>
          <w:tcPr>
            <w:tcW w:w="1780" w:type="dxa"/>
            <w:vAlign w:val="bottom"/>
            <w:tcBorders>
              <w:bottom w:val="single" w:sz="8" w:color="auto"/>
            </w:tcBorders>
            <w:shd w:val="clear" w:color="auto" w:fill="148CD9"/>
          </w:tcPr>
          <w:p>
            <w:pPr>
              <w:spacing w:after="0"/>
              <w:rPr>
                <w:sz w:val="17"/>
                <w:szCs w:val="17"/>
                <w:color w:val="auto"/>
              </w:rPr>
            </w:pPr>
          </w:p>
        </w:tc>
        <w:tc>
          <w:tcPr>
            <w:tcW w:w="240" w:type="dxa"/>
            <w:vAlign w:val="bottom"/>
            <w:tcBorders>
              <w:bottom w:val="single" w:sz="8" w:color="auto"/>
            </w:tcBorders>
            <w:shd w:val="clear" w:color="auto" w:fill="148CD9"/>
          </w:tcPr>
          <w:p>
            <w:pPr>
              <w:spacing w:after="0"/>
              <w:rPr>
                <w:sz w:val="17"/>
                <w:szCs w:val="17"/>
                <w:color w:val="auto"/>
              </w:rPr>
            </w:pPr>
          </w:p>
        </w:tc>
        <w:tc>
          <w:tcPr>
            <w:tcW w:w="1880" w:type="dxa"/>
            <w:vAlign w:val="bottom"/>
            <w:tcBorders>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9"/>
              </w:rPr>
              <w:t>BROKER NON-VOTES</w:t>
            </w:r>
          </w:p>
        </w:tc>
        <w:tc>
          <w:tcPr>
            <w:tcW w:w="320" w:type="dxa"/>
            <w:vAlign w:val="bottom"/>
            <w:tcBorders>
              <w:bottom w:val="single" w:sz="8" w:color="auto"/>
            </w:tcBorders>
            <w:shd w:val="clear" w:color="auto" w:fill="148CD9"/>
          </w:tcPr>
          <w:p>
            <w:pPr>
              <w:spacing w:after="0"/>
              <w:rPr>
                <w:sz w:val="17"/>
                <w:szCs w:val="17"/>
                <w:color w:val="auto"/>
              </w:rPr>
            </w:pPr>
          </w:p>
        </w:tc>
        <w:tc>
          <w:tcPr>
            <w:tcW w:w="1600" w:type="dxa"/>
            <w:vAlign w:val="bottom"/>
            <w:tcBorders>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VOTING</w:t>
            </w:r>
          </w:p>
        </w:tc>
        <w:tc>
          <w:tcPr>
            <w:tcW w:w="240" w:type="dxa"/>
            <w:vAlign w:val="bottom"/>
            <w:tcBorders>
              <w:bottom w:val="single" w:sz="8" w:color="auto"/>
            </w:tcBorders>
            <w:shd w:val="clear" w:color="auto" w:fill="148CD9"/>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vMerge w:val="restart"/>
          </w:tcPr>
          <w:p>
            <w:pPr>
              <w:ind w:left="20"/>
              <w:spacing w:after="0"/>
              <w:rPr>
                <w:sz w:val="20"/>
                <w:szCs w:val="20"/>
                <w:color w:val="auto"/>
              </w:rPr>
            </w:pPr>
            <w:r>
              <w:rPr>
                <w:rFonts w:ascii="Arial" w:cs="Arial" w:eastAsia="Arial" w:hAnsi="Arial"/>
                <w:sz w:val="18"/>
                <w:szCs w:val="18"/>
                <w:b w:val="1"/>
                <w:bCs w:val="1"/>
                <w:color w:val="1DA46F"/>
              </w:rPr>
              <w:t>PROPOSAL 1</w:t>
            </w:r>
            <w:r>
              <w:rPr>
                <w:rFonts w:ascii="Arial" w:cs="Arial" w:eastAsia="Arial" w:hAnsi="Arial"/>
                <w:sz w:val="18"/>
                <w:szCs w:val="18"/>
                <w:color w:val="1DA46F"/>
              </w:rPr>
              <w:t>: Election of</w:t>
            </w:r>
          </w:p>
        </w:tc>
        <w:tc>
          <w:tcPr>
            <w:tcW w:w="280" w:type="dxa"/>
            <w:vAlign w:val="bottom"/>
          </w:tcPr>
          <w:p>
            <w:pPr>
              <w:spacing w:after="0"/>
              <w:rPr>
                <w:sz w:val="21"/>
                <w:szCs w:val="21"/>
                <w:color w:val="auto"/>
              </w:rPr>
            </w:pP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8"/>
              </w:rPr>
              <w:t>Plurality of the votes</w:t>
            </w:r>
          </w:p>
        </w:tc>
        <w:tc>
          <w:tcPr>
            <w:tcW w:w="24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Abstentions and broker</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2120" w:type="dxa"/>
            <w:vAlign w:val="bottom"/>
            <w:gridSpan w:val="2"/>
            <w:vMerge w:val="restart"/>
          </w:tcPr>
          <w:p>
            <w:pPr>
              <w:ind w:left="80"/>
              <w:spacing w:after="0" w:line="262"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non-votes will have no</w:t>
            </w:r>
          </w:p>
        </w:tc>
        <w:tc>
          <w:tcPr>
            <w:tcW w:w="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tcPr>
          <w:p>
            <w:pPr>
              <w:ind w:left="60"/>
              <w:spacing w:after="0" w:line="181"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1DA46F"/>
              </w:rPr>
              <w:t>Class III Directors for a Three-</w:t>
            </w:r>
          </w:p>
        </w:tc>
        <w:tc>
          <w:tcPr>
            <w:tcW w:w="280" w:type="dxa"/>
            <w:vAlign w:val="bottom"/>
          </w:tcPr>
          <w:p>
            <w:pPr>
              <w:ind w:left="80"/>
              <w:spacing w:after="0" w:line="181" w:lineRule="exact"/>
              <w:rPr>
                <w:sz w:val="20"/>
                <w:szCs w:val="20"/>
                <w:color w:val="auto"/>
              </w:rPr>
            </w:pPr>
            <w:r>
              <w:rPr>
                <w:rFonts w:ascii="Arial" w:cs="Arial" w:eastAsia="Arial" w:hAnsi="Arial"/>
                <w:sz w:val="18"/>
                <w:szCs w:val="18"/>
                <w:color w:val="auto"/>
              </w:rPr>
              <w:t>​ ​</w:t>
            </w:r>
          </w:p>
        </w:tc>
        <w:tc>
          <w:tcPr>
            <w:tcW w:w="1780" w:type="dxa"/>
            <w:vAlign w:val="bottom"/>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32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1600" w:type="dxa"/>
            <w:vAlign w:val="bottom"/>
          </w:tcPr>
          <w:p>
            <w:pPr>
              <w:jc w:val="center"/>
              <w:spacing w:after="0" w:line="181" w:lineRule="exact"/>
              <w:rPr>
                <w:sz w:val="20"/>
                <w:szCs w:val="20"/>
                <w:color w:val="auto"/>
              </w:rPr>
            </w:pPr>
            <w:r>
              <w:rPr>
                <w:rFonts w:ascii="Arial" w:cs="Arial" w:eastAsia="Arial" w:hAnsi="Arial"/>
                <w:sz w:val="18"/>
                <w:szCs w:val="18"/>
                <w:color w:val="auto"/>
              </w:rPr>
              <w:t>No</w:t>
            </w:r>
          </w:p>
        </w:tc>
        <w:tc>
          <w:tcPr>
            <w:tcW w:w="240" w:type="dxa"/>
            <w:vAlign w:val="bottom"/>
          </w:tcPr>
          <w:p>
            <w:pPr>
              <w:ind w:left="18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vMerge w:val="restart"/>
          </w:tcPr>
          <w:p>
            <w:pPr>
              <w:ind w:left="20"/>
              <w:spacing w:after="0"/>
              <w:rPr>
                <w:sz w:val="20"/>
                <w:szCs w:val="20"/>
                <w:color w:val="auto"/>
              </w:rPr>
            </w:pPr>
            <w:r>
              <w:rPr>
                <w:rFonts w:ascii="Arial" w:cs="Arial" w:eastAsia="Arial" w:hAnsi="Arial"/>
                <w:sz w:val="18"/>
                <w:szCs w:val="18"/>
                <w:color w:val="1DA46F"/>
              </w:rPr>
              <w:t>Year Term Expiring in 2027</w:t>
            </w:r>
          </w:p>
        </w:tc>
        <w:tc>
          <w:tcPr>
            <w:tcW w:w="280" w:type="dxa"/>
            <w:vAlign w:val="bottom"/>
          </w:tcPr>
          <w:p>
            <w:pPr>
              <w:spacing w:after="0"/>
              <w:rPr>
                <w:sz w:val="14"/>
                <w:szCs w:val="14"/>
                <w:color w:val="auto"/>
              </w:rPr>
            </w:pPr>
          </w:p>
        </w:tc>
        <w:tc>
          <w:tcPr>
            <w:tcW w:w="1780" w:type="dxa"/>
            <w:vAlign w:val="bottom"/>
          </w:tcPr>
          <w:p>
            <w:pPr>
              <w:jc w:val="center"/>
              <w:spacing w:after="0" w:line="170" w:lineRule="exact"/>
              <w:rPr>
                <w:sz w:val="20"/>
                <w:szCs w:val="20"/>
                <w:color w:val="auto"/>
              </w:rPr>
            </w:pPr>
            <w:r>
              <w:rPr>
                <w:rFonts w:ascii="Arial" w:cs="Arial" w:eastAsia="Arial" w:hAnsi="Arial"/>
                <w:sz w:val="18"/>
                <w:szCs w:val="18"/>
                <w:color w:val="auto"/>
                <w:w w:val="98"/>
              </w:rPr>
              <w:t>properly cast</w:t>
            </w:r>
          </w:p>
        </w:tc>
        <w:tc>
          <w:tcPr>
            <w:tcW w:w="240" w:type="dxa"/>
            <w:vAlign w:val="bottom"/>
          </w:tcPr>
          <w:p>
            <w:pPr>
              <w:spacing w:after="0"/>
              <w:rPr>
                <w:sz w:val="14"/>
                <w:szCs w:val="14"/>
                <w:color w:val="auto"/>
              </w:rPr>
            </w:pPr>
          </w:p>
        </w:tc>
        <w:tc>
          <w:tcPr>
            <w:tcW w:w="1880" w:type="dxa"/>
            <w:vAlign w:val="bottom"/>
          </w:tcPr>
          <w:p>
            <w:pPr>
              <w:jc w:val="center"/>
              <w:spacing w:after="0" w:line="170" w:lineRule="exact"/>
              <w:rPr>
                <w:sz w:val="20"/>
                <w:szCs w:val="20"/>
                <w:color w:val="auto"/>
              </w:rPr>
            </w:pPr>
            <w:r>
              <w:rPr>
                <w:rFonts w:ascii="Arial" w:cs="Arial" w:eastAsia="Arial" w:hAnsi="Arial"/>
                <w:sz w:val="18"/>
                <w:szCs w:val="18"/>
                <w:color w:val="auto"/>
                <w:w w:val="98"/>
              </w:rPr>
              <w:t>effect on the outcome</w:t>
            </w: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9"/>
              </w:rPr>
              <w:t>of the proposal</w:t>
            </w: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b w:val="1"/>
                <w:bCs w:val="1"/>
                <w:color w:val="1DA46F"/>
              </w:rPr>
              <w:t>PROPOSAL 2</w:t>
            </w:r>
            <w:r>
              <w:rPr>
                <w:rFonts w:ascii="Arial" w:cs="Arial" w:eastAsia="Arial" w:hAnsi="Arial"/>
                <w:sz w:val="18"/>
                <w:szCs w:val="18"/>
                <w:color w:val="1DA46F"/>
              </w:rPr>
              <w:t>: Ratification of</w:t>
            </w: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Abstentions and broker</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620" w:type="dxa"/>
            <w:vAlign w:val="bottom"/>
            <w:gridSpan w:val="2"/>
          </w:tcPr>
          <w:p>
            <w:pPr>
              <w:ind w:left="60"/>
              <w:spacing w:after="0" w:line="288"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17"/>
                <w:szCs w:val="17"/>
                <w:color w:val="1DA46F"/>
              </w:rPr>
              <w:t>Appointment of EY as our</w:t>
            </w:r>
          </w:p>
        </w:tc>
        <w:tc>
          <w:tcPr>
            <w:tcW w:w="280" w:type="dxa"/>
            <w:vAlign w:val="bottom"/>
          </w:tcPr>
          <w:p>
            <w:pPr>
              <w:ind w:left="80"/>
              <w:spacing w:after="0"/>
              <w:rPr>
                <w:sz w:val="20"/>
                <w:szCs w:val="20"/>
                <w:color w:val="auto"/>
              </w:rPr>
            </w:pPr>
            <w:r>
              <w:rPr>
                <w:rFonts w:ascii="Arial" w:cs="Arial" w:eastAsia="Arial" w:hAnsi="Arial"/>
                <w:sz w:val="18"/>
                <w:szCs w:val="18"/>
                <w:color w:val="auto"/>
              </w:rPr>
              <w:t>​ ​</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Majority of the votes</w:t>
            </w:r>
          </w:p>
        </w:tc>
        <w:tc>
          <w:tcPr>
            <w:tcW w:w="2120" w:type="dxa"/>
            <w:vAlign w:val="bottom"/>
            <w:gridSpan w:val="2"/>
          </w:tcPr>
          <w:p>
            <w:pPr>
              <w:ind w:left="80"/>
              <w:spacing w:after="0" w:line="288" w:lineRule="exact"/>
              <w:rPr>
                <w:sz w:val="20"/>
                <w:szCs w:val="20"/>
                <w:color w:val="auto"/>
              </w:rPr>
            </w:pPr>
            <w:r>
              <w:rPr>
                <w:rFonts w:ascii="Arial" w:cs="Arial" w:eastAsia="Arial" w:hAnsi="Arial"/>
                <w:sz w:val="33"/>
                <w:szCs w:val="33"/>
                <w:color w:val="auto"/>
                <w:vertAlign w:val="subscript"/>
              </w:rPr>
              <w:t>​ ​</w:t>
            </w:r>
            <w:r>
              <w:rPr>
                <w:rFonts w:ascii="Arial" w:cs="Arial" w:eastAsia="Arial" w:hAnsi="Arial"/>
                <w:sz w:val="17"/>
                <w:szCs w:val="17"/>
                <w:color w:val="auto"/>
              </w:rPr>
              <w:t xml:space="preserve"> non-votes will have no</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Yes</w:t>
            </w:r>
          </w:p>
        </w:tc>
        <w:tc>
          <w:tcPr>
            <w:tcW w:w="2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ind w:left="20"/>
              <w:spacing w:after="0" w:line="143" w:lineRule="exact"/>
              <w:rPr>
                <w:sz w:val="20"/>
                <w:szCs w:val="20"/>
                <w:color w:val="auto"/>
              </w:rPr>
            </w:pPr>
            <w:r>
              <w:rPr>
                <w:rFonts w:ascii="Arial" w:cs="Arial" w:eastAsia="Arial" w:hAnsi="Arial"/>
                <w:sz w:val="16"/>
                <w:szCs w:val="16"/>
                <w:color w:val="1DA46F"/>
              </w:rPr>
              <w:t>Independent Registered Public</w:t>
            </w:r>
          </w:p>
        </w:tc>
        <w:tc>
          <w:tcPr>
            <w:tcW w:w="280" w:type="dxa"/>
            <w:vAlign w:val="bottom"/>
          </w:tcPr>
          <w:p>
            <w:pPr>
              <w:spacing w:after="0"/>
              <w:rPr>
                <w:sz w:val="12"/>
                <w:szCs w:val="12"/>
                <w:color w:val="auto"/>
              </w:rPr>
            </w:pPr>
          </w:p>
        </w:tc>
        <w:tc>
          <w:tcPr>
            <w:tcW w:w="1780" w:type="dxa"/>
            <w:vAlign w:val="bottom"/>
          </w:tcPr>
          <w:p>
            <w:pPr>
              <w:jc w:val="center"/>
              <w:spacing w:after="0" w:line="143" w:lineRule="exact"/>
              <w:rPr>
                <w:sz w:val="20"/>
                <w:szCs w:val="20"/>
                <w:color w:val="auto"/>
              </w:rPr>
            </w:pPr>
            <w:r>
              <w:rPr>
                <w:rFonts w:ascii="Arial" w:cs="Arial" w:eastAsia="Arial" w:hAnsi="Arial"/>
                <w:sz w:val="16"/>
                <w:szCs w:val="16"/>
                <w:color w:val="auto"/>
              </w:rPr>
              <w:t>properly cast</w:t>
            </w:r>
          </w:p>
        </w:tc>
        <w:tc>
          <w:tcPr>
            <w:tcW w:w="240" w:type="dxa"/>
            <w:vAlign w:val="bottom"/>
          </w:tcPr>
          <w:p>
            <w:pPr>
              <w:spacing w:after="0"/>
              <w:rPr>
                <w:sz w:val="12"/>
                <w:szCs w:val="12"/>
                <w:color w:val="auto"/>
              </w:rPr>
            </w:pPr>
          </w:p>
        </w:tc>
        <w:tc>
          <w:tcPr>
            <w:tcW w:w="1880" w:type="dxa"/>
            <w:vAlign w:val="bottom"/>
          </w:tcPr>
          <w:p>
            <w:pPr>
              <w:jc w:val="center"/>
              <w:spacing w:after="0" w:line="143" w:lineRule="exact"/>
              <w:rPr>
                <w:sz w:val="20"/>
                <w:szCs w:val="20"/>
                <w:color w:val="auto"/>
              </w:rPr>
            </w:pPr>
            <w:r>
              <w:rPr>
                <w:rFonts w:ascii="Arial" w:cs="Arial" w:eastAsia="Arial" w:hAnsi="Arial"/>
                <w:sz w:val="16"/>
                <w:szCs w:val="16"/>
                <w:color w:val="auto"/>
              </w:rPr>
              <w:t>effect on the outcome</w:t>
            </w: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1DA46F"/>
              </w:rPr>
              <w:t>Accounting Firm for 2024</w:t>
            </w:r>
          </w:p>
        </w:tc>
        <w:tc>
          <w:tcPr>
            <w:tcW w:w="2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of the proposal</w:t>
            </w: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1DA46F"/>
              </w:rPr>
              <w:t>PROPOSAL 3</w:t>
            </w:r>
            <w:r>
              <w:rPr>
                <w:rFonts w:ascii="Arial" w:cs="Arial" w:eastAsia="Arial" w:hAnsi="Arial"/>
                <w:sz w:val="18"/>
                <w:szCs w:val="18"/>
                <w:color w:val="1DA46F"/>
              </w:rPr>
              <w:t>: Approval of an</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1DA46F"/>
              </w:rPr>
              <w:t>amendment to our Second</w:t>
            </w:r>
          </w:p>
        </w:tc>
        <w:tc>
          <w:tcPr>
            <w:tcW w:w="280" w:type="dxa"/>
            <w:vAlign w:val="bottom"/>
          </w:tcPr>
          <w:p>
            <w:pPr>
              <w:spacing w:after="0"/>
              <w:rPr>
                <w:sz w:val="18"/>
                <w:szCs w:val="18"/>
                <w:color w:val="auto"/>
              </w:rPr>
            </w:pP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8"/>
              </w:rPr>
              <w:t>Majority of shares of</w:t>
            </w:r>
          </w:p>
        </w:tc>
        <w:tc>
          <w:tcPr>
            <w:tcW w:w="240" w:type="dxa"/>
            <w:vAlign w:val="bottom"/>
          </w:tcPr>
          <w:p>
            <w:pPr>
              <w:spacing w:after="0"/>
              <w:rPr>
                <w:sz w:val="18"/>
                <w:szCs w:val="18"/>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rPr>
              <w:t>Abstentions and</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vMerge w:val="restart"/>
          </w:tcPr>
          <w:p>
            <w:pPr>
              <w:spacing w:after="0" w:line="189" w:lineRule="exact"/>
              <w:rPr>
                <w:sz w:val="20"/>
                <w:szCs w:val="20"/>
                <w:color w:val="auto"/>
              </w:rPr>
            </w:pPr>
            <w:r>
              <w:rPr>
                <w:rFonts w:ascii="Arial" w:cs="Arial" w:eastAsia="Arial" w:hAnsi="Arial"/>
                <w:sz w:val="18"/>
                <w:szCs w:val="18"/>
                <w:color w:val="1DA46F"/>
              </w:rPr>
              <w:t>Amended and Restated</w:t>
            </w:r>
          </w:p>
        </w:tc>
        <w:tc>
          <w:tcPr>
            <w:tcW w:w="28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rPr>
              <w:t>broker non-votes will</w:t>
            </w: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vMerge w:val="restart"/>
          </w:tcPr>
          <w:p>
            <w:pPr>
              <w:spacing w:after="0"/>
              <w:rPr>
                <w:sz w:val="20"/>
                <w:szCs w:val="20"/>
                <w:color w:val="auto"/>
              </w:rPr>
            </w:pPr>
            <w:r>
              <w:rPr>
                <w:rFonts w:ascii="Arial" w:cs="Arial" w:eastAsia="Arial" w:hAnsi="Arial"/>
                <w:sz w:val="18"/>
                <w:szCs w:val="18"/>
                <w:color w:val="1DA46F"/>
              </w:rPr>
              <w:t>Certificate of Incorporation to</w:t>
            </w:r>
          </w:p>
        </w:tc>
        <w:tc>
          <w:tcPr>
            <w:tcW w:w="280" w:type="dxa"/>
            <w:vAlign w:val="bottom"/>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9"/>
              </w:rPr>
              <w:t>capital stock issued</w:t>
            </w:r>
          </w:p>
        </w:tc>
        <w:tc>
          <w:tcPr>
            <w:tcW w:w="24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60"/>
              <w:spacing w:after="0" w:line="216" w:lineRule="exact"/>
              <w:rPr>
                <w:sz w:val="20"/>
                <w:szCs w:val="20"/>
                <w:color w:val="auto"/>
              </w:rPr>
            </w:pPr>
            <w:r>
              <w:rPr>
                <w:rFonts w:ascii="Arial" w:cs="Arial" w:eastAsia="Arial" w:hAnsi="Arial"/>
                <w:sz w:val="25"/>
                <w:szCs w:val="25"/>
                <w:color w:val="000000"/>
                <w:vertAlign w:val="superscript"/>
              </w:rPr>
              <w:t>​</w:t>
            </w:r>
            <w:r>
              <w:rPr>
                <w:rFonts w:ascii="Arial" w:cs="Arial" w:eastAsia="Arial" w:hAnsi="Arial"/>
                <w:sz w:val="14"/>
                <w:szCs w:val="14"/>
                <w:color w:val="1DA46F"/>
              </w:rPr>
              <w:t>limit the liability of certain</w:t>
            </w:r>
          </w:p>
        </w:tc>
        <w:tc>
          <w:tcPr>
            <w:tcW w:w="280" w:type="dxa"/>
            <w:vAlign w:val="bottom"/>
          </w:tcPr>
          <w:p>
            <w:pPr>
              <w:ind w:left="80"/>
              <w:spacing w:after="0"/>
              <w:rPr>
                <w:sz w:val="20"/>
                <w:szCs w:val="20"/>
                <w:color w:val="auto"/>
              </w:rPr>
            </w:pPr>
            <w:r>
              <w:rPr>
                <w:rFonts w:ascii="Arial" w:cs="Arial" w:eastAsia="Arial" w:hAnsi="Arial"/>
                <w:sz w:val="18"/>
                <w:szCs w:val="18"/>
                <w:color w:val="auto"/>
              </w:rPr>
              <w:t>​ ​</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and outstanding and</w:t>
            </w:r>
          </w:p>
        </w:tc>
        <w:tc>
          <w:tcPr>
            <w:tcW w:w="240" w:type="dxa"/>
            <w:vAlign w:val="bottom"/>
          </w:tcPr>
          <w:p>
            <w:pPr>
              <w:ind w:left="80"/>
              <w:spacing w:after="0"/>
              <w:rPr>
                <w:sz w:val="20"/>
                <w:szCs w:val="20"/>
                <w:color w:val="auto"/>
              </w:rPr>
            </w:pPr>
            <w:r>
              <w:rPr>
                <w:rFonts w:ascii="Arial" w:cs="Arial" w:eastAsia="Arial" w:hAnsi="Arial"/>
                <w:sz w:val="18"/>
                <w:szCs w:val="18"/>
                <w:color w:val="auto"/>
              </w:rPr>
              <w:t>​ ​</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have the effect of</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1600" w:type="dxa"/>
            <w:vAlign w:val="bottom"/>
          </w:tcPr>
          <w:p>
            <w:pPr>
              <w:jc w:val="center"/>
              <w:spacing w:after="0"/>
              <w:rPr>
                <w:sz w:val="20"/>
                <w:szCs w:val="20"/>
                <w:color w:val="auto"/>
              </w:rPr>
            </w:pPr>
            <w:r>
              <w:rPr>
                <w:rFonts w:ascii="Arial" w:cs="Arial" w:eastAsia="Arial" w:hAnsi="Arial"/>
                <w:sz w:val="18"/>
                <w:szCs w:val="18"/>
                <w:color w:val="auto"/>
              </w:rPr>
              <w:t>No</w:t>
            </w:r>
          </w:p>
        </w:tc>
        <w:tc>
          <w:tcPr>
            <w:tcW w:w="2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vMerge w:val="restart"/>
          </w:tcPr>
          <w:p>
            <w:pPr>
              <w:spacing w:after="0"/>
              <w:rPr>
                <w:sz w:val="20"/>
                <w:szCs w:val="20"/>
                <w:color w:val="auto"/>
              </w:rPr>
            </w:pPr>
            <w:r>
              <w:rPr>
                <w:rFonts w:ascii="Arial" w:cs="Arial" w:eastAsia="Arial" w:hAnsi="Arial"/>
                <w:sz w:val="18"/>
                <w:szCs w:val="18"/>
                <w:color w:val="1DA46F"/>
              </w:rPr>
              <w:t>officers of the Company as</w:t>
            </w:r>
          </w:p>
        </w:tc>
        <w:tc>
          <w:tcPr>
            <w:tcW w:w="280" w:type="dxa"/>
            <w:vAlign w:val="bottom"/>
          </w:tcPr>
          <w:p>
            <w:pPr>
              <w:spacing w:after="0"/>
              <w:rPr>
                <w:sz w:val="10"/>
                <w:szCs w:val="10"/>
                <w:color w:val="auto"/>
              </w:rPr>
            </w:pP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9"/>
              </w:rPr>
              <w:t>entitled to vote</w:t>
            </w:r>
          </w:p>
        </w:tc>
        <w:tc>
          <w:tcPr>
            <w:tcW w:w="240" w:type="dxa"/>
            <w:vAlign w:val="bottom"/>
          </w:tcPr>
          <w:p>
            <w:pPr>
              <w:spacing w:after="0"/>
              <w:rPr>
                <w:sz w:val="10"/>
                <w:szCs w:val="10"/>
                <w:color w:val="auto"/>
              </w:rPr>
            </w:pPr>
          </w:p>
        </w:tc>
        <w:tc>
          <w:tcPr>
            <w:tcW w:w="1880" w:type="dxa"/>
            <w:vAlign w:val="bottom"/>
          </w:tcPr>
          <w:p>
            <w:pPr>
              <w:jc w:val="center"/>
              <w:spacing w:after="0" w:line="116" w:lineRule="exact"/>
              <w:rPr>
                <w:sz w:val="20"/>
                <w:szCs w:val="20"/>
                <w:color w:val="auto"/>
              </w:rPr>
            </w:pPr>
            <w:r>
              <w:rPr>
                <w:rFonts w:ascii="Arial" w:cs="Arial" w:eastAsia="Arial" w:hAnsi="Arial"/>
                <w:sz w:val="13"/>
                <w:szCs w:val="13"/>
                <w:color w:val="auto"/>
              </w:rPr>
              <w:t>voting against the</w:t>
            </w:r>
          </w:p>
        </w:tc>
        <w:tc>
          <w:tcPr>
            <w:tcW w:w="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rPr>
              <w:t>proposal</w:t>
            </w:r>
          </w:p>
        </w:tc>
        <w:tc>
          <w:tcPr>
            <w:tcW w:w="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vMerge w:val="restart"/>
          </w:tcPr>
          <w:p>
            <w:pPr>
              <w:spacing w:after="0"/>
              <w:rPr>
                <w:sz w:val="20"/>
                <w:szCs w:val="20"/>
                <w:color w:val="auto"/>
              </w:rPr>
            </w:pPr>
            <w:r>
              <w:rPr>
                <w:rFonts w:ascii="Arial" w:cs="Arial" w:eastAsia="Arial" w:hAnsi="Arial"/>
                <w:sz w:val="18"/>
                <w:szCs w:val="18"/>
                <w:color w:val="1DA46F"/>
              </w:rPr>
              <w:t>permitted by recent</w:t>
            </w: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1DA46F"/>
              </w:rPr>
              <w:t>amendments to Delaware law</w:t>
            </w: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1DA46F"/>
              </w:rPr>
              <w:t xml:space="preserve">PROPOSAL 4: </w:t>
            </w:r>
            <w:r>
              <w:rPr>
                <w:rFonts w:ascii="Arial" w:cs="Arial" w:eastAsia="Arial" w:hAnsi="Arial"/>
                <w:sz w:val="18"/>
                <w:szCs w:val="18"/>
                <w:color w:val="1DA46F"/>
              </w:rPr>
              <w:t>Approval of</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rPr>
              <w:t>Abstentions and</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vMerge w:val="restart"/>
          </w:tcPr>
          <w:p>
            <w:pPr>
              <w:spacing w:after="0"/>
              <w:rPr>
                <w:sz w:val="20"/>
                <w:szCs w:val="20"/>
                <w:color w:val="auto"/>
              </w:rPr>
            </w:pPr>
            <w:r>
              <w:rPr>
                <w:rFonts w:ascii="Arial" w:cs="Arial" w:eastAsia="Arial" w:hAnsi="Arial"/>
                <w:sz w:val="18"/>
                <w:szCs w:val="18"/>
                <w:color w:val="1DA46F"/>
              </w:rPr>
              <w:t>adjournment of the Annual</w:t>
            </w:r>
          </w:p>
        </w:tc>
        <w:tc>
          <w:tcPr>
            <w:tcW w:w="2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9"/>
              </w:rPr>
              <w:t>Majority of the votes</w:t>
            </w:r>
          </w:p>
        </w:tc>
        <w:tc>
          <w:tcPr>
            <w:tcW w:w="240" w:type="dxa"/>
            <w:vAlign w:val="bottom"/>
          </w:tcPr>
          <w:p>
            <w:pPr>
              <w:spacing w:after="0"/>
              <w:rPr>
                <w:sz w:val="10"/>
                <w:szCs w:val="10"/>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rPr>
              <w:t>broker non-votes will</w:t>
            </w:r>
          </w:p>
        </w:tc>
        <w:tc>
          <w:tcPr>
            <w:tcW w:w="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vMerge w:val="restart"/>
          </w:tcPr>
          <w:p>
            <w:pPr>
              <w:spacing w:after="0" w:line="181" w:lineRule="exact"/>
              <w:rPr>
                <w:sz w:val="20"/>
                <w:szCs w:val="20"/>
                <w:color w:val="auto"/>
              </w:rPr>
            </w:pPr>
            <w:r>
              <w:rPr>
                <w:rFonts w:ascii="Arial" w:cs="Arial" w:eastAsia="Arial" w:hAnsi="Arial"/>
                <w:sz w:val="18"/>
                <w:szCs w:val="18"/>
                <w:color w:val="1DA46F"/>
              </w:rPr>
              <w:t>Meeting to the extent there are</w:t>
            </w:r>
          </w:p>
        </w:tc>
        <w:tc>
          <w:tcPr>
            <w:tcW w:w="2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60"/>
              <w:spacing w:after="0" w:line="216" w:lineRule="exact"/>
              <w:rPr>
                <w:sz w:val="20"/>
                <w:szCs w:val="20"/>
                <w:color w:val="auto"/>
              </w:rPr>
            </w:pPr>
            <w:r>
              <w:rPr>
                <w:rFonts w:ascii="Arial" w:cs="Arial" w:eastAsia="Arial" w:hAnsi="Arial"/>
                <w:sz w:val="25"/>
                <w:szCs w:val="25"/>
                <w:color w:val="000000"/>
                <w:vertAlign w:val="superscript"/>
              </w:rPr>
              <w:t>​</w:t>
            </w:r>
            <w:r>
              <w:rPr>
                <w:rFonts w:ascii="Arial" w:cs="Arial" w:eastAsia="Arial" w:hAnsi="Arial"/>
                <w:sz w:val="14"/>
                <w:szCs w:val="14"/>
                <w:color w:val="1DA46F"/>
              </w:rPr>
              <w:t>insufficient votes at the Annual</w:t>
            </w:r>
          </w:p>
        </w:tc>
        <w:tc>
          <w:tcPr>
            <w:tcW w:w="280" w:type="dxa"/>
            <w:vAlign w:val="bottom"/>
          </w:tcPr>
          <w:p>
            <w:pPr>
              <w:ind w:left="80"/>
              <w:spacing w:after="0"/>
              <w:rPr>
                <w:sz w:val="20"/>
                <w:szCs w:val="20"/>
                <w:color w:val="auto"/>
              </w:rPr>
            </w:pPr>
            <w:r>
              <w:rPr>
                <w:rFonts w:ascii="Arial" w:cs="Arial" w:eastAsia="Arial" w:hAnsi="Arial"/>
                <w:sz w:val="18"/>
                <w:szCs w:val="18"/>
                <w:color w:val="auto"/>
              </w:rPr>
              <w:t>​ ​</w:t>
            </w: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properly cast</w:t>
            </w:r>
          </w:p>
        </w:tc>
        <w:tc>
          <w:tcPr>
            <w:tcW w:w="240" w:type="dxa"/>
            <w:vAlign w:val="bottom"/>
          </w:tcPr>
          <w:p>
            <w:pPr>
              <w:ind w:left="80"/>
              <w:spacing w:after="0"/>
              <w:rPr>
                <w:sz w:val="20"/>
                <w:szCs w:val="20"/>
                <w:color w:val="auto"/>
              </w:rPr>
            </w:pPr>
            <w:r>
              <w:rPr>
                <w:rFonts w:ascii="Arial" w:cs="Arial" w:eastAsia="Arial" w:hAnsi="Arial"/>
                <w:sz w:val="18"/>
                <w:szCs w:val="18"/>
                <w:color w:val="auto"/>
              </w:rPr>
              <w:t>​ ​</w:t>
            </w: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have no effect on the</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Yes</w:t>
            </w:r>
          </w:p>
        </w:tc>
        <w:tc>
          <w:tcPr>
            <w:tcW w:w="2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80" w:type="dxa"/>
            <w:vAlign w:val="bottom"/>
          </w:tcPr>
          <w:p>
            <w:pPr>
              <w:jc w:val="center"/>
              <w:spacing w:after="0" w:line="53" w:lineRule="exact"/>
              <w:rPr>
                <w:sz w:val="20"/>
                <w:szCs w:val="20"/>
                <w:color w:val="auto"/>
              </w:rPr>
            </w:pPr>
            <w:r>
              <w:rPr>
                <w:rFonts w:ascii="Arial" w:cs="Arial" w:eastAsia="Arial" w:hAnsi="Arial"/>
                <w:sz w:val="6"/>
                <w:szCs w:val="6"/>
                <w:color w:val="auto"/>
              </w:rPr>
              <w:t>outcome of the</w:t>
            </w:r>
          </w:p>
        </w:tc>
        <w:tc>
          <w:tcPr>
            <w:tcW w:w="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98"/>
        </w:trPr>
        <w:tc>
          <w:tcPr>
            <w:tcW w:w="3960" w:type="dxa"/>
            <w:vAlign w:val="bottom"/>
          </w:tcPr>
          <w:p>
            <w:pPr>
              <w:spacing w:after="0" w:line="198" w:lineRule="exact"/>
              <w:rPr>
                <w:sz w:val="20"/>
                <w:szCs w:val="20"/>
                <w:color w:val="auto"/>
              </w:rPr>
            </w:pPr>
            <w:r>
              <w:rPr>
                <w:rFonts w:ascii="Arial" w:cs="Arial" w:eastAsia="Arial" w:hAnsi="Arial"/>
                <w:sz w:val="18"/>
                <w:szCs w:val="18"/>
                <w:color w:val="1DA46F"/>
              </w:rPr>
              <w:t>Meeting to approve the</w:t>
            </w:r>
          </w:p>
        </w:tc>
        <w:tc>
          <w:tcPr>
            <w:tcW w:w="2140" w:type="dxa"/>
            <w:vAlign w:val="bottom"/>
            <w:vMerge w:val="restart"/>
          </w:tcPr>
          <w:p>
            <w:pPr>
              <w:ind w:left="1440"/>
              <w:spacing w:after="0"/>
              <w:rPr>
                <w:sz w:val="20"/>
                <w:szCs w:val="20"/>
                <w:color w:val="auto"/>
              </w:rPr>
            </w:pPr>
            <w:r>
              <w:rPr>
                <w:rFonts w:ascii="Arial" w:cs="Arial" w:eastAsia="Arial" w:hAnsi="Arial"/>
                <w:sz w:val="18"/>
                <w:szCs w:val="18"/>
                <w:color w:val="auto"/>
                <w:w w:val="98"/>
              </w:rPr>
              <w:t>proposal</w:t>
            </w:r>
          </w:p>
        </w:tc>
        <w:tc>
          <w:tcPr>
            <w:tcW w:w="0" w:type="dxa"/>
            <w:vAlign w:val="bottom"/>
          </w:tcPr>
          <w:p>
            <w:pPr>
              <w:spacing w:after="0"/>
              <w:rPr>
                <w:sz w:val="1"/>
                <w:szCs w:val="1"/>
                <w:color w:val="auto"/>
              </w:rPr>
            </w:pPr>
          </w:p>
        </w:tc>
      </w:tr>
      <w:tr>
        <w:trPr>
          <w:trHeight w:val="117"/>
        </w:trPr>
        <w:tc>
          <w:tcPr>
            <w:tcW w:w="3960" w:type="dxa"/>
            <w:vAlign w:val="bottom"/>
            <w:vMerge w:val="restart"/>
          </w:tcPr>
          <w:p>
            <w:pPr>
              <w:spacing w:after="0"/>
              <w:rPr>
                <w:sz w:val="20"/>
                <w:szCs w:val="20"/>
                <w:color w:val="auto"/>
              </w:rPr>
            </w:pPr>
            <w:r>
              <w:rPr>
                <w:rFonts w:ascii="Arial" w:cs="Arial" w:eastAsia="Arial" w:hAnsi="Arial"/>
                <w:sz w:val="18"/>
                <w:szCs w:val="18"/>
                <w:color w:val="1DA46F"/>
              </w:rPr>
              <w:t>immediately preceding proposal</w:t>
            </w: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960" w:type="dxa"/>
            <w:vAlign w:val="bottom"/>
            <w:vMerge w:val="continue"/>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QUORUM</w:t>
      </w:r>
    </w:p>
    <w:p>
      <w:pPr>
        <w:spacing w:after="0" w:line="158" w:lineRule="exact"/>
        <w:rPr>
          <w:sz w:val="20"/>
          <w:szCs w:val="20"/>
          <w:color w:val="auto"/>
        </w:rPr>
      </w:pPr>
    </w:p>
    <w:p>
      <w:pPr>
        <w:jc w:val="both"/>
        <w:ind w:left="880" w:right="39"/>
        <w:spacing w:after="0" w:line="255" w:lineRule="auto"/>
        <w:rPr>
          <w:sz w:val="20"/>
          <w:szCs w:val="20"/>
          <w:color w:val="auto"/>
        </w:rPr>
      </w:pPr>
      <w:r>
        <w:rPr>
          <w:rFonts w:ascii="Arial" w:cs="Arial" w:eastAsia="Arial" w:hAnsi="Arial"/>
          <w:sz w:val="18"/>
          <w:szCs w:val="18"/>
          <w:color w:val="auto"/>
        </w:rPr>
        <w:t>We must have a quorum to conduct business at the Annual Meeting. A quorum consists of the presence at the Annual Meeting, either attending the meeting virtually or represented by proxy, of the holders of shares of capital stock representing a majority of the voting power of all outstanding shares of capital stock entitled to vote. For the purpose of establishing a quorum, votes withheld, abstentions, including brokers holding customers’ shares of record who cause abstentions to be recorded at the meeting, and broker non-votes count toward the quorum. If there is no quorum, the holders of shares of capital stock representing a majority of the voting power virtually attending the Annual Meeting or represented by proxy or the presiding officer of the meeting may adjourn the Annual Meeting to another date.</w:t>
      </w:r>
    </w:p>
    <w:p>
      <w:pPr>
        <w:spacing w:after="0" w:line="293"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​GENERAL INFORMATION ABOUT THE MEETING</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SOLICITATION COSTS</w:t>
      </w:r>
    </w:p>
    <w:p>
      <w:pPr>
        <w:spacing w:after="0" w:line="144"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71" w:lineRule="auto"/>
        <w:rPr>
          <w:sz w:val="20"/>
          <w:szCs w:val="20"/>
          <w:color w:val="auto"/>
        </w:rPr>
      </w:pPr>
      <w:r>
        <w:rPr>
          <w:rFonts w:ascii="Arial" w:cs="Arial" w:eastAsia="Arial" w:hAnsi="Arial"/>
          <w:sz w:val="18"/>
          <w:szCs w:val="18"/>
          <w:color w:val="148CD9"/>
        </w:rPr>
        <w:t>Our Board has nominated Kimberly Blackwell, M.D., Joseph Jimenez and Brent Pfeiffenberger, Pharm.D. for election as Class III directors at our Annual Meeting to hold office until our 2027 Annual Meeting of Stockholders.</w:t>
      </w:r>
    </w:p>
    <w:p>
      <w:pPr>
        <w:spacing w:after="0" w:line="86"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Our Board is the Company’s ultimate decision-making body, except with respect to those matters reserved to the stockholders. Our Board selects the members of our senior management team, who in turn are responsible for our day-to-day operations. Our Board acts as an advisor and counselor to senior management and oversees their performance.</w:t>
      </w:r>
    </w:p>
    <w:p>
      <w:pPr>
        <w:spacing w:after="0" w:line="103" w:lineRule="exact"/>
        <w:rPr>
          <w:sz w:val="20"/>
          <w:szCs w:val="20"/>
          <w:color w:val="auto"/>
        </w:rPr>
      </w:pPr>
    </w:p>
    <w:p>
      <w:pPr>
        <w:jc w:val="both"/>
        <w:ind w:left="880" w:right="19"/>
        <w:spacing w:after="0" w:line="245" w:lineRule="auto"/>
        <w:rPr>
          <w:sz w:val="20"/>
          <w:szCs w:val="20"/>
          <w:color w:val="auto"/>
        </w:rPr>
      </w:pPr>
      <w:r>
        <w:rPr>
          <w:rFonts w:ascii="Arial" w:cs="Arial" w:eastAsia="Arial" w:hAnsi="Arial"/>
          <w:sz w:val="18"/>
          <w:szCs w:val="18"/>
          <w:color w:val="auto"/>
        </w:rPr>
        <w:t>Our Board consists of directors divided into three classes, with each class holding office for a three-year term. Kimberly Blackwell, M.D., Joseph Jimenez and Brent Pfeiffenberger, Pharm.D., current Class III directors, have been nominated by our Board for election at the Annual Meeting for three-year terms that will expire at the 2027 Annual Meeting of Stockholders and until their successors, if any, are elected or appointed, or their earlier death, resignation, retirement, disqualification or removal. 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STRUCTURE AND COMPOSITION</w:t>
      </w:r>
    </w:p>
    <w:p>
      <w:pPr>
        <w:spacing w:after="0" w:line="158" w:lineRule="exact"/>
        <w:rPr>
          <w:sz w:val="20"/>
          <w:szCs w:val="20"/>
          <w:color w:val="auto"/>
        </w:rPr>
      </w:pPr>
    </w:p>
    <w:p>
      <w:pPr>
        <w:jc w:val="both"/>
        <w:ind w:left="880" w:right="19"/>
        <w:spacing w:after="0" w:line="248" w:lineRule="auto"/>
        <w:rPr>
          <w:sz w:val="20"/>
          <w:szCs w:val="20"/>
          <w:color w:val="auto"/>
        </w:rPr>
      </w:pPr>
      <w:r>
        <w:rPr>
          <w:rFonts w:ascii="Arial" w:cs="Arial" w:eastAsia="Arial" w:hAnsi="Arial"/>
          <w:sz w:val="18"/>
          <w:szCs w:val="18"/>
          <w:color w:val="auto"/>
        </w:rPr>
        <w:t>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are able to apply their experience toward meaningful contributions to our business strategy and oversight of our performance, risk management, organizational development and succession planning.</w:t>
      </w:r>
    </w:p>
    <w:p>
      <w:pPr>
        <w:spacing w:after="0" w:line="107"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Our Second Amended and Restated Bylaws, or Bylaws, provide that the number of members of our Board shall be fixed by the Board from time to time. Our Board is currently fixed at eight members. Our Board is divided into three classes with staggered three-year terms. The Nominating and Corporate Governance Committee is responsible for identifying individuals that it believes are qualified to become Board members.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CRITERIA FOR BOARD MEMBERSHIP</w:t>
      </w:r>
    </w:p>
    <w:p>
      <w:pPr>
        <w:spacing w:after="0" w:line="158" w:lineRule="exact"/>
        <w:rPr>
          <w:sz w:val="20"/>
          <w:szCs w:val="20"/>
          <w:color w:val="auto"/>
        </w:rPr>
      </w:pPr>
    </w:p>
    <w:p>
      <w:pPr>
        <w:jc w:val="both"/>
        <w:ind w:left="880" w:right="19"/>
        <w:spacing w:after="0" w:line="271" w:lineRule="auto"/>
        <w:rPr>
          <w:sz w:val="20"/>
          <w:szCs w:val="20"/>
          <w:color w:val="auto"/>
        </w:rPr>
      </w:pPr>
      <w:r>
        <w:rPr>
          <w:rFonts w:ascii="Arial" w:cs="Arial" w:eastAsia="Arial" w:hAnsi="Arial"/>
          <w:sz w:val="18"/>
          <w:szCs w:val="18"/>
          <w:color w:val="auto"/>
        </w:rPr>
        <w:t>The Nominating and Corporate Governance Committee has identified certain criteria that it will consider in identifying director nominees. Important general criteria and considerations for Board membership include:</w:t>
      </w:r>
    </w:p>
    <w:p>
      <w:pPr>
        <w:sectPr>
          <w:pgSz w:w="11900" w:h="16838" w:orient="portrait"/>
          <w:cols w:equalWidth="0" w:num="1">
            <w:col w:w="9879"/>
          </w:cols>
          <w:pgMar w:left="580" w:top="97" w:right="1440" w:bottom="1440" w:gutter="0" w:footer="0" w:header="0"/>
        </w:sectPr>
      </w:pPr>
    </w:p>
    <w:p>
      <w:pPr>
        <w:spacing w:after="0" w:line="198" w:lineRule="exact"/>
        <w:rPr>
          <w:sz w:val="20"/>
          <w:szCs w:val="20"/>
          <w:color w:val="auto"/>
        </w:rPr>
      </w:pPr>
    </w:p>
    <w:p>
      <w:pPr>
        <w:ind w:left="920"/>
        <w:spacing w:after="0"/>
        <w:tabs>
          <w:tab w:leader="none" w:pos="4300" w:val="left"/>
        </w:tabs>
        <w:rPr>
          <w:sz w:val="20"/>
          <w:szCs w:val="20"/>
          <w:color w:val="auto"/>
        </w:rPr>
      </w:pPr>
      <w:r>
        <w:rPr>
          <w:rFonts w:ascii="Arial" w:cs="Arial" w:eastAsia="Arial" w:hAnsi="Arial"/>
          <w:sz w:val="22"/>
          <w:szCs w:val="22"/>
          <w:b w:val="1"/>
          <w:bCs w:val="1"/>
          <w:color w:val="148CD9"/>
        </w:rPr>
        <w:t>​</w:t>
      </w:r>
      <w:r>
        <w:rPr>
          <w:sz w:val="20"/>
          <w:szCs w:val="20"/>
          <w:color w:val="auto"/>
        </w:rPr>
        <w:tab/>
      </w:r>
      <w:r>
        <w:rPr>
          <w:rFonts w:ascii="Arial" w:cs="Arial" w:eastAsia="Arial" w:hAnsi="Arial"/>
          <w:sz w:val="22"/>
          <w:szCs w:val="22"/>
          <w:b w:val="1"/>
          <w:bCs w:val="1"/>
          <w:color w:val="148CD9"/>
        </w:rPr>
        <w:t>GENERAL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20320</wp:posOffset>
            </wp:positionV>
            <wp:extent cx="570039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80"/>
        <w:spacing w:after="0"/>
        <w:tabs>
          <w:tab w:leader="none" w:pos="1320" w:val="left"/>
        </w:tabs>
        <w:rPr>
          <w:sz w:val="20"/>
          <w:szCs w:val="20"/>
          <w:color w:val="auto"/>
        </w:rPr>
      </w:pPr>
      <w:r>
        <w:rPr>
          <w:rFonts w:ascii="Arial" w:cs="Arial" w:eastAsia="Arial" w:hAnsi="Arial"/>
          <w:sz w:val="18"/>
          <w:szCs w:val="18"/>
          <w:color w:val="auto"/>
        </w:rPr>
        <w:t>​</w:t>
      </w:r>
      <w:r>
        <w:rPr>
          <w:sz w:val="20"/>
          <w:szCs w:val="20"/>
          <w:color w:val="auto"/>
        </w:rPr>
        <w:tab/>
      </w:r>
      <w:r>
        <w:rPr>
          <w:sz w:val="1"/>
          <w:szCs w:val="1"/>
          <w:color w:val="auto"/>
        </w:rPr>
        <w:drawing>
          <wp:inline distT="0" distB="0" distL="0" distR="0">
            <wp:extent cx="77470" cy="6794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67945"/>
                    </a:xfrm>
                    <a:prstGeom prst="rect">
                      <a:avLst/>
                    </a:prstGeom>
                    <a:noFill/>
                    <a:ln>
                      <a:noFill/>
                    </a:ln>
                  </pic:spPr>
                </pic:pic>
              </a:graphicData>
            </a:graphic>
          </wp:inline>
        </w:drawing>
      </w:r>
      <w:r>
        <w:rPr>
          <w:rFonts w:ascii="Arial" w:cs="Arial" w:eastAsia="Arial" w:hAnsi="Arial"/>
          <w:sz w:val="18"/>
          <w:szCs w:val="18"/>
          <w:color w:val="auto"/>
        </w:rPr>
        <w:t xml:space="preserve">  Proven integrity</w:t>
      </w:r>
    </w:p>
    <w:p>
      <w:pPr>
        <w:ind w:left="1640"/>
        <w:spacing w:after="0" w:line="203" w:lineRule="auto"/>
        <w:rPr>
          <w:sz w:val="20"/>
          <w:szCs w:val="20"/>
          <w:color w:val="auto"/>
        </w:rPr>
      </w:pPr>
      <w:r>
        <w:rPr>
          <w:rFonts w:ascii="Arial" w:cs="Arial" w:eastAsia="Arial" w:hAnsi="Arial"/>
          <w:sz w:val="18"/>
          <w:szCs w:val="18"/>
          <w:color w:val="auto"/>
        </w:rPr>
        <w:t>Capability to fairly and equally act in the best interest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-75565</wp:posOffset>
            </wp:positionV>
            <wp:extent cx="77470" cy="774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ind w:left="1640" w:right="260"/>
        <w:spacing w:after="0" w:line="242" w:lineRule="auto"/>
        <w:rPr>
          <w:sz w:val="20"/>
          <w:szCs w:val="20"/>
          <w:color w:val="auto"/>
        </w:rPr>
      </w:pPr>
      <w:r>
        <w:rPr>
          <w:rFonts w:ascii="Arial" w:cs="Arial" w:eastAsia="Arial" w:hAnsi="Arial"/>
          <w:sz w:val="18"/>
          <w:szCs w:val="18"/>
          <w:color w:val="auto"/>
        </w:rPr>
        <w:t>Prior or current leadership experience, including within the biotechnology and biopharmaceutical spheres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-229870</wp:posOffset>
            </wp:positionV>
            <wp:extent cx="77470" cy="774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7"/>
          <w:szCs w:val="17"/>
          <w:color w:val="auto"/>
        </w:rPr>
        <w:t>Broad experience, diverse perspectives, and the ability to exercise sound judgment, and a judicious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-88900</wp:posOffset>
            </wp:positionV>
            <wp:extent cx="77470" cy="768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color w:val="auto"/>
        </w:rPr>
        <w:t>and critical temperament that will enable objective appraisal of management’s plans and programs</w:t>
      </w:r>
    </w:p>
    <w:p>
      <w:pPr>
        <w:ind w:left="1640"/>
        <w:spacing w:after="0" w:line="203" w:lineRule="auto"/>
        <w:rPr>
          <w:sz w:val="20"/>
          <w:szCs w:val="20"/>
          <w:color w:val="auto"/>
        </w:rPr>
      </w:pPr>
      <w:r>
        <w:rPr>
          <w:rFonts w:ascii="Arial" w:cs="Arial" w:eastAsia="Arial" w:hAnsi="Arial"/>
          <w:sz w:val="18"/>
          <w:szCs w:val="18"/>
          <w:color w:val="auto"/>
        </w:rPr>
        <w:t>Willingness and ability to devote sufficient time to Board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-75565</wp:posOffset>
            </wp:positionV>
            <wp:extent cx="77470" cy="77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ind w:left="1640" w:right="420"/>
        <w:spacing w:after="0" w:line="266" w:lineRule="auto"/>
        <w:rPr>
          <w:sz w:val="20"/>
          <w:szCs w:val="20"/>
          <w:color w:val="auto"/>
        </w:rPr>
      </w:pPr>
      <w:r>
        <w:rPr>
          <w:rFonts w:ascii="Arial" w:cs="Arial" w:eastAsia="Arial" w:hAnsi="Arial"/>
          <w:sz w:val="18"/>
          <w:szCs w:val="18"/>
          <w:color w:val="auto"/>
        </w:rPr>
        <w:t>Diversity with respect to gender, age, race, ethnicity, background, professional experience and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-255905</wp:posOffset>
            </wp:positionV>
            <wp:extent cx="77470" cy="76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19"/>
        <w:spacing w:after="0"/>
        <w:rPr>
          <w:sz w:val="20"/>
          <w:szCs w:val="20"/>
          <w:color w:val="auto"/>
        </w:rPr>
      </w:pPr>
      <w:r>
        <w:rPr>
          <w:rFonts w:ascii="Arial" w:cs="Arial" w:eastAsia="Arial" w:hAnsi="Arial"/>
          <w:sz w:val="22"/>
          <w:szCs w:val="22"/>
          <w:b w:val="1"/>
          <w:bCs w:val="1"/>
          <w:color w:val="148CD9"/>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88" w:lineRule="exact"/>
        <w:rPr>
          <w:sz w:val="20"/>
          <w:szCs w:val="20"/>
          <w:color w:val="auto"/>
        </w:rPr>
      </w:pPr>
    </w:p>
    <w:p>
      <w:pPr>
        <w:sectPr>
          <w:pgSz w:w="11900" w:h="16838" w:orient="portrait"/>
          <w:cols w:equalWidth="0" w:num="2">
            <w:col w:w="9520" w:space="220"/>
            <w:col w:w="139"/>
          </w:cols>
          <w:pgMar w:left="580" w:top="97" w:right="1440" w:bottom="1440" w:gutter="0" w:footer="0" w:header="0"/>
          <w:type w:val="continuous"/>
        </w:sectPr>
      </w:pPr>
    </w:p>
    <w:p>
      <w:pPr>
        <w:spacing w:after="0" w:line="133" w:lineRule="exact"/>
        <w:rPr>
          <w:sz w:val="20"/>
          <w:szCs w:val="20"/>
          <w:color w:val="auto"/>
        </w:rPr>
      </w:pPr>
    </w:p>
    <w:p>
      <w:pPr>
        <w:jc w:val="both"/>
        <w:ind w:left="880" w:right="39"/>
        <w:spacing w:after="0" w:line="261" w:lineRule="auto"/>
        <w:rPr>
          <w:sz w:val="20"/>
          <w:szCs w:val="20"/>
          <w:color w:val="auto"/>
        </w:rPr>
      </w:pPr>
      <w:r>
        <w:rPr>
          <w:rFonts w:ascii="Arial" w:cs="Arial" w:eastAsia="Arial" w:hAnsi="Arial"/>
          <w:sz w:val="18"/>
          <w:szCs w:val="18"/>
          <w:color w:val="auto"/>
        </w:rPr>
        <w:t>The Nominating and Corporate Governance Committee also considers, on an ongoing basis, the background, experience and skills of the incumbent directors that are important to our current and future business needs, and evaluates the experience and skills that would be valuable in new Board members.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SELECTION OF CANDIDATES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Skill Set Considerations; Use of Skills Matrix</w:t>
      </w:r>
    </w:p>
    <w:p>
      <w:pPr>
        <w:spacing w:after="0" w:line="144" w:lineRule="exact"/>
        <w:rPr>
          <w:sz w:val="20"/>
          <w:szCs w:val="20"/>
          <w:color w:val="auto"/>
        </w:rPr>
      </w:pPr>
    </w:p>
    <w:p>
      <w:pPr>
        <w:jc w:val="both"/>
        <w:ind w:left="880" w:right="39"/>
        <w:spacing w:after="0" w:line="261" w:lineRule="auto"/>
        <w:rPr>
          <w:sz w:val="20"/>
          <w:szCs w:val="20"/>
          <w:color w:val="auto"/>
        </w:rPr>
      </w:pPr>
      <w:r>
        <w:rPr>
          <w:rFonts w:ascii="Arial" w:cs="Arial" w:eastAsia="Arial" w:hAnsi="Arial"/>
          <w:sz w:val="18"/>
          <w:szCs w:val="18"/>
          <w:color w:val="auto"/>
        </w:rPr>
        <w:t>To assist with determining the needs of the Board, the Nominating and Corporate Governance Committee utilizes a skills matrix for the purpose of recruiting and selecting Board candidates. The expertise and experience included</w:t>
      </w:r>
    </w:p>
    <w:p>
      <w:pPr>
        <w:spacing w:after="0" w:line="270"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in the skills matrix are tied to our strategic goals, and the intent of the skills matrix is to ensure that the directors collectively possess qualities that facilitate effective oversight of our strategic plans. While the matrix is useful for determining the collective skills of the Board as a whole, it is not a comparative measure of the value of each individual director; a director with more focused experience could nonetheless contribute broadly and effectively.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The matrix below displays the current Board’s balance.</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Director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128905</wp:posOffset>
            </wp:positionV>
            <wp:extent cx="4740275" cy="23914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4027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Potential Director Candidates</w:t>
      </w:r>
    </w:p>
    <w:p>
      <w:pPr>
        <w:spacing w:after="0" w:line="144" w:lineRule="exact"/>
        <w:rPr>
          <w:sz w:val="20"/>
          <w:szCs w:val="20"/>
          <w:color w:val="auto"/>
        </w:rPr>
      </w:pPr>
    </w:p>
    <w:p>
      <w:pPr>
        <w:jc w:val="both"/>
        <w:ind w:left="880" w:right="19"/>
        <w:spacing w:after="0" w:line="254" w:lineRule="auto"/>
        <w:rPr>
          <w:sz w:val="20"/>
          <w:szCs w:val="20"/>
          <w:color w:val="auto"/>
        </w:rPr>
      </w:pPr>
      <w:r>
        <w:rPr>
          <w:rFonts w:ascii="Arial" w:cs="Arial" w:eastAsia="Arial" w:hAnsi="Arial"/>
          <w:sz w:val="18"/>
          <w:szCs w:val="18"/>
          <w:color w:val="auto"/>
        </w:rPr>
        <w:t>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Board’s nominees.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4820" w:type="dxa"/>
            <w:vAlign w:val="bottom"/>
            <w:shd w:val="clear" w:color="auto" w:fill="1DA46F"/>
          </w:tcPr>
          <w:p>
            <w:pPr>
              <w:ind w:left="20"/>
              <w:spacing w:after="0"/>
              <w:rPr>
                <w:sz w:val="20"/>
                <w:szCs w:val="20"/>
                <w:color w:val="auto"/>
              </w:rPr>
            </w:pPr>
            <w:r>
              <w:rPr>
                <w:rFonts w:ascii="Arial" w:cs="Arial" w:eastAsia="Arial" w:hAnsi="Arial"/>
                <w:sz w:val="32"/>
                <w:szCs w:val="32"/>
                <w:b w:val="1"/>
                <w:bCs w:val="1"/>
                <w:color w:val="FFFFFF"/>
              </w:rPr>
              <w:t>​BOARD OF DIRECTORS</w:t>
            </w:r>
          </w:p>
        </w:tc>
        <w:tc>
          <w:tcPr>
            <w:tcW w:w="4160" w:type="dxa"/>
            <w:vAlign w:val="bottom"/>
            <w:shd w:val="clear" w:color="auto" w:fill="1DA46F"/>
          </w:tcPr>
          <w:p>
            <w:pPr>
              <w:ind w:left="4060"/>
              <w:spacing w:after="0"/>
              <w:rPr>
                <w:sz w:val="20"/>
                <w:szCs w:val="20"/>
                <w:color w:val="auto"/>
              </w:rPr>
            </w:pPr>
            <w:r>
              <w:rPr>
                <w:rFonts w:ascii="Arial" w:cs="Arial" w:eastAsia="Arial" w:hAnsi="Arial"/>
                <w:sz w:val="32"/>
                <w:szCs w:val="32"/>
                <w:b w:val="1"/>
                <w:bCs w:val="1"/>
                <w:color w:val="FFFFFF"/>
              </w:rPr>
              <w:t>​</w:t>
            </w:r>
          </w:p>
        </w:tc>
      </w:tr>
      <w:tr>
        <w:trPr>
          <w:trHeight w:val="552"/>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BOARD DIVERSITY</w:t>
            </w:r>
          </w:p>
        </w:tc>
        <w:tc>
          <w:tcPr>
            <w:tcW w:w="4160" w:type="dxa"/>
            <w:vAlign w:val="bottom"/>
          </w:tcPr>
          <w:p>
            <w:pPr>
              <w:spacing w:after="0"/>
              <w:rPr>
                <w:sz w:val="24"/>
                <w:szCs w:val="24"/>
                <w:color w:val="auto"/>
              </w:rPr>
            </w:pPr>
          </w:p>
        </w:tc>
      </w:tr>
      <w:tr>
        <w:trPr>
          <w:trHeight w:val="307"/>
        </w:trPr>
        <w:tc>
          <w:tcPr>
            <w:tcW w:w="4820" w:type="dxa"/>
            <w:vAlign w:val="bottom"/>
          </w:tcPr>
          <w:p>
            <w:pPr>
              <w:ind w:left="20"/>
              <w:spacing w:after="0"/>
              <w:rPr>
                <w:sz w:val="20"/>
                <w:szCs w:val="20"/>
                <w:color w:val="auto"/>
              </w:rPr>
            </w:pPr>
            <w:r>
              <w:rPr>
                <w:rFonts w:ascii="Arial" w:cs="Arial" w:eastAsia="Arial" w:hAnsi="Arial"/>
                <w:sz w:val="18"/>
                <w:szCs w:val="18"/>
                <w:color w:val="auto"/>
              </w:rPr>
              <w:t>Board diversity and inclusion is critical to the our</w:t>
            </w:r>
          </w:p>
        </w:tc>
        <w:tc>
          <w:tcPr>
            <w:tcW w:w="4160" w:type="dxa"/>
            <w:vAlign w:val="bottom"/>
          </w:tcPr>
          <w:p>
            <w:pPr>
              <w:ind w:left="440"/>
              <w:spacing w:after="0"/>
              <w:rPr>
                <w:sz w:val="20"/>
                <w:szCs w:val="20"/>
                <w:color w:val="auto"/>
              </w:rPr>
            </w:pPr>
            <w:r>
              <w:rPr>
                <w:rFonts w:ascii="Arial" w:cs="Arial" w:eastAsia="Arial" w:hAnsi="Arial"/>
                <w:sz w:val="18"/>
                <w:szCs w:val="18"/>
                <w:b w:val="1"/>
                <w:bCs w:val="1"/>
                <w:color w:val="148CD9"/>
              </w:rPr>
              <w:t>CURRENT DIVERSITY BREAKDOWN</w:t>
            </w: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success. While we do not have a formal policy on</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Board diversity, the Board is committed to building a</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Board  that  consists  of  the  optimal  mix  of  skills,</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expertise,  and  diversity  capable  of  effectively</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overseeing the execution of our business and meeting</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our evolving needs, with diversity reflecting gender,</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age,   race,   ethnicity,   background,   professional</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experience  and  perspectives.  The  Nominating  and</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Corporate Governance Committee considers the value</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of  diversity  on  the  Board  in  evaluating  director</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nominees. Accordingly, the Nominating and Corporate</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Governance  Committee’s  evaluation  of  director</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nominees  includes  consideration  of  their  ability  to</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contribute to the diversity of personal and professional</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experiences, opinions, perspectives and backgrounds</w:t>
            </w:r>
          </w:p>
        </w:tc>
        <w:tc>
          <w:tcPr>
            <w:tcW w:w="4160" w:type="dxa"/>
            <w:vAlign w:val="bottom"/>
          </w:tcPr>
          <w:p>
            <w:pPr>
              <w:spacing w:after="0"/>
              <w:rPr>
                <w:sz w:val="18"/>
                <w:szCs w:val="18"/>
                <w:color w:val="auto"/>
              </w:rPr>
            </w:pPr>
          </w:p>
        </w:tc>
      </w:tr>
      <w:tr>
        <w:trPr>
          <w:trHeight w:val="239"/>
        </w:trPr>
        <w:tc>
          <w:tcPr>
            <w:tcW w:w="4820" w:type="dxa"/>
            <w:vAlign w:val="bottom"/>
          </w:tcPr>
          <w:p>
            <w:pPr>
              <w:ind w:left="20"/>
              <w:spacing w:after="0"/>
              <w:rPr>
                <w:sz w:val="20"/>
                <w:szCs w:val="20"/>
                <w:color w:val="auto"/>
              </w:rPr>
            </w:pPr>
            <w:r>
              <w:rPr>
                <w:rFonts w:ascii="Arial" w:cs="Arial" w:eastAsia="Arial" w:hAnsi="Arial"/>
                <w:sz w:val="18"/>
                <w:szCs w:val="18"/>
                <w:color w:val="auto"/>
              </w:rPr>
              <w:t>on the Board.</w:t>
            </w:r>
          </w:p>
        </w:tc>
        <w:tc>
          <w:tcPr>
            <w:tcW w:w="4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-2085340</wp:posOffset>
            </wp:positionV>
            <wp:extent cx="2374265" cy="1885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74265" cy="1885950"/>
                    </a:xfrm>
                    <a:prstGeom prst="rect">
                      <a:avLst/>
                    </a:prstGeom>
                    <a:noFill/>
                  </pic:spPr>
                </pic:pic>
              </a:graphicData>
            </a:graphic>
          </wp:anchor>
        </w:drawing>
      </w:r>
    </w:p>
    <w:p>
      <w:pPr>
        <w:spacing w:after="0" w:line="119"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As presently constituted, the Board represents a deliberate mix of members who have a deep understanding of our business as well as members who have different skill sets and points of view. The listing requirements of the Nasdaq Stock Market LLC, or Nasdaq, require each listed company to have, or explain why it does not have, two diverse directors on the board, including at least one diverse director who self-identifies as female and at least one diverse director who self-identifies as an underrepresented minority or LGBTQ+, or for smaller reporting companies, two female directors. Our current board composition is in compliance with this requirement. We are particularly proud of the diversity on our Board, which includes three Board members who self-identify as diverse, including our Chairman of the Board, Chair of the Nominating and Corporate Governance Committee and Chair of the Audit Committee.</w:t>
      </w:r>
    </w:p>
    <w:p>
      <w:pPr>
        <w:spacing w:after="0" w:line="113"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The matrix below provides certain highlights of the composition of our Board members based on self-identification. Each term used above and in the matrix below has the meaning given to it in Nasdaq Listing Rule 5605(f).</w:t>
      </w:r>
    </w:p>
    <w:p>
      <w:pPr>
        <w:spacing w:after="0" w:line="129"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40" w:type="dxa"/>
            <w:vAlign w:val="bottom"/>
            <w:tcBorders>
              <w:top w:val="single" w:sz="8" w:color="auto"/>
              <w:left w:val="single" w:sz="8" w:color="auto"/>
              <w:bottom w:val="single" w:sz="8" w:color="auto"/>
            </w:tcBorders>
            <w:shd w:val="clear" w:color="auto" w:fill="148CD9"/>
          </w:tcPr>
          <w:p>
            <w:pPr>
              <w:spacing w:after="0"/>
              <w:rPr>
                <w:sz w:val="23"/>
                <w:szCs w:val="23"/>
                <w:color w:val="auto"/>
              </w:rPr>
            </w:pPr>
          </w:p>
        </w:tc>
        <w:tc>
          <w:tcPr>
            <w:tcW w:w="2760" w:type="dxa"/>
            <w:vAlign w:val="bottom"/>
            <w:tcBorders>
              <w:top w:val="single" w:sz="8" w:color="auto"/>
              <w:bottom w:val="single" w:sz="8" w:color="auto"/>
            </w:tcBorders>
            <w:shd w:val="clear" w:color="auto" w:fill="148CD9"/>
          </w:tcPr>
          <w:p>
            <w:pPr>
              <w:ind w:left="40"/>
              <w:spacing w:after="0"/>
              <w:rPr>
                <w:sz w:val="20"/>
                <w:szCs w:val="20"/>
                <w:color w:val="auto"/>
              </w:rPr>
            </w:pPr>
            <w:r>
              <w:rPr>
                <w:rFonts w:ascii="Arial" w:cs="Arial" w:eastAsia="Arial" w:hAnsi="Arial"/>
                <w:sz w:val="16"/>
                <w:szCs w:val="16"/>
                <w:b w:val="1"/>
                <w:bCs w:val="1"/>
                <w:color w:val="FFFFFF"/>
              </w:rPr>
              <w:t>​</w:t>
            </w:r>
          </w:p>
        </w:tc>
        <w:tc>
          <w:tcPr>
            <w:tcW w:w="3460" w:type="dxa"/>
            <w:vAlign w:val="bottom"/>
            <w:tcBorders>
              <w:top w:val="single" w:sz="8" w:color="auto"/>
              <w:bottom w:val="single" w:sz="8" w:color="auto"/>
            </w:tcBorders>
            <w:gridSpan w:val="7"/>
            <w:shd w:val="clear" w:color="auto" w:fill="148CD9"/>
          </w:tcPr>
          <w:p>
            <w:pPr>
              <w:ind w:left="20"/>
              <w:spacing w:after="0"/>
              <w:rPr>
                <w:sz w:val="20"/>
                <w:szCs w:val="20"/>
                <w:color w:val="auto"/>
              </w:rPr>
            </w:pPr>
            <w:r>
              <w:rPr>
                <w:rFonts w:ascii="Arial" w:cs="Arial" w:eastAsia="Arial" w:hAnsi="Arial"/>
                <w:sz w:val="16"/>
                <w:szCs w:val="16"/>
                <w:b w:val="1"/>
                <w:bCs w:val="1"/>
                <w:color w:val="FFFFFF"/>
              </w:rPr>
              <w:t>Board Diversity Matrix (As of April 25, 2024)</w:t>
            </w:r>
          </w:p>
        </w:tc>
        <w:tc>
          <w:tcPr>
            <w:tcW w:w="140" w:type="dxa"/>
            <w:vAlign w:val="bottom"/>
            <w:tcBorders>
              <w:top w:val="single" w:sz="8" w:color="auto"/>
              <w:bottom w:val="single" w:sz="8" w:color="auto"/>
              <w:right w:val="single" w:sz="8" w:color="148CD9"/>
            </w:tcBorders>
            <w:shd w:val="clear" w:color="auto" w:fill="148CD9"/>
          </w:tcPr>
          <w:p>
            <w:pPr>
              <w:spacing w:after="0"/>
              <w:rPr>
                <w:sz w:val="23"/>
                <w:szCs w:val="23"/>
                <w:color w:val="auto"/>
              </w:rPr>
            </w:pPr>
          </w:p>
        </w:tc>
        <w:tc>
          <w:tcPr>
            <w:tcW w:w="140" w:type="dxa"/>
            <w:vAlign w:val="bottom"/>
            <w:tcBorders>
              <w:top w:val="single" w:sz="8" w:color="auto"/>
              <w:bottom w:val="single" w:sz="8" w:color="auto"/>
            </w:tcBorders>
            <w:shd w:val="clear" w:color="auto" w:fill="148CD9"/>
          </w:tcPr>
          <w:p>
            <w:pPr>
              <w:spacing w:after="0"/>
              <w:rPr>
                <w:sz w:val="23"/>
                <w:szCs w:val="23"/>
                <w:color w:val="auto"/>
              </w:rPr>
            </w:pPr>
          </w:p>
        </w:tc>
        <w:tc>
          <w:tcPr>
            <w:tcW w:w="1000" w:type="dxa"/>
            <w:vAlign w:val="bottom"/>
            <w:tcBorders>
              <w:top w:val="single" w:sz="8" w:color="auto"/>
              <w:bottom w:val="single" w:sz="8" w:color="auto"/>
            </w:tcBorders>
            <w:shd w:val="clear" w:color="auto" w:fill="148CD9"/>
          </w:tcPr>
          <w:p>
            <w:pPr>
              <w:spacing w:after="0"/>
              <w:rPr>
                <w:sz w:val="23"/>
                <w:szCs w:val="23"/>
                <w:color w:val="auto"/>
              </w:rPr>
            </w:pPr>
          </w:p>
        </w:tc>
        <w:tc>
          <w:tcPr>
            <w:tcW w:w="140" w:type="dxa"/>
            <w:vAlign w:val="bottom"/>
            <w:tcBorders>
              <w:top w:val="single" w:sz="8" w:color="auto"/>
              <w:bottom w:val="single" w:sz="8" w:color="auto"/>
              <w:right w:val="single" w:sz="8" w:color="148CD9"/>
            </w:tcBorders>
            <w:shd w:val="clear" w:color="auto" w:fill="148CD9"/>
          </w:tcPr>
          <w:p>
            <w:pPr>
              <w:spacing w:after="0"/>
              <w:rPr>
                <w:sz w:val="23"/>
                <w:szCs w:val="23"/>
                <w:color w:val="auto"/>
              </w:rPr>
            </w:pPr>
          </w:p>
        </w:tc>
        <w:tc>
          <w:tcPr>
            <w:tcW w:w="200" w:type="dxa"/>
            <w:vAlign w:val="bottom"/>
            <w:tcBorders>
              <w:top w:val="single" w:sz="8" w:color="auto"/>
              <w:bottom w:val="single" w:sz="8" w:color="auto"/>
            </w:tcBorders>
            <w:shd w:val="clear" w:color="auto" w:fill="148CD9"/>
          </w:tcPr>
          <w:p>
            <w:pPr>
              <w:spacing w:after="0"/>
              <w:rPr>
                <w:sz w:val="23"/>
                <w:szCs w:val="23"/>
                <w:color w:val="auto"/>
              </w:rPr>
            </w:pPr>
          </w:p>
        </w:tc>
        <w:tc>
          <w:tcPr>
            <w:tcW w:w="860" w:type="dxa"/>
            <w:vAlign w:val="bottom"/>
            <w:tcBorders>
              <w:top w:val="single" w:sz="8" w:color="auto"/>
              <w:bottom w:val="single" w:sz="8" w:color="auto"/>
            </w:tcBorders>
            <w:shd w:val="clear" w:color="auto" w:fill="148CD9"/>
          </w:tcPr>
          <w:p>
            <w:pPr>
              <w:spacing w:after="0"/>
              <w:rPr>
                <w:sz w:val="23"/>
                <w:szCs w:val="23"/>
                <w:color w:val="auto"/>
              </w:rPr>
            </w:pPr>
          </w:p>
        </w:tc>
        <w:tc>
          <w:tcPr>
            <w:tcW w:w="260" w:type="dxa"/>
            <w:vAlign w:val="bottom"/>
            <w:tcBorders>
              <w:top w:val="single" w:sz="8" w:color="auto"/>
              <w:bottom w:val="single" w:sz="8" w:color="auto"/>
              <w:right w:val="single" w:sz="8" w:color="auto"/>
            </w:tcBorders>
            <w:shd w:val="clear" w:color="auto" w:fill="148CD9"/>
          </w:tcPr>
          <w:p>
            <w:pPr>
              <w:ind w:left="18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0"/>
        </w:trPr>
        <w:tc>
          <w:tcPr>
            <w:tcW w:w="280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Total Number of Directors</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32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bscript"/>
              </w:rPr>
              <w:t>8</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4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shd w:val="clear" w:color="auto" w:fill="148CD9"/>
          </w:tcPr>
          <w:p>
            <w:pPr>
              <w:spacing w:after="0"/>
              <w:rPr>
                <w:sz w:val="15"/>
                <w:szCs w:val="15"/>
                <w:color w:val="auto"/>
              </w:rPr>
            </w:pPr>
          </w:p>
        </w:tc>
        <w:tc>
          <w:tcPr>
            <w:tcW w:w="2760" w:type="dxa"/>
            <w:vAlign w:val="bottom"/>
            <w:shd w:val="clear" w:color="auto" w:fill="148CD9"/>
          </w:tcPr>
          <w:p>
            <w:pPr>
              <w:spacing w:after="0"/>
              <w:rPr>
                <w:sz w:val="15"/>
                <w:szCs w:val="15"/>
                <w:color w:val="auto"/>
              </w:rPr>
            </w:pPr>
          </w:p>
        </w:tc>
        <w:tc>
          <w:tcPr>
            <w:tcW w:w="880" w:type="dxa"/>
            <w:vAlign w:val="bottom"/>
            <w:shd w:val="clear" w:color="auto" w:fill="148CD9"/>
          </w:tcPr>
          <w:p>
            <w:pPr>
              <w:spacing w:after="0"/>
              <w:rPr>
                <w:sz w:val="15"/>
                <w:szCs w:val="15"/>
                <w:color w:val="auto"/>
              </w:rPr>
            </w:pPr>
          </w:p>
        </w:tc>
        <w:tc>
          <w:tcPr>
            <w:tcW w:w="160" w:type="dxa"/>
            <w:vAlign w:val="bottom"/>
            <w:tcBorders>
              <w:right w:val="single" w:sz="8" w:color="148CD9"/>
            </w:tcBorders>
            <w:shd w:val="clear" w:color="auto" w:fill="148CD9"/>
          </w:tcPr>
          <w:p>
            <w:pPr>
              <w:spacing w:after="0"/>
              <w:rPr>
                <w:sz w:val="15"/>
                <w:szCs w:val="15"/>
                <w:color w:val="auto"/>
              </w:rPr>
            </w:pPr>
          </w:p>
        </w:tc>
        <w:tc>
          <w:tcPr>
            <w:tcW w:w="220" w:type="dxa"/>
            <w:vAlign w:val="bottom"/>
            <w:shd w:val="clear" w:color="auto" w:fill="148CD9"/>
          </w:tcPr>
          <w:p>
            <w:pPr>
              <w:spacing w:after="0"/>
              <w:rPr>
                <w:sz w:val="15"/>
                <w:szCs w:val="15"/>
                <w:color w:val="auto"/>
              </w:rPr>
            </w:pPr>
          </w:p>
        </w:tc>
        <w:tc>
          <w:tcPr>
            <w:tcW w:w="840" w:type="dxa"/>
            <w:vAlign w:val="bottom"/>
            <w:shd w:val="clear" w:color="auto" w:fill="148CD9"/>
          </w:tcPr>
          <w:p>
            <w:pPr>
              <w:spacing w:after="0"/>
              <w:rPr>
                <w:sz w:val="15"/>
                <w:szCs w:val="15"/>
                <w:color w:val="auto"/>
              </w:rPr>
            </w:pPr>
          </w:p>
        </w:tc>
        <w:tc>
          <w:tcPr>
            <w:tcW w:w="220" w:type="dxa"/>
            <w:vAlign w:val="bottom"/>
            <w:tcBorders>
              <w:right w:val="single" w:sz="8" w:color="auto"/>
            </w:tcBorders>
            <w:shd w:val="clear" w:color="auto" w:fill="148CD9"/>
          </w:tcPr>
          <w:p>
            <w:pPr>
              <w:spacing w:after="0"/>
              <w:rPr>
                <w:sz w:val="15"/>
                <w:szCs w:val="15"/>
                <w:color w:val="auto"/>
              </w:rPr>
            </w:pPr>
          </w:p>
        </w:tc>
        <w:tc>
          <w:tcPr>
            <w:tcW w:w="260" w:type="dxa"/>
            <w:vAlign w:val="bottom"/>
            <w:shd w:val="clear" w:color="auto" w:fill="148CD9"/>
          </w:tcPr>
          <w:p>
            <w:pPr>
              <w:spacing w:after="0"/>
              <w:rPr>
                <w:sz w:val="15"/>
                <w:szCs w:val="15"/>
                <w:color w:val="auto"/>
              </w:rPr>
            </w:pPr>
          </w:p>
        </w:tc>
        <w:tc>
          <w:tcPr>
            <w:tcW w:w="880" w:type="dxa"/>
            <w:vAlign w:val="bottom"/>
            <w:shd w:val="clear" w:color="auto" w:fill="148CD9"/>
          </w:tcPr>
          <w:p>
            <w:pPr>
              <w:spacing w:after="0"/>
              <w:rPr>
                <w:sz w:val="15"/>
                <w:szCs w:val="15"/>
                <w:color w:val="auto"/>
              </w:rPr>
            </w:pPr>
          </w:p>
        </w:tc>
        <w:tc>
          <w:tcPr>
            <w:tcW w:w="140" w:type="dxa"/>
            <w:vAlign w:val="bottom"/>
            <w:tcBorders>
              <w:right w:val="single" w:sz="8" w:color="auto"/>
            </w:tcBorders>
            <w:shd w:val="clear" w:color="auto" w:fill="148CD9"/>
          </w:tcPr>
          <w:p>
            <w:pPr>
              <w:spacing w:after="0"/>
              <w:rPr>
                <w:sz w:val="15"/>
                <w:szCs w:val="15"/>
                <w:color w:val="auto"/>
              </w:rPr>
            </w:pPr>
          </w:p>
        </w:tc>
        <w:tc>
          <w:tcPr>
            <w:tcW w:w="140" w:type="dxa"/>
            <w:vAlign w:val="bottom"/>
            <w:shd w:val="clear" w:color="auto" w:fill="148CD9"/>
          </w:tcPr>
          <w:p>
            <w:pPr>
              <w:spacing w:after="0"/>
              <w:rPr>
                <w:sz w:val="15"/>
                <w:szCs w:val="15"/>
                <w:color w:val="auto"/>
              </w:rPr>
            </w:pPr>
          </w:p>
        </w:tc>
        <w:tc>
          <w:tcPr>
            <w:tcW w:w="1000" w:type="dxa"/>
            <w:vAlign w:val="bottom"/>
            <w:shd w:val="clear" w:color="auto" w:fill="148CD9"/>
          </w:tcPr>
          <w:p>
            <w:pPr>
              <w:spacing w:after="0"/>
              <w:rPr>
                <w:sz w:val="15"/>
                <w:szCs w:val="15"/>
                <w:color w:val="auto"/>
              </w:rPr>
            </w:pPr>
          </w:p>
        </w:tc>
        <w:tc>
          <w:tcPr>
            <w:tcW w:w="140" w:type="dxa"/>
            <w:vAlign w:val="bottom"/>
            <w:tcBorders>
              <w:right w:val="single" w:sz="8" w:color="auto"/>
            </w:tcBorders>
            <w:shd w:val="clear" w:color="auto" w:fill="148CD9"/>
          </w:tcPr>
          <w:p>
            <w:pPr>
              <w:spacing w:after="0"/>
              <w:rPr>
                <w:sz w:val="15"/>
                <w:szCs w:val="15"/>
                <w:color w:val="auto"/>
              </w:rPr>
            </w:pPr>
          </w:p>
        </w:tc>
        <w:tc>
          <w:tcPr>
            <w:tcW w:w="200" w:type="dxa"/>
            <w:vAlign w:val="bottom"/>
            <w:shd w:val="clear" w:color="auto" w:fill="148CD9"/>
          </w:tcPr>
          <w:p>
            <w:pPr>
              <w:spacing w:after="0"/>
              <w:rPr>
                <w:sz w:val="15"/>
                <w:szCs w:val="15"/>
                <w:color w:val="auto"/>
              </w:rPr>
            </w:pPr>
          </w:p>
        </w:tc>
        <w:tc>
          <w:tcPr>
            <w:tcW w:w="860" w:type="dxa"/>
            <w:vAlign w:val="bottom"/>
            <w:shd w:val="clear" w:color="auto" w:fill="148CD9"/>
          </w:tcPr>
          <w:p>
            <w:pPr>
              <w:jc w:val="center"/>
              <w:spacing w:after="0" w:line="183" w:lineRule="exact"/>
              <w:rPr>
                <w:sz w:val="20"/>
                <w:szCs w:val="20"/>
                <w:color w:val="auto"/>
              </w:rPr>
            </w:pPr>
            <w:r>
              <w:rPr>
                <w:rFonts w:ascii="Arial" w:cs="Arial" w:eastAsia="Arial" w:hAnsi="Arial"/>
                <w:sz w:val="16"/>
                <w:szCs w:val="16"/>
                <w:b w:val="1"/>
                <w:bCs w:val="1"/>
                <w:color w:val="FFFFFF"/>
                <w:w w:val="98"/>
              </w:rPr>
              <w:t>Did Not</w:t>
            </w:r>
          </w:p>
        </w:tc>
        <w:tc>
          <w:tcPr>
            <w:tcW w:w="260" w:type="dxa"/>
            <w:vAlign w:val="bottom"/>
            <w:tcBorders>
              <w:right w:val="single" w:sz="8" w:color="auto"/>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shd w:val="clear" w:color="auto" w:fill="148CD9"/>
          </w:tcPr>
          <w:p>
            <w:pPr>
              <w:spacing w:after="0"/>
              <w:rPr>
                <w:sz w:val="14"/>
                <w:szCs w:val="14"/>
                <w:color w:val="auto"/>
              </w:rPr>
            </w:pPr>
          </w:p>
        </w:tc>
        <w:tc>
          <w:tcPr>
            <w:tcW w:w="2760" w:type="dxa"/>
            <w:vAlign w:val="bottom"/>
            <w:vMerge w:val="restart"/>
            <w:shd w:val="clear" w:color="auto" w:fill="148CD9"/>
          </w:tcPr>
          <w:p>
            <w:pPr>
              <w:ind w:left="60"/>
              <w:spacing w:after="0"/>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Part I: Gender Identity</w:t>
            </w:r>
          </w:p>
        </w:tc>
        <w:tc>
          <w:tcPr>
            <w:tcW w:w="880" w:type="dxa"/>
            <w:vAlign w:val="bottom"/>
            <w:shd w:val="clear" w:color="auto" w:fill="148CD9"/>
          </w:tcPr>
          <w:p>
            <w:pPr>
              <w:spacing w:after="0"/>
              <w:rPr>
                <w:sz w:val="14"/>
                <w:szCs w:val="14"/>
                <w:color w:val="auto"/>
              </w:rPr>
            </w:pPr>
          </w:p>
        </w:tc>
        <w:tc>
          <w:tcPr>
            <w:tcW w:w="160" w:type="dxa"/>
            <w:vAlign w:val="bottom"/>
            <w:tcBorders>
              <w:right w:val="single" w:sz="8" w:color="148CD9"/>
            </w:tcBorders>
            <w:shd w:val="clear" w:color="auto" w:fill="148CD9"/>
          </w:tcPr>
          <w:p>
            <w:pPr>
              <w:spacing w:after="0"/>
              <w:rPr>
                <w:sz w:val="14"/>
                <w:szCs w:val="14"/>
                <w:color w:val="auto"/>
              </w:rPr>
            </w:pPr>
          </w:p>
        </w:tc>
        <w:tc>
          <w:tcPr>
            <w:tcW w:w="220" w:type="dxa"/>
            <w:vAlign w:val="bottom"/>
            <w:shd w:val="clear" w:color="auto" w:fill="148CD9"/>
          </w:tcPr>
          <w:p>
            <w:pPr>
              <w:spacing w:after="0"/>
              <w:rPr>
                <w:sz w:val="14"/>
                <w:szCs w:val="14"/>
                <w:color w:val="auto"/>
              </w:rPr>
            </w:pPr>
          </w:p>
        </w:tc>
        <w:tc>
          <w:tcPr>
            <w:tcW w:w="840" w:type="dxa"/>
            <w:vAlign w:val="bottom"/>
            <w:shd w:val="clear" w:color="auto" w:fill="148CD9"/>
          </w:tcPr>
          <w:p>
            <w:pPr>
              <w:spacing w:after="0"/>
              <w:rPr>
                <w:sz w:val="14"/>
                <w:szCs w:val="14"/>
                <w:color w:val="auto"/>
              </w:rPr>
            </w:pPr>
          </w:p>
        </w:tc>
        <w:tc>
          <w:tcPr>
            <w:tcW w:w="220" w:type="dxa"/>
            <w:vAlign w:val="bottom"/>
            <w:tcBorders>
              <w:right w:val="single" w:sz="8" w:color="auto"/>
            </w:tcBorders>
            <w:shd w:val="clear" w:color="auto" w:fill="148CD9"/>
          </w:tcPr>
          <w:p>
            <w:pPr>
              <w:spacing w:after="0"/>
              <w:rPr>
                <w:sz w:val="14"/>
                <w:szCs w:val="14"/>
                <w:color w:val="auto"/>
              </w:rPr>
            </w:pPr>
          </w:p>
        </w:tc>
        <w:tc>
          <w:tcPr>
            <w:tcW w:w="260" w:type="dxa"/>
            <w:vAlign w:val="bottom"/>
            <w:shd w:val="clear" w:color="auto" w:fill="148CD9"/>
          </w:tcPr>
          <w:p>
            <w:pPr>
              <w:spacing w:after="0"/>
              <w:rPr>
                <w:sz w:val="14"/>
                <w:szCs w:val="14"/>
                <w:color w:val="auto"/>
              </w:rPr>
            </w:pPr>
          </w:p>
        </w:tc>
        <w:tc>
          <w:tcPr>
            <w:tcW w:w="880" w:type="dxa"/>
            <w:vAlign w:val="bottom"/>
            <w:shd w:val="clear" w:color="auto" w:fill="148CD9"/>
          </w:tcPr>
          <w:p>
            <w:pPr>
              <w:spacing w:after="0"/>
              <w:rPr>
                <w:sz w:val="14"/>
                <w:szCs w:val="14"/>
                <w:color w:val="auto"/>
              </w:rPr>
            </w:pPr>
          </w:p>
        </w:tc>
        <w:tc>
          <w:tcPr>
            <w:tcW w:w="140" w:type="dxa"/>
            <w:vAlign w:val="bottom"/>
            <w:tcBorders>
              <w:right w:val="single" w:sz="8" w:color="auto"/>
            </w:tcBorders>
            <w:shd w:val="clear" w:color="auto" w:fill="148CD9"/>
          </w:tcPr>
          <w:p>
            <w:pPr>
              <w:spacing w:after="0"/>
              <w:rPr>
                <w:sz w:val="14"/>
                <w:szCs w:val="14"/>
                <w:color w:val="auto"/>
              </w:rPr>
            </w:pPr>
          </w:p>
        </w:tc>
        <w:tc>
          <w:tcPr>
            <w:tcW w:w="140" w:type="dxa"/>
            <w:vAlign w:val="bottom"/>
            <w:shd w:val="clear" w:color="auto" w:fill="148CD9"/>
          </w:tcPr>
          <w:p>
            <w:pPr>
              <w:spacing w:after="0"/>
              <w:rPr>
                <w:sz w:val="14"/>
                <w:szCs w:val="14"/>
                <w:color w:val="auto"/>
              </w:rPr>
            </w:pPr>
          </w:p>
        </w:tc>
        <w:tc>
          <w:tcPr>
            <w:tcW w:w="1000" w:type="dxa"/>
            <w:vAlign w:val="bottom"/>
            <w:shd w:val="clear" w:color="auto" w:fill="148CD9"/>
          </w:tcPr>
          <w:p>
            <w:pPr>
              <w:spacing w:after="0"/>
              <w:rPr>
                <w:sz w:val="14"/>
                <w:szCs w:val="14"/>
                <w:color w:val="auto"/>
              </w:rPr>
            </w:pPr>
          </w:p>
        </w:tc>
        <w:tc>
          <w:tcPr>
            <w:tcW w:w="140" w:type="dxa"/>
            <w:vAlign w:val="bottom"/>
            <w:tcBorders>
              <w:right w:val="single" w:sz="8" w:color="auto"/>
            </w:tcBorders>
            <w:shd w:val="clear" w:color="auto" w:fill="148CD9"/>
          </w:tcPr>
          <w:p>
            <w:pPr>
              <w:spacing w:after="0"/>
              <w:rPr>
                <w:sz w:val="14"/>
                <w:szCs w:val="14"/>
                <w:color w:val="auto"/>
              </w:rPr>
            </w:pPr>
          </w:p>
        </w:tc>
        <w:tc>
          <w:tcPr>
            <w:tcW w:w="200" w:type="dxa"/>
            <w:vAlign w:val="bottom"/>
            <w:shd w:val="clear" w:color="auto" w:fill="148CD9"/>
          </w:tcPr>
          <w:p>
            <w:pPr>
              <w:spacing w:after="0"/>
              <w:rPr>
                <w:sz w:val="14"/>
                <w:szCs w:val="14"/>
                <w:color w:val="auto"/>
              </w:rPr>
            </w:pPr>
          </w:p>
        </w:tc>
        <w:tc>
          <w:tcPr>
            <w:tcW w:w="860" w:type="dxa"/>
            <w:vAlign w:val="bottom"/>
            <w:shd w:val="clear" w:color="auto" w:fill="148CD9"/>
          </w:tcPr>
          <w:p>
            <w:pPr>
              <w:jc w:val="center"/>
              <w:spacing w:after="0" w:line="162" w:lineRule="exact"/>
              <w:rPr>
                <w:sz w:val="20"/>
                <w:szCs w:val="20"/>
                <w:color w:val="auto"/>
              </w:rPr>
            </w:pPr>
            <w:r>
              <w:rPr>
                <w:rFonts w:ascii="Arial" w:cs="Arial" w:eastAsia="Arial" w:hAnsi="Arial"/>
                <w:sz w:val="16"/>
                <w:szCs w:val="16"/>
                <w:b w:val="1"/>
                <w:bCs w:val="1"/>
                <w:color w:val="FFFFFF"/>
              </w:rPr>
              <w:t>Disclose</w:t>
            </w:r>
          </w:p>
        </w:tc>
        <w:tc>
          <w:tcPr>
            <w:tcW w:w="260" w:type="dxa"/>
            <w:vAlign w:val="bottom"/>
            <w:tcBorders>
              <w:right w:val="single" w:sz="8" w:color="auto"/>
            </w:tcBorders>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shd w:val="clear" w:color="auto" w:fill="148CD9"/>
          </w:tcPr>
          <w:p>
            <w:pPr>
              <w:spacing w:after="0"/>
              <w:rPr>
                <w:sz w:val="19"/>
                <w:szCs w:val="19"/>
                <w:color w:val="auto"/>
              </w:rPr>
            </w:pPr>
          </w:p>
        </w:tc>
        <w:tc>
          <w:tcPr>
            <w:tcW w:w="2760" w:type="dxa"/>
            <w:vAlign w:val="bottom"/>
            <w:vMerge w:val="continue"/>
            <w:shd w:val="clear" w:color="auto" w:fill="148CD9"/>
          </w:tcPr>
          <w:p>
            <w:pPr>
              <w:spacing w:after="0"/>
              <w:rPr>
                <w:sz w:val="19"/>
                <w:szCs w:val="19"/>
                <w:color w:val="auto"/>
              </w:rPr>
            </w:pPr>
          </w:p>
        </w:tc>
        <w:tc>
          <w:tcPr>
            <w:tcW w:w="880" w:type="dxa"/>
            <w:vAlign w:val="bottom"/>
            <w:shd w:val="clear" w:color="auto" w:fill="148CD9"/>
          </w:tcPr>
          <w:p>
            <w:pPr>
              <w:spacing w:after="0"/>
              <w:rPr>
                <w:sz w:val="19"/>
                <w:szCs w:val="19"/>
                <w:color w:val="auto"/>
              </w:rPr>
            </w:pPr>
          </w:p>
        </w:tc>
        <w:tc>
          <w:tcPr>
            <w:tcW w:w="380" w:type="dxa"/>
            <w:vAlign w:val="bottom"/>
            <w:gridSpan w:val="2"/>
            <w:shd w:val="clear" w:color="auto" w:fill="148CD9"/>
          </w:tcPr>
          <w:p>
            <w:pPr>
              <w:jc w:val="right"/>
              <w:ind w:right="50"/>
              <w:spacing w:after="0"/>
              <w:rPr>
                <w:sz w:val="20"/>
                <w:szCs w:val="20"/>
                <w:color w:val="auto"/>
              </w:rPr>
            </w:pPr>
            <w:r>
              <w:rPr>
                <w:rFonts w:ascii="Arial" w:cs="Arial" w:eastAsia="Arial" w:hAnsi="Arial"/>
                <w:sz w:val="16"/>
                <w:szCs w:val="16"/>
                <w:b w:val="1"/>
                <w:bCs w:val="1"/>
                <w:color w:val="FFFFFF"/>
              </w:rPr>
              <w:t>​ ​</w:t>
            </w:r>
          </w:p>
        </w:tc>
        <w:tc>
          <w:tcPr>
            <w:tcW w:w="840" w:type="dxa"/>
            <w:vAlign w:val="bottom"/>
            <w:shd w:val="clear" w:color="auto" w:fill="148CD9"/>
          </w:tcPr>
          <w:p>
            <w:pPr>
              <w:ind w:left="120"/>
              <w:spacing w:after="0"/>
              <w:rPr>
                <w:sz w:val="20"/>
                <w:szCs w:val="20"/>
                <w:color w:val="auto"/>
              </w:rPr>
            </w:pPr>
            <w:r>
              <w:rPr>
                <w:rFonts w:ascii="Arial" w:cs="Arial" w:eastAsia="Arial" w:hAnsi="Arial"/>
                <w:sz w:val="16"/>
                <w:szCs w:val="16"/>
                <w:b w:val="1"/>
                <w:bCs w:val="1"/>
                <w:color w:val="FFFFFF"/>
              </w:rPr>
              <w:t>Female</w:t>
            </w:r>
          </w:p>
        </w:tc>
        <w:tc>
          <w:tcPr>
            <w:tcW w:w="220" w:type="dxa"/>
            <w:vAlign w:val="bottom"/>
            <w:tcBorders>
              <w:right w:val="single" w:sz="8" w:color="auto"/>
            </w:tcBorders>
            <w:shd w:val="clear" w:color="auto" w:fill="148CD9"/>
          </w:tcPr>
          <w:p>
            <w:pPr>
              <w:ind w:left="160"/>
              <w:spacing w:after="0"/>
              <w:rPr>
                <w:sz w:val="20"/>
                <w:szCs w:val="20"/>
                <w:color w:val="auto"/>
              </w:rPr>
            </w:pPr>
            <w:r>
              <w:rPr>
                <w:rFonts w:ascii="Arial" w:cs="Arial" w:eastAsia="Arial" w:hAnsi="Arial"/>
                <w:sz w:val="16"/>
                <w:szCs w:val="16"/>
                <w:b w:val="1"/>
                <w:bCs w:val="1"/>
                <w:color w:val="FFFFFF"/>
              </w:rPr>
              <w:t>​</w:t>
            </w:r>
          </w:p>
        </w:tc>
        <w:tc>
          <w:tcPr>
            <w:tcW w:w="260" w:type="dxa"/>
            <w:vAlign w:val="bottom"/>
            <w:shd w:val="clear" w:color="auto" w:fill="148CD9"/>
          </w:tcPr>
          <w:p>
            <w:pPr>
              <w:ind w:left="40"/>
              <w:spacing w:after="0"/>
              <w:rPr>
                <w:sz w:val="20"/>
                <w:szCs w:val="20"/>
                <w:color w:val="auto"/>
              </w:rPr>
            </w:pPr>
            <w:r>
              <w:rPr>
                <w:rFonts w:ascii="Arial" w:cs="Arial" w:eastAsia="Arial" w:hAnsi="Arial"/>
                <w:sz w:val="16"/>
                <w:szCs w:val="16"/>
                <w:b w:val="1"/>
                <w:bCs w:val="1"/>
                <w:color w:val="FFFFFF"/>
              </w:rPr>
              <w:t>​</w:t>
            </w:r>
          </w:p>
        </w:tc>
        <w:tc>
          <w:tcPr>
            <w:tcW w:w="880" w:type="dxa"/>
            <w:vAlign w:val="bottom"/>
            <w:shd w:val="clear" w:color="auto" w:fill="148CD9"/>
          </w:tcPr>
          <w:p>
            <w:pPr>
              <w:ind w:left="180"/>
              <w:spacing w:after="0"/>
              <w:rPr>
                <w:sz w:val="20"/>
                <w:szCs w:val="20"/>
                <w:color w:val="auto"/>
              </w:rPr>
            </w:pPr>
            <w:r>
              <w:rPr>
                <w:rFonts w:ascii="Arial" w:cs="Arial" w:eastAsia="Arial" w:hAnsi="Arial"/>
                <w:sz w:val="16"/>
                <w:szCs w:val="16"/>
                <w:b w:val="1"/>
                <w:bCs w:val="1"/>
                <w:color w:val="FFFFFF"/>
              </w:rPr>
              <w:t>Male</w:t>
            </w:r>
          </w:p>
        </w:tc>
        <w:tc>
          <w:tcPr>
            <w:tcW w:w="140" w:type="dxa"/>
            <w:vAlign w:val="bottom"/>
            <w:tcBorders>
              <w:righ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140" w:type="dxa"/>
            <w:vAlign w:val="bottom"/>
            <w:shd w:val="clear" w:color="auto" w:fill="148CD9"/>
          </w:tcPr>
          <w:p>
            <w:pPr>
              <w:jc w:val="right"/>
              <w:spacing w:after="0"/>
              <w:rPr>
                <w:sz w:val="20"/>
                <w:szCs w:val="20"/>
                <w:color w:val="auto"/>
              </w:rPr>
            </w:pPr>
            <w:r>
              <w:rPr>
                <w:rFonts w:ascii="Arial" w:cs="Arial" w:eastAsia="Arial" w:hAnsi="Arial"/>
                <w:sz w:val="16"/>
                <w:szCs w:val="16"/>
                <w:b w:val="1"/>
                <w:bCs w:val="1"/>
                <w:color w:val="FFFFFF"/>
              </w:rPr>
              <w:t>​</w:t>
            </w:r>
          </w:p>
        </w:tc>
        <w:tc>
          <w:tcPr>
            <w:tcW w:w="100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9"/>
              </w:rPr>
              <w:t>Non-Binary</w:t>
            </w:r>
          </w:p>
        </w:tc>
        <w:tc>
          <w:tcPr>
            <w:tcW w:w="140" w:type="dxa"/>
            <w:vAlign w:val="bottom"/>
            <w:tcBorders>
              <w:righ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00" w:type="dxa"/>
            <w:vAlign w:val="bottom"/>
            <w:shd w:val="clear" w:color="auto" w:fill="148CD9"/>
          </w:tcPr>
          <w:p>
            <w:pPr>
              <w:jc w:val="right"/>
              <w:ind w:right="11"/>
              <w:spacing w:after="0"/>
              <w:rPr>
                <w:sz w:val="20"/>
                <w:szCs w:val="20"/>
                <w:color w:val="auto"/>
              </w:rPr>
            </w:pPr>
            <w:r>
              <w:rPr>
                <w:rFonts w:ascii="Arial" w:cs="Arial" w:eastAsia="Arial" w:hAnsi="Arial"/>
                <w:sz w:val="16"/>
                <w:szCs w:val="16"/>
                <w:b w:val="1"/>
                <w:bCs w:val="1"/>
                <w:color w:val="FFFFFF"/>
              </w:rPr>
              <w:t>​</w:t>
            </w:r>
          </w:p>
        </w:tc>
        <w:tc>
          <w:tcPr>
            <w:tcW w:w="8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9"/>
              </w:rPr>
              <w:t>Gender</w:t>
            </w:r>
          </w:p>
        </w:tc>
        <w:tc>
          <w:tcPr>
            <w:tcW w:w="260" w:type="dxa"/>
            <w:vAlign w:val="bottom"/>
            <w:tcBorders>
              <w:right w:val="single" w:sz="8" w:color="auto"/>
            </w:tcBorders>
            <w:shd w:val="clear" w:color="auto" w:fill="148CD9"/>
          </w:tcPr>
          <w:p>
            <w:pPr>
              <w:ind w:left="18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7"/>
        </w:trPr>
        <w:tc>
          <w:tcPr>
            <w:tcW w:w="40" w:type="dxa"/>
            <w:vAlign w:val="bottom"/>
            <w:tcBorders>
              <w:left w:val="single" w:sz="8" w:color="auto"/>
              <w:bottom w:val="single" w:sz="8" w:color="148CD9"/>
            </w:tcBorders>
          </w:tcPr>
          <w:p>
            <w:pPr>
              <w:spacing w:after="0"/>
              <w:rPr>
                <w:sz w:val="22"/>
                <w:szCs w:val="22"/>
                <w:color w:val="auto"/>
              </w:rPr>
            </w:pPr>
          </w:p>
        </w:tc>
        <w:tc>
          <w:tcPr>
            <w:tcW w:w="2760" w:type="dxa"/>
            <w:vAlign w:val="bottom"/>
            <w:tcBorders>
              <w:bottom w:val="single" w:sz="8" w:color="auto"/>
            </w:tcBorders>
          </w:tcPr>
          <w:p>
            <w:pPr>
              <w:ind w:left="6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Directors</w:t>
            </w:r>
          </w:p>
        </w:tc>
        <w:tc>
          <w:tcPr>
            <w:tcW w:w="88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5</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bottom w:val="single" w:sz="8" w:color="auto"/>
            </w:tcBorders>
            <w:shd w:val="clear" w:color="auto" w:fill="148CD9"/>
          </w:tcPr>
          <w:p>
            <w:pPr>
              <w:spacing w:after="0"/>
              <w:rPr>
                <w:sz w:val="21"/>
                <w:szCs w:val="21"/>
                <w:color w:val="auto"/>
              </w:rPr>
            </w:pPr>
          </w:p>
        </w:tc>
        <w:tc>
          <w:tcPr>
            <w:tcW w:w="3640" w:type="dxa"/>
            <w:vAlign w:val="bottom"/>
            <w:tcBorders>
              <w:bottom w:val="single" w:sz="8" w:color="auto"/>
            </w:tcBorders>
            <w:gridSpan w:val="2"/>
            <w:shd w:val="clear" w:color="auto" w:fill="148CD9"/>
          </w:tcPr>
          <w:p>
            <w:pPr>
              <w:ind w:left="60"/>
              <w:spacing w:after="0" w:line="250"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5"/>
                <w:szCs w:val="15"/>
                <w:b w:val="1"/>
                <w:bCs w:val="1"/>
                <w:color w:val="FFFFFF"/>
              </w:rPr>
              <w:t>Part II: Demographic Background</w:t>
            </w:r>
          </w:p>
        </w:tc>
        <w:tc>
          <w:tcPr>
            <w:tcW w:w="160" w:type="dxa"/>
            <w:vAlign w:val="bottom"/>
            <w:tcBorders>
              <w:bottom w:val="single" w:sz="8" w:color="auto"/>
              <w:right w:val="single" w:sz="8" w:color="148CD9"/>
            </w:tcBorders>
            <w:shd w:val="clear" w:color="auto" w:fill="148CD9"/>
          </w:tcPr>
          <w:p>
            <w:pPr>
              <w:spacing w:after="0"/>
              <w:rPr>
                <w:sz w:val="21"/>
                <w:szCs w:val="21"/>
                <w:color w:val="auto"/>
              </w:rPr>
            </w:pPr>
          </w:p>
        </w:tc>
        <w:tc>
          <w:tcPr>
            <w:tcW w:w="220" w:type="dxa"/>
            <w:vAlign w:val="bottom"/>
            <w:tcBorders>
              <w:bottom w:val="single" w:sz="8" w:color="auto"/>
            </w:tcBorders>
            <w:shd w:val="clear" w:color="auto" w:fill="148CD9"/>
          </w:tcPr>
          <w:p>
            <w:pPr>
              <w:spacing w:after="0"/>
              <w:rPr>
                <w:sz w:val="21"/>
                <w:szCs w:val="21"/>
                <w:color w:val="auto"/>
              </w:rPr>
            </w:pPr>
          </w:p>
        </w:tc>
        <w:tc>
          <w:tcPr>
            <w:tcW w:w="840" w:type="dxa"/>
            <w:vAlign w:val="bottom"/>
            <w:tcBorders>
              <w:bottom w:val="single" w:sz="8" w:color="auto"/>
            </w:tcBorders>
            <w:shd w:val="clear" w:color="auto" w:fill="148CD9"/>
          </w:tcPr>
          <w:p>
            <w:pPr>
              <w:spacing w:after="0"/>
              <w:rPr>
                <w:sz w:val="21"/>
                <w:szCs w:val="21"/>
                <w:color w:val="auto"/>
              </w:rPr>
            </w:pPr>
          </w:p>
        </w:tc>
        <w:tc>
          <w:tcPr>
            <w:tcW w:w="220" w:type="dxa"/>
            <w:vAlign w:val="bottom"/>
            <w:tcBorders>
              <w:bottom w:val="single" w:sz="8" w:color="auto"/>
              <w:right w:val="single" w:sz="8" w:color="148CD9"/>
            </w:tcBorders>
            <w:shd w:val="clear" w:color="auto" w:fill="148CD9"/>
          </w:tcPr>
          <w:p>
            <w:pPr>
              <w:spacing w:after="0"/>
              <w:rPr>
                <w:sz w:val="21"/>
                <w:szCs w:val="21"/>
                <w:color w:val="auto"/>
              </w:rPr>
            </w:pPr>
          </w:p>
        </w:tc>
        <w:tc>
          <w:tcPr>
            <w:tcW w:w="260" w:type="dxa"/>
            <w:vAlign w:val="bottom"/>
            <w:tcBorders>
              <w:bottom w:val="single" w:sz="8" w:color="auto"/>
            </w:tcBorders>
            <w:shd w:val="clear" w:color="auto" w:fill="148CD9"/>
          </w:tcPr>
          <w:p>
            <w:pPr>
              <w:spacing w:after="0"/>
              <w:rPr>
                <w:sz w:val="21"/>
                <w:szCs w:val="21"/>
                <w:color w:val="auto"/>
              </w:rPr>
            </w:pPr>
          </w:p>
        </w:tc>
        <w:tc>
          <w:tcPr>
            <w:tcW w:w="880" w:type="dxa"/>
            <w:vAlign w:val="bottom"/>
            <w:tcBorders>
              <w:bottom w:val="single" w:sz="8" w:color="auto"/>
            </w:tcBorders>
            <w:shd w:val="clear" w:color="auto" w:fill="148CD9"/>
          </w:tcPr>
          <w:p>
            <w:pPr>
              <w:spacing w:after="0"/>
              <w:rPr>
                <w:sz w:val="21"/>
                <w:szCs w:val="21"/>
                <w:color w:val="auto"/>
              </w:rPr>
            </w:pPr>
          </w:p>
        </w:tc>
        <w:tc>
          <w:tcPr>
            <w:tcW w:w="280" w:type="dxa"/>
            <w:vAlign w:val="bottom"/>
            <w:tcBorders>
              <w:bottom w:val="single" w:sz="8" w:color="auto"/>
            </w:tcBorders>
            <w:gridSpan w:val="2"/>
            <w:shd w:val="clear" w:color="auto" w:fill="148CD9"/>
          </w:tcPr>
          <w:p>
            <w:pPr>
              <w:jc w:val="right"/>
              <w:spacing w:after="0"/>
              <w:rPr>
                <w:sz w:val="20"/>
                <w:szCs w:val="20"/>
                <w:color w:val="auto"/>
              </w:rPr>
            </w:pPr>
            <w:r>
              <w:rPr>
                <w:rFonts w:ascii="Arial" w:cs="Arial" w:eastAsia="Arial" w:hAnsi="Arial"/>
                <w:sz w:val="18"/>
                <w:szCs w:val="18"/>
                <w:b w:val="1"/>
                <w:bCs w:val="1"/>
                <w:color w:val="FFFFFF"/>
              </w:rPr>
              <w:t>​ ​</w:t>
            </w:r>
          </w:p>
        </w:tc>
        <w:tc>
          <w:tcPr>
            <w:tcW w:w="1000" w:type="dxa"/>
            <w:vAlign w:val="bottom"/>
            <w:tcBorders>
              <w:bottom w:val="single" w:sz="8" w:color="auto"/>
            </w:tcBorders>
            <w:shd w:val="clear" w:color="auto" w:fill="148CD9"/>
          </w:tcPr>
          <w:p>
            <w:pPr>
              <w:jc w:val="center"/>
              <w:spacing w:after="0"/>
              <w:rPr>
                <w:sz w:val="20"/>
                <w:szCs w:val="20"/>
                <w:color w:val="auto"/>
              </w:rPr>
            </w:pPr>
            <w:r>
              <w:rPr>
                <w:rFonts w:ascii="Arial" w:cs="Arial" w:eastAsia="Arial" w:hAnsi="Arial"/>
                <w:sz w:val="18"/>
                <w:szCs w:val="18"/>
                <w:b w:val="1"/>
                <w:bCs w:val="1"/>
                <w:color w:val="FFFFFF"/>
              </w:rPr>
              <w:t>​</w:t>
            </w:r>
          </w:p>
        </w:tc>
        <w:tc>
          <w:tcPr>
            <w:tcW w:w="340" w:type="dxa"/>
            <w:vAlign w:val="bottom"/>
            <w:tcBorders>
              <w:bottom w:val="single" w:sz="8" w:color="auto"/>
            </w:tcBorders>
            <w:gridSpan w:val="2"/>
            <w:shd w:val="clear" w:color="auto" w:fill="148CD9"/>
          </w:tcPr>
          <w:p>
            <w:pPr>
              <w:jc w:val="right"/>
              <w:ind w:right="11"/>
              <w:spacing w:after="0"/>
              <w:rPr>
                <w:sz w:val="20"/>
                <w:szCs w:val="20"/>
                <w:color w:val="auto"/>
              </w:rPr>
            </w:pPr>
            <w:r>
              <w:rPr>
                <w:rFonts w:ascii="Arial" w:cs="Arial" w:eastAsia="Arial" w:hAnsi="Arial"/>
                <w:sz w:val="18"/>
                <w:szCs w:val="18"/>
                <w:b w:val="1"/>
                <w:bCs w:val="1"/>
                <w:color w:val="FFFFFF"/>
              </w:rPr>
              <w:t>​ ​</w:t>
            </w:r>
          </w:p>
        </w:tc>
        <w:tc>
          <w:tcPr>
            <w:tcW w:w="860" w:type="dxa"/>
            <w:vAlign w:val="bottom"/>
            <w:tcBorders>
              <w:bottom w:val="single" w:sz="8" w:color="auto"/>
            </w:tcBorders>
            <w:shd w:val="clear" w:color="auto" w:fill="148CD9"/>
          </w:tcPr>
          <w:p>
            <w:pPr>
              <w:ind w:left="440"/>
              <w:spacing w:after="0"/>
              <w:rPr>
                <w:sz w:val="20"/>
                <w:szCs w:val="20"/>
                <w:color w:val="auto"/>
              </w:rPr>
            </w:pPr>
            <w:r>
              <w:rPr>
                <w:rFonts w:ascii="Arial" w:cs="Arial" w:eastAsia="Arial" w:hAnsi="Arial"/>
                <w:sz w:val="18"/>
                <w:szCs w:val="18"/>
                <w:b w:val="1"/>
                <w:bCs w:val="1"/>
                <w:color w:val="FFFFFF"/>
              </w:rPr>
              <w:t>​</w:t>
            </w:r>
          </w:p>
        </w:tc>
        <w:tc>
          <w:tcPr>
            <w:tcW w:w="260" w:type="dxa"/>
            <w:vAlign w:val="bottom"/>
            <w:tcBorders>
              <w:bottom w:val="single" w:sz="8" w:color="auto"/>
              <w:right w:val="single" w:sz="8" w:color="148CD9"/>
            </w:tcBorders>
            <w:shd w:val="clear" w:color="auto" w:fill="148CD9"/>
          </w:tcPr>
          <w:p>
            <w:pPr>
              <w:ind w:left="18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African American or Black</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364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Alaskan Native or Native American</w:t>
            </w: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Asian</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Hispanic or Latinx</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1</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364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Native Hawaiian or Pacific Islander</w:t>
            </w: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White</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4</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Two or More Races or Ethnicities</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LGBTQ+</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1</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bottom w:val="single" w:sz="8" w:color="auto"/>
            </w:tcBorders>
          </w:tcPr>
          <w:p>
            <w:pPr>
              <w:spacing w:after="0"/>
              <w:rPr>
                <w:sz w:val="21"/>
                <w:szCs w:val="21"/>
                <w:color w:val="auto"/>
              </w:rPr>
            </w:pPr>
          </w:p>
        </w:tc>
        <w:tc>
          <w:tcPr>
            <w:tcW w:w="364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Did Not Disclose Demographic Background</w:t>
            </w: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96" w:lineRule="auto"/>
        <w:rPr>
          <w:sz w:val="20"/>
          <w:szCs w:val="20"/>
          <w:color w:val="auto"/>
        </w:rPr>
      </w:pPr>
      <w:r>
        <w:rPr>
          <w:rFonts w:ascii="Arial" w:cs="Arial" w:eastAsia="Arial" w:hAnsi="Arial"/>
          <w:sz w:val="18"/>
          <w:szCs w:val="18"/>
          <w:b w:val="1"/>
          <w:bCs w:val="1"/>
          <w:color w:val="auto"/>
        </w:rPr>
        <w:t>BOARD OVERSIGHT OF COMPANY CULTURE AND ENVIRONMENTAL, SOCIAL AND GOVERNANCE HIGHLIGHTS</w:t>
      </w:r>
    </w:p>
    <w:p>
      <w:pPr>
        <w:spacing w:after="0" w:line="56"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our culture and strategy are aligned. Our Board expects all directors, as well as officers and employees, to conduct themselves in a manner consistent with our Code of Business Conduct and Ethics, or the Code of Conduct, and our values. Our Board believes that a strong culture of integrity, ethics and compliance is fundamental to the conduct of our business, and is necessary for effective risk management, maintaining investor trust, and successful corporate governance.</w:t>
      </w:r>
    </w:p>
    <w:p>
      <w:pPr>
        <w:spacing w:after="0" w:line="117"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We understand corporate responsibility is essential for good governance because it strengthens the accountability of our Board and management team. We view Environmental, Social and Governance, or ESG, initiatives as long-term value drivers for the Company and our stockholders. Our focus on and commitment to ESG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 Though our current ESG initiatives are broad, we continue to focus on our people, culture and strong corporate governance. We are committed to advancing a series of new ESG initiatives and performance targets, which will evolve over time.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summary of our current ESG policies and practices:</w:t>
      </w:r>
    </w:p>
    <w:p>
      <w:pPr>
        <w:spacing w:after="0" w:line="117" w:lineRule="exact"/>
        <w:rPr>
          <w:sz w:val="20"/>
          <w:szCs w:val="20"/>
          <w:color w:val="auto"/>
        </w:rPr>
      </w:pPr>
    </w:p>
    <w:p>
      <w:pPr>
        <w:jc w:val="both"/>
        <w:ind w:left="1420" w:right="39" w:hanging="190"/>
        <w:spacing w:after="0" w:line="262"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Separate Chairperson of the Board and Chief Executive Officer: </w:t>
      </w:r>
      <w:r>
        <w:rPr>
          <w:rFonts w:ascii="Arial" w:cs="Arial" w:eastAsia="Arial" w:hAnsi="Arial"/>
          <w:sz w:val="18"/>
          <w:szCs w:val="18"/>
          <w:color w:val="auto"/>
        </w:rPr>
        <w:t>The offices of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and Chairperson of the Board are separated, which reinforces the independence of the Board from management and creates an environment that encourages objective oversight of management’s performance, which we believe enhances the effectiveness of our Board as a whole.</w:t>
      </w:r>
    </w:p>
    <w:p>
      <w:pPr>
        <w:spacing w:after="0" w:line="68" w:lineRule="exact"/>
        <w:rPr>
          <w:rFonts w:ascii="Arial" w:cs="Arial" w:eastAsia="Arial" w:hAnsi="Arial"/>
          <w:sz w:val="18"/>
          <w:szCs w:val="18"/>
          <w:color w:val="auto"/>
        </w:rPr>
      </w:pPr>
    </w:p>
    <w:p>
      <w:pPr>
        <w:ind w:left="1420" w:hanging="190"/>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Committees: </w:t>
      </w:r>
      <w:r>
        <w:rPr>
          <w:rFonts w:ascii="Arial" w:cs="Arial" w:eastAsia="Arial" w:hAnsi="Arial"/>
          <w:sz w:val="18"/>
          <w:szCs w:val="18"/>
          <w:color w:val="auto"/>
        </w:rPr>
        <w:t>Each of our Board committees consist entirely of independent directors.</w:t>
      </w:r>
    </w:p>
    <w:p>
      <w:pPr>
        <w:spacing w:after="0" w:line="117" w:lineRule="exact"/>
        <w:rPr>
          <w:rFonts w:ascii="Arial" w:cs="Arial" w:eastAsia="Arial" w:hAnsi="Arial"/>
          <w:sz w:val="18"/>
          <w:szCs w:val="18"/>
          <w:color w:val="auto"/>
        </w:rPr>
      </w:pPr>
    </w:p>
    <w:p>
      <w:pPr>
        <w:jc w:val="both"/>
        <w:ind w:left="1420" w:right="39" w:hanging="190"/>
        <w:spacing w:after="0" w:line="268"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Regularly Held Executive Sessions:</w:t>
      </w:r>
      <w:r>
        <w:rPr>
          <w:rFonts w:ascii="Arial" w:cs="Arial" w:eastAsia="Arial" w:hAnsi="Arial"/>
          <w:sz w:val="18"/>
          <w:szCs w:val="18"/>
          <w:color w:val="auto"/>
        </w:rPr>
        <w:t>The independent directors of our Board meet separately in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session on a regular basis to discuss matters relating to the Company and the Board, without members of the management team present.</w:t>
      </w:r>
    </w:p>
    <w:p>
      <w:pPr>
        <w:spacing w:after="0" w:line="62" w:lineRule="exact"/>
        <w:rPr>
          <w:rFonts w:ascii="Arial" w:cs="Arial" w:eastAsia="Arial" w:hAnsi="Arial"/>
          <w:sz w:val="18"/>
          <w:szCs w:val="18"/>
          <w:color w:val="auto"/>
        </w:rPr>
      </w:pPr>
    </w:p>
    <w:p>
      <w:pPr>
        <w:ind w:left="1420" w:right="39" w:hanging="190"/>
        <w:spacing w:after="0" w:line="28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Code of Conduct: </w:t>
      </w:r>
      <w:r>
        <w:rPr>
          <w:rFonts w:ascii="Arial" w:cs="Arial" w:eastAsia="Arial" w:hAnsi="Arial"/>
          <w:sz w:val="18"/>
          <w:szCs w:val="18"/>
          <w:color w:val="auto"/>
        </w:rPr>
        <w:t>All of our directors, officers and employees are subject to the Code of Conduct, which</w:t>
      </w:r>
      <w:r>
        <w:rPr>
          <w:rFonts w:ascii="Arial" w:cs="Arial" w:eastAsia="Arial" w:hAnsi="Arial"/>
          <w:sz w:val="18"/>
          <w:szCs w:val="18"/>
          <w:b w:val="1"/>
          <w:bCs w:val="1"/>
          <w:color w:val="auto"/>
        </w:rPr>
        <w:t xml:space="preserve"> </w:t>
      </w:r>
      <w:r>
        <w:rPr>
          <w:rFonts w:ascii="Arial" w:cs="Arial" w:eastAsia="Arial" w:hAnsi="Arial"/>
          <w:sz w:val="18"/>
          <w:szCs w:val="18"/>
          <w:color w:val="auto"/>
        </w:rPr>
        <w:t>is available on our website at www.centurytx.com.</w:t>
      </w:r>
    </w:p>
    <w:p>
      <w:pPr>
        <w:spacing w:after="0" w:line="44" w:lineRule="exact"/>
        <w:rPr>
          <w:rFonts w:ascii="Arial" w:cs="Arial" w:eastAsia="Arial" w:hAnsi="Arial"/>
          <w:sz w:val="18"/>
          <w:szCs w:val="18"/>
          <w:color w:val="auto"/>
        </w:rPr>
      </w:pPr>
    </w:p>
    <w:p>
      <w:pPr>
        <w:jc w:val="both"/>
        <w:ind w:left="1420" w:right="19" w:hanging="190"/>
        <w:spacing w:after="0" w:line="268"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Human Capital Management: </w:t>
      </w:r>
      <w:r>
        <w:rPr>
          <w:rFonts w:ascii="Arial" w:cs="Arial" w:eastAsia="Arial" w:hAnsi="Arial"/>
          <w:sz w:val="18"/>
          <w:szCs w:val="18"/>
          <w:color w:val="auto"/>
        </w:rPr>
        <w:t>We are committed to the health and welfare of our employees. We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the development of our employees with a competitive compensation and benefits package, internal advancement, and individualized development opportunities.</w:t>
      </w:r>
    </w:p>
    <w:p>
      <w:pPr>
        <w:spacing w:after="0" w:line="62" w:lineRule="exact"/>
        <w:rPr>
          <w:rFonts w:ascii="Arial" w:cs="Arial" w:eastAsia="Arial" w:hAnsi="Arial"/>
          <w:sz w:val="18"/>
          <w:szCs w:val="18"/>
          <w:color w:val="auto"/>
        </w:rPr>
      </w:pPr>
    </w:p>
    <w:p>
      <w:pPr>
        <w:jc w:val="both"/>
        <w:ind w:left="1420" w:right="19" w:hanging="190"/>
        <w:spacing w:after="0" w:line="254"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Diversity and Inclusion: </w:t>
      </w:r>
      <w:r>
        <w:rPr>
          <w:rFonts w:ascii="Arial" w:cs="Arial" w:eastAsia="Arial" w:hAnsi="Arial"/>
          <w:sz w:val="18"/>
          <w:szCs w:val="18"/>
          <w:color w:val="auto"/>
        </w:rPr>
        <w:t>We strive to create a workplace culture that supports a diverse, multi-cultural</w:t>
      </w:r>
      <w:r>
        <w:rPr>
          <w:rFonts w:ascii="Arial" w:cs="Arial" w:eastAsia="Arial" w:hAnsi="Arial"/>
          <w:sz w:val="18"/>
          <w:szCs w:val="18"/>
          <w:b w:val="1"/>
          <w:bCs w:val="1"/>
          <w:color w:val="auto"/>
        </w:rPr>
        <w:t xml:space="preserve"> </w:t>
      </w:r>
      <w:r>
        <w:rPr>
          <w:rFonts w:ascii="Arial" w:cs="Arial" w:eastAsia="Arial" w:hAnsi="Arial"/>
          <w:sz w:val="18"/>
          <w:szCs w:val="18"/>
          <w:color w:val="auto"/>
        </w:rPr>
        <w:t>workforce, treats individuals fairly, and provides an inclusive environment where everyone can bring their whole self to work and feel supported in reaching their full potential. We are embarking on an organization-wide learning initiative to ensure we each have the competence and confidence to contribute to this culture. The executive committee, senior leadership, people leaders and colleagues have engaged in a highly interactive Unconscious Bias Training to identify and adjust for bias at the individual and organizational level. Our goal through this initiative is to empower our team to grow self-awareness, collaborate inclusively, and ultimately support higher performance. As of March 2023, Century had a diverse workforce consisting of 49% female employees, consistent with data from the 2022 annual report of the Biotechnology Innovation Organization. In addition, 35% percent of the workforce identifies as a race/ethnicity other than white.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8"/>
          <w:szCs w:val="18"/>
          <w:color w:val="148CD9"/>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NOMINEES</w:t>
      </w:r>
    </w:p>
    <w:p>
      <w:pPr>
        <w:spacing w:after="0" w:line="227" w:lineRule="exact"/>
        <w:rPr>
          <w:sz w:val="20"/>
          <w:szCs w:val="20"/>
          <w:color w:val="auto"/>
        </w:rPr>
      </w:pPr>
    </w:p>
    <w:p>
      <w:pPr>
        <w:jc w:val="both"/>
        <w:ind w:left="880" w:right="39"/>
        <w:spacing w:after="0" w:line="294" w:lineRule="auto"/>
        <w:rPr>
          <w:sz w:val="20"/>
          <w:szCs w:val="20"/>
          <w:color w:val="auto"/>
        </w:rPr>
      </w:pPr>
      <w:r>
        <w:rPr>
          <w:rFonts w:ascii="Arial" w:cs="Arial" w:eastAsia="Arial" w:hAnsi="Arial"/>
          <w:sz w:val="18"/>
          <w:szCs w:val="18"/>
          <w:b w:val="1"/>
          <w:bCs w:val="1"/>
          <w:i w:val="1"/>
          <w:iCs w:val="1"/>
          <w:color w:val="auto"/>
        </w:rPr>
        <w:t>CLASS III DIRECTORS — PRESENT TERMS EXPIRING AT THE ANNUAL MEETING AND PROPOSED TERMS TO EXPIRE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74295</wp:posOffset>
            </wp:positionV>
            <wp:extent cx="5700395" cy="2434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2434590"/>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368"/>
        </w:trPr>
        <w:tc>
          <w:tcPr>
            <w:tcW w:w="5420" w:type="dxa"/>
            <w:vAlign w:val="bottom"/>
            <w:gridSpan w:val="4"/>
            <w:shd w:val="clear" w:color="auto" w:fill="148CD9"/>
          </w:tcPr>
          <w:p>
            <w:pPr>
              <w:spacing w:after="0"/>
              <w:rPr>
                <w:sz w:val="20"/>
                <w:szCs w:val="20"/>
                <w:color w:val="auto"/>
              </w:rPr>
            </w:pPr>
            <w:r>
              <w:rPr>
                <w:rFonts w:ascii="Arial" w:cs="Arial" w:eastAsia="Arial" w:hAnsi="Arial"/>
                <w:sz w:val="16"/>
                <w:szCs w:val="16"/>
                <w:b w:val="1"/>
                <w:bCs w:val="1"/>
                <w:color w:val="FFFFFF"/>
              </w:rPr>
              <w:t>​ KIMBERLY BLACKWELL, M.D.</w:t>
            </w:r>
          </w:p>
        </w:tc>
        <w:tc>
          <w:tcPr>
            <w:tcW w:w="3120" w:type="dxa"/>
            <w:vAlign w:val="bottom"/>
            <w:shd w:val="clear" w:color="auto" w:fill="148CD9"/>
          </w:tcPr>
          <w:p>
            <w:pPr>
              <w:ind w:left="20"/>
              <w:spacing w:after="0"/>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 xml:space="preserve"> Key  Skills</w:t>
            </w:r>
            <w:r>
              <w:rPr>
                <w:rFonts w:ascii="Arial" w:cs="Arial" w:eastAsia="Arial" w:hAnsi="Arial"/>
                <w:sz w:val="16"/>
                <w:szCs w:val="16"/>
                <w:color w:val="FFFFFF"/>
              </w:rPr>
              <w:t>:  Industry  Knowledge</w:t>
            </w:r>
          </w:p>
        </w:tc>
        <w:tc>
          <w:tcPr>
            <w:tcW w:w="420" w:type="dxa"/>
            <w:vAlign w:val="bottom"/>
            <w:shd w:val="clear" w:color="auto" w:fill="148CD9"/>
          </w:tcPr>
          <w:p>
            <w:pPr>
              <w:jc w:val="right"/>
              <w:spacing w:after="0"/>
              <w:rPr>
                <w:sz w:val="20"/>
                <w:szCs w:val="20"/>
                <w:color w:val="auto"/>
              </w:rPr>
            </w:pPr>
            <w:r>
              <w:rPr>
                <w:rFonts w:ascii="Arial" w:cs="Arial" w:eastAsia="Arial" w:hAnsi="Arial"/>
                <w:sz w:val="16"/>
                <w:szCs w:val="16"/>
                <w:color w:val="FFFFFF"/>
              </w:rPr>
              <w:t>and</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80" w:type="dxa"/>
            <w:vAlign w:val="bottom"/>
            <w:shd w:val="clear" w:color="auto" w:fill="148CD9"/>
          </w:tcPr>
          <w:p>
            <w:pPr>
              <w:spacing w:after="0"/>
              <w:rPr>
                <w:sz w:val="14"/>
                <w:szCs w:val="14"/>
                <w:color w:val="auto"/>
              </w:rPr>
            </w:pPr>
          </w:p>
        </w:tc>
        <w:tc>
          <w:tcPr>
            <w:tcW w:w="1840" w:type="dxa"/>
            <w:vAlign w:val="bottom"/>
            <w:shd w:val="clear" w:color="auto" w:fill="148CD9"/>
          </w:tcPr>
          <w:p>
            <w:pPr>
              <w:spacing w:after="0"/>
              <w:rPr>
                <w:sz w:val="14"/>
                <w:szCs w:val="14"/>
                <w:color w:val="auto"/>
              </w:rPr>
            </w:pPr>
          </w:p>
        </w:tc>
        <w:tc>
          <w:tcPr>
            <w:tcW w:w="300" w:type="dxa"/>
            <w:vAlign w:val="bottom"/>
            <w:shd w:val="clear" w:color="auto" w:fill="148CD9"/>
          </w:tcPr>
          <w:p>
            <w:pPr>
              <w:spacing w:after="0"/>
              <w:rPr>
                <w:sz w:val="14"/>
                <w:szCs w:val="14"/>
                <w:color w:val="auto"/>
              </w:rPr>
            </w:pPr>
          </w:p>
        </w:tc>
        <w:tc>
          <w:tcPr>
            <w:tcW w:w="3200" w:type="dxa"/>
            <w:vAlign w:val="bottom"/>
            <w:shd w:val="clear" w:color="auto" w:fill="148CD9"/>
          </w:tcPr>
          <w:p>
            <w:pPr>
              <w:spacing w:after="0"/>
              <w:rPr>
                <w:sz w:val="14"/>
                <w:szCs w:val="14"/>
                <w:color w:val="auto"/>
              </w:rPr>
            </w:pPr>
          </w:p>
        </w:tc>
        <w:tc>
          <w:tcPr>
            <w:tcW w:w="3120" w:type="dxa"/>
            <w:vAlign w:val="bottom"/>
            <w:shd w:val="clear" w:color="auto" w:fill="148CD9"/>
          </w:tcPr>
          <w:p>
            <w:pPr>
              <w:ind w:left="240"/>
              <w:spacing w:after="0" w:line="162" w:lineRule="exact"/>
              <w:rPr>
                <w:sz w:val="20"/>
                <w:szCs w:val="20"/>
                <w:color w:val="auto"/>
              </w:rPr>
            </w:pPr>
            <w:r>
              <w:rPr>
                <w:rFonts w:ascii="Arial" w:cs="Arial" w:eastAsia="Arial" w:hAnsi="Arial"/>
                <w:sz w:val="16"/>
                <w:szCs w:val="16"/>
                <w:color w:val="FFFFFF"/>
              </w:rPr>
              <w:t>Experience</w:t>
            </w:r>
          </w:p>
        </w:tc>
        <w:tc>
          <w:tcPr>
            <w:tcW w:w="42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55</w:t>
            </w:r>
          </w:p>
        </w:tc>
        <w:tc>
          <w:tcPr>
            <w:tcW w:w="300" w:type="dxa"/>
            <w:vAlign w:val="bottom"/>
          </w:tcPr>
          <w:p>
            <w:pPr>
              <w:spacing w:after="0"/>
              <w:rPr>
                <w:sz w:val="17"/>
                <w:szCs w:val="17"/>
                <w:color w:val="auto"/>
              </w:rPr>
            </w:pPr>
          </w:p>
        </w:tc>
        <w:tc>
          <w:tcPr>
            <w:tcW w:w="3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 Audit,</w:t>
            </w:r>
          </w:p>
        </w:tc>
        <w:tc>
          <w:tcPr>
            <w:tcW w:w="3120" w:type="dxa"/>
            <w:vAlign w:val="bottom"/>
          </w:tcPr>
          <w:p>
            <w:pPr>
              <w:ind w:left="240"/>
              <w:spacing w:after="0" w:line="197" w:lineRule="exact"/>
              <w:rPr>
                <w:sz w:val="20"/>
                <w:szCs w:val="20"/>
                <w:color w:val="auto"/>
              </w:rPr>
            </w:pPr>
            <w:r>
              <w:rPr>
                <w:rFonts w:ascii="Arial" w:cs="Arial" w:eastAsia="Arial" w:hAnsi="Arial"/>
                <w:sz w:val="18"/>
                <w:szCs w:val="18"/>
                <w:b w:val="1"/>
                <w:bCs w:val="1"/>
                <w:color w:val="auto"/>
                <w:w w:val="99"/>
              </w:rPr>
              <w:t>Other Public Directorships</w:t>
            </w:r>
            <w:r>
              <w:rPr>
                <w:rFonts w:ascii="Arial" w:cs="Arial" w:eastAsia="Arial" w:hAnsi="Arial"/>
                <w:sz w:val="18"/>
                <w:szCs w:val="18"/>
                <w:color w:val="auto"/>
                <w:w w:val="99"/>
              </w:rPr>
              <w:t>: Monte</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840" w:type="dxa"/>
            <w:vAlign w:val="bottom"/>
            <w:vMerge w:val="continue"/>
          </w:tcPr>
          <w:p>
            <w:pPr>
              <w:spacing w:after="0"/>
              <w:rPr>
                <w:sz w:val="16"/>
                <w:szCs w:val="16"/>
                <w:color w:val="auto"/>
              </w:rPr>
            </w:pPr>
          </w:p>
        </w:tc>
        <w:tc>
          <w:tcPr>
            <w:tcW w:w="300" w:type="dxa"/>
            <w:vAlign w:val="bottom"/>
          </w:tcPr>
          <w:p>
            <w:pPr>
              <w:ind w:left="120"/>
              <w:spacing w:after="0" w:line="195" w:lineRule="exact"/>
              <w:rPr>
                <w:sz w:val="20"/>
                <w:szCs w:val="20"/>
                <w:color w:val="auto"/>
              </w:rPr>
            </w:pPr>
            <w:r>
              <w:rPr>
                <w:rFonts w:ascii="Arial" w:cs="Arial" w:eastAsia="Arial" w:hAnsi="Arial"/>
                <w:sz w:val="18"/>
                <w:szCs w:val="18"/>
                <w:color w:val="auto"/>
              </w:rPr>
              <w:t>​ ​</w:t>
            </w:r>
          </w:p>
        </w:tc>
        <w:tc>
          <w:tcPr>
            <w:tcW w:w="3200" w:type="dxa"/>
            <w:vAlign w:val="bottom"/>
            <w:vMerge w:val="continue"/>
          </w:tcPr>
          <w:p>
            <w:pPr>
              <w:spacing w:after="0"/>
              <w:rPr>
                <w:sz w:val="16"/>
                <w:szCs w:val="16"/>
                <w:color w:val="auto"/>
              </w:rPr>
            </w:pPr>
          </w:p>
        </w:tc>
        <w:tc>
          <w:tcPr>
            <w:tcW w:w="3120" w:type="dxa"/>
            <w:vAlign w:val="bottom"/>
          </w:tcPr>
          <w:p>
            <w:pPr>
              <w:ind w:left="20"/>
              <w:spacing w:after="0" w:line="195" w:lineRule="exact"/>
              <w:rPr>
                <w:sz w:val="20"/>
                <w:szCs w:val="20"/>
                <w:color w:val="auto"/>
              </w:rPr>
            </w:pPr>
            <w:r>
              <w:rPr>
                <w:rFonts w:ascii="Arial" w:cs="Arial" w:eastAsia="Arial" w:hAnsi="Arial"/>
                <w:sz w:val="18"/>
                <w:szCs w:val="18"/>
                <w:color w:val="auto"/>
              </w:rPr>
              <w:t>​ ​ Rosa Therapeutics, Inc., Zentalis</w:t>
            </w: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8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2021</w:t>
            </w:r>
          </w:p>
        </w:tc>
        <w:tc>
          <w:tcPr>
            <w:tcW w:w="300" w:type="dxa"/>
            <w:vAlign w:val="bottom"/>
          </w:tcPr>
          <w:p>
            <w:pPr>
              <w:spacing w:after="0"/>
              <w:rPr>
                <w:sz w:val="16"/>
                <w:szCs w:val="16"/>
                <w:color w:val="auto"/>
              </w:rPr>
            </w:pPr>
          </w:p>
        </w:tc>
        <w:tc>
          <w:tcPr>
            <w:tcW w:w="3200" w:type="dxa"/>
            <w:vAlign w:val="bottom"/>
          </w:tcPr>
          <w:p>
            <w:pPr>
              <w:ind w:left="40"/>
              <w:spacing w:after="0" w:line="189" w:lineRule="exact"/>
              <w:rPr>
                <w:sz w:val="20"/>
                <w:szCs w:val="20"/>
                <w:color w:val="auto"/>
              </w:rPr>
            </w:pPr>
            <w:r>
              <w:rPr>
                <w:rFonts w:ascii="Arial" w:cs="Arial" w:eastAsia="Arial" w:hAnsi="Arial"/>
                <w:sz w:val="18"/>
                <w:szCs w:val="18"/>
                <w:color w:val="auto"/>
                <w:w w:val="99"/>
              </w:rPr>
              <w:t>Nominating and Corporate Governance</w:t>
            </w:r>
          </w:p>
        </w:tc>
        <w:tc>
          <w:tcPr>
            <w:tcW w:w="3120" w:type="dxa"/>
            <w:vAlign w:val="bottom"/>
            <w:vMerge w:val="restart"/>
          </w:tcPr>
          <w:p>
            <w:pPr>
              <w:ind w:left="240"/>
              <w:spacing w:after="0"/>
              <w:rPr>
                <w:sz w:val="20"/>
                <w:szCs w:val="20"/>
                <w:color w:val="auto"/>
              </w:rPr>
            </w:pPr>
            <w:r>
              <w:rPr>
                <w:rFonts w:ascii="Arial" w:cs="Arial" w:eastAsia="Arial" w:hAnsi="Arial"/>
                <w:sz w:val="18"/>
                <w:szCs w:val="18"/>
                <w:color w:val="auto"/>
              </w:rPr>
              <w:t>Pharmaceuticals, Inc.</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Blackwell</w:t>
      </w:r>
      <w:r>
        <w:rPr>
          <w:rFonts w:ascii="Arial" w:cs="Arial" w:eastAsia="Arial" w:hAnsi="Arial"/>
          <w:sz w:val="18"/>
          <w:szCs w:val="18"/>
          <w:color w:val="auto"/>
        </w:rPr>
        <w:t xml:space="preserve"> has been a member of our Board since May 2021. Dr. Blackwell has served as Chief Executive​</w:t>
      </w:r>
    </w:p>
    <w:p>
      <w:pPr>
        <w:spacing w:after="0" w:line="41" w:lineRule="exact"/>
        <w:rPr>
          <w:sz w:val="20"/>
          <w:szCs w:val="20"/>
          <w:color w:val="auto"/>
        </w:rPr>
      </w:pPr>
    </w:p>
    <w:p>
      <w:pPr>
        <w:jc w:val="both"/>
        <w:ind w:left="980" w:right="159"/>
        <w:spacing w:after="0" w:line="226" w:lineRule="auto"/>
        <w:rPr>
          <w:sz w:val="20"/>
          <w:szCs w:val="20"/>
          <w:color w:val="auto"/>
        </w:rPr>
      </w:pPr>
      <w:r>
        <w:rPr>
          <w:rFonts w:ascii="Arial" w:cs="Arial" w:eastAsia="Arial" w:hAnsi="Arial"/>
          <w:sz w:val="18"/>
          <w:szCs w:val="18"/>
          <w:color w:val="auto"/>
        </w:rPr>
        <w:t>Officer of Zentalis Pharmaceuticals, Inc. since May 2022. Dr. Blackwell served as the Chief Medical Officer and Senior Vice President, Clinical Oncology Development at Tempus Labs, Inc., a biotechnology company,</w:t>
      </w:r>
    </w:p>
    <w:p>
      <w:pPr>
        <w:ind w:left="980"/>
        <w:spacing w:after="0" w:line="236" w:lineRule="auto"/>
        <w:rPr>
          <w:sz w:val="20"/>
          <w:szCs w:val="20"/>
          <w:color w:val="auto"/>
        </w:rPr>
      </w:pPr>
      <w:r>
        <w:rPr>
          <w:rFonts w:ascii="Arial" w:cs="Arial" w:eastAsia="Arial" w:hAnsi="Arial"/>
          <w:sz w:val="18"/>
          <w:szCs w:val="18"/>
          <w:color w:val="auto"/>
        </w:rPr>
        <w:t>from March 2020 until May 2022. Previously, Dr. Blackwell was the Vice President of Early Phase Immuno-</w:t>
      </w:r>
    </w:p>
    <w:p>
      <w:pPr>
        <w:spacing w:after="0" w:line="1" w:lineRule="exact"/>
        <w:rPr>
          <w:sz w:val="20"/>
          <w:szCs w:val="20"/>
          <w:color w:val="auto"/>
        </w:rPr>
      </w:pPr>
    </w:p>
    <w:p>
      <w:pPr>
        <w:ind w:left="980" w:right="159"/>
        <w:spacing w:after="0"/>
        <w:rPr>
          <w:sz w:val="20"/>
          <w:szCs w:val="20"/>
          <w:color w:val="auto"/>
        </w:rPr>
      </w:pPr>
      <w:r>
        <w:rPr>
          <w:rFonts w:ascii="Arial" w:cs="Arial" w:eastAsia="Arial" w:hAnsi="Arial"/>
          <w:sz w:val="17"/>
          <w:szCs w:val="17"/>
          <w:color w:val="auto"/>
        </w:rPr>
        <w:t>oncology at Eli Lilly and Company, or Eli Lilly, a pharmaceutical company, from March 2018 until March 2020. Prior to Eli Lilly, Dr. Blackwell held positions at Duke Medical Center and Duke Cancer Institute as a Professor</w:t>
      </w:r>
    </w:p>
    <w:p>
      <w:pPr>
        <w:ind w:left="980"/>
        <w:spacing w:after="0" w:line="235" w:lineRule="auto"/>
        <w:rPr>
          <w:sz w:val="20"/>
          <w:szCs w:val="20"/>
          <w:color w:val="auto"/>
        </w:rPr>
      </w:pPr>
      <w:r>
        <w:rPr>
          <w:rFonts w:ascii="Arial" w:cs="Arial" w:eastAsia="Arial" w:hAnsi="Arial"/>
          <w:sz w:val="18"/>
          <w:szCs w:val="18"/>
          <w:color w:val="auto"/>
        </w:rPr>
        <w:t>in the Department of Medicine from July 1997 until March 2018. Dr. Blackwell has served on the board of</w:t>
      </w:r>
    </w:p>
    <w:p>
      <w:pPr>
        <w:ind w:left="980" w:right="159"/>
        <w:spacing w:after="0" w:line="226" w:lineRule="auto"/>
        <w:rPr>
          <w:sz w:val="20"/>
          <w:szCs w:val="20"/>
          <w:color w:val="auto"/>
        </w:rPr>
      </w:pPr>
      <w:r>
        <w:rPr>
          <w:rFonts w:ascii="Arial" w:cs="Arial" w:eastAsia="Arial" w:hAnsi="Arial"/>
          <w:sz w:val="18"/>
          <w:szCs w:val="18"/>
          <w:color w:val="auto"/>
        </w:rPr>
        <w:t>directors of Monte Rosa Therapeutics, Inc., a biotechnology company, and Zentalis Pharmaceuticals, Inc., a clinical-stage biopharmaceutical company, since June and July 2020, respectively. Dr. Blackwell received a</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 in bioethics from Duke University and her M.D. from the Mayo Clinic Medical School.</w:t>
      </w:r>
    </w:p>
    <w:p>
      <w:pPr>
        <w:spacing w:after="0" w:line="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Dr. Blackwell is qualified to serve on our Board due to her​</w:t>
      </w:r>
    </w:p>
    <w:p>
      <w:pPr>
        <w:spacing w:after="0" w:line="41" w:lineRule="exact"/>
        <w:rPr>
          <w:sz w:val="20"/>
          <w:szCs w:val="20"/>
          <w:color w:val="auto"/>
        </w:rPr>
      </w:pPr>
    </w:p>
    <w:p>
      <w:pPr>
        <w:ind w:left="980" w:right="159"/>
        <w:spacing w:after="0" w:line="237" w:lineRule="auto"/>
        <w:rPr>
          <w:sz w:val="20"/>
          <w:szCs w:val="20"/>
          <w:color w:val="auto"/>
        </w:rPr>
      </w:pPr>
      <w:r>
        <w:rPr>
          <w:rFonts w:ascii="Arial" w:cs="Arial" w:eastAsia="Arial" w:hAnsi="Arial"/>
          <w:sz w:val="18"/>
          <w:szCs w:val="18"/>
          <w:color w:val="auto"/>
        </w:rPr>
        <w:t>experience on the boards of pharmaceutical companies and her extensive knowledge of the biotechnology and pharmaceutical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118110</wp:posOffset>
            </wp:positionV>
            <wp:extent cx="5700395" cy="2682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2682875"/>
                    </a:xfrm>
                    <a:prstGeom prst="rect">
                      <a:avLst/>
                    </a:prstGeom>
                    <a:noFill/>
                  </pic:spPr>
                </pic:pic>
              </a:graphicData>
            </a:graphic>
          </wp:anchor>
        </w:drawing>
      </w:r>
    </w:p>
    <w:p>
      <w:pPr>
        <w:spacing w:after="0" w:line="68"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5100" w:type="dxa"/>
            <w:vAlign w:val="bottom"/>
            <w:gridSpan w:val="3"/>
            <w:shd w:val="clear" w:color="auto" w:fill="148CD9"/>
          </w:tcPr>
          <w:p>
            <w:pPr>
              <w:spacing w:after="0"/>
              <w:rPr>
                <w:sz w:val="20"/>
                <w:szCs w:val="20"/>
                <w:color w:val="auto"/>
              </w:rPr>
            </w:pPr>
            <w:r>
              <w:rPr>
                <w:rFonts w:ascii="Arial" w:cs="Arial" w:eastAsia="Arial" w:hAnsi="Arial"/>
                <w:sz w:val="16"/>
                <w:szCs w:val="16"/>
                <w:b w:val="1"/>
                <w:bCs w:val="1"/>
                <w:color w:val="FFFFFF"/>
              </w:rPr>
              <w:t>​ JOSEPH JIMENEZ (CHAIRMAN)</w:t>
            </w:r>
          </w:p>
        </w:tc>
        <w:tc>
          <w:tcPr>
            <w:tcW w:w="540" w:type="dxa"/>
            <w:vAlign w:val="bottom"/>
            <w:shd w:val="clear" w:color="auto" w:fill="148CD9"/>
          </w:tcPr>
          <w:p>
            <w:pPr>
              <w:ind w:left="340"/>
              <w:spacing w:after="0"/>
              <w:rPr>
                <w:sz w:val="20"/>
                <w:szCs w:val="20"/>
                <w:color w:val="auto"/>
              </w:rPr>
            </w:pPr>
            <w:r>
              <w:rPr>
                <w:rFonts w:ascii="Arial" w:cs="Arial" w:eastAsia="Arial" w:hAnsi="Arial"/>
                <w:sz w:val="16"/>
                <w:szCs w:val="16"/>
                <w:b w:val="1"/>
                <w:bCs w:val="1"/>
                <w:color w:val="FFFFFF"/>
              </w:rPr>
              <w:t>​ ​</w:t>
            </w:r>
          </w:p>
        </w:tc>
        <w:tc>
          <w:tcPr>
            <w:tcW w:w="3320" w:type="dxa"/>
            <w:vAlign w:val="bottom"/>
            <w:gridSpan w:val="2"/>
            <w:shd w:val="clear" w:color="auto" w:fill="148CD9"/>
          </w:tcPr>
          <w:p>
            <w:pPr>
              <w:ind w:left="20"/>
              <w:spacing w:after="0"/>
              <w:rPr>
                <w:sz w:val="20"/>
                <w:szCs w:val="20"/>
                <w:color w:val="auto"/>
              </w:rPr>
            </w:pPr>
            <w:r>
              <w:rPr>
                <w:rFonts w:ascii="Arial" w:cs="Arial" w:eastAsia="Arial" w:hAnsi="Arial"/>
                <w:sz w:val="16"/>
                <w:szCs w:val="16"/>
                <w:b w:val="1"/>
                <w:bCs w:val="1"/>
                <w:color w:val="FFFFFF"/>
              </w:rPr>
              <w:t>Key Skills</w:t>
            </w:r>
            <w:r>
              <w:rPr>
                <w:rFonts w:ascii="Arial" w:cs="Arial" w:eastAsia="Arial" w:hAnsi="Arial"/>
                <w:sz w:val="16"/>
                <w:szCs w:val="16"/>
                <w:color w:val="FFFFFF"/>
              </w:rPr>
              <w:t>:  Senior  Executive  and  Public</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80" w:type="dxa"/>
            <w:vAlign w:val="bottom"/>
            <w:shd w:val="clear" w:color="auto" w:fill="148CD9"/>
          </w:tcPr>
          <w:p>
            <w:pPr>
              <w:spacing w:after="0"/>
              <w:rPr>
                <w:sz w:val="14"/>
                <w:szCs w:val="14"/>
                <w:color w:val="auto"/>
              </w:rPr>
            </w:pPr>
          </w:p>
        </w:tc>
        <w:tc>
          <w:tcPr>
            <w:tcW w:w="1840" w:type="dxa"/>
            <w:vAlign w:val="bottom"/>
            <w:shd w:val="clear" w:color="auto" w:fill="148CD9"/>
          </w:tcPr>
          <w:p>
            <w:pPr>
              <w:spacing w:after="0"/>
              <w:rPr>
                <w:sz w:val="14"/>
                <w:szCs w:val="14"/>
                <w:color w:val="auto"/>
              </w:rPr>
            </w:pPr>
          </w:p>
        </w:tc>
        <w:tc>
          <w:tcPr>
            <w:tcW w:w="3180" w:type="dxa"/>
            <w:vAlign w:val="bottom"/>
            <w:shd w:val="clear" w:color="auto" w:fill="148CD9"/>
          </w:tcPr>
          <w:p>
            <w:pPr>
              <w:spacing w:after="0"/>
              <w:rPr>
                <w:sz w:val="14"/>
                <w:szCs w:val="14"/>
                <w:color w:val="auto"/>
              </w:rPr>
            </w:pPr>
          </w:p>
        </w:tc>
        <w:tc>
          <w:tcPr>
            <w:tcW w:w="540" w:type="dxa"/>
            <w:vAlign w:val="bottom"/>
            <w:shd w:val="clear" w:color="auto" w:fill="148CD9"/>
          </w:tcPr>
          <w:p>
            <w:pPr>
              <w:spacing w:after="0"/>
              <w:rPr>
                <w:sz w:val="14"/>
                <w:szCs w:val="14"/>
                <w:color w:val="auto"/>
              </w:rPr>
            </w:pPr>
          </w:p>
        </w:tc>
        <w:tc>
          <w:tcPr>
            <w:tcW w:w="3180" w:type="dxa"/>
            <w:vAlign w:val="bottom"/>
            <w:shd w:val="clear" w:color="auto" w:fill="148CD9"/>
          </w:tcPr>
          <w:p>
            <w:pPr>
              <w:ind w:left="20"/>
              <w:spacing w:after="0" w:line="162" w:lineRule="exact"/>
              <w:rPr>
                <w:sz w:val="20"/>
                <w:szCs w:val="20"/>
                <w:color w:val="auto"/>
              </w:rPr>
            </w:pPr>
            <w:r>
              <w:rPr>
                <w:rFonts w:ascii="Arial" w:cs="Arial" w:eastAsia="Arial" w:hAnsi="Arial"/>
                <w:sz w:val="16"/>
                <w:szCs w:val="16"/>
                <w:color w:val="FFFFFF"/>
              </w:rPr>
              <w:t>Company Experience</w:t>
            </w:r>
          </w:p>
        </w:tc>
        <w:tc>
          <w:tcPr>
            <w:tcW w:w="14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 w:type="dxa"/>
            <w:vAlign w:val="bottom"/>
            <w:vMerge w:val="restart"/>
          </w:tcPr>
          <w:p>
            <w:pPr>
              <w:spacing w:after="0"/>
              <w:rPr>
                <w:sz w:val="20"/>
                <w:szCs w:val="20"/>
                <w:color w:val="auto"/>
              </w:rPr>
            </w:pPr>
            <w:r>
              <w:rPr>
                <w:rFonts w:ascii="Arial" w:cs="Arial" w:eastAsia="Arial" w:hAnsi="Arial"/>
                <w:sz w:val="18"/>
                <w:szCs w:val="18"/>
                <w:color w:val="auto"/>
              </w:rPr>
              <w:t>​</w:t>
            </w: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64</w:t>
            </w:r>
          </w:p>
        </w:tc>
        <w:tc>
          <w:tcPr>
            <w:tcW w:w="3180" w:type="dxa"/>
            <w:vAlign w:val="bottom"/>
          </w:tcPr>
          <w:p>
            <w:pPr>
              <w:ind w:left="340"/>
              <w:spacing w:after="0" w:line="197" w:lineRule="exact"/>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w:t>
            </w:r>
          </w:p>
        </w:tc>
        <w:tc>
          <w:tcPr>
            <w:tcW w:w="540" w:type="dxa"/>
            <w:vAlign w:val="bottom"/>
            <w:vMerge w:val="restart"/>
          </w:tcPr>
          <w:p>
            <w:pPr>
              <w:ind w:left="340"/>
              <w:spacing w:after="0"/>
              <w:rPr>
                <w:sz w:val="20"/>
                <w:szCs w:val="20"/>
                <w:color w:val="auto"/>
              </w:rPr>
            </w:pPr>
            <w:r>
              <w:rPr>
                <w:rFonts w:ascii="Arial" w:cs="Arial" w:eastAsia="Arial" w:hAnsi="Arial"/>
                <w:sz w:val="18"/>
                <w:szCs w:val="18"/>
                <w:color w:val="auto"/>
              </w:rPr>
              <w:t>​ ​</w:t>
            </w:r>
          </w:p>
        </w:tc>
        <w:tc>
          <w:tcPr>
            <w:tcW w:w="318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 xml:space="preserve">Other Public Directorships: </w:t>
            </w:r>
            <w:r>
              <w:rPr>
                <w:rFonts w:ascii="Arial" w:cs="Arial" w:eastAsia="Arial" w:hAnsi="Arial"/>
                <w:sz w:val="18"/>
                <w:szCs w:val="18"/>
                <w:color w:val="auto"/>
                <w:w w:val="99"/>
              </w:rPr>
              <w:t>Procter &amp;</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8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3180" w:type="dxa"/>
            <w:vAlign w:val="bottom"/>
          </w:tcPr>
          <w:p>
            <w:pPr>
              <w:ind w:left="120"/>
              <w:spacing w:after="0" w:line="181" w:lineRule="exact"/>
              <w:rPr>
                <w:sz w:val="20"/>
                <w:szCs w:val="20"/>
                <w:color w:val="auto"/>
              </w:rPr>
            </w:pPr>
            <w:r>
              <w:rPr>
                <w:rFonts w:ascii="Arial" w:cs="Arial" w:eastAsia="Arial" w:hAnsi="Arial"/>
                <w:sz w:val="18"/>
                <w:szCs w:val="18"/>
                <w:color w:val="auto"/>
              </w:rPr>
              <w:t>​ ​ Compensation, Nominating and</w:t>
            </w:r>
          </w:p>
        </w:tc>
        <w:tc>
          <w:tcPr>
            <w:tcW w:w="540" w:type="dxa"/>
            <w:vAlign w:val="bottom"/>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8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2019</w:t>
            </w:r>
          </w:p>
        </w:tc>
        <w:tc>
          <w:tcPr>
            <w:tcW w:w="3180" w:type="dxa"/>
            <w:vAlign w:val="bottom"/>
            <w:vMerge w:val="restart"/>
          </w:tcPr>
          <w:p>
            <w:pPr>
              <w:ind w:left="340"/>
              <w:spacing w:after="0"/>
              <w:rPr>
                <w:sz w:val="20"/>
                <w:szCs w:val="20"/>
                <w:color w:val="auto"/>
              </w:rPr>
            </w:pPr>
            <w:r>
              <w:rPr>
                <w:rFonts w:ascii="Arial" w:cs="Arial" w:eastAsia="Arial" w:hAnsi="Arial"/>
                <w:sz w:val="18"/>
                <w:szCs w:val="18"/>
                <w:color w:val="auto"/>
              </w:rPr>
              <w:t>Corporate Governance (Chair)</w:t>
            </w:r>
          </w:p>
        </w:tc>
        <w:tc>
          <w:tcPr>
            <w:tcW w:w="540" w:type="dxa"/>
            <w:vAlign w:val="bottom"/>
          </w:tcPr>
          <w:p>
            <w:pPr>
              <w:spacing w:after="0"/>
              <w:rPr>
                <w:sz w:val="17"/>
                <w:szCs w:val="17"/>
                <w:color w:val="auto"/>
              </w:rPr>
            </w:pPr>
          </w:p>
        </w:tc>
        <w:tc>
          <w:tcPr>
            <w:tcW w:w="3180" w:type="dxa"/>
            <w:vAlign w:val="bottom"/>
          </w:tcPr>
          <w:p>
            <w:pPr>
              <w:ind w:left="20"/>
              <w:spacing w:after="0" w:line="202" w:lineRule="exact"/>
              <w:rPr>
                <w:sz w:val="20"/>
                <w:szCs w:val="20"/>
                <w:color w:val="auto"/>
              </w:rPr>
            </w:pPr>
            <w:r>
              <w:rPr>
                <w:rFonts w:ascii="Arial" w:cs="Arial" w:eastAsia="Arial" w:hAnsi="Arial"/>
                <w:sz w:val="18"/>
                <w:szCs w:val="18"/>
                <w:color w:val="auto"/>
              </w:rPr>
              <w:t>Gamble Co, General Motors Co</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jc w:val="both"/>
        <w:ind w:left="980" w:right="99" w:hanging="94"/>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Mr. Jimenez</w:t>
      </w:r>
      <w:r>
        <w:rPr>
          <w:rFonts w:ascii="Arial" w:cs="Arial" w:eastAsia="Arial" w:hAnsi="Arial"/>
          <w:sz w:val="18"/>
          <w:szCs w:val="18"/>
          <w:color w:val="auto"/>
        </w:rPr>
        <w:t xml:space="preserve"> has served as a member of our Board since August 2019 and as Chairman of our Board since​ February 2021. Mr. Jimenez is currently Co-Founder and Managing Director of Aditum Bio Management</w:t>
      </w:r>
    </w:p>
    <w:p>
      <w:pPr>
        <w:ind w:left="980"/>
        <w:spacing w:after="0" w:line="234" w:lineRule="auto"/>
        <w:rPr>
          <w:sz w:val="20"/>
          <w:szCs w:val="20"/>
          <w:color w:val="auto"/>
        </w:rPr>
      </w:pPr>
      <w:r>
        <w:rPr>
          <w:rFonts w:ascii="Arial" w:cs="Arial" w:eastAsia="Arial" w:hAnsi="Arial"/>
          <w:sz w:val="18"/>
          <w:szCs w:val="18"/>
          <w:color w:val="auto"/>
        </w:rPr>
        <w:t>Company LLC, or Aditum Bio, a venture capital firm. He has held this position since July 2019. Mr. Jimenez</w:t>
      </w:r>
    </w:p>
    <w:p>
      <w:pPr>
        <w:spacing w:after="0" w:line="1" w:lineRule="exact"/>
        <w:rPr>
          <w:sz w:val="20"/>
          <w:szCs w:val="20"/>
          <w:color w:val="auto"/>
        </w:rPr>
      </w:pPr>
    </w:p>
    <w:p>
      <w:pPr>
        <w:ind w:left="980" w:right="159"/>
        <w:spacing w:after="0"/>
        <w:rPr>
          <w:sz w:val="20"/>
          <w:szCs w:val="20"/>
          <w:color w:val="auto"/>
        </w:rPr>
      </w:pPr>
      <w:r>
        <w:rPr>
          <w:rFonts w:ascii="Arial" w:cs="Arial" w:eastAsia="Arial" w:hAnsi="Arial"/>
          <w:sz w:val="17"/>
          <w:szCs w:val="17"/>
          <w:color w:val="auto"/>
        </w:rPr>
        <w:t>served as Chief Executive Officer of Novartis AG, a pharmaceutical company, from 2010 until his retirement in 2018. He led Novartis AG’s Pharmaceuticals Division from October 2007 until 2010 and its Consumer Health</w:t>
      </w:r>
    </w:p>
    <w:p>
      <w:pPr>
        <w:ind w:left="980"/>
        <w:spacing w:after="0" w:line="235" w:lineRule="auto"/>
        <w:rPr>
          <w:sz w:val="20"/>
          <w:szCs w:val="20"/>
          <w:color w:val="auto"/>
        </w:rPr>
      </w:pPr>
      <w:r>
        <w:rPr>
          <w:rFonts w:ascii="Arial" w:cs="Arial" w:eastAsia="Arial" w:hAnsi="Arial"/>
          <w:sz w:val="18"/>
          <w:szCs w:val="18"/>
          <w:color w:val="auto"/>
        </w:rPr>
        <w:t>Division in 2007. From 2006 to 2007, Mr. Jimenez served as Advisor to the Blackstone Group L.P. Mr. Jimenez</w:t>
      </w:r>
    </w:p>
    <w:p>
      <w:pPr>
        <w:ind w:left="980" w:right="159"/>
        <w:spacing w:after="0" w:line="226" w:lineRule="auto"/>
        <w:rPr>
          <w:sz w:val="20"/>
          <w:szCs w:val="20"/>
          <w:color w:val="auto"/>
        </w:rPr>
      </w:pPr>
      <w:r>
        <w:rPr>
          <w:rFonts w:ascii="Arial" w:cs="Arial" w:eastAsia="Arial" w:hAnsi="Arial"/>
          <w:sz w:val="18"/>
          <w:szCs w:val="18"/>
          <w:color w:val="auto"/>
        </w:rPr>
        <w:t>is currently a member of the board of directors of General Motors Company, where he has served since 2015. Mr. Jimenez has also been a member of the board of directors of The Proctor &amp; Gamble Company since</w:t>
      </w:r>
    </w:p>
    <w:p>
      <w:pPr>
        <w:ind w:left="980"/>
        <w:spacing w:after="0" w:line="236" w:lineRule="auto"/>
        <w:rPr>
          <w:sz w:val="20"/>
          <w:szCs w:val="20"/>
          <w:color w:val="auto"/>
        </w:rPr>
      </w:pPr>
      <w:r>
        <w:rPr>
          <w:rFonts w:ascii="Arial" w:cs="Arial" w:eastAsia="Arial" w:hAnsi="Arial"/>
          <w:sz w:val="18"/>
          <w:szCs w:val="18"/>
          <w:color w:val="auto"/>
        </w:rPr>
        <w:t>March 2018. Additionally, Mr. Jimenez served on the board of directors of Graphite Bio from 2020 to 2024,</w:t>
      </w:r>
    </w:p>
    <w:p>
      <w:pPr>
        <w:spacing w:after="0" w:line="1" w:lineRule="exact"/>
        <w:rPr>
          <w:sz w:val="20"/>
          <w:szCs w:val="20"/>
          <w:color w:val="auto"/>
        </w:rPr>
      </w:pPr>
    </w:p>
    <w:p>
      <w:pPr>
        <w:ind w:left="980" w:right="159"/>
        <w:spacing w:after="0"/>
        <w:rPr>
          <w:sz w:val="20"/>
          <w:szCs w:val="20"/>
          <w:color w:val="auto"/>
        </w:rPr>
      </w:pPr>
      <w:r>
        <w:rPr>
          <w:rFonts w:ascii="Arial" w:cs="Arial" w:eastAsia="Arial" w:hAnsi="Arial"/>
          <w:sz w:val="17"/>
          <w:szCs w:val="17"/>
          <w:color w:val="auto"/>
        </w:rPr>
        <w:t>Colgate-Palmolive Company from 2009 to 2015, and of AstraZeneca PLC, or AstraZeneca, from 2002 to 2007. Mr. Jimenez received a B.A. in economics from Stanford University and an M.B.A. from the University of</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California, Berkeley.</w:t>
      </w:r>
    </w:p>
    <w:p>
      <w:pPr>
        <w:spacing w:after="0" w:line="18" w:lineRule="exact"/>
        <w:rPr>
          <w:sz w:val="20"/>
          <w:szCs w:val="20"/>
          <w:color w:val="auto"/>
        </w:rPr>
      </w:pPr>
    </w:p>
    <w:p>
      <w:pPr>
        <w:jc w:val="right"/>
        <w:ind w:left="880" w:right="99"/>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Mr. Jimenez is qualified to serve on our Board due to his years of​ experience as a senior executive in the pharmaceutical industry, his extensive public company directorship</w:t>
      </w:r>
    </w:p>
    <w:p>
      <w:pPr>
        <w:ind w:left="980"/>
        <w:spacing w:after="0"/>
        <w:rPr>
          <w:sz w:val="20"/>
          <w:szCs w:val="20"/>
          <w:color w:val="auto"/>
        </w:rPr>
      </w:pPr>
      <w:r>
        <w:rPr>
          <w:rFonts w:ascii="Arial" w:cs="Arial" w:eastAsia="Arial" w:hAnsi="Arial"/>
          <w:sz w:val="18"/>
          <w:szCs w:val="18"/>
          <w:color w:val="auto"/>
        </w:rPr>
        <w:t>experience, and his deep insights into our industry.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5200" w:type="dxa"/>
            <w:vAlign w:val="bottom"/>
            <w:gridSpan w:val="3"/>
            <w:shd w:val="clear" w:color="auto" w:fill="1DA46F"/>
          </w:tcPr>
          <w:p>
            <w:pPr>
              <w:ind w:left="20"/>
              <w:spacing w:after="0"/>
              <w:rPr>
                <w:sz w:val="20"/>
                <w:szCs w:val="20"/>
                <w:color w:val="auto"/>
              </w:rPr>
            </w:pPr>
            <w:r>
              <w:rPr>
                <w:rFonts w:ascii="Arial" w:cs="Arial" w:eastAsia="Arial" w:hAnsi="Arial"/>
                <w:sz w:val="32"/>
                <w:szCs w:val="32"/>
                <w:b w:val="1"/>
                <w:bCs w:val="1"/>
                <w:color w:val="FFFFFF"/>
              </w:rPr>
              <w:t>​BOARD OF DIRECTORS</w:t>
            </w:r>
          </w:p>
        </w:tc>
        <w:tc>
          <w:tcPr>
            <w:tcW w:w="3400" w:type="dxa"/>
            <w:vAlign w:val="bottom"/>
            <w:shd w:val="clear" w:color="auto" w:fill="1DA46F"/>
          </w:tcPr>
          <w:p>
            <w:pPr>
              <w:spacing w:after="0"/>
              <w:rPr>
                <w:sz w:val="24"/>
                <w:szCs w:val="24"/>
                <w:color w:val="auto"/>
              </w:rPr>
            </w:pPr>
          </w:p>
        </w:tc>
        <w:tc>
          <w:tcPr>
            <w:tcW w:w="380" w:type="dxa"/>
            <w:vAlign w:val="bottom"/>
            <w:shd w:val="clear" w:color="auto" w:fill="1DA46F"/>
          </w:tcPr>
          <w:p>
            <w:pPr>
              <w:ind w:left="280"/>
              <w:spacing w:after="0"/>
              <w:rPr>
                <w:sz w:val="20"/>
                <w:szCs w:val="20"/>
                <w:color w:val="auto"/>
              </w:rPr>
            </w:pPr>
            <w:r>
              <w:rPr>
                <w:rFonts w:ascii="Arial" w:cs="Arial" w:eastAsia="Arial" w:hAnsi="Arial"/>
                <w:sz w:val="32"/>
                <w:szCs w:val="32"/>
                <w:b w:val="1"/>
                <w:bCs w:val="1"/>
                <w:color w:val="FFFFFF"/>
              </w:rPr>
              <w:t>​</w:t>
            </w:r>
          </w:p>
        </w:tc>
        <w:tc>
          <w:tcPr>
            <w:tcW w:w="0" w:type="dxa"/>
            <w:vAlign w:val="bottom"/>
          </w:tcPr>
          <w:p>
            <w:pPr>
              <w:spacing w:after="0"/>
              <w:rPr>
                <w:sz w:val="1"/>
                <w:szCs w:val="1"/>
                <w:color w:val="auto"/>
              </w:rPr>
            </w:pPr>
          </w:p>
        </w:tc>
      </w:tr>
      <w:tr>
        <w:trPr>
          <w:trHeight w:val="324"/>
        </w:trPr>
        <w:tc>
          <w:tcPr>
            <w:tcW w:w="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spacing w:after="0"/>
              <w:rPr>
                <w:sz w:val="24"/>
                <w:szCs w:val="24"/>
                <w:color w:val="auto"/>
              </w:rPr>
            </w:pPr>
          </w:p>
        </w:tc>
        <w:tc>
          <w:tcPr>
            <w:tcW w:w="37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gridSpan w:val="2"/>
            <w:shd w:val="clear" w:color="auto" w:fill="148CD9"/>
          </w:tcPr>
          <w:p>
            <w:pPr>
              <w:spacing w:after="0"/>
              <w:rPr>
                <w:sz w:val="20"/>
                <w:szCs w:val="20"/>
                <w:color w:val="auto"/>
              </w:rPr>
            </w:pPr>
            <w:r>
              <w:rPr>
                <w:rFonts w:ascii="Arial" w:cs="Arial" w:eastAsia="Arial" w:hAnsi="Arial"/>
                <w:sz w:val="16"/>
                <w:szCs w:val="16"/>
                <w:b w:val="1"/>
                <w:bCs w:val="1"/>
                <w:color w:val="FFFFFF"/>
              </w:rPr>
              <w:t>​ BRENT PFEIFFENBERGER, PHARM.D.</w:t>
            </w:r>
          </w:p>
        </w:tc>
        <w:tc>
          <w:tcPr>
            <w:tcW w:w="3780" w:type="dxa"/>
            <w:vAlign w:val="bottom"/>
            <w:gridSpan w:val="2"/>
            <w:shd w:val="clear" w:color="auto" w:fill="148CD9"/>
          </w:tcPr>
          <w:p>
            <w:pPr>
              <w:ind w:left="260"/>
              <w:spacing w:after="0" w:line="250" w:lineRule="exact"/>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5"/>
                <w:szCs w:val="15"/>
                <w:b w:val="1"/>
                <w:bCs w:val="1"/>
                <w:color w:val="FFFFFF"/>
              </w:rPr>
              <w:t xml:space="preserve"> Key Skills</w:t>
            </w:r>
            <w:r>
              <w:rPr>
                <w:rFonts w:ascii="Arial" w:cs="Arial" w:eastAsia="Arial" w:hAnsi="Arial"/>
                <w:sz w:val="15"/>
                <w:szCs w:val="15"/>
                <w:color w:val="FFFFFF"/>
              </w:rPr>
              <w:t>:  Senior  Executive  Experience</w:t>
            </w:r>
            <w:r>
              <w:rPr>
                <w:rFonts w:ascii="Arial" w:cs="Arial" w:eastAsia="Arial" w:hAnsi="Arial"/>
                <w:sz w:val="28"/>
                <w:szCs w:val="28"/>
                <w:b w:val="1"/>
                <w:bCs w:val="1"/>
                <w:color w:val="FFFFFF"/>
                <w:vertAlign w:val="subscript"/>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shd w:val="clear" w:color="auto" w:fill="148CD9"/>
          </w:tcPr>
          <w:p>
            <w:pPr>
              <w:spacing w:after="0"/>
              <w:rPr>
                <w:sz w:val="14"/>
                <w:szCs w:val="14"/>
                <w:color w:val="auto"/>
              </w:rPr>
            </w:pPr>
          </w:p>
        </w:tc>
        <w:tc>
          <w:tcPr>
            <w:tcW w:w="3260" w:type="dxa"/>
            <w:vAlign w:val="bottom"/>
            <w:shd w:val="clear" w:color="auto" w:fill="148CD9"/>
          </w:tcPr>
          <w:p>
            <w:pPr>
              <w:spacing w:after="0"/>
              <w:rPr>
                <w:sz w:val="14"/>
                <w:szCs w:val="14"/>
                <w:color w:val="auto"/>
              </w:rPr>
            </w:pPr>
          </w:p>
        </w:tc>
        <w:tc>
          <w:tcPr>
            <w:tcW w:w="3400" w:type="dxa"/>
            <w:vAlign w:val="bottom"/>
            <w:shd w:val="clear" w:color="auto" w:fill="148CD9"/>
          </w:tcPr>
          <w:p>
            <w:pPr>
              <w:ind w:left="480"/>
              <w:spacing w:after="0" w:line="162" w:lineRule="exact"/>
              <w:rPr>
                <w:sz w:val="20"/>
                <w:szCs w:val="20"/>
                <w:color w:val="auto"/>
              </w:rPr>
            </w:pPr>
            <w:r>
              <w:rPr>
                <w:rFonts w:ascii="Arial" w:cs="Arial" w:eastAsia="Arial" w:hAnsi="Arial"/>
                <w:sz w:val="16"/>
                <w:szCs w:val="16"/>
                <w:color w:val="FFFFFF"/>
              </w:rPr>
              <w:t>and Global Industry Experience</w:t>
            </w:r>
          </w:p>
        </w:tc>
        <w:tc>
          <w:tcPr>
            <w:tcW w:w="38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46</w:t>
            </w:r>
          </w:p>
        </w:tc>
        <w:tc>
          <w:tcPr>
            <w:tcW w:w="32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 Committee Memberships</w:t>
            </w:r>
            <w:r>
              <w:rPr>
                <w:rFonts w:ascii="Arial" w:cs="Arial" w:eastAsia="Arial" w:hAnsi="Arial"/>
                <w:sz w:val="18"/>
                <w:szCs w:val="18"/>
                <w:color w:val="auto"/>
              </w:rPr>
              <w:t>: None</w:t>
            </w:r>
          </w:p>
        </w:tc>
        <w:tc>
          <w:tcPr>
            <w:tcW w:w="34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 ​ Other Public Directorships</w:t>
            </w:r>
            <w:r>
              <w:rPr>
                <w:rFonts w:ascii="Arial" w:cs="Arial" w:eastAsia="Arial" w:hAnsi="Arial"/>
                <w:sz w:val="18"/>
                <w:szCs w:val="18"/>
                <w:color w:val="auto"/>
              </w:rPr>
              <w:t>: N/A</w:t>
            </w:r>
          </w:p>
        </w:tc>
        <w:tc>
          <w:tcPr>
            <w:tcW w:w="3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920" w:type="dxa"/>
            <w:vAlign w:val="bottom"/>
          </w:tcPr>
          <w:p>
            <w:pPr>
              <w:spacing w:after="0" w:line="283"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7"/>
                <w:szCs w:val="17"/>
                <w:b w:val="1"/>
                <w:bCs w:val="1"/>
                <w:color w:val="auto"/>
              </w:rPr>
              <w:t xml:space="preserve"> Director Since</w:t>
            </w:r>
            <w:r>
              <w:rPr>
                <w:rFonts w:ascii="Arial" w:cs="Arial" w:eastAsia="Arial" w:hAnsi="Arial"/>
                <w:sz w:val="17"/>
                <w:szCs w:val="17"/>
                <w:color w:val="auto"/>
              </w:rPr>
              <w:t>: 2023</w:t>
            </w:r>
          </w:p>
        </w:tc>
        <w:tc>
          <w:tcPr>
            <w:tcW w:w="3260" w:type="dxa"/>
            <w:vAlign w:val="bottom"/>
            <w:vMerge w:val="continue"/>
          </w:tcPr>
          <w:p>
            <w:pPr>
              <w:spacing w:after="0"/>
              <w:rPr>
                <w:sz w:val="24"/>
                <w:szCs w:val="24"/>
                <w:color w:val="auto"/>
              </w:rPr>
            </w:pPr>
          </w:p>
        </w:tc>
        <w:tc>
          <w:tcPr>
            <w:tcW w:w="34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-573405</wp:posOffset>
            </wp:positionV>
            <wp:extent cx="5700395" cy="2049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2049145"/>
                    </a:xfrm>
                    <a:prstGeom prst="rect">
                      <a:avLst/>
                    </a:prstGeom>
                    <a:noFill/>
                  </pic:spPr>
                </pic:pic>
              </a:graphicData>
            </a:graphic>
          </wp:anchor>
        </w:drawing>
      </w:r>
    </w:p>
    <w:p>
      <w:pPr>
        <w:jc w:val="both"/>
        <w:ind w:left="980" w:right="99" w:hanging="94"/>
        <w:spacing w:after="0" w:line="24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Pfeiffenberger</w:t>
      </w:r>
      <w:r>
        <w:rPr>
          <w:rFonts w:ascii="Arial" w:cs="Arial" w:eastAsia="Arial" w:hAnsi="Arial"/>
          <w:sz w:val="18"/>
          <w:szCs w:val="18"/>
          <w:color w:val="auto"/>
        </w:rPr>
        <w:t xml:space="preserve"> has been a member of our Board as well as our President and Chief Executive Officer,​ since December 2023. Dr. Pfeiffenberger previously served as Chief Operating Officer of Neogene</w:t>
      </w:r>
    </w:p>
    <w:p>
      <w:pPr>
        <w:ind w:left="980"/>
        <w:spacing w:after="0" w:line="236" w:lineRule="auto"/>
        <w:rPr>
          <w:sz w:val="20"/>
          <w:szCs w:val="20"/>
          <w:color w:val="auto"/>
        </w:rPr>
      </w:pPr>
      <w:r>
        <w:rPr>
          <w:rFonts w:ascii="Arial" w:cs="Arial" w:eastAsia="Arial" w:hAnsi="Arial"/>
          <w:sz w:val="18"/>
          <w:szCs w:val="18"/>
          <w:color w:val="auto"/>
        </w:rPr>
        <w:t>Therapeutics Inc., a clinical-stage biotechnology company, from May 2021 until December 2023. Prior to this,</w:t>
      </w:r>
    </w:p>
    <w:p>
      <w:pPr>
        <w:ind w:left="980" w:right="159"/>
        <w:spacing w:after="0" w:line="226" w:lineRule="auto"/>
        <w:rPr>
          <w:sz w:val="20"/>
          <w:szCs w:val="20"/>
          <w:color w:val="auto"/>
        </w:rPr>
      </w:pPr>
      <w:r>
        <w:rPr>
          <w:rFonts w:ascii="Arial" w:cs="Arial" w:eastAsia="Arial" w:hAnsi="Arial"/>
          <w:sz w:val="18"/>
          <w:szCs w:val="18"/>
          <w:color w:val="auto"/>
        </w:rPr>
        <w:t>Dr. Pfeiffenberger held various positions at Bristol-Myers Squibb Company, or Bristol-Myers, a global biopharmaceutical company, including Senior Vice President and Head of U.S. Oncology from October 2019</w:t>
      </w:r>
    </w:p>
    <w:p>
      <w:pPr>
        <w:ind w:left="980"/>
        <w:spacing w:after="0" w:line="236" w:lineRule="auto"/>
        <w:rPr>
          <w:sz w:val="20"/>
          <w:szCs w:val="20"/>
          <w:color w:val="auto"/>
        </w:rPr>
      </w:pPr>
      <w:r>
        <w:rPr>
          <w:rFonts w:ascii="Arial" w:cs="Arial" w:eastAsia="Arial" w:hAnsi="Arial"/>
          <w:sz w:val="18"/>
          <w:szCs w:val="18"/>
          <w:color w:val="auto"/>
        </w:rPr>
        <w:t>until May 2021; Co-Lead of Worldwide Commercial Oncology from July 2018 until October 2019; General</w:t>
      </w:r>
    </w:p>
    <w:p>
      <w:pPr>
        <w:spacing w:after="0" w:line="1" w:lineRule="exact"/>
        <w:rPr>
          <w:sz w:val="20"/>
          <w:szCs w:val="20"/>
          <w:color w:val="auto"/>
        </w:rPr>
      </w:pPr>
    </w:p>
    <w:p>
      <w:pPr>
        <w:ind w:left="980" w:right="159"/>
        <w:spacing w:after="0" w:line="226" w:lineRule="auto"/>
        <w:rPr>
          <w:sz w:val="20"/>
          <w:szCs w:val="20"/>
          <w:color w:val="auto"/>
        </w:rPr>
      </w:pPr>
      <w:r>
        <w:rPr>
          <w:rFonts w:ascii="Arial" w:cs="Arial" w:eastAsia="Arial" w:hAnsi="Arial"/>
          <w:sz w:val="18"/>
          <w:szCs w:val="18"/>
          <w:color w:val="auto"/>
        </w:rPr>
        <w:t>Manager for Australia and New Zealand from March 2016 until June 2018; and several additional leadership and managerial positions within Bristol-Myers prior to this. Dr. Pfeiffenberger received an M.B.A. from The</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Wharton School at the University of Pennsylvania and a Pharm.D. from Duquesne University.</w:t>
      </w:r>
    </w:p>
    <w:p>
      <w:pPr>
        <w:spacing w:after="0" w:line="18" w:lineRule="exact"/>
        <w:rPr>
          <w:sz w:val="20"/>
          <w:szCs w:val="20"/>
          <w:color w:val="auto"/>
        </w:rPr>
      </w:pPr>
    </w:p>
    <w:p>
      <w:pPr>
        <w:jc w:val="both"/>
        <w:ind w:left="980" w:right="99" w:hanging="94"/>
        <w:spacing w:after="0" w:line="28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Dr. Pfeiffenberger’s over 20 years of global biopharmaceutical and​ biotechnology experience provide him with the qualifications and skills to serve as a director.</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CONTINUING DIRECTORS</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CLASS I DIRECTORS — TERMS EXPIRING AT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127635</wp:posOffset>
            </wp:positionV>
            <wp:extent cx="5700395" cy="255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0395" cy="2554605"/>
                    </a:xfrm>
                    <a:prstGeom prst="rect">
                      <a:avLst/>
                    </a:prstGeom>
                    <a:noFill/>
                  </pic:spPr>
                </pic:pic>
              </a:graphicData>
            </a:graphic>
          </wp:anchor>
        </w:drawing>
      </w:r>
    </w:p>
    <w:p>
      <w:pPr>
        <w:spacing w:after="0" w:line="83"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1920" w:type="dxa"/>
            <w:vAlign w:val="bottom"/>
            <w:gridSpan w:val="2"/>
            <w:shd w:val="clear" w:color="auto" w:fill="148CD9"/>
          </w:tcPr>
          <w:p>
            <w:pPr>
              <w:spacing w:after="0"/>
              <w:rPr>
                <w:sz w:val="20"/>
                <w:szCs w:val="20"/>
                <w:color w:val="auto"/>
              </w:rPr>
            </w:pPr>
            <w:r>
              <w:rPr>
                <w:rFonts w:ascii="Arial" w:cs="Arial" w:eastAsia="Arial" w:hAnsi="Arial"/>
                <w:sz w:val="16"/>
                <w:szCs w:val="16"/>
                <w:b w:val="1"/>
                <w:bCs w:val="1"/>
                <w:color w:val="FFFFFF"/>
              </w:rPr>
              <w:t>​ DAPHNE QUIMI</w:t>
            </w:r>
          </w:p>
        </w:tc>
        <w:tc>
          <w:tcPr>
            <w:tcW w:w="3300" w:type="dxa"/>
            <w:vAlign w:val="bottom"/>
            <w:shd w:val="clear" w:color="auto" w:fill="148CD9"/>
          </w:tcPr>
          <w:p>
            <w:pPr>
              <w:spacing w:after="0"/>
              <w:rPr>
                <w:sz w:val="24"/>
                <w:szCs w:val="24"/>
                <w:color w:val="auto"/>
              </w:rPr>
            </w:pPr>
          </w:p>
        </w:tc>
        <w:tc>
          <w:tcPr>
            <w:tcW w:w="420" w:type="dxa"/>
            <w:vAlign w:val="bottom"/>
            <w:shd w:val="clear" w:color="auto" w:fill="148CD9"/>
          </w:tcPr>
          <w:p>
            <w:pPr>
              <w:ind w:left="220"/>
              <w:spacing w:after="0"/>
              <w:rPr>
                <w:sz w:val="20"/>
                <w:szCs w:val="20"/>
                <w:color w:val="auto"/>
              </w:rPr>
            </w:pPr>
            <w:r>
              <w:rPr>
                <w:rFonts w:ascii="Arial" w:cs="Arial" w:eastAsia="Arial" w:hAnsi="Arial"/>
                <w:sz w:val="16"/>
                <w:szCs w:val="16"/>
                <w:b w:val="1"/>
                <w:bCs w:val="1"/>
                <w:color w:val="FFFFFF"/>
              </w:rPr>
              <w:t>​ ​</w:t>
            </w:r>
          </w:p>
        </w:tc>
        <w:tc>
          <w:tcPr>
            <w:tcW w:w="3320" w:type="dxa"/>
            <w:vAlign w:val="bottom"/>
            <w:gridSpan w:val="2"/>
            <w:shd w:val="clear" w:color="auto" w:fill="148CD9"/>
          </w:tcPr>
          <w:p>
            <w:pPr>
              <w:ind w:left="20"/>
              <w:spacing w:after="0"/>
              <w:rPr>
                <w:sz w:val="20"/>
                <w:szCs w:val="20"/>
                <w:color w:val="auto"/>
              </w:rPr>
            </w:pPr>
            <w:r>
              <w:rPr>
                <w:rFonts w:ascii="Arial" w:cs="Arial" w:eastAsia="Arial" w:hAnsi="Arial"/>
                <w:sz w:val="16"/>
                <w:szCs w:val="16"/>
                <w:b w:val="1"/>
                <w:bCs w:val="1"/>
                <w:color w:val="FFFFFF"/>
              </w:rPr>
              <w:t xml:space="preserve">Key Skills: </w:t>
            </w:r>
            <w:r>
              <w:rPr>
                <w:rFonts w:ascii="Arial" w:cs="Arial" w:eastAsia="Arial" w:hAnsi="Arial"/>
                <w:sz w:val="16"/>
                <w:szCs w:val="16"/>
                <w:color w:val="FFFFFF"/>
              </w:rPr>
              <w:t>Investing and Capital Raising,</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80" w:type="dxa"/>
            <w:vAlign w:val="bottom"/>
            <w:shd w:val="clear" w:color="auto" w:fill="148CD9"/>
          </w:tcPr>
          <w:p>
            <w:pPr>
              <w:spacing w:after="0"/>
              <w:rPr>
                <w:sz w:val="14"/>
                <w:szCs w:val="14"/>
                <w:color w:val="auto"/>
              </w:rPr>
            </w:pPr>
          </w:p>
        </w:tc>
        <w:tc>
          <w:tcPr>
            <w:tcW w:w="1840" w:type="dxa"/>
            <w:vAlign w:val="bottom"/>
            <w:shd w:val="clear" w:color="auto" w:fill="148CD9"/>
          </w:tcPr>
          <w:p>
            <w:pPr>
              <w:spacing w:after="0"/>
              <w:rPr>
                <w:sz w:val="14"/>
                <w:szCs w:val="14"/>
                <w:color w:val="auto"/>
              </w:rPr>
            </w:pPr>
          </w:p>
        </w:tc>
        <w:tc>
          <w:tcPr>
            <w:tcW w:w="3300" w:type="dxa"/>
            <w:vAlign w:val="bottom"/>
            <w:shd w:val="clear" w:color="auto" w:fill="148CD9"/>
          </w:tcPr>
          <w:p>
            <w:pPr>
              <w:spacing w:after="0"/>
              <w:rPr>
                <w:sz w:val="14"/>
                <w:szCs w:val="14"/>
                <w:color w:val="auto"/>
              </w:rPr>
            </w:pPr>
          </w:p>
        </w:tc>
        <w:tc>
          <w:tcPr>
            <w:tcW w:w="420" w:type="dxa"/>
            <w:vAlign w:val="bottom"/>
            <w:shd w:val="clear" w:color="auto" w:fill="148CD9"/>
          </w:tcPr>
          <w:p>
            <w:pPr>
              <w:spacing w:after="0"/>
              <w:rPr>
                <w:sz w:val="14"/>
                <w:szCs w:val="14"/>
                <w:color w:val="auto"/>
              </w:rPr>
            </w:pPr>
          </w:p>
        </w:tc>
        <w:tc>
          <w:tcPr>
            <w:tcW w:w="3100" w:type="dxa"/>
            <w:vAlign w:val="bottom"/>
            <w:shd w:val="clear" w:color="auto" w:fill="148CD9"/>
          </w:tcPr>
          <w:p>
            <w:pPr>
              <w:ind w:left="20"/>
              <w:spacing w:after="0" w:line="162" w:lineRule="exact"/>
              <w:rPr>
                <w:sz w:val="20"/>
                <w:szCs w:val="20"/>
                <w:color w:val="auto"/>
              </w:rPr>
            </w:pPr>
            <w:r>
              <w:rPr>
                <w:rFonts w:ascii="Arial" w:cs="Arial" w:eastAsia="Arial" w:hAnsi="Arial"/>
                <w:sz w:val="16"/>
                <w:szCs w:val="16"/>
                <w:color w:val="FFFFFF"/>
              </w:rPr>
              <w:t>Financial Competency</w:t>
            </w:r>
          </w:p>
        </w:tc>
        <w:tc>
          <w:tcPr>
            <w:tcW w:w="22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58</w:t>
            </w:r>
          </w:p>
        </w:tc>
        <w:tc>
          <w:tcPr>
            <w:tcW w:w="3300" w:type="dxa"/>
            <w:vAlign w:val="bottom"/>
          </w:tcPr>
          <w:p>
            <w:pPr>
              <w:ind w:left="340"/>
              <w:spacing w:after="0" w:line="197" w:lineRule="exact"/>
              <w:rPr>
                <w:sz w:val="20"/>
                <w:szCs w:val="20"/>
                <w:color w:val="auto"/>
              </w:rPr>
            </w:pPr>
            <w:r>
              <w:rPr>
                <w:rFonts w:ascii="Arial" w:cs="Arial" w:eastAsia="Arial" w:hAnsi="Arial"/>
                <w:sz w:val="18"/>
                <w:szCs w:val="18"/>
                <w:b w:val="1"/>
                <w:bCs w:val="1"/>
                <w:color w:val="auto"/>
              </w:rPr>
              <w:t xml:space="preserve">Committee Memberships: </w:t>
            </w:r>
            <w:r>
              <w:rPr>
                <w:rFonts w:ascii="Arial" w:cs="Arial" w:eastAsia="Arial" w:hAnsi="Arial"/>
                <w:sz w:val="18"/>
                <w:szCs w:val="18"/>
                <w:color w:val="auto"/>
              </w:rPr>
              <w:t>Audit</w:t>
            </w:r>
          </w:p>
        </w:tc>
        <w:tc>
          <w:tcPr>
            <w:tcW w:w="420" w:type="dxa"/>
            <w:vAlign w:val="bottom"/>
          </w:tcPr>
          <w:p>
            <w:pPr>
              <w:spacing w:after="0"/>
              <w:rPr>
                <w:sz w:val="17"/>
                <w:szCs w:val="17"/>
                <w:color w:val="auto"/>
              </w:rPr>
            </w:pPr>
          </w:p>
        </w:tc>
        <w:tc>
          <w:tcPr>
            <w:tcW w:w="3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Other Public Directorships: </w:t>
            </w:r>
            <w:r>
              <w:rPr>
                <w:rFonts w:ascii="Arial" w:cs="Arial" w:eastAsia="Arial" w:hAnsi="Arial"/>
                <w:sz w:val="18"/>
                <w:szCs w:val="18"/>
                <w:color w:val="auto"/>
              </w:rPr>
              <w:t>Amylyx</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840" w:type="dxa"/>
            <w:vAlign w:val="bottom"/>
            <w:vMerge w:val="continue"/>
          </w:tcPr>
          <w:p>
            <w:pPr>
              <w:spacing w:after="0"/>
              <w:rPr>
                <w:sz w:val="16"/>
                <w:szCs w:val="16"/>
                <w:color w:val="auto"/>
              </w:rPr>
            </w:pPr>
          </w:p>
        </w:tc>
        <w:tc>
          <w:tcPr>
            <w:tcW w:w="3300" w:type="dxa"/>
            <w:vAlign w:val="bottom"/>
          </w:tcPr>
          <w:p>
            <w:pPr>
              <w:ind w:left="120"/>
              <w:spacing w:after="0" w:line="195" w:lineRule="exact"/>
              <w:rPr>
                <w:sz w:val="20"/>
                <w:szCs w:val="20"/>
                <w:color w:val="auto"/>
              </w:rPr>
            </w:pPr>
            <w:r>
              <w:rPr>
                <w:rFonts w:ascii="Arial" w:cs="Arial" w:eastAsia="Arial" w:hAnsi="Arial"/>
                <w:sz w:val="18"/>
                <w:szCs w:val="18"/>
                <w:color w:val="auto"/>
              </w:rPr>
              <w:t>​ ​ (Chair), Nominating and Corporate</w:t>
            </w:r>
          </w:p>
        </w:tc>
        <w:tc>
          <w:tcPr>
            <w:tcW w:w="420" w:type="dxa"/>
            <w:vAlign w:val="bottom"/>
          </w:tcPr>
          <w:p>
            <w:pPr>
              <w:ind w:left="220"/>
              <w:spacing w:after="0" w:line="195" w:lineRule="exact"/>
              <w:rPr>
                <w:sz w:val="20"/>
                <w:szCs w:val="20"/>
                <w:color w:val="auto"/>
              </w:rPr>
            </w:pPr>
            <w:r>
              <w:rPr>
                <w:rFonts w:ascii="Arial" w:cs="Arial" w:eastAsia="Arial" w:hAnsi="Arial"/>
                <w:sz w:val="18"/>
                <w:szCs w:val="18"/>
                <w:color w:val="auto"/>
              </w:rPr>
              <w:t>​ ​</w:t>
            </w:r>
          </w:p>
        </w:tc>
        <w:tc>
          <w:tcPr>
            <w:tcW w:w="3100" w:type="dxa"/>
            <w:vAlign w:val="bottom"/>
            <w:vMerge w:val="continue"/>
          </w:tcPr>
          <w:p>
            <w:pPr>
              <w:spacing w:after="0"/>
              <w:rPr>
                <w:sz w:val="16"/>
                <w:szCs w:val="16"/>
                <w:color w:val="auto"/>
              </w:rPr>
            </w:pPr>
          </w:p>
        </w:tc>
        <w:tc>
          <w:tcPr>
            <w:tcW w:w="220" w:type="dxa"/>
            <w:vAlign w:val="bottom"/>
          </w:tcPr>
          <w:p>
            <w:pPr>
              <w:ind w:left="10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8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2022</w:t>
            </w:r>
          </w:p>
        </w:tc>
        <w:tc>
          <w:tcPr>
            <w:tcW w:w="3300" w:type="dxa"/>
            <w:vAlign w:val="bottom"/>
            <w:vMerge w:val="restart"/>
          </w:tcPr>
          <w:p>
            <w:pPr>
              <w:ind w:left="340"/>
              <w:spacing w:after="0"/>
              <w:rPr>
                <w:sz w:val="20"/>
                <w:szCs w:val="20"/>
                <w:color w:val="auto"/>
              </w:rPr>
            </w:pPr>
            <w:r>
              <w:rPr>
                <w:rFonts w:ascii="Arial" w:cs="Arial" w:eastAsia="Arial" w:hAnsi="Arial"/>
                <w:sz w:val="18"/>
                <w:szCs w:val="18"/>
                <w:color w:val="auto"/>
              </w:rPr>
              <w:t>Governance</w:t>
            </w:r>
          </w:p>
        </w:tc>
        <w:tc>
          <w:tcPr>
            <w:tcW w:w="420" w:type="dxa"/>
            <w:vAlign w:val="bottom"/>
          </w:tcPr>
          <w:p>
            <w:pPr>
              <w:spacing w:after="0"/>
              <w:rPr>
                <w:sz w:val="17"/>
                <w:szCs w:val="17"/>
                <w:color w:val="auto"/>
              </w:rPr>
            </w:pPr>
          </w:p>
        </w:tc>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Pharmaceuticals, Inc.</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980" w:right="99" w:hanging="94"/>
        <w:spacing w:after="0" w:line="26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Ms. Quimi</w:t>
      </w:r>
      <w:r>
        <w:rPr>
          <w:rFonts w:ascii="Arial" w:cs="Arial" w:eastAsia="Arial" w:hAnsi="Arial"/>
          <w:sz w:val="18"/>
          <w:szCs w:val="18"/>
          <w:color w:val="auto"/>
        </w:rPr>
        <w:t xml:space="preserve"> has been a member of our Board since September 2022. Ms. Quimi has served as the Chief​ Financial Officer of Amicus Therapeutics, Inc., or Amicus, a public biotechnology company, from January 1,</w:t>
      </w:r>
    </w:p>
    <w:p>
      <w:pPr>
        <w:spacing w:after="0" w:line="2" w:lineRule="exact"/>
        <w:rPr>
          <w:sz w:val="20"/>
          <w:szCs w:val="20"/>
          <w:color w:val="auto"/>
        </w:rPr>
      </w:pPr>
    </w:p>
    <w:p>
      <w:pPr>
        <w:jc w:val="both"/>
        <w:ind w:left="980" w:right="159"/>
        <w:spacing w:after="0" w:line="226" w:lineRule="auto"/>
        <w:rPr>
          <w:sz w:val="20"/>
          <w:szCs w:val="20"/>
          <w:color w:val="auto"/>
        </w:rPr>
      </w:pPr>
      <w:r>
        <w:rPr>
          <w:rFonts w:ascii="Arial" w:cs="Arial" w:eastAsia="Arial" w:hAnsi="Arial"/>
          <w:sz w:val="18"/>
          <w:szCs w:val="18"/>
          <w:color w:val="auto"/>
        </w:rPr>
        <w:t>2019, until her retirement in August 2023. Previously she served as Amicus’ Senior Vice President, Finance and Corporate Controller and has been employed with Amicus since September 2007. Prior to Amicus,</w:t>
      </w:r>
    </w:p>
    <w:p>
      <w:pPr>
        <w:ind w:left="980"/>
        <w:spacing w:after="0" w:line="236" w:lineRule="auto"/>
        <w:rPr>
          <w:sz w:val="20"/>
          <w:szCs w:val="20"/>
          <w:color w:val="auto"/>
        </w:rPr>
      </w:pPr>
      <w:r>
        <w:rPr>
          <w:rFonts w:ascii="Arial" w:cs="Arial" w:eastAsia="Arial" w:hAnsi="Arial"/>
          <w:sz w:val="18"/>
          <w:szCs w:val="18"/>
          <w:color w:val="auto"/>
        </w:rPr>
        <w:t>Ms. Quimi served as Director of Consolidations and External Reporting at Bristol-Myers Squibb. Prior to</w:t>
      </w:r>
    </w:p>
    <w:p>
      <w:pPr>
        <w:spacing w:after="0" w:line="1" w:lineRule="exact"/>
        <w:rPr>
          <w:sz w:val="20"/>
          <w:szCs w:val="20"/>
          <w:color w:val="auto"/>
        </w:rPr>
      </w:pPr>
    </w:p>
    <w:p>
      <w:pPr>
        <w:ind w:left="980" w:right="159"/>
        <w:spacing w:after="0"/>
        <w:rPr>
          <w:sz w:val="20"/>
          <w:szCs w:val="20"/>
          <w:color w:val="auto"/>
        </w:rPr>
      </w:pPr>
      <w:r>
        <w:rPr>
          <w:rFonts w:ascii="Arial" w:cs="Arial" w:eastAsia="Arial" w:hAnsi="Arial"/>
          <w:sz w:val="17"/>
          <w:szCs w:val="17"/>
          <w:color w:val="auto"/>
        </w:rPr>
        <w:t>joining Bristol-Myers Squibb, Ms. Quimi also held roles of increasing responsibility in the finance department at Johnson &amp; Johnson Services, Inc., or J&amp;J, from May 1999 until July 2004. Ms. Quimi is currently a member of</w:t>
      </w:r>
    </w:p>
    <w:p>
      <w:pPr>
        <w:ind w:left="980"/>
        <w:spacing w:after="0" w:line="235" w:lineRule="auto"/>
        <w:rPr>
          <w:sz w:val="20"/>
          <w:szCs w:val="20"/>
          <w:color w:val="auto"/>
        </w:rPr>
      </w:pPr>
      <w:r>
        <w:rPr>
          <w:rFonts w:ascii="Arial" w:cs="Arial" w:eastAsia="Arial" w:hAnsi="Arial"/>
          <w:sz w:val="18"/>
          <w:szCs w:val="18"/>
          <w:color w:val="auto"/>
        </w:rPr>
        <w:t>the board of directors of Amylyx Pharmaceuticals, Inc., a public biopharmaceutical company, where she has</w:t>
      </w:r>
    </w:p>
    <w:p>
      <w:pPr>
        <w:ind w:left="980" w:right="159"/>
        <w:spacing w:after="0" w:line="226" w:lineRule="auto"/>
        <w:rPr>
          <w:sz w:val="20"/>
          <w:szCs w:val="20"/>
          <w:color w:val="auto"/>
        </w:rPr>
      </w:pPr>
      <w:r>
        <w:rPr>
          <w:rFonts w:ascii="Arial" w:cs="Arial" w:eastAsia="Arial" w:hAnsi="Arial"/>
          <w:sz w:val="18"/>
          <w:szCs w:val="18"/>
          <w:color w:val="auto"/>
        </w:rPr>
        <w:t>served since July 2021. Ms. Quimi received a B.S. in accountancy from Monmouth University and an M.B.A. from the Stern School of Business of New York University. Ms. Quimi is also a certified public accountant in</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Jersey.</w:t>
      </w:r>
    </w:p>
    <w:p>
      <w:pPr>
        <w:spacing w:after="0" w:line="14" w:lineRule="exact"/>
        <w:rPr>
          <w:sz w:val="20"/>
          <w:szCs w:val="20"/>
          <w:color w:val="auto"/>
        </w:rPr>
      </w:pPr>
    </w:p>
    <w:p>
      <w:pPr>
        <w:jc w:val="both"/>
        <w:ind w:left="980" w:right="99" w:hanging="94"/>
        <w:spacing w:after="0" w:line="26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Ms. Quimi is qualified to serve on our Board due to her investment​ experience, experience in public accounting and financial reporting and knowledge of the biopharmaceutical industry.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4960" w:type="dxa"/>
            <w:vAlign w:val="bottom"/>
            <w:gridSpan w:val="3"/>
            <w:shd w:val="clear" w:color="auto" w:fill="1DA46F"/>
          </w:tcPr>
          <w:p>
            <w:pPr>
              <w:ind w:left="20"/>
              <w:spacing w:after="0"/>
              <w:rPr>
                <w:sz w:val="20"/>
                <w:szCs w:val="20"/>
                <w:color w:val="auto"/>
              </w:rPr>
            </w:pPr>
            <w:r>
              <w:rPr>
                <w:rFonts w:ascii="Arial" w:cs="Arial" w:eastAsia="Arial" w:hAnsi="Arial"/>
                <w:sz w:val="32"/>
                <w:szCs w:val="32"/>
                <w:b w:val="1"/>
                <w:bCs w:val="1"/>
                <w:color w:val="FFFFFF"/>
              </w:rPr>
              <w:t>​BOARD OF DIRECTORS</w:t>
            </w:r>
          </w:p>
        </w:tc>
        <w:tc>
          <w:tcPr>
            <w:tcW w:w="3640" w:type="dxa"/>
            <w:vAlign w:val="bottom"/>
            <w:shd w:val="clear" w:color="auto" w:fill="1DA46F"/>
          </w:tcPr>
          <w:p>
            <w:pPr>
              <w:spacing w:after="0"/>
              <w:rPr>
                <w:sz w:val="24"/>
                <w:szCs w:val="24"/>
                <w:color w:val="auto"/>
              </w:rPr>
            </w:pPr>
          </w:p>
        </w:tc>
        <w:tc>
          <w:tcPr>
            <w:tcW w:w="380" w:type="dxa"/>
            <w:vAlign w:val="bottom"/>
            <w:shd w:val="clear" w:color="auto" w:fill="1DA46F"/>
          </w:tcPr>
          <w:p>
            <w:pPr>
              <w:jc w:val="right"/>
              <w:spacing w:after="0"/>
              <w:rPr>
                <w:sz w:val="20"/>
                <w:szCs w:val="20"/>
                <w:color w:val="auto"/>
              </w:rPr>
            </w:pPr>
            <w:r>
              <w:rPr>
                <w:rFonts w:ascii="Arial" w:cs="Arial" w:eastAsia="Arial" w:hAnsi="Arial"/>
                <w:sz w:val="32"/>
                <w:szCs w:val="32"/>
                <w:b w:val="1"/>
                <w:bCs w:val="1"/>
                <w:color w:val="FFFFFF"/>
              </w:rPr>
              <w:t>​</w:t>
            </w:r>
          </w:p>
        </w:tc>
        <w:tc>
          <w:tcPr>
            <w:tcW w:w="0" w:type="dxa"/>
            <w:vAlign w:val="bottom"/>
          </w:tcPr>
          <w:p>
            <w:pPr>
              <w:spacing w:after="0"/>
              <w:rPr>
                <w:sz w:val="1"/>
                <w:szCs w:val="1"/>
                <w:color w:val="auto"/>
              </w:rPr>
            </w:pPr>
          </w:p>
        </w:tc>
      </w:tr>
      <w:tr>
        <w:trPr>
          <w:trHeight w:val="324"/>
        </w:trPr>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80" w:type="dxa"/>
            <w:vAlign w:val="bottom"/>
            <w:shd w:val="clear" w:color="auto" w:fill="148CD9"/>
          </w:tcPr>
          <w:p>
            <w:pPr>
              <w:spacing w:after="0"/>
              <w:rPr>
                <w:sz w:val="20"/>
                <w:szCs w:val="20"/>
                <w:color w:val="auto"/>
              </w:rPr>
            </w:pPr>
            <w:r>
              <w:rPr>
                <w:rFonts w:ascii="Arial" w:cs="Arial" w:eastAsia="Arial" w:hAnsi="Arial"/>
                <w:sz w:val="16"/>
                <w:szCs w:val="16"/>
                <w:b w:val="1"/>
                <w:bCs w:val="1"/>
                <w:color w:val="FFFFFF"/>
              </w:rPr>
              <w:t>​ CARLO RIZZUTO, PH.D.</w:t>
            </w:r>
          </w:p>
        </w:tc>
        <w:tc>
          <w:tcPr>
            <w:tcW w:w="2960" w:type="dxa"/>
            <w:vAlign w:val="bottom"/>
            <w:shd w:val="clear" w:color="auto" w:fill="148CD9"/>
          </w:tcPr>
          <w:p>
            <w:pPr>
              <w:spacing w:after="0"/>
              <w:rPr>
                <w:sz w:val="21"/>
                <w:szCs w:val="21"/>
                <w:color w:val="auto"/>
              </w:rPr>
            </w:pPr>
          </w:p>
        </w:tc>
        <w:tc>
          <w:tcPr>
            <w:tcW w:w="4020" w:type="dxa"/>
            <w:vAlign w:val="bottom"/>
            <w:gridSpan w:val="2"/>
            <w:shd w:val="clear" w:color="auto" w:fill="148CD9"/>
          </w:tcPr>
          <w:p>
            <w:pPr>
              <w:jc w:val="right"/>
              <w:spacing w:after="0" w:line="250" w:lineRule="exact"/>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5"/>
                <w:szCs w:val="15"/>
                <w:b w:val="1"/>
                <w:bCs w:val="1"/>
                <w:color w:val="FFFFFF"/>
              </w:rPr>
              <w:t xml:space="preserve"> Key Skills: </w:t>
            </w:r>
            <w:r>
              <w:rPr>
                <w:rFonts w:ascii="Arial" w:cs="Arial" w:eastAsia="Arial" w:hAnsi="Arial"/>
                <w:sz w:val="15"/>
                <w:szCs w:val="15"/>
                <w:color w:val="FFFFFF"/>
              </w:rPr>
              <w:t>Investing and Capital Raising,</w:t>
            </w:r>
            <w:r>
              <w:rPr>
                <w:rFonts w:ascii="Arial" w:cs="Arial" w:eastAsia="Arial" w:hAnsi="Arial"/>
                <w:sz w:val="28"/>
                <w:szCs w:val="28"/>
                <w:b w:val="1"/>
                <w:bCs w:val="1"/>
                <w:color w:val="FFFFFF"/>
                <w:vertAlign w:val="subscript"/>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shd w:val="clear" w:color="auto" w:fill="148CD9"/>
          </w:tcPr>
          <w:p>
            <w:pPr>
              <w:spacing w:after="0"/>
              <w:rPr>
                <w:sz w:val="14"/>
                <w:szCs w:val="14"/>
                <w:color w:val="auto"/>
              </w:rPr>
            </w:pPr>
          </w:p>
        </w:tc>
        <w:tc>
          <w:tcPr>
            <w:tcW w:w="2960" w:type="dxa"/>
            <w:vAlign w:val="bottom"/>
            <w:shd w:val="clear" w:color="auto" w:fill="148CD9"/>
          </w:tcPr>
          <w:p>
            <w:pPr>
              <w:spacing w:after="0"/>
              <w:rPr>
                <w:sz w:val="14"/>
                <w:szCs w:val="14"/>
                <w:color w:val="auto"/>
              </w:rPr>
            </w:pPr>
          </w:p>
        </w:tc>
        <w:tc>
          <w:tcPr>
            <w:tcW w:w="3640" w:type="dxa"/>
            <w:vAlign w:val="bottom"/>
            <w:shd w:val="clear" w:color="auto" w:fill="148CD9"/>
          </w:tcPr>
          <w:p>
            <w:pPr>
              <w:ind w:left="720"/>
              <w:spacing w:after="0" w:line="162" w:lineRule="exact"/>
              <w:rPr>
                <w:sz w:val="20"/>
                <w:szCs w:val="20"/>
                <w:color w:val="auto"/>
              </w:rPr>
            </w:pPr>
            <w:r>
              <w:rPr>
                <w:rFonts w:ascii="Arial" w:cs="Arial" w:eastAsia="Arial" w:hAnsi="Arial"/>
                <w:sz w:val="16"/>
                <w:szCs w:val="16"/>
                <w:color w:val="FFFFFF"/>
              </w:rPr>
              <w:t>Industry Knowledge and Experience</w:t>
            </w:r>
          </w:p>
        </w:tc>
        <w:tc>
          <w:tcPr>
            <w:tcW w:w="38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53</w:t>
            </w:r>
          </w:p>
        </w:tc>
        <w:tc>
          <w:tcPr>
            <w:tcW w:w="2960" w:type="dxa"/>
            <w:vAlign w:val="bottom"/>
          </w:tcPr>
          <w:p>
            <w:pPr>
              <w:ind w:left="280"/>
              <w:spacing w:after="0" w:line="197" w:lineRule="exact"/>
              <w:rPr>
                <w:sz w:val="20"/>
                <w:szCs w:val="20"/>
                <w:color w:val="auto"/>
              </w:rPr>
            </w:pPr>
            <w:r>
              <w:rPr>
                <w:rFonts w:ascii="Arial" w:cs="Arial" w:eastAsia="Arial" w:hAnsi="Arial"/>
                <w:sz w:val="18"/>
                <w:szCs w:val="18"/>
                <w:b w:val="1"/>
                <w:bCs w:val="1"/>
                <w:color w:val="auto"/>
              </w:rPr>
              <w:t>Committee Memberships:</w:t>
            </w:r>
          </w:p>
        </w:tc>
        <w:tc>
          <w:tcPr>
            <w:tcW w:w="3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6600" w:type="dxa"/>
            <w:vAlign w:val="bottom"/>
            <w:gridSpan w:val="2"/>
            <w:vMerge w:val="restart"/>
          </w:tcPr>
          <w:p>
            <w:pPr>
              <w:ind w:left="60"/>
              <w:spacing w:after="0"/>
              <w:rPr>
                <w:sz w:val="20"/>
                <w:szCs w:val="20"/>
                <w:color w:val="auto"/>
              </w:rPr>
            </w:pPr>
            <w:r>
              <w:rPr>
                <w:rFonts w:ascii="Arial" w:cs="Arial" w:eastAsia="Arial" w:hAnsi="Arial"/>
                <w:sz w:val="18"/>
                <w:szCs w:val="18"/>
                <w:color w:val="auto"/>
              </w:rPr>
              <w:t xml:space="preserve">​ ​ Compensation (Chair), Nominating and ​ ​ </w:t>
            </w:r>
            <w:r>
              <w:rPr>
                <w:rFonts w:ascii="Arial" w:cs="Arial" w:eastAsia="Arial" w:hAnsi="Arial"/>
                <w:sz w:val="18"/>
                <w:szCs w:val="18"/>
                <w:b w:val="1"/>
                <w:bCs w:val="1"/>
                <w:color w:val="auto"/>
              </w:rPr>
              <w:t>Other Public Directorships</w:t>
            </w:r>
            <w:r>
              <w:rPr>
                <w:rFonts w:ascii="Arial" w:cs="Arial" w:eastAsia="Arial" w:hAnsi="Arial"/>
                <w:sz w:val="18"/>
                <w:szCs w:val="18"/>
                <w:color w:val="auto"/>
              </w:rPr>
              <w:t>: N/A</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80" w:type="dxa"/>
            <w:vAlign w:val="bottom"/>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b w:val="1"/>
                <w:bCs w:val="1"/>
                <w:color w:val="auto"/>
              </w:rPr>
              <w:t xml:space="preserve"> Director Since</w:t>
            </w:r>
            <w:r>
              <w:rPr>
                <w:rFonts w:ascii="Arial" w:cs="Arial" w:eastAsia="Arial" w:hAnsi="Arial"/>
                <w:sz w:val="13"/>
                <w:szCs w:val="13"/>
                <w:color w:val="auto"/>
              </w:rPr>
              <w:t>: 2018</w:t>
            </w:r>
          </w:p>
        </w:tc>
        <w:tc>
          <w:tcPr>
            <w:tcW w:w="660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960" w:type="dxa"/>
            <w:vAlign w:val="bottom"/>
          </w:tcPr>
          <w:p>
            <w:pPr>
              <w:ind w:left="280"/>
              <w:spacing w:after="0" w:line="201" w:lineRule="exact"/>
              <w:rPr>
                <w:sz w:val="20"/>
                <w:szCs w:val="20"/>
                <w:color w:val="auto"/>
              </w:rPr>
            </w:pPr>
            <w:r>
              <w:rPr>
                <w:rFonts w:ascii="Arial" w:cs="Arial" w:eastAsia="Arial" w:hAnsi="Arial"/>
                <w:sz w:val="18"/>
                <w:szCs w:val="18"/>
                <w:color w:val="auto"/>
              </w:rPr>
              <w:t>Corporate Governance</w:t>
            </w:r>
          </w:p>
        </w:tc>
        <w:tc>
          <w:tcPr>
            <w:tcW w:w="3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-701675</wp:posOffset>
            </wp:positionV>
            <wp:extent cx="5700395" cy="2426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2426335"/>
                    </a:xfrm>
                    <a:prstGeom prst="rect">
                      <a:avLst/>
                    </a:prstGeom>
                    <a:noFill/>
                  </pic:spPr>
                </pic:pic>
              </a:graphicData>
            </a:graphic>
          </wp:anchor>
        </w:drawing>
      </w:r>
    </w:p>
    <w:p>
      <w:pPr>
        <w:jc w:val="both"/>
        <w:ind w:left="980" w:right="99" w:hanging="94"/>
        <w:spacing w:after="0" w:line="24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Rizzuto</w:t>
      </w:r>
      <w:r>
        <w:rPr>
          <w:rFonts w:ascii="Arial" w:cs="Arial" w:eastAsia="Arial" w:hAnsi="Arial"/>
          <w:sz w:val="18"/>
          <w:szCs w:val="18"/>
          <w:color w:val="auto"/>
        </w:rPr>
        <w:t xml:space="preserve"> has served as a member of our Board since March 2018. From April 2018 until August 2018,​ Dr. Rizzuto was our President, Secretary and Treasurer. Dr. Rizzuto joined Versant Ventures in</w:t>
      </w:r>
    </w:p>
    <w:p>
      <w:pPr>
        <w:ind w:left="980"/>
        <w:spacing w:after="0" w:line="236" w:lineRule="auto"/>
        <w:rPr>
          <w:sz w:val="20"/>
          <w:szCs w:val="20"/>
          <w:color w:val="auto"/>
        </w:rPr>
      </w:pPr>
      <w:r>
        <w:rPr>
          <w:rFonts w:ascii="Arial" w:cs="Arial" w:eastAsia="Arial" w:hAnsi="Arial"/>
          <w:sz w:val="18"/>
          <w:szCs w:val="18"/>
          <w:color w:val="auto"/>
        </w:rPr>
        <w:t>November 2012 where he currently serves as Managing Director, and has served in a variety of roles including</w:t>
      </w:r>
    </w:p>
    <w:p>
      <w:pPr>
        <w:ind w:left="980" w:right="159"/>
        <w:spacing w:after="0" w:line="226" w:lineRule="auto"/>
        <w:rPr>
          <w:sz w:val="20"/>
          <w:szCs w:val="20"/>
          <w:color w:val="auto"/>
        </w:rPr>
      </w:pPr>
      <w:r>
        <w:rPr>
          <w:rFonts w:ascii="Arial" w:cs="Arial" w:eastAsia="Arial" w:hAnsi="Arial"/>
          <w:sz w:val="18"/>
          <w:szCs w:val="18"/>
          <w:color w:val="auto"/>
        </w:rPr>
        <w:t>operating principal, venture partner and partner. Prior to joining Versant Ventures, Dr. Rizzuto worked at Novartis AG, where he was a global program team director from 2010 until 2012. Dr. Rizzuto has served as</w:t>
      </w:r>
    </w:p>
    <w:p>
      <w:pPr>
        <w:ind w:left="980"/>
        <w:spacing w:after="0" w:line="236" w:lineRule="auto"/>
        <w:rPr>
          <w:sz w:val="20"/>
          <w:szCs w:val="20"/>
          <w:color w:val="auto"/>
        </w:rPr>
      </w:pPr>
      <w:r>
        <w:rPr>
          <w:rFonts w:ascii="Arial" w:cs="Arial" w:eastAsia="Arial" w:hAnsi="Arial"/>
          <w:sz w:val="18"/>
          <w:szCs w:val="18"/>
          <w:color w:val="auto"/>
        </w:rPr>
        <w:t>Chief Executive Officer of Highline Therapeutics, Inc., a biotech incubator established by Versant Ventures,</w:t>
      </w:r>
    </w:p>
    <w:p>
      <w:pPr>
        <w:spacing w:after="0" w:line="1" w:lineRule="exact"/>
        <w:rPr>
          <w:sz w:val="20"/>
          <w:szCs w:val="20"/>
          <w:color w:val="auto"/>
        </w:rPr>
      </w:pPr>
    </w:p>
    <w:p>
      <w:pPr>
        <w:ind w:left="980" w:right="159"/>
        <w:spacing w:after="0" w:line="226" w:lineRule="auto"/>
        <w:rPr>
          <w:sz w:val="20"/>
          <w:szCs w:val="20"/>
          <w:color w:val="auto"/>
        </w:rPr>
      </w:pPr>
      <w:r>
        <w:rPr>
          <w:rFonts w:ascii="Arial" w:cs="Arial" w:eastAsia="Arial" w:hAnsi="Arial"/>
          <w:sz w:val="18"/>
          <w:szCs w:val="18"/>
          <w:color w:val="auto"/>
        </w:rPr>
        <w:t>since March 2015. Dr. Rizzuto previously served as Chief Business Officer of Anokion SA, a biopharmaceutical company, from January 2014 to January 2017. Dr. Rizzuto previously served on the board</w:t>
      </w:r>
    </w:p>
    <w:p>
      <w:pPr>
        <w:ind w:left="980"/>
        <w:spacing w:after="0" w:line="236" w:lineRule="auto"/>
        <w:rPr>
          <w:sz w:val="20"/>
          <w:szCs w:val="20"/>
          <w:color w:val="auto"/>
        </w:rPr>
      </w:pPr>
      <w:r>
        <w:rPr>
          <w:rFonts w:ascii="Arial" w:cs="Arial" w:eastAsia="Arial" w:hAnsi="Arial"/>
          <w:sz w:val="18"/>
          <w:szCs w:val="18"/>
          <w:color w:val="auto"/>
        </w:rPr>
        <w:t>of directors of Graphite Bio from March 2020 until March 2024, and Pandion Therapeutics, Inc. from</w:t>
      </w:r>
    </w:p>
    <w:p>
      <w:pPr>
        <w:spacing w:after="0" w:line="1" w:lineRule="exact"/>
        <w:rPr>
          <w:sz w:val="20"/>
          <w:szCs w:val="20"/>
          <w:color w:val="auto"/>
        </w:rPr>
      </w:pPr>
    </w:p>
    <w:p>
      <w:pPr>
        <w:ind w:left="980" w:right="159"/>
        <w:spacing w:after="0" w:line="237" w:lineRule="auto"/>
        <w:rPr>
          <w:sz w:val="20"/>
          <w:szCs w:val="20"/>
          <w:color w:val="auto"/>
        </w:rPr>
      </w:pPr>
      <w:r>
        <w:rPr>
          <w:rFonts w:ascii="Arial" w:cs="Arial" w:eastAsia="Arial" w:hAnsi="Arial"/>
          <w:sz w:val="18"/>
          <w:szCs w:val="18"/>
          <w:color w:val="auto"/>
        </w:rPr>
        <w:t>January 2018 until March 2021. Dr. Rizzuto received a Ph.D. in virology from Harvard University and a B.A. in biology from the University of Virginia.</w:t>
      </w:r>
    </w:p>
    <w:p>
      <w:pPr>
        <w:spacing w:after="0" w:line="5" w:lineRule="exact"/>
        <w:rPr>
          <w:sz w:val="20"/>
          <w:szCs w:val="20"/>
          <w:color w:val="auto"/>
        </w:rPr>
      </w:pPr>
    </w:p>
    <w:p>
      <w:pPr>
        <w:jc w:val="both"/>
        <w:ind w:left="980" w:right="99" w:hanging="94"/>
        <w:spacing w:after="0" w:line="28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Dr. Rizzuto is qualified to serve on our Board due to his knowledge​ and experience as an investor in the life sciences industry.</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CLASS II DIRECTORS — TERMS EXPIRING AT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127635</wp:posOffset>
            </wp:positionV>
            <wp:extent cx="5700395" cy="255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2554605"/>
                    </a:xfrm>
                    <a:prstGeom prst="rect">
                      <a:avLst/>
                    </a:prstGeom>
                    <a:noFill/>
                  </pic:spPr>
                </pic:pic>
              </a:graphicData>
            </a:graphic>
          </wp:anchor>
        </w:drawing>
      </w:r>
    </w:p>
    <w:p>
      <w:pPr>
        <w:spacing w:after="0" w:line="83"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1920" w:type="dxa"/>
            <w:vAlign w:val="bottom"/>
            <w:gridSpan w:val="2"/>
            <w:shd w:val="clear" w:color="auto" w:fill="148CD9"/>
          </w:tcPr>
          <w:p>
            <w:pPr>
              <w:spacing w:after="0"/>
              <w:rPr>
                <w:sz w:val="20"/>
                <w:szCs w:val="20"/>
                <w:color w:val="auto"/>
              </w:rPr>
            </w:pPr>
            <w:r>
              <w:rPr>
                <w:rFonts w:ascii="Arial" w:cs="Arial" w:eastAsia="Arial" w:hAnsi="Arial"/>
                <w:sz w:val="16"/>
                <w:szCs w:val="16"/>
                <w:b w:val="1"/>
                <w:bCs w:val="1"/>
                <w:color w:val="FFFFFF"/>
              </w:rPr>
              <w:t>​ CYNTHIA BUTITTA</w:t>
            </w:r>
          </w:p>
        </w:tc>
        <w:tc>
          <w:tcPr>
            <w:tcW w:w="300" w:type="dxa"/>
            <w:vAlign w:val="bottom"/>
            <w:shd w:val="clear" w:color="auto" w:fill="148CD9"/>
          </w:tcPr>
          <w:p>
            <w:pPr>
              <w:spacing w:after="0"/>
              <w:rPr>
                <w:sz w:val="24"/>
                <w:szCs w:val="24"/>
                <w:color w:val="auto"/>
              </w:rPr>
            </w:pPr>
          </w:p>
        </w:tc>
        <w:tc>
          <w:tcPr>
            <w:tcW w:w="2980" w:type="dxa"/>
            <w:vAlign w:val="bottom"/>
            <w:shd w:val="clear" w:color="auto" w:fill="148CD9"/>
          </w:tcPr>
          <w:p>
            <w:pPr>
              <w:spacing w:after="0"/>
              <w:rPr>
                <w:sz w:val="24"/>
                <w:szCs w:val="24"/>
                <w:color w:val="auto"/>
              </w:rPr>
            </w:pPr>
          </w:p>
        </w:tc>
        <w:tc>
          <w:tcPr>
            <w:tcW w:w="3760" w:type="dxa"/>
            <w:vAlign w:val="bottom"/>
            <w:shd w:val="clear" w:color="auto" w:fill="148CD9"/>
          </w:tcPr>
          <w:p>
            <w:pPr>
              <w:ind w:left="240"/>
              <w:spacing w:after="0"/>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 xml:space="preserve"> Key Skills</w:t>
            </w:r>
            <w:r>
              <w:rPr>
                <w:rFonts w:ascii="Arial" w:cs="Arial" w:eastAsia="Arial" w:hAnsi="Arial"/>
                <w:sz w:val="16"/>
                <w:szCs w:val="16"/>
                <w:color w:val="FFFFFF"/>
              </w:rPr>
              <w:t>:  Senior  Executive  and  Public</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80" w:type="dxa"/>
            <w:vAlign w:val="bottom"/>
            <w:shd w:val="clear" w:color="auto" w:fill="148CD9"/>
          </w:tcPr>
          <w:p>
            <w:pPr>
              <w:spacing w:after="0"/>
              <w:rPr>
                <w:sz w:val="14"/>
                <w:szCs w:val="14"/>
                <w:color w:val="auto"/>
              </w:rPr>
            </w:pPr>
          </w:p>
        </w:tc>
        <w:tc>
          <w:tcPr>
            <w:tcW w:w="1840" w:type="dxa"/>
            <w:vAlign w:val="bottom"/>
            <w:shd w:val="clear" w:color="auto" w:fill="148CD9"/>
          </w:tcPr>
          <w:p>
            <w:pPr>
              <w:spacing w:after="0"/>
              <w:rPr>
                <w:sz w:val="14"/>
                <w:szCs w:val="14"/>
                <w:color w:val="auto"/>
              </w:rPr>
            </w:pPr>
          </w:p>
        </w:tc>
        <w:tc>
          <w:tcPr>
            <w:tcW w:w="300" w:type="dxa"/>
            <w:vAlign w:val="bottom"/>
            <w:shd w:val="clear" w:color="auto" w:fill="148CD9"/>
          </w:tcPr>
          <w:p>
            <w:pPr>
              <w:spacing w:after="0"/>
              <w:rPr>
                <w:sz w:val="14"/>
                <w:szCs w:val="14"/>
                <w:color w:val="auto"/>
              </w:rPr>
            </w:pPr>
          </w:p>
        </w:tc>
        <w:tc>
          <w:tcPr>
            <w:tcW w:w="2980" w:type="dxa"/>
            <w:vAlign w:val="bottom"/>
            <w:shd w:val="clear" w:color="auto" w:fill="148CD9"/>
          </w:tcPr>
          <w:p>
            <w:pPr>
              <w:spacing w:after="0"/>
              <w:rPr>
                <w:sz w:val="14"/>
                <w:szCs w:val="14"/>
                <w:color w:val="auto"/>
              </w:rPr>
            </w:pPr>
          </w:p>
        </w:tc>
        <w:tc>
          <w:tcPr>
            <w:tcW w:w="3760" w:type="dxa"/>
            <w:vAlign w:val="bottom"/>
            <w:shd w:val="clear" w:color="auto" w:fill="148CD9"/>
          </w:tcPr>
          <w:p>
            <w:pPr>
              <w:ind w:left="460"/>
              <w:spacing w:after="0" w:line="162" w:lineRule="exact"/>
              <w:rPr>
                <w:sz w:val="20"/>
                <w:szCs w:val="20"/>
                <w:color w:val="auto"/>
              </w:rPr>
            </w:pPr>
            <w:r>
              <w:rPr>
                <w:rFonts w:ascii="Arial" w:cs="Arial" w:eastAsia="Arial" w:hAnsi="Arial"/>
                <w:sz w:val="16"/>
                <w:szCs w:val="16"/>
                <w:color w:val="FFFFFF"/>
              </w:rPr>
              <w:t>Company Experience</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69</w:t>
            </w:r>
          </w:p>
        </w:tc>
        <w:tc>
          <w:tcPr>
            <w:tcW w:w="300" w:type="dxa"/>
            <w:vAlign w:val="bottom"/>
          </w:tcPr>
          <w:p>
            <w:pPr>
              <w:spacing w:after="0"/>
              <w:rPr>
                <w:sz w:val="17"/>
                <w:szCs w:val="17"/>
                <w:color w:val="auto"/>
              </w:rPr>
            </w:pPr>
          </w:p>
        </w:tc>
        <w:tc>
          <w:tcPr>
            <w:tcW w:w="2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 Audit,</w:t>
            </w:r>
          </w:p>
        </w:tc>
        <w:tc>
          <w:tcPr>
            <w:tcW w:w="3760" w:type="dxa"/>
            <w:vAlign w:val="bottom"/>
          </w:tcPr>
          <w:p>
            <w:pPr>
              <w:ind w:left="460"/>
              <w:spacing w:after="0" w:line="197" w:lineRule="exact"/>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 Olema</w:t>
            </w:r>
          </w:p>
        </w:tc>
        <w:tc>
          <w:tcPr>
            <w:tcW w:w="0" w:type="dxa"/>
            <w:vAlign w:val="bottom"/>
          </w:tcPr>
          <w:p>
            <w:pPr>
              <w:spacing w:after="0"/>
              <w:rPr>
                <w:sz w:val="1"/>
                <w:szCs w:val="1"/>
                <w:color w:val="auto"/>
              </w:rPr>
            </w:pPr>
          </w:p>
        </w:tc>
      </w:tr>
      <w:tr>
        <w:trPr>
          <w:trHeight w:val="194"/>
        </w:trPr>
        <w:tc>
          <w:tcPr>
            <w:tcW w:w="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840" w:type="dxa"/>
            <w:vAlign w:val="bottom"/>
            <w:vMerge w:val="continue"/>
          </w:tcPr>
          <w:p>
            <w:pPr>
              <w:spacing w:after="0"/>
              <w:rPr>
                <w:sz w:val="16"/>
                <w:szCs w:val="16"/>
                <w:color w:val="auto"/>
              </w:rPr>
            </w:pPr>
          </w:p>
        </w:tc>
        <w:tc>
          <w:tcPr>
            <w:tcW w:w="300" w:type="dxa"/>
            <w:vAlign w:val="bottom"/>
          </w:tcPr>
          <w:p>
            <w:pPr>
              <w:ind w:left="120"/>
              <w:spacing w:after="0" w:line="195" w:lineRule="exact"/>
              <w:rPr>
                <w:sz w:val="20"/>
                <w:szCs w:val="20"/>
                <w:color w:val="auto"/>
              </w:rPr>
            </w:pPr>
            <w:r>
              <w:rPr>
                <w:rFonts w:ascii="Arial" w:cs="Arial" w:eastAsia="Arial" w:hAnsi="Arial"/>
                <w:sz w:val="18"/>
                <w:szCs w:val="18"/>
                <w:color w:val="auto"/>
              </w:rPr>
              <w:t>​ ​</w:t>
            </w:r>
          </w:p>
        </w:tc>
        <w:tc>
          <w:tcPr>
            <w:tcW w:w="2980" w:type="dxa"/>
            <w:vAlign w:val="bottom"/>
            <w:vMerge w:val="continue"/>
          </w:tcPr>
          <w:p>
            <w:pPr>
              <w:spacing w:after="0"/>
              <w:rPr>
                <w:sz w:val="16"/>
                <w:szCs w:val="16"/>
                <w:color w:val="auto"/>
              </w:rPr>
            </w:pPr>
          </w:p>
        </w:tc>
        <w:tc>
          <w:tcPr>
            <w:tcW w:w="3760" w:type="dxa"/>
            <w:vAlign w:val="bottom"/>
          </w:tcPr>
          <w:p>
            <w:pPr>
              <w:ind w:left="240"/>
              <w:spacing w:after="0" w:line="195" w:lineRule="exact"/>
              <w:rPr>
                <w:sz w:val="20"/>
                <w:szCs w:val="20"/>
                <w:color w:val="auto"/>
              </w:rPr>
            </w:pPr>
            <w:r>
              <w:rPr>
                <w:rFonts w:ascii="Arial" w:cs="Arial" w:eastAsia="Arial" w:hAnsi="Arial"/>
                <w:sz w:val="18"/>
                <w:szCs w:val="18"/>
                <w:color w:val="auto"/>
              </w:rPr>
              <w:t>​ ​ Pharmaceuticals, Inc., UroGen Pharma ​</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8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2021</w:t>
            </w:r>
          </w:p>
        </w:tc>
        <w:tc>
          <w:tcPr>
            <w:tcW w:w="300" w:type="dxa"/>
            <w:vAlign w:val="bottom"/>
          </w:tcPr>
          <w:p>
            <w:pPr>
              <w:spacing w:after="0"/>
              <w:rPr>
                <w:sz w:val="17"/>
                <w:szCs w:val="17"/>
                <w:color w:val="auto"/>
              </w:rPr>
            </w:pPr>
          </w:p>
        </w:tc>
        <w:tc>
          <w:tcPr>
            <w:tcW w:w="2980" w:type="dxa"/>
            <w:vAlign w:val="bottom"/>
          </w:tcPr>
          <w:p>
            <w:pPr>
              <w:ind w:left="40"/>
              <w:spacing w:after="0" w:line="202" w:lineRule="exact"/>
              <w:rPr>
                <w:sz w:val="20"/>
                <w:szCs w:val="20"/>
                <w:color w:val="auto"/>
              </w:rPr>
            </w:pPr>
            <w:r>
              <w:rPr>
                <w:rFonts w:ascii="Arial" w:cs="Arial" w:eastAsia="Arial" w:hAnsi="Arial"/>
                <w:sz w:val="18"/>
                <w:szCs w:val="18"/>
                <w:color w:val="auto"/>
              </w:rPr>
              <w:t>Compensation</w:t>
            </w:r>
          </w:p>
        </w:tc>
        <w:tc>
          <w:tcPr>
            <w:tcW w:w="3760" w:type="dxa"/>
            <w:vAlign w:val="bottom"/>
            <w:vMerge w:val="restart"/>
          </w:tcPr>
          <w:p>
            <w:pPr>
              <w:ind w:left="460"/>
              <w:spacing w:after="0"/>
              <w:rPr>
                <w:sz w:val="20"/>
                <w:szCs w:val="20"/>
                <w:color w:val="auto"/>
              </w:rPr>
            </w:pPr>
            <w:r>
              <w:rPr>
                <w:rFonts w:ascii="Arial" w:cs="Arial" w:eastAsia="Arial" w:hAnsi="Arial"/>
                <w:sz w:val="18"/>
                <w:szCs w:val="18"/>
                <w:color w:val="auto"/>
              </w:rPr>
              <w:t>Ltd., Autolus Therapeutics plc</w:t>
            </w: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8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980" w:right="99" w:hanging="94"/>
        <w:spacing w:after="0" w:line="26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Ms. Butitta</w:t>
      </w:r>
      <w:r>
        <w:rPr>
          <w:rFonts w:ascii="Arial" w:cs="Arial" w:eastAsia="Arial" w:hAnsi="Arial"/>
          <w:sz w:val="18"/>
          <w:szCs w:val="18"/>
          <w:color w:val="auto"/>
        </w:rPr>
        <w:t xml:space="preserve"> has been a member of our Board since February 2021. Ms. Butitta has served as a member of the​ board of directors of Olema Pharmaceuticals, Inc., Autolus Therapeutics plc, and UroGen Pharma Ltd.,</w:t>
      </w:r>
    </w:p>
    <w:p>
      <w:pPr>
        <w:spacing w:after="0" w:line="2" w:lineRule="exact"/>
        <w:rPr>
          <w:sz w:val="20"/>
          <w:szCs w:val="20"/>
          <w:color w:val="auto"/>
        </w:rPr>
      </w:pPr>
    </w:p>
    <w:p>
      <w:pPr>
        <w:ind w:left="980" w:right="159"/>
        <w:spacing w:after="0" w:line="226" w:lineRule="auto"/>
        <w:rPr>
          <w:sz w:val="20"/>
          <w:szCs w:val="20"/>
          <w:color w:val="auto"/>
        </w:rPr>
      </w:pPr>
      <w:r>
        <w:rPr>
          <w:rFonts w:ascii="Arial" w:cs="Arial" w:eastAsia="Arial" w:hAnsi="Arial"/>
          <w:sz w:val="18"/>
          <w:szCs w:val="18"/>
          <w:color w:val="auto"/>
        </w:rPr>
        <w:t>publicly traded biopharmaceutical companies, since August 2020, March 2018 and October 2017, respectively. Ms. Butitta previously served as the Chief Operating Officer of Kite Pharma Inc., a</w:t>
      </w:r>
    </w:p>
    <w:p>
      <w:pPr>
        <w:ind w:left="980"/>
        <w:spacing w:after="0" w:line="236" w:lineRule="auto"/>
        <w:rPr>
          <w:sz w:val="20"/>
          <w:szCs w:val="20"/>
          <w:color w:val="auto"/>
        </w:rPr>
      </w:pPr>
      <w:r>
        <w:rPr>
          <w:rFonts w:ascii="Arial" w:cs="Arial" w:eastAsia="Arial" w:hAnsi="Arial"/>
          <w:sz w:val="18"/>
          <w:szCs w:val="18"/>
          <w:color w:val="auto"/>
        </w:rPr>
        <w:t>biopharmaceutical company, from December 2013 to September 2017 and as its Executive Vice President</w:t>
      </w:r>
    </w:p>
    <w:p>
      <w:pPr>
        <w:spacing w:after="0" w:line="1" w:lineRule="exact"/>
        <w:rPr>
          <w:sz w:val="20"/>
          <w:szCs w:val="20"/>
          <w:color w:val="auto"/>
        </w:rPr>
      </w:pPr>
    </w:p>
    <w:p>
      <w:pPr>
        <w:ind w:left="980" w:right="159"/>
        <w:spacing w:after="0" w:line="226" w:lineRule="auto"/>
        <w:rPr>
          <w:sz w:val="20"/>
          <w:szCs w:val="20"/>
          <w:color w:val="auto"/>
        </w:rPr>
      </w:pPr>
      <w:r>
        <w:rPr>
          <w:rFonts w:ascii="Arial" w:cs="Arial" w:eastAsia="Arial" w:hAnsi="Arial"/>
          <w:sz w:val="18"/>
          <w:szCs w:val="18"/>
          <w:color w:val="auto"/>
        </w:rPr>
        <w:t>and Chief Financial Officer from January 2014 to May 2016. From May 2011 to December 2012, Ms. Butitta was Senior Vice President and Chief Financial Officer at NextWave Pharmaceuticals, Inc., a specialty</w:t>
      </w:r>
    </w:p>
    <w:p>
      <w:pPr>
        <w:ind w:left="980"/>
        <w:spacing w:after="0" w:line="236" w:lineRule="auto"/>
        <w:rPr>
          <w:sz w:val="20"/>
          <w:szCs w:val="20"/>
          <w:color w:val="auto"/>
        </w:rPr>
      </w:pPr>
      <w:r>
        <w:rPr>
          <w:rFonts w:ascii="Arial" w:cs="Arial" w:eastAsia="Arial" w:hAnsi="Arial"/>
          <w:sz w:val="18"/>
          <w:szCs w:val="18"/>
          <w:color w:val="auto"/>
        </w:rPr>
        <w:t>pharmaceutical company. Prior to that, Ms. Butitta served in senior leadership roles at Telik, Inc., a</w:t>
      </w:r>
    </w:p>
    <w:p>
      <w:pPr>
        <w:spacing w:after="0" w:line="1" w:lineRule="exact"/>
        <w:rPr>
          <w:sz w:val="20"/>
          <w:szCs w:val="20"/>
          <w:color w:val="auto"/>
        </w:rPr>
      </w:pPr>
    </w:p>
    <w:p>
      <w:pPr>
        <w:ind w:left="980" w:right="159"/>
        <w:spacing w:after="0" w:line="226" w:lineRule="auto"/>
        <w:rPr>
          <w:sz w:val="20"/>
          <w:szCs w:val="20"/>
          <w:color w:val="auto"/>
        </w:rPr>
      </w:pPr>
      <w:r>
        <w:rPr>
          <w:rFonts w:ascii="Arial" w:cs="Arial" w:eastAsia="Arial" w:hAnsi="Arial"/>
          <w:sz w:val="18"/>
          <w:szCs w:val="18"/>
          <w:color w:val="auto"/>
        </w:rPr>
        <w:t>biopharmaceutical company, from 1998 to 2010, including Chief Operating Officer and Chief Financial Officer. Ms. Butitta received a B.S. with honors in business and accounting from Edgewood College and a M.B.A. in</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finance from the University of Wisconsin, Madison.</w:t>
      </w:r>
    </w:p>
    <w:p>
      <w:pPr>
        <w:spacing w:after="0" w:line="14" w:lineRule="exact"/>
        <w:rPr>
          <w:sz w:val="20"/>
          <w:szCs w:val="20"/>
          <w:color w:val="auto"/>
        </w:rPr>
      </w:pPr>
    </w:p>
    <w:p>
      <w:pPr>
        <w:jc w:val="both"/>
        <w:ind w:left="980" w:right="99" w:hanging="94"/>
        <w:spacing w:after="0" w:line="26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Ms. Butitta is qualified to serve on our Board due to her extensive​ experience as a public company director, her knowledge of corporate finance and accounting, and her experience as a biopharmaceutical company executive.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5200" w:type="dxa"/>
            <w:vAlign w:val="bottom"/>
            <w:gridSpan w:val="3"/>
            <w:shd w:val="clear" w:color="auto" w:fill="1DA46F"/>
          </w:tcPr>
          <w:p>
            <w:pPr>
              <w:ind w:left="20"/>
              <w:spacing w:after="0"/>
              <w:rPr>
                <w:sz w:val="20"/>
                <w:szCs w:val="20"/>
                <w:color w:val="auto"/>
              </w:rPr>
            </w:pPr>
            <w:r>
              <w:rPr>
                <w:rFonts w:ascii="Arial" w:cs="Arial" w:eastAsia="Arial" w:hAnsi="Arial"/>
                <w:sz w:val="32"/>
                <w:szCs w:val="32"/>
                <w:b w:val="1"/>
                <w:bCs w:val="1"/>
                <w:color w:val="FFFFFF"/>
              </w:rPr>
              <w:t>​BOARD OF DIRECTORS</w:t>
            </w:r>
          </w:p>
        </w:tc>
        <w:tc>
          <w:tcPr>
            <w:tcW w:w="460" w:type="dxa"/>
            <w:vAlign w:val="bottom"/>
            <w:shd w:val="clear" w:color="auto" w:fill="1DA46F"/>
          </w:tcPr>
          <w:p>
            <w:pPr>
              <w:spacing w:after="0"/>
              <w:rPr>
                <w:sz w:val="24"/>
                <w:szCs w:val="24"/>
                <w:color w:val="auto"/>
              </w:rPr>
            </w:pPr>
          </w:p>
        </w:tc>
        <w:tc>
          <w:tcPr>
            <w:tcW w:w="2900" w:type="dxa"/>
            <w:vAlign w:val="bottom"/>
            <w:shd w:val="clear" w:color="auto" w:fill="1DA46F"/>
          </w:tcPr>
          <w:p>
            <w:pPr>
              <w:spacing w:after="0"/>
              <w:rPr>
                <w:sz w:val="24"/>
                <w:szCs w:val="24"/>
                <w:color w:val="auto"/>
              </w:rPr>
            </w:pPr>
          </w:p>
        </w:tc>
        <w:tc>
          <w:tcPr>
            <w:tcW w:w="420" w:type="dxa"/>
            <w:vAlign w:val="bottom"/>
            <w:shd w:val="clear" w:color="auto" w:fill="1DA46F"/>
          </w:tcPr>
          <w:p>
            <w:pPr>
              <w:ind w:left="320"/>
              <w:spacing w:after="0"/>
              <w:rPr>
                <w:sz w:val="20"/>
                <w:szCs w:val="20"/>
                <w:color w:val="auto"/>
              </w:rPr>
            </w:pPr>
            <w:r>
              <w:rPr>
                <w:rFonts w:ascii="Arial" w:cs="Arial" w:eastAsia="Arial" w:hAnsi="Arial"/>
                <w:sz w:val="32"/>
                <w:szCs w:val="32"/>
                <w:b w:val="1"/>
                <w:bCs w:val="1"/>
                <w:color w:val="FFFFFF"/>
              </w:rPr>
              <w:t>​</w:t>
            </w:r>
          </w:p>
        </w:tc>
        <w:tc>
          <w:tcPr>
            <w:tcW w:w="0" w:type="dxa"/>
            <w:vAlign w:val="bottom"/>
          </w:tcPr>
          <w:p>
            <w:pPr>
              <w:spacing w:after="0"/>
              <w:rPr>
                <w:sz w:val="1"/>
                <w:szCs w:val="1"/>
                <w:color w:val="auto"/>
              </w:rPr>
            </w:pPr>
          </w:p>
        </w:tc>
      </w:tr>
      <w:tr>
        <w:trPr>
          <w:trHeight w:val="324"/>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40" w:type="dxa"/>
            <w:vAlign w:val="bottom"/>
            <w:shd w:val="clear" w:color="auto" w:fill="148CD9"/>
          </w:tcPr>
          <w:p>
            <w:pPr>
              <w:spacing w:after="0"/>
              <w:rPr>
                <w:sz w:val="20"/>
                <w:szCs w:val="20"/>
                <w:color w:val="auto"/>
              </w:rPr>
            </w:pPr>
            <w:r>
              <w:rPr>
                <w:rFonts w:ascii="Arial" w:cs="Arial" w:eastAsia="Arial" w:hAnsi="Arial"/>
                <w:sz w:val="16"/>
                <w:szCs w:val="16"/>
                <w:b w:val="1"/>
                <w:bCs w:val="1"/>
                <w:color w:val="FFFFFF"/>
              </w:rPr>
              <w:t>​ ALESSANDRO RIVA, M.D.</w:t>
            </w:r>
          </w:p>
        </w:tc>
        <w:tc>
          <w:tcPr>
            <w:tcW w:w="3140" w:type="dxa"/>
            <w:vAlign w:val="bottom"/>
            <w:shd w:val="clear" w:color="auto" w:fill="148CD9"/>
          </w:tcPr>
          <w:p>
            <w:pPr>
              <w:spacing w:after="0"/>
              <w:rPr>
                <w:sz w:val="21"/>
                <w:szCs w:val="21"/>
                <w:color w:val="auto"/>
              </w:rPr>
            </w:pPr>
          </w:p>
        </w:tc>
        <w:tc>
          <w:tcPr>
            <w:tcW w:w="460" w:type="dxa"/>
            <w:vAlign w:val="bottom"/>
            <w:shd w:val="clear" w:color="auto" w:fill="148CD9"/>
          </w:tcPr>
          <w:p>
            <w:pPr>
              <w:ind w:left="260"/>
              <w:spacing w:after="0"/>
              <w:rPr>
                <w:sz w:val="20"/>
                <w:szCs w:val="20"/>
                <w:color w:val="auto"/>
              </w:rPr>
            </w:pPr>
            <w:r>
              <w:rPr>
                <w:rFonts w:ascii="Arial" w:cs="Arial" w:eastAsia="Arial" w:hAnsi="Arial"/>
                <w:sz w:val="16"/>
                <w:szCs w:val="16"/>
                <w:b w:val="1"/>
                <w:bCs w:val="1"/>
                <w:color w:val="FFFFFF"/>
              </w:rPr>
              <w:t>​ ​</w:t>
            </w:r>
          </w:p>
        </w:tc>
        <w:tc>
          <w:tcPr>
            <w:tcW w:w="3320" w:type="dxa"/>
            <w:vAlign w:val="bottom"/>
            <w:gridSpan w:val="2"/>
            <w:shd w:val="clear" w:color="auto" w:fill="148CD9"/>
          </w:tcPr>
          <w:p>
            <w:pPr>
              <w:ind w:left="20"/>
              <w:spacing w:after="0" w:line="250" w:lineRule="exact"/>
              <w:rPr>
                <w:sz w:val="20"/>
                <w:szCs w:val="20"/>
                <w:color w:val="auto"/>
              </w:rPr>
            </w:pPr>
            <w:r>
              <w:rPr>
                <w:rFonts w:ascii="Arial" w:cs="Arial" w:eastAsia="Arial" w:hAnsi="Arial"/>
                <w:sz w:val="15"/>
                <w:szCs w:val="15"/>
                <w:b w:val="1"/>
                <w:bCs w:val="1"/>
                <w:color w:val="FFFFFF"/>
              </w:rPr>
              <w:t>Key Skills</w:t>
            </w:r>
            <w:r>
              <w:rPr>
                <w:rFonts w:ascii="Arial" w:cs="Arial" w:eastAsia="Arial" w:hAnsi="Arial"/>
                <w:sz w:val="15"/>
                <w:szCs w:val="15"/>
                <w:color w:val="FFFFFF"/>
              </w:rPr>
              <w:t>:  Global  Leadership  Positions,</w:t>
            </w:r>
            <w:r>
              <w:rPr>
                <w:rFonts w:ascii="Arial" w:cs="Arial" w:eastAsia="Arial" w:hAnsi="Arial"/>
                <w:sz w:val="28"/>
                <w:szCs w:val="28"/>
                <w:b w:val="1"/>
                <w:bCs w:val="1"/>
                <w:color w:val="FFFFFF"/>
                <w:vertAlign w:val="subscript"/>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shd w:val="clear" w:color="auto" w:fill="148CD9"/>
          </w:tcPr>
          <w:p>
            <w:pPr>
              <w:spacing w:after="0"/>
              <w:rPr>
                <w:sz w:val="14"/>
                <w:szCs w:val="14"/>
                <w:color w:val="auto"/>
              </w:rPr>
            </w:pPr>
          </w:p>
        </w:tc>
        <w:tc>
          <w:tcPr>
            <w:tcW w:w="3140" w:type="dxa"/>
            <w:vAlign w:val="bottom"/>
            <w:shd w:val="clear" w:color="auto" w:fill="148CD9"/>
          </w:tcPr>
          <w:p>
            <w:pPr>
              <w:spacing w:after="0"/>
              <w:rPr>
                <w:sz w:val="14"/>
                <w:szCs w:val="14"/>
                <w:color w:val="auto"/>
              </w:rPr>
            </w:pPr>
          </w:p>
        </w:tc>
        <w:tc>
          <w:tcPr>
            <w:tcW w:w="460" w:type="dxa"/>
            <w:vAlign w:val="bottom"/>
            <w:shd w:val="clear" w:color="auto" w:fill="148CD9"/>
          </w:tcPr>
          <w:p>
            <w:pPr>
              <w:spacing w:after="0"/>
              <w:rPr>
                <w:sz w:val="14"/>
                <w:szCs w:val="14"/>
                <w:color w:val="auto"/>
              </w:rPr>
            </w:pPr>
          </w:p>
        </w:tc>
        <w:tc>
          <w:tcPr>
            <w:tcW w:w="2900" w:type="dxa"/>
            <w:vAlign w:val="bottom"/>
            <w:shd w:val="clear" w:color="auto" w:fill="148CD9"/>
          </w:tcPr>
          <w:p>
            <w:pPr>
              <w:ind w:left="20"/>
              <w:spacing w:after="0" w:line="162" w:lineRule="exact"/>
              <w:rPr>
                <w:sz w:val="20"/>
                <w:szCs w:val="20"/>
                <w:color w:val="auto"/>
              </w:rPr>
            </w:pPr>
            <w:r>
              <w:rPr>
                <w:rFonts w:ascii="Arial" w:cs="Arial" w:eastAsia="Arial" w:hAnsi="Arial"/>
                <w:sz w:val="16"/>
                <w:szCs w:val="16"/>
                <w:color w:val="FFFFFF"/>
              </w:rPr>
              <w:t>Industry Knowledge and Experience</w:t>
            </w:r>
          </w:p>
        </w:tc>
        <w:tc>
          <w:tcPr>
            <w:tcW w:w="42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63</w:t>
            </w:r>
          </w:p>
        </w:tc>
        <w:tc>
          <w:tcPr>
            <w:tcW w:w="3140" w:type="dxa"/>
            <w:vAlign w:val="bottom"/>
            <w:vMerge w:val="restart"/>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Committee Memberships</w:t>
            </w:r>
            <w:r>
              <w:rPr>
                <w:rFonts w:ascii="Arial" w:cs="Arial" w:eastAsia="Arial" w:hAnsi="Arial"/>
                <w:sz w:val="18"/>
                <w:szCs w:val="18"/>
                <w:color w:val="auto"/>
              </w:rPr>
              <w:t>: Audit</w:t>
            </w:r>
          </w:p>
        </w:tc>
        <w:tc>
          <w:tcPr>
            <w:tcW w:w="460" w:type="dxa"/>
            <w:vAlign w:val="bottom"/>
            <w:vMerge w:val="restart"/>
          </w:tcPr>
          <w:p>
            <w:pPr>
              <w:ind w:left="260"/>
              <w:spacing w:after="0"/>
              <w:rPr>
                <w:sz w:val="20"/>
                <w:szCs w:val="20"/>
                <w:color w:val="auto"/>
              </w:rPr>
            </w:pPr>
            <w:r>
              <w:rPr>
                <w:rFonts w:ascii="Arial" w:cs="Arial" w:eastAsia="Arial" w:hAnsi="Arial"/>
                <w:sz w:val="18"/>
                <w:szCs w:val="18"/>
                <w:color w:val="auto"/>
              </w:rPr>
              <w:t>​ ​</w:t>
            </w:r>
          </w:p>
        </w:tc>
        <w:tc>
          <w:tcPr>
            <w:tcW w:w="290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w:t>
            </w:r>
          </w:p>
        </w:tc>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040" w:type="dxa"/>
            <w:vAlign w:val="bottom"/>
          </w:tcPr>
          <w:p>
            <w:pPr>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b w:val="1"/>
                <w:bCs w:val="1"/>
                <w:color w:val="auto"/>
              </w:rPr>
              <w:t xml:space="preserve"> Director Since</w:t>
            </w:r>
            <w:r>
              <w:rPr>
                <w:rFonts w:ascii="Arial" w:cs="Arial" w:eastAsia="Arial" w:hAnsi="Arial"/>
                <w:sz w:val="17"/>
                <w:szCs w:val="17"/>
                <w:color w:val="auto"/>
              </w:rPr>
              <w:t>: 2021</w:t>
            </w:r>
          </w:p>
        </w:tc>
        <w:tc>
          <w:tcPr>
            <w:tcW w:w="314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Transgene S.A.; BeiGene, Ltd.</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-573405</wp:posOffset>
            </wp:positionV>
            <wp:extent cx="5700395" cy="255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0395" cy="2554605"/>
                    </a:xfrm>
                    <a:prstGeom prst="rect">
                      <a:avLst/>
                    </a:prstGeom>
                    <a:noFill/>
                  </pic:spPr>
                </pic:pic>
              </a:graphicData>
            </a:graphic>
          </wp:anchor>
        </w:drawing>
      </w:r>
    </w:p>
    <w:p>
      <w:pPr>
        <w:jc w:val="right"/>
        <w:ind w:left="880" w:right="99"/>
        <w:spacing w:after="0" w:line="24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Riva</w:t>
      </w:r>
      <w:r>
        <w:rPr>
          <w:rFonts w:ascii="Arial" w:cs="Arial" w:eastAsia="Arial" w:hAnsi="Arial"/>
          <w:sz w:val="18"/>
          <w:szCs w:val="18"/>
          <w:color w:val="auto"/>
        </w:rPr>
        <w:t xml:space="preserve"> has been a member of our Board since May 2021. Dr. Riva has served as Chief Executive Officer of​ Transgene S.A., or Transgene, since May 2023, and chairman of the board of directors of Transgene since</w:t>
      </w:r>
    </w:p>
    <w:p>
      <w:pPr>
        <w:ind w:left="980"/>
        <w:spacing w:after="0" w:line="236" w:lineRule="auto"/>
        <w:rPr>
          <w:sz w:val="20"/>
          <w:szCs w:val="20"/>
          <w:color w:val="auto"/>
        </w:rPr>
      </w:pPr>
      <w:r>
        <w:rPr>
          <w:rFonts w:ascii="Arial" w:cs="Arial" w:eastAsia="Arial" w:hAnsi="Arial"/>
          <w:sz w:val="18"/>
          <w:szCs w:val="18"/>
          <w:color w:val="auto"/>
        </w:rPr>
        <w:t>May 2022. Dr. Riva has served as a non-executive independent director of BeiGene, Ltd., a biotechnology</w:t>
      </w:r>
    </w:p>
    <w:p>
      <w:pPr>
        <w:ind w:left="980" w:right="159"/>
        <w:spacing w:after="0" w:line="226" w:lineRule="auto"/>
        <w:rPr>
          <w:sz w:val="20"/>
          <w:szCs w:val="20"/>
          <w:color w:val="auto"/>
        </w:rPr>
      </w:pPr>
      <w:r>
        <w:rPr>
          <w:rFonts w:ascii="Arial" w:cs="Arial" w:eastAsia="Arial" w:hAnsi="Arial"/>
          <w:sz w:val="18"/>
          <w:szCs w:val="18"/>
          <w:color w:val="auto"/>
        </w:rPr>
        <w:t>company specialized in oncology therapeutics, since February 2022. Dr. Riva previously served as Chief Executive Officer of Intima Bioscience, Inc., or Intima, a privately held biotechnology company focused on</w:t>
      </w:r>
    </w:p>
    <w:p>
      <w:pPr>
        <w:ind w:left="980"/>
        <w:spacing w:after="0" w:line="236" w:lineRule="auto"/>
        <w:rPr>
          <w:sz w:val="20"/>
          <w:szCs w:val="20"/>
          <w:color w:val="auto"/>
        </w:rPr>
      </w:pPr>
      <w:r>
        <w:rPr>
          <w:rFonts w:ascii="Arial" w:cs="Arial" w:eastAsia="Arial" w:hAnsi="Arial"/>
          <w:sz w:val="18"/>
          <w:szCs w:val="18"/>
          <w:color w:val="auto"/>
        </w:rPr>
        <w:t>oncology cell therapy and therapeutics, from September 2021 until April 2023. Prior to Intima, Dr. Riva served</w:t>
      </w:r>
    </w:p>
    <w:p>
      <w:pPr>
        <w:spacing w:after="0" w:line="1" w:lineRule="exact"/>
        <w:rPr>
          <w:sz w:val="20"/>
          <w:szCs w:val="20"/>
          <w:color w:val="auto"/>
        </w:rPr>
      </w:pPr>
    </w:p>
    <w:p>
      <w:pPr>
        <w:ind w:left="980" w:right="159"/>
        <w:spacing w:after="0"/>
        <w:rPr>
          <w:sz w:val="20"/>
          <w:szCs w:val="20"/>
          <w:color w:val="auto"/>
        </w:rPr>
      </w:pPr>
      <w:r>
        <w:rPr>
          <w:rFonts w:ascii="Arial" w:cs="Arial" w:eastAsia="Arial" w:hAnsi="Arial"/>
          <w:sz w:val="17"/>
          <w:szCs w:val="17"/>
          <w:color w:val="auto"/>
        </w:rPr>
        <w:t>as the Chief Executive Officer of Ichnos Sciences, Inc., a biotechnology company focusing on oncology therapies from April 2019 until August 2021. Previously, Dr. Riva was the Executive Vice President and Global</w:t>
      </w:r>
    </w:p>
    <w:p>
      <w:pPr>
        <w:ind w:left="980"/>
        <w:spacing w:after="0" w:line="235" w:lineRule="auto"/>
        <w:rPr>
          <w:sz w:val="20"/>
          <w:szCs w:val="20"/>
          <w:color w:val="auto"/>
        </w:rPr>
      </w:pPr>
      <w:r>
        <w:rPr>
          <w:rFonts w:ascii="Arial" w:cs="Arial" w:eastAsia="Arial" w:hAnsi="Arial"/>
          <w:sz w:val="18"/>
          <w:szCs w:val="18"/>
          <w:color w:val="auto"/>
        </w:rPr>
        <w:t>Head, Oncology Therapeutics and Cell Therapy at Gilead Sciences, Inc., or Gilead, a biotechnology company,</w:t>
      </w:r>
    </w:p>
    <w:p>
      <w:pPr>
        <w:ind w:left="980" w:right="159"/>
        <w:spacing w:after="0"/>
        <w:rPr>
          <w:sz w:val="20"/>
          <w:szCs w:val="20"/>
          <w:color w:val="auto"/>
        </w:rPr>
      </w:pPr>
      <w:r>
        <w:rPr>
          <w:rFonts w:ascii="Arial" w:cs="Arial" w:eastAsia="Arial" w:hAnsi="Arial"/>
          <w:sz w:val="17"/>
          <w:szCs w:val="17"/>
          <w:color w:val="auto"/>
        </w:rPr>
        <w:t>from January 2017 to March 2019. Prior to Gilead, Dr. Riva served as the Executive Vice President and Global Head, Oncology Development and Medical Affairs at Novartis AG, a position he held from January 2005 until</w:t>
      </w:r>
    </w:p>
    <w:p>
      <w:pPr>
        <w:spacing w:after="0" w:line="1" w:lineRule="exact"/>
        <w:rPr>
          <w:sz w:val="20"/>
          <w:szCs w:val="20"/>
          <w:color w:val="auto"/>
        </w:rPr>
      </w:pPr>
    </w:p>
    <w:p>
      <w:pPr>
        <w:ind w:left="980" w:right="159"/>
        <w:spacing w:after="0" w:line="247" w:lineRule="auto"/>
        <w:rPr>
          <w:sz w:val="20"/>
          <w:szCs w:val="20"/>
          <w:color w:val="auto"/>
        </w:rPr>
      </w:pPr>
      <w:r>
        <w:rPr>
          <w:rFonts w:ascii="Arial" w:cs="Arial" w:eastAsia="Arial" w:hAnsi="Arial"/>
          <w:sz w:val="18"/>
          <w:szCs w:val="18"/>
          <w:color w:val="auto"/>
        </w:rPr>
        <w:t>December 2016. Dr. Riva received his B.M.B.S. and M.D. in Oncology/Hematology from Università degli Studi di Milano.</w:t>
      </w:r>
    </w:p>
    <w:p>
      <w:pPr>
        <w:spacing w:after="0" w:line="1" w:lineRule="exact"/>
        <w:rPr>
          <w:sz w:val="20"/>
          <w:szCs w:val="20"/>
          <w:color w:val="auto"/>
        </w:rPr>
      </w:pPr>
    </w:p>
    <w:p>
      <w:pPr>
        <w:ind w:left="980" w:right="99" w:hanging="94"/>
        <w:spacing w:after="0" w:line="28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Dr. Riva is qualified to serve on our Board due to his extensive​ management experience at biotechnology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83185</wp:posOffset>
            </wp:positionV>
            <wp:extent cx="5700395" cy="39344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0395" cy="3934460"/>
                    </a:xfrm>
                    <a:prstGeom prst="rect">
                      <a:avLst/>
                    </a:prstGeom>
                    <a:noFill/>
                  </pic:spPr>
                </pic:pic>
              </a:graphicData>
            </a:graphic>
          </wp:anchor>
        </w:drawing>
      </w:r>
    </w:p>
    <w:p>
      <w:pPr>
        <w:spacing w:after="0" w:line="13"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1920" w:type="dxa"/>
            <w:vAlign w:val="bottom"/>
            <w:gridSpan w:val="2"/>
            <w:shd w:val="clear" w:color="auto" w:fill="148CD9"/>
          </w:tcPr>
          <w:p>
            <w:pPr>
              <w:spacing w:after="0"/>
              <w:rPr>
                <w:sz w:val="20"/>
                <w:szCs w:val="20"/>
                <w:color w:val="auto"/>
              </w:rPr>
            </w:pPr>
            <w:r>
              <w:rPr>
                <w:rFonts w:ascii="Arial" w:cs="Arial" w:eastAsia="Arial" w:hAnsi="Arial"/>
                <w:sz w:val="16"/>
                <w:szCs w:val="16"/>
                <w:b w:val="1"/>
                <w:bCs w:val="1"/>
                <w:color w:val="FFFFFF"/>
              </w:rPr>
              <w:t>​ TIMOTHY P. WALBERT</w:t>
            </w:r>
          </w:p>
        </w:tc>
        <w:tc>
          <w:tcPr>
            <w:tcW w:w="300" w:type="dxa"/>
            <w:vAlign w:val="bottom"/>
            <w:shd w:val="clear" w:color="auto" w:fill="148CD9"/>
          </w:tcPr>
          <w:p>
            <w:pPr>
              <w:spacing w:after="0"/>
              <w:rPr>
                <w:sz w:val="24"/>
                <w:szCs w:val="24"/>
                <w:color w:val="auto"/>
              </w:rPr>
            </w:pPr>
          </w:p>
        </w:tc>
        <w:tc>
          <w:tcPr>
            <w:tcW w:w="2720" w:type="dxa"/>
            <w:vAlign w:val="bottom"/>
            <w:shd w:val="clear" w:color="auto" w:fill="148CD9"/>
          </w:tcPr>
          <w:p>
            <w:pPr>
              <w:spacing w:after="0"/>
              <w:rPr>
                <w:sz w:val="24"/>
                <w:szCs w:val="24"/>
                <w:color w:val="auto"/>
              </w:rPr>
            </w:pPr>
          </w:p>
        </w:tc>
        <w:tc>
          <w:tcPr>
            <w:tcW w:w="3200" w:type="dxa"/>
            <w:vAlign w:val="bottom"/>
            <w:shd w:val="clear" w:color="auto" w:fill="148CD9"/>
          </w:tcPr>
          <w:p>
            <w:pPr>
              <w:ind w:left="500"/>
              <w:spacing w:after="0"/>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 xml:space="preserve"> Key Skills</w:t>
            </w:r>
            <w:r>
              <w:rPr>
                <w:rFonts w:ascii="Arial" w:cs="Arial" w:eastAsia="Arial" w:hAnsi="Arial"/>
                <w:sz w:val="16"/>
                <w:szCs w:val="16"/>
                <w:color w:val="FFFFFF"/>
              </w:rPr>
              <w:t>:  Global  Leadership</w:t>
            </w:r>
          </w:p>
        </w:tc>
        <w:tc>
          <w:tcPr>
            <w:tcW w:w="820" w:type="dxa"/>
            <w:vAlign w:val="bottom"/>
            <w:shd w:val="clear" w:color="auto" w:fill="148CD9"/>
          </w:tcPr>
          <w:p>
            <w:pPr>
              <w:jc w:val="right"/>
              <w:spacing w:after="0"/>
              <w:rPr>
                <w:sz w:val="20"/>
                <w:szCs w:val="20"/>
                <w:color w:val="auto"/>
              </w:rPr>
            </w:pPr>
            <w:r>
              <w:rPr>
                <w:rFonts w:ascii="Arial" w:cs="Arial" w:eastAsia="Arial" w:hAnsi="Arial"/>
                <w:sz w:val="16"/>
                <w:szCs w:val="16"/>
                <w:color w:val="FFFFFF"/>
              </w:rPr>
              <w:t>Positions,</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80" w:type="dxa"/>
            <w:vAlign w:val="bottom"/>
            <w:shd w:val="clear" w:color="auto" w:fill="148CD9"/>
          </w:tcPr>
          <w:p>
            <w:pPr>
              <w:spacing w:after="0"/>
              <w:rPr>
                <w:sz w:val="14"/>
                <w:szCs w:val="14"/>
                <w:color w:val="auto"/>
              </w:rPr>
            </w:pPr>
          </w:p>
        </w:tc>
        <w:tc>
          <w:tcPr>
            <w:tcW w:w="1840" w:type="dxa"/>
            <w:vAlign w:val="bottom"/>
            <w:shd w:val="clear" w:color="auto" w:fill="148CD9"/>
          </w:tcPr>
          <w:p>
            <w:pPr>
              <w:spacing w:after="0"/>
              <w:rPr>
                <w:sz w:val="14"/>
                <w:szCs w:val="14"/>
                <w:color w:val="auto"/>
              </w:rPr>
            </w:pPr>
          </w:p>
        </w:tc>
        <w:tc>
          <w:tcPr>
            <w:tcW w:w="300" w:type="dxa"/>
            <w:vAlign w:val="bottom"/>
            <w:shd w:val="clear" w:color="auto" w:fill="148CD9"/>
          </w:tcPr>
          <w:p>
            <w:pPr>
              <w:spacing w:after="0"/>
              <w:rPr>
                <w:sz w:val="14"/>
                <w:szCs w:val="14"/>
                <w:color w:val="auto"/>
              </w:rPr>
            </w:pPr>
          </w:p>
        </w:tc>
        <w:tc>
          <w:tcPr>
            <w:tcW w:w="2720" w:type="dxa"/>
            <w:vAlign w:val="bottom"/>
            <w:shd w:val="clear" w:color="auto" w:fill="148CD9"/>
          </w:tcPr>
          <w:p>
            <w:pPr>
              <w:spacing w:after="0"/>
              <w:rPr>
                <w:sz w:val="14"/>
                <w:szCs w:val="14"/>
                <w:color w:val="auto"/>
              </w:rPr>
            </w:pPr>
          </w:p>
        </w:tc>
        <w:tc>
          <w:tcPr>
            <w:tcW w:w="4020" w:type="dxa"/>
            <w:vAlign w:val="bottom"/>
            <w:gridSpan w:val="2"/>
            <w:shd w:val="clear" w:color="auto" w:fill="148CD9"/>
          </w:tcPr>
          <w:p>
            <w:pPr>
              <w:ind w:left="720"/>
              <w:spacing w:after="0" w:line="162" w:lineRule="exact"/>
              <w:rPr>
                <w:sz w:val="20"/>
                <w:szCs w:val="20"/>
                <w:color w:val="auto"/>
              </w:rPr>
            </w:pPr>
            <w:r>
              <w:rPr>
                <w:rFonts w:ascii="Arial" w:cs="Arial" w:eastAsia="Arial" w:hAnsi="Arial"/>
                <w:sz w:val="16"/>
                <w:szCs w:val="16"/>
                <w:color w:val="FFFFFF"/>
              </w:rPr>
              <w:t>Industry Knowledge and Experience</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57</w:t>
            </w:r>
          </w:p>
        </w:tc>
        <w:tc>
          <w:tcPr>
            <w:tcW w:w="300" w:type="dxa"/>
            <w:vAlign w:val="bottom"/>
          </w:tcPr>
          <w:p>
            <w:pPr>
              <w:spacing w:after="0"/>
              <w:rPr>
                <w:sz w:val="17"/>
                <w:szCs w:val="17"/>
                <w:color w:val="auto"/>
              </w:rPr>
            </w:pPr>
          </w:p>
        </w:tc>
        <w:tc>
          <w:tcPr>
            <w:tcW w:w="2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Committee Memberships:</w:t>
            </w:r>
          </w:p>
        </w:tc>
        <w:tc>
          <w:tcPr>
            <w:tcW w:w="4020" w:type="dxa"/>
            <w:vAlign w:val="bottom"/>
            <w:gridSpan w:val="2"/>
          </w:tcPr>
          <w:p>
            <w:pPr>
              <w:ind w:left="720"/>
              <w:spacing w:after="0" w:line="197" w:lineRule="exact"/>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 Mirum</w:t>
            </w:r>
          </w:p>
        </w:tc>
        <w:tc>
          <w:tcPr>
            <w:tcW w:w="0" w:type="dxa"/>
            <w:vAlign w:val="bottom"/>
          </w:tcPr>
          <w:p>
            <w:pPr>
              <w:spacing w:after="0"/>
              <w:rPr>
                <w:sz w:val="1"/>
                <w:szCs w:val="1"/>
                <w:color w:val="auto"/>
              </w:rPr>
            </w:pPr>
          </w:p>
        </w:tc>
      </w:tr>
      <w:tr>
        <w:trPr>
          <w:trHeight w:val="194"/>
        </w:trPr>
        <w:tc>
          <w:tcPr>
            <w:tcW w:w="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840" w:type="dxa"/>
            <w:vAlign w:val="bottom"/>
            <w:vMerge w:val="continue"/>
          </w:tcPr>
          <w:p>
            <w:pPr>
              <w:spacing w:after="0"/>
              <w:rPr>
                <w:sz w:val="16"/>
                <w:szCs w:val="16"/>
                <w:color w:val="auto"/>
              </w:rPr>
            </w:pPr>
          </w:p>
        </w:tc>
        <w:tc>
          <w:tcPr>
            <w:tcW w:w="300" w:type="dxa"/>
            <w:vAlign w:val="bottom"/>
          </w:tcPr>
          <w:p>
            <w:pPr>
              <w:ind w:left="120"/>
              <w:spacing w:after="0" w:line="195" w:lineRule="exact"/>
              <w:rPr>
                <w:sz w:val="20"/>
                <w:szCs w:val="20"/>
                <w:color w:val="auto"/>
              </w:rPr>
            </w:pPr>
            <w:r>
              <w:rPr>
                <w:rFonts w:ascii="Arial" w:cs="Arial" w:eastAsia="Arial" w:hAnsi="Arial"/>
                <w:sz w:val="18"/>
                <w:szCs w:val="18"/>
                <w:color w:val="auto"/>
              </w:rPr>
              <w:t>​ ​</w:t>
            </w:r>
          </w:p>
        </w:tc>
        <w:tc>
          <w:tcPr>
            <w:tcW w:w="2720" w:type="dxa"/>
            <w:vAlign w:val="bottom"/>
            <w:vMerge w:val="continue"/>
          </w:tcPr>
          <w:p>
            <w:pPr>
              <w:spacing w:after="0"/>
              <w:rPr>
                <w:sz w:val="16"/>
                <w:szCs w:val="16"/>
                <w:color w:val="auto"/>
              </w:rPr>
            </w:pPr>
          </w:p>
        </w:tc>
        <w:tc>
          <w:tcPr>
            <w:tcW w:w="3200" w:type="dxa"/>
            <w:vAlign w:val="bottom"/>
          </w:tcPr>
          <w:p>
            <w:pPr>
              <w:ind w:left="500"/>
              <w:spacing w:after="0" w:line="195" w:lineRule="exact"/>
              <w:rPr>
                <w:sz w:val="20"/>
                <w:szCs w:val="20"/>
                <w:color w:val="auto"/>
              </w:rPr>
            </w:pPr>
            <w:r>
              <w:rPr>
                <w:rFonts w:ascii="Arial" w:cs="Arial" w:eastAsia="Arial" w:hAnsi="Arial"/>
                <w:sz w:val="18"/>
                <w:szCs w:val="18"/>
                <w:color w:val="auto"/>
              </w:rPr>
              <w:t>​ ​ Pharmaceuticals, Inc.; Sagimet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18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2022</w:t>
            </w:r>
          </w:p>
        </w:tc>
        <w:tc>
          <w:tcPr>
            <w:tcW w:w="300" w:type="dxa"/>
            <w:vAlign w:val="bottom"/>
          </w:tcPr>
          <w:p>
            <w:pPr>
              <w:spacing w:after="0"/>
              <w:rPr>
                <w:sz w:val="17"/>
                <w:szCs w:val="17"/>
                <w:color w:val="auto"/>
              </w:rPr>
            </w:pPr>
          </w:p>
        </w:tc>
        <w:tc>
          <w:tcPr>
            <w:tcW w:w="2720" w:type="dxa"/>
            <w:vAlign w:val="bottom"/>
          </w:tcPr>
          <w:p>
            <w:pPr>
              <w:ind w:left="40"/>
              <w:spacing w:after="0" w:line="202" w:lineRule="exact"/>
              <w:rPr>
                <w:sz w:val="20"/>
                <w:szCs w:val="20"/>
                <w:color w:val="auto"/>
              </w:rPr>
            </w:pPr>
            <w:r>
              <w:rPr>
                <w:rFonts w:ascii="Arial" w:cs="Arial" w:eastAsia="Arial" w:hAnsi="Arial"/>
                <w:sz w:val="18"/>
                <w:szCs w:val="18"/>
                <w:color w:val="auto"/>
              </w:rPr>
              <w:t>Compensation</w:t>
            </w:r>
          </w:p>
        </w:tc>
        <w:tc>
          <w:tcPr>
            <w:tcW w:w="3200" w:type="dxa"/>
            <w:vAlign w:val="bottom"/>
            <w:vMerge w:val="restart"/>
          </w:tcPr>
          <w:p>
            <w:pPr>
              <w:ind w:left="720"/>
              <w:spacing w:after="0"/>
              <w:rPr>
                <w:sz w:val="20"/>
                <w:szCs w:val="20"/>
                <w:color w:val="auto"/>
              </w:rPr>
            </w:pPr>
            <w:r>
              <w:rPr>
                <w:rFonts w:ascii="Arial" w:cs="Arial" w:eastAsia="Arial" w:hAnsi="Arial"/>
                <w:sz w:val="18"/>
                <w:szCs w:val="18"/>
                <w:color w:val="auto"/>
              </w:rPr>
              <w:t>Biosciences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980" w:right="99" w:hanging="94"/>
        <w:spacing w:after="0" w:line="26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Mr. Walbert</w:t>
      </w:r>
      <w:r>
        <w:rPr>
          <w:rFonts w:ascii="Arial" w:cs="Arial" w:eastAsia="Arial" w:hAnsi="Arial"/>
          <w:sz w:val="18"/>
          <w:szCs w:val="18"/>
          <w:color w:val="auto"/>
        </w:rPr>
        <w:t xml:space="preserve"> has been a member of our Board since September 2022. He is currently a senior advisor to​ Amgen Inc., or Amgen, a public biotech company, since October 2023. Mr. Walbert served as Chairman,</w:t>
      </w:r>
    </w:p>
    <w:p>
      <w:pPr>
        <w:spacing w:after="0" w:line="2" w:lineRule="exact"/>
        <w:rPr>
          <w:sz w:val="20"/>
          <w:szCs w:val="20"/>
          <w:color w:val="auto"/>
        </w:rPr>
      </w:pPr>
    </w:p>
    <w:p>
      <w:pPr>
        <w:ind w:left="980" w:right="159"/>
        <w:spacing w:after="0" w:line="226" w:lineRule="auto"/>
        <w:rPr>
          <w:sz w:val="20"/>
          <w:szCs w:val="20"/>
          <w:color w:val="auto"/>
        </w:rPr>
      </w:pPr>
      <w:r>
        <w:rPr>
          <w:rFonts w:ascii="Arial" w:cs="Arial" w:eastAsia="Arial" w:hAnsi="Arial"/>
          <w:sz w:val="18"/>
          <w:szCs w:val="18"/>
          <w:color w:val="auto"/>
        </w:rPr>
        <w:t>President and Chief Executive Officer of Horizon Therapeutics from June 2008 to October 2023, when it was acquired by Amgen for $28 billion. Before joining Horizon, he was President, Chief Executive Officer and</w:t>
      </w:r>
    </w:p>
    <w:p>
      <w:pPr>
        <w:ind w:left="980"/>
        <w:spacing w:after="0" w:line="236" w:lineRule="auto"/>
        <w:rPr>
          <w:sz w:val="20"/>
          <w:szCs w:val="20"/>
          <w:color w:val="auto"/>
        </w:rPr>
      </w:pPr>
      <w:r>
        <w:rPr>
          <w:rFonts w:ascii="Arial" w:cs="Arial" w:eastAsia="Arial" w:hAnsi="Arial"/>
          <w:sz w:val="18"/>
          <w:szCs w:val="18"/>
          <w:color w:val="auto"/>
        </w:rPr>
        <w:t>Director of IDM Pharma Inc., or IDM, a public biotechnology company, which was acquired by Takeda</w:t>
      </w:r>
    </w:p>
    <w:p>
      <w:pPr>
        <w:spacing w:after="0" w:line="1" w:lineRule="exact"/>
        <w:rPr>
          <w:sz w:val="20"/>
          <w:szCs w:val="20"/>
          <w:color w:val="auto"/>
        </w:rPr>
      </w:pPr>
    </w:p>
    <w:p>
      <w:pPr>
        <w:ind w:left="980" w:right="159"/>
        <w:spacing w:after="0" w:line="226" w:lineRule="auto"/>
        <w:rPr>
          <w:sz w:val="20"/>
          <w:szCs w:val="20"/>
          <w:color w:val="auto"/>
        </w:rPr>
      </w:pPr>
      <w:r>
        <w:rPr>
          <w:rFonts w:ascii="Arial" w:cs="Arial" w:eastAsia="Arial" w:hAnsi="Arial"/>
          <w:sz w:val="18"/>
          <w:szCs w:val="18"/>
          <w:color w:val="auto"/>
        </w:rPr>
        <w:t>Pharmaceutical Company Limited in June 2009. Before IDM, Mr. Walbert served as Executive Vice President, Commercial Operations at NeoPharm Inc., a public biotechnology company. From 2001 to 2005, he was</w:t>
      </w:r>
    </w:p>
    <w:p>
      <w:pPr>
        <w:ind w:left="980"/>
        <w:spacing w:after="0" w:line="236" w:lineRule="auto"/>
        <w:rPr>
          <w:sz w:val="20"/>
          <w:szCs w:val="20"/>
          <w:color w:val="auto"/>
        </w:rPr>
      </w:pPr>
      <w:r>
        <w:rPr>
          <w:rFonts w:ascii="Arial" w:cs="Arial" w:eastAsia="Arial" w:hAnsi="Arial"/>
          <w:sz w:val="18"/>
          <w:szCs w:val="18"/>
          <w:color w:val="auto"/>
        </w:rPr>
        <w:t>Divisional Vice President and General Manager, Immunology, at Abbott Laboratories, now AbbVie Inc., leading</w:t>
      </w:r>
    </w:p>
    <w:p>
      <w:pPr>
        <w:spacing w:after="0" w:line="1" w:lineRule="exact"/>
        <w:rPr>
          <w:sz w:val="20"/>
          <w:szCs w:val="20"/>
          <w:color w:val="auto"/>
        </w:rPr>
      </w:pPr>
    </w:p>
    <w:p>
      <w:pPr>
        <w:ind w:left="980" w:right="159"/>
        <w:spacing w:after="0" w:line="226" w:lineRule="auto"/>
        <w:rPr>
          <w:sz w:val="20"/>
          <w:szCs w:val="20"/>
          <w:color w:val="auto"/>
        </w:rPr>
      </w:pPr>
      <w:r>
        <w:rPr>
          <w:rFonts w:ascii="Arial" w:cs="Arial" w:eastAsia="Arial" w:hAnsi="Arial"/>
          <w:sz w:val="18"/>
          <w:szCs w:val="18"/>
          <w:color w:val="auto"/>
        </w:rPr>
        <w:t>the global development and launch of the multi-indication biologic HUMIRA, and served as divisional vice president, global cardiovascular strategy. Mr. Walbert serves on the board of directors of Mirum</w:t>
      </w:r>
    </w:p>
    <w:p>
      <w:pPr>
        <w:ind w:left="980"/>
        <w:spacing w:after="0" w:line="236" w:lineRule="auto"/>
        <w:rPr>
          <w:sz w:val="20"/>
          <w:szCs w:val="20"/>
          <w:color w:val="auto"/>
        </w:rPr>
      </w:pPr>
      <w:r>
        <w:rPr>
          <w:rFonts w:ascii="Arial" w:cs="Arial" w:eastAsia="Arial" w:hAnsi="Arial"/>
          <w:sz w:val="18"/>
          <w:szCs w:val="18"/>
          <w:color w:val="auto"/>
        </w:rPr>
        <w:t>Pharmaceuticals, Inc., a public biotech company and Sagimet Biosciences, a public biotech company. He is</w:t>
      </w:r>
    </w:p>
    <w:p>
      <w:pPr>
        <w:spacing w:after="0" w:line="1" w:lineRule="exact"/>
        <w:rPr>
          <w:sz w:val="20"/>
          <w:szCs w:val="20"/>
          <w:color w:val="auto"/>
        </w:rPr>
      </w:pPr>
    </w:p>
    <w:p>
      <w:pPr>
        <w:ind w:left="980" w:right="159"/>
        <w:spacing w:after="0" w:line="226" w:lineRule="auto"/>
        <w:rPr>
          <w:sz w:val="20"/>
          <w:szCs w:val="20"/>
          <w:color w:val="auto"/>
        </w:rPr>
      </w:pPr>
      <w:r>
        <w:rPr>
          <w:rFonts w:ascii="Arial" w:cs="Arial" w:eastAsia="Arial" w:hAnsi="Arial"/>
          <w:sz w:val="18"/>
          <w:szCs w:val="18"/>
          <w:color w:val="auto"/>
        </w:rPr>
        <w:t>also a member of the National Organization for Rare Disorders Advisory Board, the Wall Street Journal CEO Council, the cNBC CEO Council and serves on the Board of Trustees of Muhlenberg College. He previously</w:t>
      </w:r>
    </w:p>
    <w:p>
      <w:pPr>
        <w:ind w:left="980"/>
        <w:spacing w:after="0" w:line="236" w:lineRule="auto"/>
        <w:rPr>
          <w:sz w:val="20"/>
          <w:szCs w:val="20"/>
          <w:color w:val="auto"/>
        </w:rPr>
      </w:pPr>
      <w:r>
        <w:rPr>
          <w:rFonts w:ascii="Arial" w:cs="Arial" w:eastAsia="Arial" w:hAnsi="Arial"/>
          <w:sz w:val="18"/>
          <w:szCs w:val="18"/>
          <w:color w:val="auto"/>
        </w:rPr>
        <w:t>served on the board of directors for Aurinia Pharmaceuticals Inc., a public pharmaceutical company, from</w:t>
      </w:r>
    </w:p>
    <w:p>
      <w:pPr>
        <w:spacing w:after="0" w:line="1" w:lineRule="exact"/>
        <w:rPr>
          <w:sz w:val="20"/>
          <w:szCs w:val="20"/>
          <w:color w:val="auto"/>
        </w:rPr>
      </w:pPr>
    </w:p>
    <w:p>
      <w:pPr>
        <w:ind w:left="980" w:right="159"/>
        <w:spacing w:after="0" w:line="226" w:lineRule="auto"/>
        <w:rPr>
          <w:sz w:val="20"/>
          <w:szCs w:val="20"/>
          <w:color w:val="auto"/>
        </w:rPr>
      </w:pPr>
      <w:r>
        <w:rPr>
          <w:rFonts w:ascii="Arial" w:cs="Arial" w:eastAsia="Arial" w:hAnsi="Arial"/>
          <w:sz w:val="18"/>
          <w:szCs w:val="18"/>
          <w:color w:val="auto"/>
        </w:rPr>
        <w:t>April 2020 to September 2022, Exicure, Inc., a public biotechnology company, from 2019 to 2022, Assertio Therapeutics, Inc., a public biopharma company, from 2014 to 2020, Raptor Pharmaceutical Corp., a public</w:t>
      </w:r>
    </w:p>
    <w:p>
      <w:pPr>
        <w:ind w:left="980"/>
        <w:spacing w:after="0" w:line="236" w:lineRule="auto"/>
        <w:rPr>
          <w:sz w:val="20"/>
          <w:szCs w:val="20"/>
          <w:color w:val="auto"/>
        </w:rPr>
      </w:pPr>
      <w:r>
        <w:rPr>
          <w:rFonts w:ascii="Arial" w:cs="Arial" w:eastAsia="Arial" w:hAnsi="Arial"/>
          <w:sz w:val="18"/>
          <w:szCs w:val="18"/>
          <w:color w:val="auto"/>
        </w:rPr>
        <w:t>biotechnology company, from 2010 to 2014; XOMA Corporation, a public biotechnology company, from 2011</w:t>
      </w:r>
    </w:p>
    <w:p>
      <w:pPr>
        <w:spacing w:after="0" w:line="1" w:lineRule="exact"/>
        <w:rPr>
          <w:sz w:val="20"/>
          <w:szCs w:val="20"/>
          <w:color w:val="auto"/>
        </w:rPr>
      </w:pPr>
    </w:p>
    <w:p>
      <w:pPr>
        <w:ind w:left="980" w:right="159"/>
        <w:spacing w:after="0" w:line="226" w:lineRule="auto"/>
        <w:rPr>
          <w:sz w:val="20"/>
          <w:szCs w:val="20"/>
          <w:color w:val="auto"/>
        </w:rPr>
      </w:pPr>
      <w:r>
        <w:rPr>
          <w:rFonts w:ascii="Arial" w:cs="Arial" w:eastAsia="Arial" w:hAnsi="Arial"/>
          <w:sz w:val="18"/>
          <w:szCs w:val="18"/>
          <w:color w:val="auto"/>
        </w:rPr>
        <w:t>to 2017 and Sucampo Pharmaceuticals Inc., a public biopharmaceutical company, from October 2015 until February 2018. He is also a member of Economic Club of Chicago, the Commercial Club of Chicago and the</w:t>
      </w:r>
    </w:p>
    <w:p>
      <w:pPr>
        <w:ind w:left="980"/>
        <w:spacing w:after="0" w:line="236" w:lineRule="auto"/>
        <w:rPr>
          <w:sz w:val="20"/>
          <w:szCs w:val="20"/>
          <w:color w:val="auto"/>
        </w:rPr>
      </w:pPr>
      <w:r>
        <w:rPr>
          <w:rFonts w:ascii="Arial" w:cs="Arial" w:eastAsia="Arial" w:hAnsi="Arial"/>
          <w:sz w:val="18"/>
          <w:szCs w:val="18"/>
          <w:color w:val="auto"/>
        </w:rPr>
        <w:t>Civic Committee of the Commercial Club of Chicago. Mr. Walbert was a previous board member of the</w:t>
      </w:r>
    </w:p>
    <w:p>
      <w:pPr>
        <w:spacing w:after="0" w:line="1" w:lineRule="exact"/>
        <w:rPr>
          <w:sz w:val="20"/>
          <w:szCs w:val="20"/>
          <w:color w:val="auto"/>
        </w:rPr>
      </w:pPr>
    </w:p>
    <w:p>
      <w:pPr>
        <w:ind w:left="980" w:right="159"/>
        <w:spacing w:after="0" w:line="226" w:lineRule="auto"/>
        <w:rPr>
          <w:sz w:val="20"/>
          <w:szCs w:val="20"/>
          <w:color w:val="auto"/>
        </w:rPr>
      </w:pPr>
      <w:r>
        <w:rPr>
          <w:rFonts w:ascii="Arial" w:cs="Arial" w:eastAsia="Arial" w:hAnsi="Arial"/>
          <w:sz w:val="18"/>
          <w:szCs w:val="18"/>
          <w:color w:val="auto"/>
        </w:rPr>
        <w:t>Biotechnology Innovation Organization, the Pharmaceutical Research and Manufacturing Association, the Illinois Biotechnology Innovation Organization and World Business Chicago. Mr. Walbert received a Bachelor</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of Arts in business from Muhlenberg College in Allentown, PA.</w:t>
      </w:r>
    </w:p>
    <w:p>
      <w:pPr>
        <w:spacing w:after="0" w:line="14" w:lineRule="exact"/>
        <w:rPr>
          <w:sz w:val="20"/>
          <w:szCs w:val="20"/>
          <w:color w:val="auto"/>
        </w:rPr>
      </w:pPr>
    </w:p>
    <w:p>
      <w:pPr>
        <w:ind w:left="980" w:right="99" w:hanging="94"/>
        <w:spacing w:after="0" w:line="29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Mr. Walbert is qualified to serve on our Board due to his extensive​ executive-level leadership experience in the biotechnology industry.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shd w:val="clear" w:color="auto" w:fill="1DA46F"/>
        </w:rPr>
        <w:t>​CORPORATE GOVERNANCE AND RISK MANAGEMENT</w:t>
        <w:tab/>
        <w:t>​</w:t>
      </w:r>
    </w:p>
    <w:p>
      <w:pPr>
        <w:spacing w:after="0" w:line="345" w:lineRule="exact"/>
        <w:rPr>
          <w:sz w:val="20"/>
          <w:szCs w:val="20"/>
          <w:color w:val="auto"/>
        </w:rPr>
      </w:pPr>
    </w:p>
    <w:p>
      <w:pPr>
        <w:jc w:val="both"/>
        <w:ind w:left="880" w:right="39"/>
        <w:spacing w:after="0" w:line="247" w:lineRule="auto"/>
        <w:rPr>
          <w:sz w:val="20"/>
          <w:szCs w:val="20"/>
          <w:color w:val="auto"/>
        </w:rPr>
      </w:pPr>
      <w:r>
        <w:rPr>
          <w:rFonts w:ascii="Arial" w:cs="Arial" w:eastAsia="Arial" w:hAnsi="Arial"/>
          <w:sz w:val="18"/>
          <w:szCs w:val="18"/>
          <w:color w:val="148CD9"/>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p>
    <w:p>
      <w:pPr>
        <w:spacing w:after="0" w:line="109" w:lineRule="exact"/>
        <w:rPr>
          <w:sz w:val="20"/>
          <w:szCs w:val="20"/>
          <w:color w:val="auto"/>
        </w:rPr>
      </w:pPr>
    </w:p>
    <w:p>
      <w:pPr>
        <w:jc w:val="both"/>
        <w:ind w:left="880" w:right="19"/>
        <w:spacing w:after="0" w:line="247" w:lineRule="auto"/>
        <w:rPr>
          <w:sz w:val="20"/>
          <w:szCs w:val="20"/>
          <w:color w:val="auto"/>
        </w:rPr>
      </w:pPr>
      <w:r>
        <w:rPr>
          <w:rFonts w:ascii="Arial" w:cs="Arial" w:eastAsia="Arial" w:hAnsi="Arial"/>
          <w:sz w:val="18"/>
          <w:szCs w:val="18"/>
          <w:color w:val="auto"/>
        </w:rPr>
        <w:t>Our governance practices are documented in our Second Amended and Restated Certificate of Incorporation, or our Certificate of Incorporation, our Bylaws, our Code of Conduct, our Corporate Governance Guidelines and the charters of the committees of the Board. Aspects of our governance documents are summarized below. You can find our charters for each committee of our Board and our Code of Conduct on our website at investors.centurytx.com/corporate-governance/documents-and-charters.</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INDEPENDENCE</w:t>
      </w:r>
    </w:p>
    <w:p>
      <w:pPr>
        <w:spacing w:after="0" w:line="144" w:lineRule="exact"/>
        <w:rPr>
          <w:sz w:val="20"/>
          <w:szCs w:val="20"/>
          <w:color w:val="auto"/>
        </w:rPr>
      </w:pPr>
    </w:p>
    <w:p>
      <w:pPr>
        <w:jc w:val="both"/>
        <w:ind w:left="880" w:right="19"/>
        <w:spacing w:after="0" w:line="245" w:lineRule="auto"/>
        <w:rPr>
          <w:sz w:val="20"/>
          <w:szCs w:val="20"/>
          <w:color w:val="auto"/>
        </w:rPr>
      </w:pPr>
      <w:r>
        <w:rPr>
          <w:rFonts w:ascii="Arial" w:cs="Arial" w:eastAsia="Arial" w:hAnsi="Arial"/>
          <w:sz w:val="18"/>
          <w:szCs w:val="18"/>
          <w:color w:val="auto"/>
        </w:rPr>
        <w:t>Our Board has determined that, with the exception of Dr. Pfeiffenberger, and our former President and Chief Executive Officer, Dr. Osvaldo Flores, each of our directors, including each former director who served as a member of the Board during the last fiscal year, is an “independent director,”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Dr. Osvaldo Flores, our former President and Chief Executive Officer, served on our Board from 2022 until 2023 and was not an independent director. Dr. Flores resigned from our Board on April 11, 2023. Our independent directors generally meet in executive session at each regularly scheduled Board meeting.</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LEADERSHIP STRUCTURE</w:t>
      </w:r>
    </w:p>
    <w:p>
      <w:pPr>
        <w:spacing w:after="0" w:line="158"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Our Board does not have a formal policy with respect to the separation of the offices of Chief Executive Officer and Chairman of the Board. It is the Board’s view that rather than having a rigid policy, the Board, with the advice and assistance of the Nominating and Corporate Governance Committee, and upon consideration of all relevant factors and circumstances, will determine, as and when appropriate, whether the two offices should be separate. Currently, our leadership structure separates the offices of Chief Executive Officer and Chairman of the Board. Our Board believes that the separation of the positions of Chief Executive Officer and Chairman of the Board reinforces the independence of the Board from management, creates an environment that encourages objective oversight of management’s performance and enhances the effectiveness of our Board as a whole.</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COMMITTEES</w:t>
      </w:r>
    </w:p>
    <w:p>
      <w:pPr>
        <w:spacing w:after="0" w:line="144" w:lineRule="exact"/>
        <w:rPr>
          <w:sz w:val="20"/>
          <w:szCs w:val="20"/>
          <w:color w:val="auto"/>
        </w:rPr>
      </w:pPr>
    </w:p>
    <w:p>
      <w:pPr>
        <w:jc w:val="both"/>
        <w:ind w:left="880" w:right="19"/>
        <w:spacing w:after="0" w:line="251" w:lineRule="auto"/>
        <w:rPr>
          <w:sz w:val="20"/>
          <w:szCs w:val="20"/>
          <w:color w:val="auto"/>
        </w:rPr>
      </w:pPr>
      <w:r>
        <w:rPr>
          <w:rFonts w:ascii="Arial" w:cs="Arial" w:eastAsia="Arial" w:hAnsi="Arial"/>
          <w:sz w:val="18"/>
          <w:szCs w:val="18"/>
          <w:color w:val="auto"/>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w:t>
      </w:r>
    </w:p>
    <w:p>
      <w:pPr>
        <w:spacing w:after="0" w:line="106" w:lineRule="exact"/>
        <w:rPr>
          <w:sz w:val="20"/>
          <w:szCs w:val="20"/>
          <w:color w:val="auto"/>
        </w:rPr>
      </w:pPr>
    </w:p>
    <w:p>
      <w:pPr>
        <w:jc w:val="both"/>
        <w:ind w:left="880" w:right="39"/>
        <w:spacing w:after="0" w:line="271" w:lineRule="auto"/>
        <w:rPr>
          <w:sz w:val="20"/>
          <w:szCs w:val="20"/>
          <w:color w:val="auto"/>
        </w:rPr>
      </w:pPr>
      <w:r>
        <w:rPr>
          <w:rFonts w:ascii="Arial" w:cs="Arial" w:eastAsia="Arial" w:hAnsi="Arial"/>
          <w:sz w:val="18"/>
          <w:szCs w:val="18"/>
          <w:color w:val="auto"/>
        </w:rPr>
        <w:t>Each of the Committees has the authority, as its members deem appropriate, to engage legal counsel or other experts or consultants in order to assist the Committee in carrying out its responsibilities.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RISK MANAGEMENT</w:t>
      </w:r>
    </w:p>
    <w:p>
      <w:pPr>
        <w:spacing w:after="0" w:line="158"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p>
    <w:p>
      <w:pPr>
        <w:spacing w:after="0" w:line="112" w:lineRule="exact"/>
        <w:rPr>
          <w:sz w:val="20"/>
          <w:szCs w:val="20"/>
          <w:color w:val="auto"/>
        </w:rPr>
      </w:pPr>
    </w:p>
    <w:p>
      <w:pPr>
        <w:jc w:val="both"/>
        <w:ind w:left="880" w:right="39"/>
        <w:spacing w:after="0" w:line="261" w:lineRule="auto"/>
        <w:rPr>
          <w:sz w:val="20"/>
          <w:szCs w:val="20"/>
          <w:color w:val="auto"/>
        </w:rPr>
      </w:pPr>
      <w:r>
        <w:rPr>
          <w:rFonts w:ascii="Arial" w:cs="Arial" w:eastAsia="Arial" w:hAnsi="Arial"/>
          <w:sz w:val="18"/>
          <w:szCs w:val="18"/>
          <w:color w:val="auto"/>
        </w:rPr>
        <w:t>Our Board does not have a standing risk management committee, but rather administers this oversight function directly through our Board as a whole, as well as through various standing committees of our Board that address the</w:t>
      </w:r>
    </w:p>
    <w:p>
      <w:pPr>
        <w:spacing w:after="0" w:line="27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shd w:val="clear" w:color="auto" w:fill="1DA46F"/>
        </w:rPr>
        <w:t>​CORPORATE GOVERNANCE AND RISK MANAGEMENT</w:t>
        <w:tab/>
        <w:t>​</w:t>
      </w:r>
    </w:p>
    <w:p>
      <w:pPr>
        <w:spacing w:after="0" w:line="345" w:lineRule="exact"/>
        <w:rPr>
          <w:sz w:val="20"/>
          <w:szCs w:val="20"/>
          <w:color w:val="auto"/>
        </w:rPr>
      </w:pPr>
    </w:p>
    <w:p>
      <w:pPr>
        <w:jc w:val="both"/>
        <w:ind w:left="880" w:right="39"/>
        <w:spacing w:after="0" w:line="256" w:lineRule="auto"/>
        <w:rPr>
          <w:sz w:val="20"/>
          <w:szCs w:val="20"/>
          <w:color w:val="auto"/>
        </w:rPr>
      </w:pPr>
      <w:r>
        <w:rPr>
          <w:rFonts w:ascii="Arial" w:cs="Arial" w:eastAsia="Arial" w:hAnsi="Arial"/>
          <w:sz w:val="18"/>
          <w:szCs w:val="18"/>
          <w:color w:val="auto"/>
        </w:rPr>
        <w:t>risks inherent in their respective areas of oversight. While our Board is responsible for monitoring strategic risk exposure, our Audit Committee oversees management of financial reporting, compliance, cybersecurity and litigation risks, as well as the steps management has taken to monitor and control such exposures. Our Nominating and Corporate Governance Committee manages risks associated with the independence of our Board, potential conflicts of interest and the effectiveness of our Board and our Compensation Committee is responsible for overseeing the management of risks relating to our executive compensation policies, plans and arrangements and the extent to which those policies or practices increase or decrease risks for our company.</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EVALUATING BOARD EFFECTIVENESS</w:t>
      </w:r>
    </w:p>
    <w:p>
      <w:pPr>
        <w:spacing w:after="0" w:line="144"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The Board, led by the Nominating and Corporate Governance Committee, is committed to continuous improvement and believes annual self-evaluations are an important tool for evaluating effectiveness. It has established and conducted an annual self-evaluation of the Board, which is presented by the Chairperson of the Nominating and Corporate Governance Committee to the Board for discussion. In addition, each committee conducts an annual self-assessment in a review process similar to that used by the Board. Below is a graphic depicting the Board and Nominating and Corporate Governance Committee annual cycle in evaluating Board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110490</wp:posOffset>
            </wp:positionV>
            <wp:extent cx="4397375" cy="33686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9737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8"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We maintain a written Code of Conduct that applies to all of our directors, officers, and employees. The Code of Conduct covers fundamental ethics and compliance-related principles and practices such as accurate accounting records and financial reporting, avoiding conflicts of interest, compliance with insider trading laws, the protection and use of our property and information, and compliance with legal and regulatory requirements. The Code of Conduct is posted on our website at investors.centurytx.com/corporate-governance/documents-and-charters. We intend to disclose any amendments to our code of business conduct and ethics, or waivers of its requirements, on our website to the extent required by the applicable rules and exchange requirements.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shd w:val="clear" w:color="auto" w:fill="1DA46F"/>
        </w:rPr>
        <w:t>​CORPORATE GOVERNANCE AND RISK MANAGEMENT</w:t>
        <w:tab/>
        <w:t>​</w:t>
      </w:r>
    </w:p>
    <w:p>
      <w:pPr>
        <w:spacing w:after="0" w:line="34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144" w:lineRule="exact"/>
        <w:rPr>
          <w:sz w:val="20"/>
          <w:szCs w:val="20"/>
          <w:color w:val="auto"/>
        </w:rPr>
      </w:pPr>
    </w:p>
    <w:p>
      <w:pPr>
        <w:jc w:val="both"/>
        <w:ind w:left="880" w:right="40"/>
        <w:spacing w:after="0" w:line="270" w:lineRule="auto"/>
        <w:rPr>
          <w:sz w:val="20"/>
          <w:szCs w:val="20"/>
          <w:color w:val="auto"/>
        </w:rPr>
      </w:pPr>
      <w:r>
        <w:rPr>
          <w:rFonts w:ascii="Arial" w:cs="Arial" w:eastAsia="Arial" w:hAnsi="Arial"/>
          <w:sz w:val="18"/>
          <w:szCs w:val="18"/>
          <w:color w:val="auto"/>
        </w:rPr>
        <w:t>Our director orientation programs familiarize new directors with the Company’s businesses, financial position, facilities, strategies, and policies, and assist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accredited director education programs at the Company’s expense.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CORPORATE GOVERNANCE GUIDELINES</w:t>
      </w:r>
    </w:p>
    <w:p>
      <w:pPr>
        <w:spacing w:after="0" w:line="158" w:lineRule="exact"/>
        <w:rPr>
          <w:sz w:val="20"/>
          <w:szCs w:val="20"/>
          <w:color w:val="auto"/>
        </w:rPr>
      </w:pPr>
    </w:p>
    <w:p>
      <w:pPr>
        <w:jc w:val="both"/>
        <w:ind w:left="880" w:right="40"/>
        <w:spacing w:after="0" w:line="264" w:lineRule="auto"/>
        <w:rPr>
          <w:sz w:val="20"/>
          <w:szCs w:val="20"/>
          <w:color w:val="auto"/>
        </w:rPr>
      </w:pPr>
      <w:r>
        <w:rPr>
          <w:rFonts w:ascii="Arial" w:cs="Arial" w:eastAsia="Arial" w:hAnsi="Arial"/>
          <w:sz w:val="18"/>
          <w:szCs w:val="18"/>
          <w:color w:val="auto"/>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which recommends any proposed changes to our Board for approval. Our Corporate Governance Guidelines can be found on our website at www.investors.centurytx.com/corporate-governance/documents-and-charters.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ATTENDANCE, COMMITTEE MEETINGS AND COMMITTEE MEMBERSHIP</w:t>
      </w:r>
    </w:p>
    <w:p>
      <w:pPr>
        <w:spacing w:after="0" w:line="183"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1500" w:type="dxa"/>
            <w:vAlign w:val="bottom"/>
            <w:tcBorders>
              <w:top w:val="single" w:sz="8" w:color="auto"/>
              <w:left w:val="single" w:sz="8" w:color="auto"/>
              <w:bottom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1760" w:type="dxa"/>
            <w:vAlign w:val="bottom"/>
            <w:tcBorders>
              <w:top w:val="single" w:sz="8" w:color="auto"/>
              <w:bottom w:val="single" w:sz="8" w:color="auto"/>
            </w:tcBorders>
            <w:shd w:val="clear" w:color="auto" w:fill="148CD9"/>
          </w:tcPr>
          <w:p>
            <w:pPr>
              <w:ind w:left="100"/>
              <w:spacing w:after="0"/>
              <w:rPr>
                <w:sz w:val="20"/>
                <w:szCs w:val="20"/>
                <w:color w:val="auto"/>
              </w:rPr>
            </w:pPr>
            <w:r>
              <w:rPr>
                <w:rFonts w:ascii="Arial" w:cs="Arial" w:eastAsia="Arial" w:hAnsi="Arial"/>
                <w:sz w:val="16"/>
                <w:szCs w:val="16"/>
                <w:b w:val="1"/>
                <w:bCs w:val="1"/>
                <w:color w:val="FFFFFF"/>
              </w:rPr>
              <w:t>DIRECTOR</w:t>
            </w:r>
          </w:p>
        </w:tc>
        <w:tc>
          <w:tcPr>
            <w:tcW w:w="3340" w:type="dxa"/>
            <w:vAlign w:val="bottom"/>
            <w:tcBorders>
              <w:top w:val="single" w:sz="8" w:color="auto"/>
              <w:bottom w:val="single" w:sz="8" w:color="auto"/>
            </w:tcBorders>
            <w:gridSpan w:val="5"/>
            <w:shd w:val="clear" w:color="auto" w:fill="148CD9"/>
          </w:tcPr>
          <w:p>
            <w:pPr>
              <w:ind w:left="70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INDEPENDENCE </w:t>
            </w: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BOARD </w:t>
            </w:r>
            <w:r>
              <w:rPr>
                <w:rFonts w:ascii="Arial" w:cs="Arial" w:eastAsia="Arial" w:hAnsi="Arial"/>
                <w:sz w:val="31"/>
                <w:szCs w:val="31"/>
                <w:b w:val="1"/>
                <w:bCs w:val="1"/>
                <w:color w:val="FFFFFF"/>
                <w:vertAlign w:val="subscript"/>
              </w:rPr>
              <w:t>​ ​</w:t>
            </w:r>
          </w:p>
        </w:tc>
        <w:tc>
          <w:tcPr>
            <w:tcW w:w="46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AC</w:t>
            </w:r>
          </w:p>
        </w:tc>
        <w:tc>
          <w:tcPr>
            <w:tcW w:w="400" w:type="dxa"/>
            <w:vAlign w:val="bottom"/>
            <w:tcBorders>
              <w:top w:val="single" w:sz="8" w:color="auto"/>
              <w:bottom w:val="single" w:sz="8" w:color="auto"/>
            </w:tcBorders>
            <w:shd w:val="clear" w:color="auto" w:fill="148CD9"/>
          </w:tcPr>
          <w:p>
            <w:pPr>
              <w:ind w:left="140"/>
              <w:spacing w:after="0"/>
              <w:rPr>
                <w:sz w:val="20"/>
                <w:szCs w:val="20"/>
                <w:color w:val="auto"/>
              </w:rPr>
            </w:pPr>
            <w:r>
              <w:rPr>
                <w:rFonts w:ascii="Arial" w:cs="Arial" w:eastAsia="Arial" w:hAnsi="Arial"/>
                <w:sz w:val="16"/>
                <w:szCs w:val="16"/>
                <w:b w:val="1"/>
                <w:bCs w:val="1"/>
                <w:color w:val="FFFFFF"/>
              </w:rPr>
              <w:t>​ ​</w:t>
            </w:r>
          </w:p>
        </w:tc>
        <w:tc>
          <w:tcPr>
            <w:tcW w:w="46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CC</w:t>
            </w:r>
          </w:p>
        </w:tc>
        <w:tc>
          <w:tcPr>
            <w:tcW w:w="920" w:type="dxa"/>
            <w:vAlign w:val="bottom"/>
            <w:tcBorders>
              <w:top w:val="single" w:sz="8" w:color="auto"/>
              <w:bottom w:val="single" w:sz="8" w:color="auto"/>
            </w:tcBorders>
            <w:gridSpan w:val="2"/>
            <w:shd w:val="clear" w:color="auto" w:fill="148CD9"/>
          </w:tcPr>
          <w:p>
            <w:pPr>
              <w:ind w:left="14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NCGC</w:t>
            </w:r>
          </w:p>
        </w:tc>
        <w:tc>
          <w:tcPr>
            <w:tcW w:w="160" w:type="dxa"/>
            <w:vAlign w:val="bottom"/>
            <w:tcBorders>
              <w:top w:val="single" w:sz="8" w:color="auto"/>
              <w:bottom w:val="single" w:sz="8" w:color="auto"/>
              <w:righ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Brent Pfeiffenberger, Pharm.D.</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Kimberly Blackwell, M.D.</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M</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150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Cynthia Butitta</w:t>
            </w:r>
          </w:p>
        </w:tc>
        <w:tc>
          <w:tcPr>
            <w:tcW w:w="17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150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Joseph Jimenez</w:t>
            </w:r>
          </w:p>
        </w:tc>
        <w:tc>
          <w:tcPr>
            <w:tcW w:w="17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C</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150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Daphne Quimi</w:t>
            </w:r>
          </w:p>
        </w:tc>
        <w:tc>
          <w:tcPr>
            <w:tcW w:w="17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M</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Alessandro Riva, M.D.</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Carlo Rizzuto, Ph.D.</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M</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Timothy P. Walbert</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bl>
    <w:p>
      <w:pPr>
        <w:spacing w:after="0" w:line="98"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b w:val="1"/>
                <w:bCs w:val="1"/>
                <w:color w:val="auto"/>
                <w:w w:val="99"/>
              </w:rPr>
              <w:t>AC​</w:t>
            </w:r>
          </w:p>
        </w:tc>
        <w:tc>
          <w:tcPr>
            <w:tcW w:w="1960" w:type="dxa"/>
            <w:vAlign w:val="bottom"/>
          </w:tcPr>
          <w:p>
            <w:pPr>
              <w:ind w:left="20"/>
              <w:spacing w:after="0"/>
              <w:rPr>
                <w:sz w:val="20"/>
                <w:szCs w:val="20"/>
                <w:color w:val="auto"/>
              </w:rPr>
            </w:pPr>
            <w:r>
              <w:rPr>
                <w:rFonts w:ascii="Arial" w:cs="Arial" w:eastAsia="Arial" w:hAnsi="Arial"/>
                <w:sz w:val="18"/>
                <w:szCs w:val="18"/>
                <w:color w:val="auto"/>
              </w:rPr>
              <w:t>= Audit Committee</w:t>
            </w:r>
          </w:p>
        </w:tc>
        <w:tc>
          <w:tcPr>
            <w:tcW w:w="3320" w:type="dxa"/>
            <w:vAlign w:val="bottom"/>
          </w:tcPr>
          <w:p>
            <w:pPr>
              <w:ind w:left="480"/>
              <w:spacing w:after="0"/>
              <w:rPr>
                <w:sz w:val="20"/>
                <w:szCs w:val="20"/>
                <w:color w:val="auto"/>
              </w:rPr>
            </w:pPr>
            <w:r>
              <w:rPr>
                <w:rFonts w:ascii="Arial" w:cs="Arial" w:eastAsia="Arial" w:hAnsi="Arial"/>
                <w:sz w:val="18"/>
                <w:szCs w:val="18"/>
                <w:b w:val="1"/>
                <w:bCs w:val="1"/>
                <w:color w:val="auto"/>
              </w:rPr>
              <w:t xml:space="preserve">​ ​ CC </w:t>
            </w:r>
            <w:r>
              <w:rPr>
                <w:rFonts w:ascii="Arial" w:cs="Arial" w:eastAsia="Arial" w:hAnsi="Arial"/>
                <w:sz w:val="18"/>
                <w:szCs w:val="18"/>
                <w:color w:val="auto"/>
              </w:rPr>
              <w:t>= Compensation Committee</w:t>
            </w:r>
          </w:p>
        </w:tc>
        <w:tc>
          <w:tcPr>
            <w:tcW w:w="218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 ​ C </w:t>
            </w:r>
            <w:r>
              <w:rPr>
                <w:rFonts w:ascii="Arial" w:cs="Arial" w:eastAsia="Arial" w:hAnsi="Arial"/>
                <w:sz w:val="18"/>
                <w:szCs w:val="18"/>
                <w:color w:val="auto"/>
              </w:rPr>
              <w:t>= Chair</w:t>
            </w:r>
          </w:p>
        </w:tc>
        <w:tc>
          <w:tcPr>
            <w:tcW w:w="92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28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19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80" w:type="dxa"/>
            <w:vAlign w:val="bottom"/>
          </w:tcPr>
          <w:p>
            <w:pPr>
              <w:ind w:left="100"/>
              <w:spacing w:after="0" w:line="181" w:lineRule="exact"/>
              <w:rPr>
                <w:sz w:val="20"/>
                <w:szCs w:val="20"/>
                <w:color w:val="auto"/>
              </w:rPr>
            </w:pPr>
            <w:r>
              <w:rPr>
                <w:rFonts w:ascii="Arial" w:cs="Arial" w:eastAsia="Arial" w:hAnsi="Arial"/>
                <w:sz w:val="18"/>
                <w:szCs w:val="18"/>
                <w:b w:val="1"/>
                <w:bCs w:val="1"/>
                <w:color w:val="auto"/>
              </w:rPr>
              <w:t>​ ​</w:t>
            </w:r>
          </w:p>
        </w:tc>
        <w:tc>
          <w:tcPr>
            <w:tcW w:w="1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M </w:t>
            </w:r>
            <w:r>
              <w:rPr>
                <w:rFonts w:ascii="Arial" w:cs="Arial" w:eastAsia="Arial" w:hAnsi="Arial"/>
                <w:sz w:val="18"/>
                <w:szCs w:val="18"/>
                <w:color w:val="auto"/>
              </w:rPr>
              <w:t>= Member</w:t>
            </w:r>
          </w:p>
        </w:tc>
        <w:tc>
          <w:tcPr>
            <w:tcW w:w="920" w:type="dxa"/>
            <w:vAlign w:val="bottom"/>
          </w:tcPr>
          <w:p>
            <w:pPr>
              <w:ind w:left="860"/>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7"/>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NCGC </w:t>
            </w:r>
            <w:r>
              <w:rPr>
                <w:rFonts w:ascii="Arial" w:cs="Arial" w:eastAsia="Arial" w:hAnsi="Arial"/>
                <w:sz w:val="18"/>
                <w:szCs w:val="18"/>
                <w:color w:val="auto"/>
              </w:rPr>
              <w:t>= Nominating and Corporate Governance Committee</w:t>
            </w:r>
          </w:p>
        </w:tc>
        <w:tc>
          <w:tcPr>
            <w:tcW w:w="28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880" w:right="60"/>
        <w:spacing w:after="0" w:line="273" w:lineRule="auto"/>
        <w:rPr>
          <w:sz w:val="20"/>
          <w:szCs w:val="20"/>
          <w:color w:val="auto"/>
        </w:rPr>
      </w:pPr>
      <w:r>
        <w:rPr>
          <w:rFonts w:ascii="Arial" w:cs="Arial" w:eastAsia="Arial" w:hAnsi="Arial"/>
          <w:sz w:val="18"/>
          <w:szCs w:val="18"/>
          <w:color w:val="auto"/>
        </w:rPr>
        <w:t>During 2023, our Board held seven meetings, our Compensation Committee held six meetings, our Audit Committee held four meetings and our Nominating and Corporate Governance Committee held four meetings. Each director attended at least 75% of meetings of the Board and each Committee on which he or she served in 2023.</w:t>
      </w:r>
    </w:p>
    <w:p>
      <w:pPr>
        <w:spacing w:after="0" w:line="111" w:lineRule="exact"/>
        <w:rPr>
          <w:sz w:val="20"/>
          <w:szCs w:val="20"/>
          <w:color w:val="auto"/>
        </w:rPr>
      </w:pPr>
    </w:p>
    <w:p>
      <w:pPr>
        <w:jc w:val="both"/>
        <w:ind w:left="880" w:right="60"/>
        <w:spacing w:after="0" w:line="287" w:lineRule="auto"/>
        <w:rPr>
          <w:sz w:val="20"/>
          <w:szCs w:val="20"/>
          <w:color w:val="auto"/>
        </w:rPr>
      </w:pPr>
      <w:r>
        <w:rPr>
          <w:rFonts w:ascii="Arial" w:cs="Arial" w:eastAsia="Arial" w:hAnsi="Arial"/>
          <w:sz w:val="18"/>
          <w:szCs w:val="18"/>
          <w:color w:val="auto"/>
        </w:rPr>
        <w:t>Directors are encouraged, but not required, to attend our annual stockholder meetings. We held our annual meeting of stockholders on June 27, 2023 and all of our directors were in attendance.</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8880" w:type="dxa"/>
            <w:vAlign w:val="bottom"/>
            <w:gridSpan w:val="5"/>
            <w:shd w:val="clear" w:color="auto" w:fill="1DA46F"/>
          </w:tcPr>
          <w:p>
            <w:pPr>
              <w:ind w:left="20"/>
              <w:spacing w:after="0"/>
              <w:rPr>
                <w:sz w:val="20"/>
                <w:szCs w:val="20"/>
                <w:color w:val="auto"/>
              </w:rPr>
            </w:pPr>
            <w:r>
              <w:rPr>
                <w:rFonts w:ascii="Arial" w:cs="Arial" w:eastAsia="Arial" w:hAnsi="Arial"/>
                <w:sz w:val="32"/>
                <w:szCs w:val="32"/>
                <w:b w:val="1"/>
                <w:bCs w:val="1"/>
                <w:color w:val="FFFFFF"/>
                <w:shd w:val="clear" w:color="auto" w:fill="1DA46F"/>
              </w:rPr>
              <w:t>​CORPORATE GOVERNANCE AND RISK MANAGEMENT</w:t>
            </w:r>
          </w:p>
        </w:tc>
        <w:tc>
          <w:tcPr>
            <w:tcW w:w="100" w:type="dxa"/>
            <w:vAlign w:val="bottom"/>
            <w:shd w:val="clear" w:color="auto" w:fill="1DA46F"/>
          </w:tcPr>
          <w:p>
            <w:pPr>
              <w:spacing w:after="0"/>
              <w:rPr>
                <w:sz w:val="20"/>
                <w:szCs w:val="20"/>
                <w:color w:val="auto"/>
              </w:rPr>
            </w:pPr>
            <w:r>
              <w:rPr>
                <w:rFonts w:ascii="Arial" w:cs="Arial" w:eastAsia="Arial" w:hAnsi="Arial"/>
                <w:sz w:val="32"/>
                <w:szCs w:val="32"/>
                <w:b w:val="1"/>
                <w:bCs w:val="1"/>
                <w:color w:val="FFFFFF"/>
                <w:shd w:val="clear" w:color="auto" w:fill="1DA46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Pr>
          <w:p>
            <w:pPr>
              <w:ind w:left="60"/>
              <w:spacing w:after="0"/>
              <w:rPr>
                <w:sz w:val="20"/>
                <w:szCs w:val="20"/>
                <w:color w:val="auto"/>
              </w:rPr>
            </w:pPr>
            <w:r>
              <w:rPr>
                <w:rFonts w:ascii="Arial" w:cs="Arial" w:eastAsia="Arial" w:hAnsi="Arial"/>
                <w:sz w:val="22"/>
                <w:szCs w:val="22"/>
                <w:b w:val="1"/>
                <w:bCs w:val="1"/>
                <w:color w:val="148CD9"/>
              </w:rPr>
              <w:t>​</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tcPr>
          <w:p>
            <w:pPr>
              <w:ind w:left="260"/>
              <w:spacing w:after="0"/>
              <w:rPr>
                <w:sz w:val="20"/>
                <w:szCs w:val="20"/>
                <w:color w:val="auto"/>
              </w:rPr>
            </w:pPr>
            <w:r>
              <w:rPr>
                <w:rFonts w:ascii="Arial" w:cs="Arial" w:eastAsia="Arial" w:hAnsi="Arial"/>
                <w:sz w:val="22"/>
                <w:szCs w:val="22"/>
                <w:b w:val="1"/>
                <w:bCs w:val="1"/>
                <w:color w:val="148CD9"/>
              </w:rPr>
              <w:t>THE AUDIT COMMITTEE</w:t>
            </w:r>
          </w:p>
        </w:tc>
        <w:tc>
          <w:tcPr>
            <w:tcW w:w="120" w:type="dxa"/>
            <w:vAlign w:val="bottom"/>
            <w:gridSpan w:val="2"/>
          </w:tcPr>
          <w:p>
            <w:pPr>
              <w:ind w:left="60"/>
              <w:spacing w:after="0"/>
              <w:rPr>
                <w:sz w:val="20"/>
                <w:szCs w:val="20"/>
                <w:color w:val="auto"/>
              </w:rPr>
            </w:pPr>
            <w:r>
              <w:rPr>
                <w:rFonts w:ascii="Arial" w:cs="Arial" w:eastAsia="Arial" w:hAnsi="Arial"/>
                <w:sz w:val="22"/>
                <w:szCs w:val="22"/>
                <w:b w:val="1"/>
                <w:bCs w:val="1"/>
                <w:color w:val="148CD9"/>
              </w:rPr>
              <w:t>​</w:t>
            </w:r>
          </w:p>
        </w:tc>
        <w:tc>
          <w:tcPr>
            <w:tcW w:w="0" w:type="dxa"/>
            <w:vAlign w:val="bottom"/>
          </w:tcPr>
          <w:p>
            <w:pPr>
              <w:spacing w:after="0"/>
              <w:rPr>
                <w:sz w:val="1"/>
                <w:szCs w:val="1"/>
                <w:color w:val="auto"/>
              </w:rPr>
            </w:pPr>
          </w:p>
        </w:tc>
      </w:tr>
      <w:tr>
        <w:trPr>
          <w:trHeight w:val="255"/>
        </w:trPr>
        <w:tc>
          <w:tcPr>
            <w:tcW w:w="2480" w:type="dxa"/>
            <w:vAlign w:val="bottom"/>
            <w:tcBorders>
              <w:top w:val="single" w:sz="8" w:color="1DA46F"/>
            </w:tcBorders>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148CD9"/>
              </w:rPr>
              <w:t>Chair</w:t>
            </w:r>
            <w:r>
              <w:rPr>
                <w:rFonts w:ascii="Arial" w:cs="Arial" w:eastAsia="Arial" w:hAnsi="Arial"/>
                <w:sz w:val="18"/>
                <w:szCs w:val="18"/>
                <w:color w:val="auto"/>
              </w:rPr>
              <w:t>: Daphne Quimi</w:t>
            </w:r>
          </w:p>
        </w:tc>
        <w:tc>
          <w:tcPr>
            <w:tcW w:w="6400" w:type="dxa"/>
            <w:vAlign w:val="bottom"/>
            <w:tcBorders>
              <w:top w:val="single" w:sz="8" w:color="1DA46F"/>
            </w:tcBorders>
            <w:gridSpan w:val="3"/>
          </w:tcPr>
          <w:p>
            <w:pPr>
              <w:ind w:left="20"/>
              <w:spacing w:after="0"/>
              <w:rPr>
                <w:sz w:val="20"/>
                <w:szCs w:val="20"/>
                <w:color w:val="auto"/>
              </w:rPr>
            </w:pPr>
            <w:r>
              <w:rPr>
                <w:rFonts w:ascii="Arial" w:cs="Arial" w:eastAsia="Arial" w:hAnsi="Arial"/>
                <w:sz w:val="18"/>
                <w:szCs w:val="18"/>
                <w:color w:val="auto"/>
              </w:rPr>
              <w:t>​ ​ Responsible for, among other things:</w:t>
            </w:r>
          </w:p>
        </w:tc>
        <w:tc>
          <w:tcPr>
            <w:tcW w:w="100" w:type="dxa"/>
            <w:vAlign w:val="bottom"/>
            <w:tcBorders>
              <w:top w:val="single" w:sz="8" w:color="1DA46F"/>
            </w:tcBorders>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148CD9"/>
              </w:rPr>
              <w:t>Additional Committee</w:t>
            </w:r>
          </w:p>
        </w:tc>
        <w:tc>
          <w:tcPr>
            <w:tcW w:w="12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5860" w:type="dxa"/>
            <w:vAlign w:val="bottom"/>
          </w:tcPr>
          <w:p>
            <w:pPr>
              <w:ind w:left="60"/>
              <w:spacing w:after="0"/>
              <w:rPr>
                <w:sz w:val="20"/>
                <w:szCs w:val="20"/>
                <w:color w:val="auto"/>
              </w:rPr>
            </w:pPr>
            <w:r>
              <w:rPr>
                <w:rFonts w:ascii="Arial" w:cs="Arial" w:eastAsia="Arial" w:hAnsi="Arial"/>
                <w:sz w:val="18"/>
                <w:szCs w:val="18"/>
                <w:color w:val="auto"/>
              </w:rPr>
              <w:t>Appointing, compensating, evaluating, and overseeing a firm to serve as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148CD9"/>
              </w:rPr>
              <w:t>Members</w:t>
            </w:r>
            <w:r>
              <w:rPr>
                <w:rFonts w:ascii="Arial" w:cs="Arial" w:eastAsia="Arial" w:hAnsi="Arial"/>
                <w:sz w:val="18"/>
                <w:szCs w:val="18"/>
                <w:color w:val="000000"/>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the independent registered public accounting firm to audit our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ind w:left="60"/>
              <w:spacing w:after="0"/>
              <w:rPr>
                <w:sz w:val="20"/>
                <w:szCs w:val="20"/>
                <w:color w:val="auto"/>
              </w:rPr>
            </w:pPr>
            <w:r>
              <w:rPr>
                <w:rFonts w:ascii="Arial" w:cs="Arial" w:eastAsia="Arial" w:hAnsi="Arial"/>
                <w:sz w:val="18"/>
                <w:szCs w:val="18"/>
                <w:color w:val="auto"/>
                <w:w w:val="99"/>
              </w:rPr>
              <w:t>Kimberly Blackwell, M.D.</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consolidated financial statements;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2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80" w:type="dxa"/>
            <w:vAlign w:val="bottom"/>
            <w:gridSpan w:val="2"/>
            <w:vMerge w:val="restart"/>
          </w:tcPr>
          <w:p>
            <w:pPr>
              <w:ind w:left="300"/>
              <w:spacing w:after="0"/>
              <w:rPr>
                <w:sz w:val="20"/>
                <w:szCs w:val="20"/>
                <w:color w:val="auto"/>
              </w:rPr>
            </w:pPr>
            <w:r>
              <w:rPr>
                <w:rFonts w:ascii="Arial" w:cs="Arial" w:eastAsia="Arial" w:hAnsi="Arial"/>
                <w:sz w:val="18"/>
                <w:szCs w:val="18"/>
                <w:color w:val="auto"/>
              </w:rPr>
              <w:t>• Ensuring the independence of the independent registered public</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ind w:left="60"/>
              <w:spacing w:after="0"/>
              <w:rPr>
                <w:sz w:val="20"/>
                <w:szCs w:val="20"/>
                <w:color w:val="auto"/>
              </w:rPr>
            </w:pPr>
            <w:r>
              <w:rPr>
                <w:rFonts w:ascii="Arial" w:cs="Arial" w:eastAsia="Arial" w:hAnsi="Arial"/>
                <w:sz w:val="18"/>
                <w:szCs w:val="18"/>
                <w:color w:val="auto"/>
              </w:rPr>
              <w:t>Cynthia Butitta</w:t>
            </w:r>
          </w:p>
        </w:tc>
        <w:tc>
          <w:tcPr>
            <w:tcW w:w="120" w:type="dxa"/>
            <w:vAlign w:val="bottom"/>
          </w:tcPr>
          <w:p>
            <w:pPr>
              <w:spacing w:after="0"/>
              <w:rPr>
                <w:sz w:val="15"/>
                <w:szCs w:val="15"/>
                <w:color w:val="auto"/>
              </w:rPr>
            </w:pPr>
          </w:p>
        </w:tc>
        <w:tc>
          <w:tcPr>
            <w:tcW w:w="6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2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60" w:type="dxa"/>
            <w:vAlign w:val="bottom"/>
            <w:vMerge w:val="restart"/>
          </w:tcPr>
          <w:p>
            <w:pPr>
              <w:ind w:left="60"/>
              <w:spacing w:after="0"/>
              <w:rPr>
                <w:sz w:val="20"/>
                <w:szCs w:val="20"/>
                <w:color w:val="auto"/>
              </w:rPr>
            </w:pPr>
            <w:r>
              <w:rPr>
                <w:rFonts w:ascii="Arial" w:cs="Arial" w:eastAsia="Arial" w:hAnsi="Arial"/>
                <w:sz w:val="18"/>
                <w:szCs w:val="18"/>
                <w:color w:val="auto"/>
              </w:rPr>
              <w:t>accounting firm;</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ind w:left="60"/>
              <w:spacing w:after="0"/>
              <w:rPr>
                <w:sz w:val="20"/>
                <w:szCs w:val="20"/>
                <w:color w:val="auto"/>
              </w:rPr>
            </w:pPr>
            <w:r>
              <w:rPr>
                <w:rFonts w:ascii="Arial" w:cs="Arial" w:eastAsia="Arial" w:hAnsi="Arial"/>
                <w:sz w:val="18"/>
                <w:szCs w:val="18"/>
                <w:color w:val="auto"/>
              </w:rPr>
              <w:t>Alessandro Riva, M.D.</w:t>
            </w: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2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80" w:type="dxa"/>
            <w:vAlign w:val="bottom"/>
            <w:gridSpan w:val="2"/>
            <w:vMerge w:val="restart"/>
          </w:tcPr>
          <w:p>
            <w:pPr>
              <w:ind w:left="300"/>
              <w:spacing w:after="0"/>
              <w:rPr>
                <w:sz w:val="20"/>
                <w:szCs w:val="20"/>
                <w:color w:val="auto"/>
              </w:rPr>
            </w:pPr>
            <w:r>
              <w:rPr>
                <w:rFonts w:ascii="Arial" w:cs="Arial" w:eastAsia="Arial" w:hAnsi="Arial"/>
                <w:sz w:val="18"/>
                <w:szCs w:val="18"/>
                <w:color w:val="auto"/>
              </w:rPr>
              <w:t>• Discussing the scope and results of the audit with the independent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registered public accounting firm and reviewing, with management and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4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5860" w:type="dxa"/>
            <w:vAlign w:val="bottom"/>
            <w:vMerge w:val="restart"/>
          </w:tcPr>
          <w:p>
            <w:pPr>
              <w:ind w:left="60"/>
              <w:spacing w:after="0"/>
              <w:rPr>
                <w:sz w:val="20"/>
                <w:szCs w:val="20"/>
                <w:color w:val="auto"/>
              </w:rPr>
            </w:pPr>
            <w:r>
              <w:rPr>
                <w:rFonts w:ascii="Arial" w:cs="Arial" w:eastAsia="Arial" w:hAnsi="Arial"/>
                <w:sz w:val="18"/>
                <w:szCs w:val="18"/>
                <w:color w:val="auto"/>
              </w:rPr>
              <w:t>that firm, our interim and year-end operating results;</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420" w:type="dxa"/>
            <w:vAlign w:val="bottom"/>
            <w:tcBorders>
              <w:top w:val="single" w:sz="8" w:color="1DA46F"/>
            </w:tcBorders>
          </w:tcPr>
          <w:p>
            <w:pPr>
              <w:ind w:left="20"/>
              <w:spacing w:after="0" w:line="197" w:lineRule="exact"/>
              <w:rPr>
                <w:sz w:val="20"/>
                <w:szCs w:val="20"/>
                <w:color w:val="auto"/>
              </w:rPr>
            </w:pPr>
            <w:r>
              <w:rPr>
                <w:rFonts w:ascii="Arial" w:cs="Arial" w:eastAsia="Arial" w:hAnsi="Arial"/>
                <w:sz w:val="18"/>
                <w:szCs w:val="18"/>
                <w:color w:val="auto"/>
              </w:rPr>
              <w:t>​</w:t>
            </w:r>
          </w:p>
        </w:tc>
        <w:tc>
          <w:tcPr>
            <w:tcW w:w="2060" w:type="dxa"/>
            <w:vAlign w:val="bottom"/>
            <w:tcBorders>
              <w:top w:val="single" w:sz="8" w:color="1DA46F"/>
            </w:tcBorders>
          </w:tcPr>
          <w:p>
            <w:pPr>
              <w:spacing w:after="0"/>
              <w:rPr>
                <w:sz w:val="17"/>
                <w:szCs w:val="17"/>
                <w:color w:val="auto"/>
              </w:rPr>
            </w:pPr>
          </w:p>
        </w:tc>
        <w:tc>
          <w:tcPr>
            <w:tcW w:w="120" w:type="dxa"/>
            <w:vAlign w:val="bottom"/>
            <w:tcBorders>
              <w:top w:val="single" w:sz="8" w:color="1DA46F"/>
            </w:tcBorders>
          </w:tcPr>
          <w:p>
            <w:pPr>
              <w:ind w:left="20"/>
              <w:spacing w:after="0" w:line="197"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5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All members are deemed</w:t>
            </w:r>
          </w:p>
        </w:tc>
        <w:tc>
          <w:tcPr>
            <w:tcW w:w="120" w:type="dxa"/>
            <w:vAlign w:val="bottom"/>
          </w:tcPr>
          <w:p>
            <w:pPr>
              <w:spacing w:after="0"/>
              <w:rPr>
                <w:sz w:val="18"/>
                <w:szCs w:val="18"/>
                <w:color w:val="auto"/>
              </w:rPr>
            </w:pPr>
          </w:p>
        </w:tc>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5860" w:type="dxa"/>
            <w:vAlign w:val="bottom"/>
            <w:vMerge w:val="restart"/>
          </w:tcPr>
          <w:p>
            <w:pPr>
              <w:ind w:left="60"/>
              <w:spacing w:after="0"/>
              <w:rPr>
                <w:sz w:val="20"/>
                <w:szCs w:val="20"/>
                <w:color w:val="auto"/>
              </w:rPr>
            </w:pPr>
            <w:r>
              <w:rPr>
                <w:rFonts w:ascii="Arial" w:cs="Arial" w:eastAsia="Arial" w:hAnsi="Arial"/>
                <w:sz w:val="18"/>
                <w:szCs w:val="18"/>
                <w:color w:val="auto"/>
              </w:rPr>
              <w:t>Establishing procedures for employees to anonymously submit concerns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480" w:type="dxa"/>
            <w:vAlign w:val="bottom"/>
            <w:gridSpan w:val="2"/>
            <w:vMerge w:val="restart"/>
          </w:tcPr>
          <w:p>
            <w:pPr>
              <w:ind w:left="340"/>
              <w:spacing w:after="0"/>
              <w:rPr>
                <w:sz w:val="20"/>
                <w:szCs w:val="20"/>
                <w:color w:val="auto"/>
              </w:rPr>
            </w:pPr>
            <w:r>
              <w:rPr>
                <w:rFonts w:ascii="Arial" w:cs="Arial" w:eastAsia="Arial" w:hAnsi="Arial"/>
                <w:sz w:val="18"/>
                <w:szCs w:val="18"/>
                <w:color w:val="auto"/>
              </w:rPr>
              <w:t>“independent” and</w:t>
            </w:r>
          </w:p>
        </w:tc>
        <w:tc>
          <w:tcPr>
            <w:tcW w:w="1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60" w:type="dxa"/>
            <w:vAlign w:val="bottom"/>
            <w:vMerge w:val="restart"/>
          </w:tcPr>
          <w:p>
            <w:pPr>
              <w:ind w:left="60"/>
              <w:spacing w:after="0"/>
              <w:rPr>
                <w:sz w:val="20"/>
                <w:szCs w:val="20"/>
                <w:color w:val="auto"/>
              </w:rPr>
            </w:pPr>
            <w:r>
              <w:rPr>
                <w:rFonts w:ascii="Arial" w:cs="Arial" w:eastAsia="Arial" w:hAnsi="Arial"/>
                <w:sz w:val="18"/>
                <w:szCs w:val="18"/>
                <w:color w:val="auto"/>
              </w:rPr>
              <w:t>about questionable accounting or audit matters;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480" w:type="dxa"/>
            <w:vAlign w:val="bottom"/>
            <w:gridSpan w:val="2"/>
            <w:vMerge w:val="restart"/>
          </w:tcPr>
          <w:p>
            <w:pPr>
              <w:ind w:left="340"/>
              <w:spacing w:after="0"/>
              <w:rPr>
                <w:sz w:val="20"/>
                <w:szCs w:val="20"/>
                <w:color w:val="auto"/>
              </w:rPr>
            </w:pPr>
            <w:r>
              <w:rPr>
                <w:rFonts w:ascii="Arial" w:cs="Arial" w:eastAsia="Arial" w:hAnsi="Arial"/>
                <w:sz w:val="18"/>
                <w:szCs w:val="18"/>
                <w:color w:val="auto"/>
              </w:rPr>
              <w:t>financially literate under</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the applicable rules and</w:t>
            </w:r>
          </w:p>
        </w:tc>
        <w:tc>
          <w:tcPr>
            <w:tcW w:w="120" w:type="dxa"/>
            <w:vAlign w:val="bottom"/>
          </w:tcPr>
          <w:p>
            <w:pPr>
              <w:spacing w:after="0"/>
              <w:rPr>
                <w:sz w:val="18"/>
                <w:szCs w:val="18"/>
                <w:color w:val="auto"/>
              </w:rPr>
            </w:pPr>
          </w:p>
        </w:tc>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5860" w:type="dxa"/>
            <w:vAlign w:val="bottom"/>
          </w:tcPr>
          <w:p>
            <w:pPr>
              <w:ind w:left="60"/>
              <w:spacing w:after="0"/>
              <w:rPr>
                <w:sz w:val="20"/>
                <w:szCs w:val="20"/>
                <w:color w:val="auto"/>
              </w:rPr>
            </w:pPr>
            <w:r>
              <w:rPr>
                <w:rFonts w:ascii="Arial" w:cs="Arial" w:eastAsia="Arial" w:hAnsi="Arial"/>
                <w:sz w:val="18"/>
                <w:szCs w:val="18"/>
                <w:color w:val="auto"/>
              </w:rPr>
              <w:t>Considering the adequacy of our internal controls and internal audit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340"/>
              <w:spacing w:after="0"/>
              <w:rPr>
                <w:sz w:val="20"/>
                <w:szCs w:val="20"/>
                <w:color w:val="auto"/>
              </w:rPr>
            </w:pPr>
            <w:r>
              <w:rPr>
                <w:rFonts w:ascii="Arial" w:cs="Arial" w:eastAsia="Arial" w:hAnsi="Arial"/>
                <w:sz w:val="18"/>
                <w:szCs w:val="18"/>
                <w:color w:val="auto"/>
                <w:w w:val="98"/>
              </w:rPr>
              <w:t>regulations of the SEC and</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function;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Nasdaq.</w:t>
            </w:r>
          </w:p>
        </w:tc>
        <w:tc>
          <w:tcPr>
            <w:tcW w:w="120" w:type="dxa"/>
            <w:vAlign w:val="bottom"/>
          </w:tcPr>
          <w:p>
            <w:pPr>
              <w:spacing w:after="0"/>
              <w:rPr>
                <w:sz w:val="20"/>
                <w:szCs w:val="20"/>
                <w:color w:val="auto"/>
              </w:rPr>
            </w:pPr>
          </w:p>
        </w:tc>
        <w:tc>
          <w:tcPr>
            <w:tcW w:w="6280" w:type="dxa"/>
            <w:vAlign w:val="bottom"/>
            <w:gridSpan w:val="2"/>
            <w:vMerge w:val="restart"/>
          </w:tcPr>
          <w:p>
            <w:pPr>
              <w:ind w:left="300"/>
              <w:spacing w:after="0"/>
              <w:rPr>
                <w:sz w:val="20"/>
                <w:szCs w:val="20"/>
                <w:color w:val="auto"/>
              </w:rPr>
            </w:pPr>
            <w:r>
              <w:rPr>
                <w:rFonts w:ascii="Arial" w:cs="Arial" w:eastAsia="Arial" w:hAnsi="Arial"/>
                <w:sz w:val="18"/>
                <w:szCs w:val="18"/>
                <w:color w:val="auto"/>
              </w:rPr>
              <w:t>• Reviewing significant existing and emerging cybersecurity risks, including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80" w:type="dxa"/>
            <w:vAlign w:val="bottom"/>
            <w:gridSpan w:val="2"/>
            <w:vMerge w:val="restart"/>
          </w:tcPr>
          <w:p>
            <w:pPr>
              <w:ind w:left="340"/>
              <w:spacing w:after="0"/>
              <w:rPr>
                <w:sz w:val="20"/>
                <w:szCs w:val="20"/>
                <w:color w:val="auto"/>
              </w:rPr>
            </w:pPr>
            <w:r>
              <w:rPr>
                <w:rFonts w:ascii="Arial" w:cs="Arial" w:eastAsia="Arial" w:hAnsi="Arial"/>
                <w:sz w:val="18"/>
                <w:szCs w:val="18"/>
                <w:color w:val="auto"/>
                <w:w w:val="99"/>
              </w:rPr>
              <w:t>Cynthia Butitta qualifies as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material cybersecurity incidents, the impact on us and our stockholders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4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60" w:type="dxa"/>
            <w:vAlign w:val="bottom"/>
            <w:vMerge w:val="restart"/>
          </w:tcPr>
          <w:p>
            <w:pPr>
              <w:ind w:left="60"/>
              <w:spacing w:after="0"/>
              <w:rPr>
                <w:sz w:val="20"/>
                <w:szCs w:val="20"/>
                <w:color w:val="auto"/>
              </w:rPr>
            </w:pPr>
            <w:r>
              <w:rPr>
                <w:rFonts w:ascii="Arial" w:cs="Arial" w:eastAsia="Arial" w:hAnsi="Arial"/>
                <w:sz w:val="18"/>
                <w:szCs w:val="18"/>
                <w:color w:val="auto"/>
              </w:rPr>
              <w:t>of any significant cybersecurity incident and any disclosure obligations</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480" w:type="dxa"/>
            <w:vAlign w:val="bottom"/>
            <w:gridSpan w:val="2"/>
            <w:vMerge w:val="restart"/>
          </w:tcPr>
          <w:p>
            <w:pPr>
              <w:ind w:left="340"/>
              <w:spacing w:after="0"/>
              <w:rPr>
                <w:sz w:val="20"/>
                <w:szCs w:val="20"/>
                <w:color w:val="auto"/>
              </w:rPr>
            </w:pPr>
            <w:r>
              <w:rPr>
                <w:rFonts w:ascii="Arial" w:cs="Arial" w:eastAsia="Arial" w:hAnsi="Arial"/>
                <w:sz w:val="18"/>
                <w:szCs w:val="18"/>
                <w:color w:val="auto"/>
              </w:rPr>
              <w:t>an “audit committee</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60" w:type="dxa"/>
            <w:vAlign w:val="bottom"/>
            <w:vMerge w:val="restart"/>
          </w:tcPr>
          <w:p>
            <w:pPr>
              <w:ind w:left="60"/>
              <w:spacing w:after="0"/>
              <w:rPr>
                <w:sz w:val="20"/>
                <w:szCs w:val="20"/>
                <w:color w:val="auto"/>
              </w:rPr>
            </w:pPr>
            <w:r>
              <w:rPr>
                <w:rFonts w:ascii="Arial" w:cs="Arial" w:eastAsia="Arial" w:hAnsi="Arial"/>
                <w:sz w:val="18"/>
                <w:szCs w:val="18"/>
                <w:color w:val="auto"/>
              </w:rPr>
              <w:t>arising from any such incidents;</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480" w:type="dxa"/>
            <w:vAlign w:val="bottom"/>
            <w:gridSpan w:val="2"/>
            <w:vMerge w:val="restart"/>
          </w:tcPr>
          <w:p>
            <w:pPr>
              <w:ind w:left="340"/>
              <w:spacing w:after="0"/>
              <w:rPr>
                <w:sz w:val="20"/>
                <w:szCs w:val="20"/>
                <w:color w:val="auto"/>
              </w:rPr>
            </w:pPr>
            <w:r>
              <w:rPr>
                <w:rFonts w:ascii="Arial" w:cs="Arial" w:eastAsia="Arial" w:hAnsi="Arial"/>
                <w:sz w:val="18"/>
                <w:szCs w:val="18"/>
                <w:color w:val="auto"/>
              </w:rPr>
              <w:t>financial expert” within the</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4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meaning of SEC</w:t>
            </w:r>
          </w:p>
        </w:tc>
        <w:tc>
          <w:tcPr>
            <w:tcW w:w="120" w:type="dxa"/>
            <w:vAlign w:val="bottom"/>
          </w:tcPr>
          <w:p>
            <w:pPr>
              <w:spacing w:after="0"/>
              <w:rPr>
                <w:sz w:val="20"/>
                <w:szCs w:val="20"/>
                <w:color w:val="auto"/>
              </w:rPr>
            </w:pPr>
          </w:p>
        </w:tc>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5860" w:type="dxa"/>
            <w:vAlign w:val="bottom"/>
          </w:tcPr>
          <w:p>
            <w:pPr>
              <w:ind w:left="60"/>
              <w:spacing w:after="0"/>
              <w:rPr>
                <w:sz w:val="20"/>
                <w:szCs w:val="20"/>
                <w:color w:val="auto"/>
              </w:rPr>
            </w:pPr>
            <w:r>
              <w:rPr>
                <w:rFonts w:ascii="Arial" w:cs="Arial" w:eastAsia="Arial" w:hAnsi="Arial"/>
                <w:sz w:val="18"/>
                <w:szCs w:val="18"/>
                <w:color w:val="auto"/>
                <w:w w:val="98"/>
              </w:rPr>
              <w:t>Monitoring and reviewing legal, regulatory, and administrative compliance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regulations.</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to the extent affecting our financial results;</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2"/>
        </w:trPr>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5860" w:type="dxa"/>
            <w:vAlign w:val="bottom"/>
          </w:tcPr>
          <w:p>
            <w:pPr>
              <w:ind w:left="60"/>
              <w:spacing w:after="0"/>
              <w:rPr>
                <w:sz w:val="20"/>
                <w:szCs w:val="20"/>
                <w:color w:val="auto"/>
              </w:rPr>
            </w:pPr>
            <w:r>
              <w:rPr>
                <w:rFonts w:ascii="Arial" w:cs="Arial" w:eastAsia="Arial" w:hAnsi="Arial"/>
                <w:sz w:val="18"/>
                <w:szCs w:val="18"/>
                <w:color w:val="auto"/>
              </w:rPr>
              <w:t>Reviewing our Code of Conduct and any proposed waivers thereof, and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recommending any changes or amendments to the Code of Conduct;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-2033905</wp:posOffset>
            </wp:positionV>
            <wp:extent cx="76835" cy="774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-1056640</wp:posOffset>
            </wp:positionV>
            <wp:extent cx="76835" cy="774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06" w:lineRule="exact"/>
        <w:rPr>
          <w:sz w:val="20"/>
          <w:szCs w:val="20"/>
          <w:color w:val="auto"/>
        </w:rPr>
      </w:pPr>
    </w:p>
    <w:p>
      <w:pPr>
        <w:ind w:left="3940" w:right="699" w:hanging="179"/>
        <w:spacing w:after="0" w:line="287" w:lineRule="auto"/>
        <w:tabs>
          <w:tab w:leader="none" w:pos="3920" w:val="left"/>
        </w:tabs>
        <w:rPr>
          <w:sz w:val="20"/>
          <w:szCs w:val="20"/>
          <w:color w:val="auto"/>
        </w:rPr>
      </w:pPr>
      <w:r>
        <w:rPr>
          <w:rFonts w:ascii="Arial" w:cs="Arial" w:eastAsia="Arial" w:hAnsi="Arial"/>
          <w:sz w:val="18"/>
          <w:szCs w:val="18"/>
          <w:color w:val="auto"/>
        </w:rPr>
        <w:t>•</w:t>
        <w:tab/>
        <w:t>Reviewing, approving, ratifying or prohibiting material related party transactions;</w:t>
      </w:r>
    </w:p>
    <w:p>
      <w:pPr>
        <w:spacing w:after="0" w:line="72" w:lineRule="exact"/>
        <w:rPr>
          <w:sz w:val="20"/>
          <w:szCs w:val="20"/>
          <w:color w:val="auto"/>
        </w:rPr>
      </w:pPr>
    </w:p>
    <w:p>
      <w:pPr>
        <w:ind w:left="3940" w:right="139" w:hanging="179"/>
        <w:spacing w:after="0" w:line="268" w:lineRule="auto"/>
        <w:tabs>
          <w:tab w:leader="none" w:pos="3920" w:val="left"/>
        </w:tabs>
        <w:rPr>
          <w:sz w:val="20"/>
          <w:szCs w:val="20"/>
          <w:color w:val="auto"/>
        </w:rPr>
      </w:pPr>
      <w:r>
        <w:rPr>
          <w:rFonts w:ascii="Arial" w:cs="Arial" w:eastAsia="Arial" w:hAnsi="Arial"/>
          <w:sz w:val="18"/>
          <w:szCs w:val="18"/>
          <w:color w:val="auto"/>
        </w:rPr>
        <w:t>•</w:t>
        <w:tab/>
        <w:t>Determining and reviewing risk assessment guidelines and policies, including cybersecurity risks, financial risk exposure, and internal controls regarding information security; and</w:t>
      </w:r>
    </w:p>
    <w:p>
      <w:pPr>
        <w:spacing w:after="0" w:line="103" w:lineRule="exact"/>
        <w:rPr>
          <w:sz w:val="20"/>
          <w:szCs w:val="20"/>
          <w:color w:val="auto"/>
        </w:rPr>
      </w:pPr>
    </w:p>
    <w:p>
      <w:pPr>
        <w:ind w:left="3940" w:right="139" w:hanging="179"/>
        <w:spacing w:after="0" w:line="318" w:lineRule="auto"/>
        <w:tabs>
          <w:tab w:leader="none" w:pos="3920" w:val="left"/>
        </w:tabs>
        <w:rPr>
          <w:sz w:val="20"/>
          <w:szCs w:val="20"/>
          <w:color w:val="auto"/>
        </w:rPr>
      </w:pPr>
      <w:r>
        <w:rPr>
          <w:rFonts w:ascii="Arial" w:cs="Arial" w:eastAsia="Arial" w:hAnsi="Arial"/>
          <w:sz w:val="17"/>
          <w:szCs w:val="17"/>
          <w:color w:val="auto"/>
        </w:rPr>
        <w:t>•</w:t>
        <w:tab/>
        <w:t>Approving or, as permitted, pre-approving all audit and non-audit services to be performed by the independent registered public accounting firm.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8860" w:type="dxa"/>
            <w:vAlign w:val="bottom"/>
            <w:gridSpan w:val="4"/>
            <w:shd w:val="clear" w:color="auto" w:fill="1DA46F"/>
          </w:tcPr>
          <w:p>
            <w:pPr>
              <w:ind w:left="20"/>
              <w:spacing w:after="0"/>
              <w:rPr>
                <w:sz w:val="20"/>
                <w:szCs w:val="20"/>
                <w:color w:val="auto"/>
              </w:rPr>
            </w:pPr>
            <w:r>
              <w:rPr>
                <w:rFonts w:ascii="Arial" w:cs="Arial" w:eastAsia="Arial" w:hAnsi="Arial"/>
                <w:sz w:val="32"/>
                <w:szCs w:val="32"/>
                <w:b w:val="1"/>
                <w:bCs w:val="1"/>
                <w:color w:val="FFFFFF"/>
                <w:shd w:val="clear" w:color="auto" w:fill="1DA46F"/>
              </w:rPr>
              <w:t>​CORPORATE GOVERNANCE AND RISK MANAGEMENT</w:t>
            </w:r>
          </w:p>
        </w:tc>
        <w:tc>
          <w:tcPr>
            <w:tcW w:w="120" w:type="dxa"/>
            <w:vAlign w:val="bottom"/>
            <w:shd w:val="clear" w:color="auto" w:fill="1DA46F"/>
          </w:tcPr>
          <w:p>
            <w:pPr>
              <w:ind w:left="20"/>
              <w:spacing w:after="0"/>
              <w:rPr>
                <w:sz w:val="20"/>
                <w:szCs w:val="20"/>
                <w:color w:val="auto"/>
              </w:rPr>
            </w:pPr>
            <w:r>
              <w:rPr>
                <w:rFonts w:ascii="Arial" w:cs="Arial" w:eastAsia="Arial" w:hAnsi="Arial"/>
                <w:sz w:val="32"/>
                <w:szCs w:val="32"/>
                <w:b w:val="1"/>
                <w:bCs w:val="1"/>
                <w:color w:val="FFFFFF"/>
                <w:shd w:val="clear" w:color="auto" w:fill="1DA46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Pr>
          <w:p>
            <w:pPr>
              <w:ind w:left="60"/>
              <w:spacing w:after="0"/>
              <w:rPr>
                <w:sz w:val="20"/>
                <w:szCs w:val="20"/>
                <w:color w:val="auto"/>
              </w:rPr>
            </w:pPr>
            <w:r>
              <w:rPr>
                <w:rFonts w:ascii="Arial" w:cs="Arial" w:eastAsia="Arial" w:hAnsi="Arial"/>
                <w:sz w:val="22"/>
                <w:szCs w:val="22"/>
                <w:b w:val="1"/>
                <w:bCs w:val="1"/>
                <w:color w:val="148CD9"/>
              </w:rPr>
              <w:t>​</w:t>
            </w:r>
          </w:p>
        </w:tc>
        <w:tc>
          <w:tcPr>
            <w:tcW w:w="8440" w:type="dxa"/>
            <w:vAlign w:val="bottom"/>
            <w:gridSpan w:val="3"/>
          </w:tcPr>
          <w:p>
            <w:pPr>
              <w:ind w:left="900"/>
              <w:spacing w:after="0"/>
              <w:rPr>
                <w:sz w:val="20"/>
                <w:szCs w:val="20"/>
                <w:color w:val="auto"/>
              </w:rPr>
            </w:pPr>
            <w:r>
              <w:rPr>
                <w:rFonts w:ascii="Arial" w:cs="Arial" w:eastAsia="Arial" w:hAnsi="Arial"/>
                <w:sz w:val="22"/>
                <w:szCs w:val="22"/>
                <w:b w:val="1"/>
                <w:bCs w:val="1"/>
                <w:color w:val="148CD9"/>
              </w:rPr>
              <w:t>THE NOMINATING &amp; CORPORATE GOVERNANCE COMMITTEE</w:t>
            </w:r>
          </w:p>
        </w:tc>
        <w:tc>
          <w:tcPr>
            <w:tcW w:w="140" w:type="dxa"/>
            <w:vAlign w:val="bottom"/>
            <w:gridSpan w:val="2"/>
          </w:tcPr>
          <w:p>
            <w:pPr>
              <w:ind w:left="80"/>
              <w:spacing w:after="0"/>
              <w:rPr>
                <w:sz w:val="20"/>
                <w:szCs w:val="20"/>
                <w:color w:val="auto"/>
              </w:rPr>
            </w:pPr>
            <w:r>
              <w:rPr>
                <w:rFonts w:ascii="Arial" w:cs="Arial" w:eastAsia="Arial" w:hAnsi="Arial"/>
                <w:sz w:val="22"/>
                <w:szCs w:val="22"/>
                <w:b w:val="1"/>
                <w:bCs w:val="1"/>
                <w:color w:val="148CD9"/>
              </w:rPr>
              <w:t>​</w:t>
            </w:r>
          </w:p>
        </w:tc>
        <w:tc>
          <w:tcPr>
            <w:tcW w:w="0" w:type="dxa"/>
            <w:vAlign w:val="bottom"/>
          </w:tcPr>
          <w:p>
            <w:pPr>
              <w:spacing w:after="0"/>
              <w:rPr>
                <w:sz w:val="1"/>
                <w:szCs w:val="1"/>
                <w:color w:val="auto"/>
              </w:rPr>
            </w:pPr>
          </w:p>
        </w:tc>
      </w:tr>
      <w:tr>
        <w:trPr>
          <w:trHeight w:val="255"/>
        </w:trPr>
        <w:tc>
          <w:tcPr>
            <w:tcW w:w="2480" w:type="dxa"/>
            <w:vAlign w:val="bottom"/>
            <w:tcBorders>
              <w:top w:val="single" w:sz="8" w:color="1DA46F"/>
            </w:tcBorders>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148CD9"/>
              </w:rPr>
              <w:t>Chair</w:t>
            </w:r>
            <w:r>
              <w:rPr>
                <w:rFonts w:ascii="Arial" w:cs="Arial" w:eastAsia="Arial" w:hAnsi="Arial"/>
                <w:sz w:val="18"/>
                <w:szCs w:val="18"/>
                <w:color w:val="auto"/>
              </w:rPr>
              <w:t>: Joseph Jimenez</w:t>
            </w:r>
          </w:p>
        </w:tc>
        <w:tc>
          <w:tcPr>
            <w:tcW w:w="6380" w:type="dxa"/>
            <w:vAlign w:val="bottom"/>
            <w:tcBorders>
              <w:top w:val="single" w:sz="8" w:color="1DA46F"/>
            </w:tcBorders>
            <w:gridSpan w:val="2"/>
          </w:tcPr>
          <w:p>
            <w:pPr>
              <w:ind w:left="20"/>
              <w:spacing w:after="0"/>
              <w:rPr>
                <w:sz w:val="20"/>
                <w:szCs w:val="20"/>
                <w:color w:val="auto"/>
              </w:rPr>
            </w:pPr>
            <w:r>
              <w:rPr>
                <w:rFonts w:ascii="Arial" w:cs="Arial" w:eastAsia="Arial" w:hAnsi="Arial"/>
                <w:sz w:val="18"/>
                <w:szCs w:val="18"/>
                <w:color w:val="auto"/>
              </w:rPr>
              <w:t>​ ​ Responsible for, among other things:</w:t>
            </w:r>
          </w:p>
        </w:tc>
        <w:tc>
          <w:tcPr>
            <w:tcW w:w="120" w:type="dxa"/>
            <w:vAlign w:val="bottom"/>
            <w:tcBorders>
              <w:top w:val="single" w:sz="8" w:color="1DA46F"/>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148CD9"/>
              </w:rPr>
              <w:t>Additional Committee</w:t>
            </w:r>
          </w:p>
        </w:tc>
        <w:tc>
          <w:tcPr>
            <w:tcW w:w="12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Developing and recommending selection criteria for new directors for our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148CD9"/>
              </w:rPr>
              <w:t>Members</w:t>
            </w:r>
            <w:r>
              <w:rPr>
                <w:rFonts w:ascii="Arial" w:cs="Arial" w:eastAsia="Arial" w:hAnsi="Arial"/>
                <w:sz w:val="18"/>
                <w:szCs w:val="18"/>
                <w:color w:val="000000"/>
              </w:rPr>
              <w:t>:</w:t>
            </w:r>
          </w:p>
        </w:tc>
        <w:tc>
          <w:tcPr>
            <w:tcW w:w="120" w:type="dxa"/>
            <w:vAlign w:val="bottom"/>
          </w:tcPr>
          <w:p>
            <w:pPr>
              <w:spacing w:after="0"/>
              <w:rPr>
                <w:sz w:val="22"/>
                <w:szCs w:val="22"/>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Board;</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3"/>
        </w:trPr>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2060" w:type="dxa"/>
            <w:vAlign w:val="bottom"/>
          </w:tcPr>
          <w:p>
            <w:pPr>
              <w:ind w:left="60"/>
              <w:spacing w:after="0"/>
              <w:rPr>
                <w:sz w:val="20"/>
                <w:szCs w:val="20"/>
                <w:color w:val="auto"/>
              </w:rPr>
            </w:pPr>
            <w:r>
              <w:rPr>
                <w:rFonts w:ascii="Arial" w:cs="Arial" w:eastAsia="Arial" w:hAnsi="Arial"/>
                <w:sz w:val="18"/>
                <w:szCs w:val="18"/>
                <w:color w:val="auto"/>
                <w:w w:val="99"/>
              </w:rPr>
              <w:t>Kimberly Blackwell, M.D.</w:t>
            </w:r>
          </w:p>
        </w:tc>
        <w:tc>
          <w:tcPr>
            <w:tcW w:w="12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Identifying and recommending candidates for membership on our Board;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2060" w:type="dxa"/>
            <w:vAlign w:val="bottom"/>
          </w:tcPr>
          <w:p>
            <w:pPr>
              <w:ind w:left="60"/>
              <w:spacing w:after="0"/>
              <w:rPr>
                <w:sz w:val="20"/>
                <w:szCs w:val="20"/>
                <w:color w:val="auto"/>
              </w:rPr>
            </w:pPr>
            <w:r>
              <w:rPr>
                <w:rFonts w:ascii="Arial" w:cs="Arial" w:eastAsia="Arial" w:hAnsi="Arial"/>
                <w:sz w:val="18"/>
                <w:szCs w:val="18"/>
                <w:color w:val="auto"/>
              </w:rPr>
              <w:t>Daphne Quimi</w:t>
            </w:r>
          </w:p>
        </w:tc>
        <w:tc>
          <w:tcPr>
            <w:tcW w:w="12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Reviewing and determining director independence annually and, as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ind w:left="60"/>
              <w:spacing w:after="0"/>
              <w:rPr>
                <w:sz w:val="20"/>
                <w:szCs w:val="20"/>
                <w:color w:val="auto"/>
              </w:rPr>
            </w:pPr>
            <w:r>
              <w:rPr>
                <w:rFonts w:ascii="Arial" w:cs="Arial" w:eastAsia="Arial" w:hAnsi="Arial"/>
                <w:sz w:val="18"/>
                <w:szCs w:val="18"/>
                <w:color w:val="auto"/>
              </w:rPr>
              <w:t>Carlo Rizzuto, Ph.D.</w:t>
            </w:r>
          </w:p>
        </w:tc>
        <w:tc>
          <w:tcPr>
            <w:tcW w:w="120" w:type="dxa"/>
            <w:vAlign w:val="bottom"/>
          </w:tcPr>
          <w:p>
            <w:pPr>
              <w:spacing w:after="0"/>
              <w:rPr>
                <w:sz w:val="20"/>
                <w:szCs w:val="20"/>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needed, as potential conflicts of interest arise;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20" w:type="dxa"/>
            <w:vAlign w:val="bottom"/>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Reviewing and recommending the assignment of directors to serve 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vMerge w:val="restart"/>
          </w:tcPr>
          <w:p>
            <w:pPr>
              <w:ind w:left="480"/>
              <w:spacing w:after="0" w:line="161" w:lineRule="exact"/>
              <w:rPr>
                <w:sz w:val="20"/>
                <w:szCs w:val="20"/>
                <w:color w:val="auto"/>
              </w:rPr>
            </w:pPr>
            <w:r>
              <w:rPr>
                <w:rFonts w:ascii="Arial" w:cs="Arial" w:eastAsia="Arial" w:hAnsi="Arial"/>
                <w:sz w:val="18"/>
                <w:szCs w:val="18"/>
                <w:color w:val="auto"/>
              </w:rPr>
              <w:t>each Board committee;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420" w:type="dxa"/>
            <w:vAlign w:val="bottom"/>
            <w:tcBorders>
              <w:bottom w:val="single" w:sz="8" w:color="1DA46F"/>
            </w:tcBorders>
          </w:tcPr>
          <w:p>
            <w:pPr>
              <w:spacing w:after="0"/>
              <w:rPr>
                <w:sz w:val="3"/>
                <w:szCs w:val="3"/>
                <w:color w:val="auto"/>
              </w:rPr>
            </w:pPr>
          </w:p>
        </w:tc>
        <w:tc>
          <w:tcPr>
            <w:tcW w:w="2060" w:type="dxa"/>
            <w:vAlign w:val="bottom"/>
            <w:tcBorders>
              <w:bottom w:val="single" w:sz="8" w:color="1DA46F"/>
            </w:tcBorders>
          </w:tcPr>
          <w:p>
            <w:pPr>
              <w:spacing w:after="0"/>
              <w:rPr>
                <w:sz w:val="3"/>
                <w:szCs w:val="3"/>
                <w:color w:val="auto"/>
              </w:rPr>
            </w:pPr>
          </w:p>
        </w:tc>
        <w:tc>
          <w:tcPr>
            <w:tcW w:w="120" w:type="dxa"/>
            <w:vAlign w:val="bottom"/>
            <w:tcBorders>
              <w:bottom w:val="single" w:sz="8" w:color="1DA46F"/>
            </w:tcBorders>
          </w:tcPr>
          <w:p>
            <w:pPr>
              <w:spacing w:after="0"/>
              <w:rPr>
                <w:sz w:val="3"/>
                <w:szCs w:val="3"/>
                <w:color w:val="auto"/>
              </w:rPr>
            </w:pPr>
          </w:p>
        </w:tc>
        <w:tc>
          <w:tcPr>
            <w:tcW w:w="62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Reviewing and recommending changes to our Corporate Governance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80" w:type="dxa"/>
            <w:vAlign w:val="bottom"/>
            <w:gridSpan w:val="2"/>
          </w:tcPr>
          <w:p>
            <w:pPr>
              <w:ind w:left="340"/>
              <w:spacing w:after="0" w:line="180" w:lineRule="exact"/>
              <w:rPr>
                <w:sz w:val="20"/>
                <w:szCs w:val="20"/>
                <w:color w:val="auto"/>
              </w:rPr>
            </w:pPr>
            <w:r>
              <w:rPr>
                <w:rFonts w:ascii="Arial" w:cs="Arial" w:eastAsia="Arial" w:hAnsi="Arial"/>
                <w:sz w:val="18"/>
                <w:szCs w:val="18"/>
                <w:color w:val="auto"/>
              </w:rPr>
              <w:t>All members are deemed</w:t>
            </w:r>
          </w:p>
        </w:tc>
        <w:tc>
          <w:tcPr>
            <w:tcW w:w="120" w:type="dxa"/>
            <w:vAlign w:val="bottom"/>
          </w:tcPr>
          <w:p>
            <w:pPr>
              <w:spacing w:after="0"/>
              <w:rPr>
                <w:sz w:val="15"/>
                <w:szCs w:val="15"/>
                <w:color w:val="auto"/>
              </w:rPr>
            </w:pPr>
          </w:p>
        </w:tc>
        <w:tc>
          <w:tcPr>
            <w:tcW w:w="6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“independent” under the</w:t>
            </w:r>
          </w:p>
        </w:tc>
        <w:tc>
          <w:tcPr>
            <w:tcW w:w="120" w:type="dxa"/>
            <w:vAlign w:val="bottom"/>
          </w:tcPr>
          <w:p>
            <w:pPr>
              <w:spacing w:after="0"/>
              <w:rPr>
                <w:sz w:val="21"/>
                <w:szCs w:val="21"/>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Guidelines;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applicable rules and</w:t>
            </w:r>
          </w:p>
        </w:tc>
        <w:tc>
          <w:tcPr>
            <w:tcW w:w="120" w:type="dxa"/>
            <w:vAlign w:val="bottom"/>
          </w:tcPr>
          <w:p>
            <w:pPr>
              <w:spacing w:after="0"/>
              <w:rPr>
                <w:sz w:val="18"/>
                <w:szCs w:val="18"/>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Overseeing the succession planning process for our executive officers;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480" w:type="dxa"/>
            <w:vAlign w:val="bottom"/>
            <w:gridSpan w:val="2"/>
            <w:vMerge w:val="restart"/>
          </w:tcPr>
          <w:p>
            <w:pPr>
              <w:ind w:left="340"/>
              <w:spacing w:after="0"/>
              <w:rPr>
                <w:sz w:val="20"/>
                <w:szCs w:val="20"/>
                <w:color w:val="auto"/>
              </w:rPr>
            </w:pPr>
            <w:r>
              <w:rPr>
                <w:rFonts w:ascii="Arial" w:cs="Arial" w:eastAsia="Arial" w:hAnsi="Arial"/>
                <w:sz w:val="18"/>
                <w:szCs w:val="18"/>
                <w:color w:val="auto"/>
                <w:w w:val="98"/>
              </w:rPr>
              <w:t>regulations of the SEC and</w:t>
            </w:r>
          </w:p>
        </w:tc>
        <w:tc>
          <w:tcPr>
            <w:tcW w:w="120" w:type="dxa"/>
            <w:vAlign w:val="bottom"/>
          </w:tcPr>
          <w:p>
            <w:pPr>
              <w:spacing w:after="0"/>
              <w:rPr>
                <w:sz w:val="9"/>
                <w:szCs w:val="9"/>
                <w:color w:val="auto"/>
              </w:rPr>
            </w:pPr>
          </w:p>
        </w:tc>
        <w:tc>
          <w:tcPr>
            <w:tcW w:w="6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Overseeing the process of evaluating the performance of our Board; and</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Nasdaq.</w:t>
            </w:r>
          </w:p>
        </w:tc>
        <w:tc>
          <w:tcPr>
            <w:tcW w:w="120" w:type="dxa"/>
            <w:vAlign w:val="bottom"/>
          </w:tcPr>
          <w:p>
            <w:pPr>
              <w:spacing w:after="0"/>
              <w:rPr>
                <w:sz w:val="20"/>
                <w:szCs w:val="20"/>
                <w:color w:val="auto"/>
              </w:rPr>
            </w:pPr>
          </w:p>
        </w:tc>
        <w:tc>
          <w:tcPr>
            <w:tcW w:w="6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Assisting our Board on corporate governance matters.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420" w:type="dxa"/>
            <w:vAlign w:val="bottom"/>
          </w:tcPr>
          <w:p>
            <w:pPr>
              <w:ind w:left="60"/>
              <w:spacing w:after="0"/>
              <w:rPr>
                <w:sz w:val="20"/>
                <w:szCs w:val="20"/>
                <w:color w:val="auto"/>
              </w:rPr>
            </w:pPr>
            <w:r>
              <w:rPr>
                <w:rFonts w:ascii="Arial" w:cs="Arial" w:eastAsia="Arial" w:hAnsi="Arial"/>
                <w:sz w:val="22"/>
                <w:szCs w:val="22"/>
                <w:b w:val="1"/>
                <w:bCs w:val="1"/>
                <w:color w:val="148CD9"/>
              </w:rPr>
              <w:t>​</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Arial" w:cs="Arial" w:eastAsia="Arial" w:hAnsi="Arial"/>
                <w:sz w:val="22"/>
                <w:szCs w:val="22"/>
                <w:b w:val="1"/>
                <w:bCs w:val="1"/>
                <w:color w:val="148CD9"/>
              </w:rPr>
              <w:t>THE COMPENSATION COMMITTEE</w:t>
            </w:r>
          </w:p>
        </w:tc>
        <w:tc>
          <w:tcPr>
            <w:tcW w:w="140" w:type="dxa"/>
            <w:vAlign w:val="bottom"/>
            <w:gridSpan w:val="2"/>
          </w:tcPr>
          <w:p>
            <w:pPr>
              <w:ind w:left="80"/>
              <w:spacing w:after="0"/>
              <w:rPr>
                <w:sz w:val="20"/>
                <w:szCs w:val="20"/>
                <w:color w:val="auto"/>
              </w:rPr>
            </w:pPr>
            <w:r>
              <w:rPr>
                <w:rFonts w:ascii="Arial" w:cs="Arial" w:eastAsia="Arial" w:hAnsi="Arial"/>
                <w:sz w:val="22"/>
                <w:szCs w:val="22"/>
                <w:b w:val="1"/>
                <w:bCs w:val="1"/>
                <w:color w:val="148CD9"/>
              </w:rPr>
              <w:t>​</w:t>
            </w:r>
          </w:p>
        </w:tc>
        <w:tc>
          <w:tcPr>
            <w:tcW w:w="0" w:type="dxa"/>
            <w:vAlign w:val="bottom"/>
          </w:tcPr>
          <w:p>
            <w:pPr>
              <w:spacing w:after="0"/>
              <w:rPr>
                <w:sz w:val="1"/>
                <w:szCs w:val="1"/>
                <w:color w:val="auto"/>
              </w:rPr>
            </w:pPr>
          </w:p>
        </w:tc>
      </w:tr>
      <w:tr>
        <w:trPr>
          <w:trHeight w:val="255"/>
        </w:trPr>
        <w:tc>
          <w:tcPr>
            <w:tcW w:w="2480" w:type="dxa"/>
            <w:vAlign w:val="bottom"/>
            <w:tcBorders>
              <w:top w:val="single" w:sz="8" w:color="1DA46F"/>
            </w:tcBorders>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148CD9"/>
              </w:rPr>
              <w:t>Chair</w:t>
            </w:r>
            <w:r>
              <w:rPr>
                <w:rFonts w:ascii="Arial" w:cs="Arial" w:eastAsia="Arial" w:hAnsi="Arial"/>
                <w:sz w:val="18"/>
                <w:szCs w:val="18"/>
                <w:color w:val="auto"/>
              </w:rPr>
              <w:t>: Carlo Rizzuto, Ph.D.</w:t>
            </w:r>
          </w:p>
        </w:tc>
        <w:tc>
          <w:tcPr>
            <w:tcW w:w="6380" w:type="dxa"/>
            <w:vAlign w:val="bottom"/>
            <w:tcBorders>
              <w:top w:val="single" w:sz="8" w:color="1DA46F"/>
            </w:tcBorders>
            <w:gridSpan w:val="2"/>
          </w:tcPr>
          <w:p>
            <w:pPr>
              <w:ind w:left="20"/>
              <w:spacing w:after="0"/>
              <w:rPr>
                <w:sz w:val="20"/>
                <w:szCs w:val="20"/>
                <w:color w:val="auto"/>
              </w:rPr>
            </w:pPr>
            <w:r>
              <w:rPr>
                <w:rFonts w:ascii="Arial" w:cs="Arial" w:eastAsia="Arial" w:hAnsi="Arial"/>
                <w:sz w:val="18"/>
                <w:szCs w:val="18"/>
                <w:color w:val="auto"/>
              </w:rPr>
              <w:t>​ ​ Responsible for, among other things:</w:t>
            </w:r>
          </w:p>
        </w:tc>
        <w:tc>
          <w:tcPr>
            <w:tcW w:w="120" w:type="dxa"/>
            <w:vAlign w:val="bottom"/>
            <w:tcBorders>
              <w:top w:val="single" w:sz="8" w:color="1DA46F"/>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148CD9"/>
              </w:rPr>
              <w:t>Additional Committee</w:t>
            </w:r>
          </w:p>
        </w:tc>
        <w:tc>
          <w:tcPr>
            <w:tcW w:w="12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Reviewing and approving the compensation of our executive officers and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148CD9"/>
              </w:rPr>
              <w:t>Members</w:t>
            </w:r>
            <w:r>
              <w:rPr>
                <w:rFonts w:ascii="Arial" w:cs="Arial" w:eastAsia="Arial" w:hAnsi="Arial"/>
                <w:sz w:val="18"/>
                <w:szCs w:val="18"/>
                <w:color w:val="000000"/>
              </w:rPr>
              <w:t>:</w:t>
            </w:r>
          </w:p>
        </w:tc>
        <w:tc>
          <w:tcPr>
            <w:tcW w:w="120" w:type="dxa"/>
            <w:vAlign w:val="bottom"/>
          </w:tcPr>
          <w:p>
            <w:pPr>
              <w:spacing w:after="0"/>
              <w:rPr>
                <w:sz w:val="18"/>
                <w:szCs w:val="18"/>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recommending that our Board approve the compensation of our Chief</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ind w:left="60"/>
              <w:spacing w:after="0"/>
              <w:rPr>
                <w:sz w:val="20"/>
                <w:szCs w:val="20"/>
                <w:color w:val="auto"/>
              </w:rPr>
            </w:pPr>
            <w:r>
              <w:rPr>
                <w:rFonts w:ascii="Arial" w:cs="Arial" w:eastAsia="Arial" w:hAnsi="Arial"/>
                <w:sz w:val="18"/>
                <w:szCs w:val="18"/>
                <w:color w:val="auto"/>
              </w:rPr>
              <w:t>Cynthia Butitta</w:t>
            </w:r>
          </w:p>
        </w:tc>
        <w:tc>
          <w:tcPr>
            <w:tcW w:w="120" w:type="dxa"/>
            <w:vAlign w:val="bottom"/>
          </w:tcPr>
          <w:p>
            <w:pPr>
              <w:spacing w:after="0"/>
              <w:rPr>
                <w:sz w:val="20"/>
                <w:szCs w:val="20"/>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Executive Officer;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2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Reviewing and recommending to our Board the compensation of our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ind w:left="60"/>
              <w:spacing w:after="0"/>
              <w:rPr>
                <w:sz w:val="20"/>
                <w:szCs w:val="20"/>
                <w:color w:val="auto"/>
              </w:rPr>
            </w:pPr>
            <w:r>
              <w:rPr>
                <w:rFonts w:ascii="Arial" w:cs="Arial" w:eastAsia="Arial" w:hAnsi="Arial"/>
                <w:sz w:val="18"/>
                <w:szCs w:val="18"/>
                <w:color w:val="auto"/>
              </w:rPr>
              <w:t>Joseph Jimenez</w:t>
            </w:r>
          </w:p>
        </w:tc>
        <w:tc>
          <w:tcPr>
            <w:tcW w:w="120" w:type="dxa"/>
            <w:vAlign w:val="bottom"/>
          </w:tcPr>
          <w:p>
            <w:pPr>
              <w:spacing w:after="0"/>
              <w:rPr>
                <w:sz w:val="15"/>
                <w:szCs w:val="15"/>
                <w:color w:val="auto"/>
              </w:rPr>
            </w:pPr>
          </w:p>
        </w:tc>
        <w:tc>
          <w:tcPr>
            <w:tcW w:w="6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2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directors;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ind w:left="60"/>
              <w:spacing w:after="0"/>
              <w:rPr>
                <w:sz w:val="20"/>
                <w:szCs w:val="20"/>
                <w:color w:val="auto"/>
              </w:rPr>
            </w:pPr>
            <w:r>
              <w:rPr>
                <w:rFonts w:ascii="Arial" w:cs="Arial" w:eastAsia="Arial" w:hAnsi="Arial"/>
                <w:sz w:val="18"/>
                <w:szCs w:val="18"/>
                <w:color w:val="auto"/>
              </w:rPr>
              <w:t>Timothy P. Walbert</w:t>
            </w:r>
          </w:p>
        </w:tc>
        <w:tc>
          <w:tcPr>
            <w:tcW w:w="120" w:type="dxa"/>
            <w:vAlign w:val="bottom"/>
          </w:tcPr>
          <w:p>
            <w:pPr>
              <w:spacing w:after="0"/>
              <w:rPr>
                <w:sz w:val="8"/>
                <w:szCs w:val="8"/>
                <w:color w:val="auto"/>
              </w:rPr>
            </w:pPr>
          </w:p>
        </w:tc>
        <w:tc>
          <w:tcPr>
            <w:tcW w:w="6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Administering our equity incentive plans and overseeing regulatory</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420" w:type="dxa"/>
            <w:vAlign w:val="bottom"/>
            <w:tcBorders>
              <w:bottom w:val="single" w:sz="8" w:color="1DA46F"/>
            </w:tcBorders>
          </w:tcPr>
          <w:p>
            <w:pPr>
              <w:ind w:left="120"/>
              <w:spacing w:after="0"/>
              <w:rPr>
                <w:sz w:val="20"/>
                <w:szCs w:val="20"/>
                <w:color w:val="auto"/>
              </w:rPr>
            </w:pPr>
            <w:r>
              <w:rPr>
                <w:rFonts w:ascii="Arial" w:cs="Arial" w:eastAsia="Arial" w:hAnsi="Arial"/>
                <w:sz w:val="18"/>
                <w:szCs w:val="18"/>
                <w:color w:val="auto"/>
              </w:rPr>
              <w:t> </w:t>
            </w:r>
          </w:p>
        </w:tc>
        <w:tc>
          <w:tcPr>
            <w:tcW w:w="2060" w:type="dxa"/>
            <w:vAlign w:val="bottom"/>
            <w:tcBorders>
              <w:bottom w:val="single" w:sz="8" w:color="1DA46F"/>
            </w:tcBorders>
          </w:tcPr>
          <w:p>
            <w:pPr>
              <w:spacing w:after="0"/>
              <w:rPr>
                <w:sz w:val="22"/>
                <w:szCs w:val="22"/>
                <w:color w:val="auto"/>
              </w:rPr>
            </w:pPr>
          </w:p>
        </w:tc>
        <w:tc>
          <w:tcPr>
            <w:tcW w:w="120" w:type="dxa"/>
            <w:vAlign w:val="bottom"/>
            <w:tcBorders>
              <w:bottom w:val="single" w:sz="8" w:color="1DA46F"/>
            </w:tcBorders>
          </w:tcPr>
          <w:p>
            <w:pPr>
              <w:spacing w:after="0"/>
              <w:rPr>
                <w:sz w:val="22"/>
                <w:szCs w:val="22"/>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compliance related to such plans;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20" w:type="dxa"/>
            <w:vAlign w:val="bottom"/>
          </w:tcPr>
          <w:p>
            <w:pPr>
              <w:ind w:left="20"/>
              <w:spacing w:after="0" w:line="197" w:lineRule="exact"/>
              <w:rPr>
                <w:sz w:val="20"/>
                <w:szCs w:val="20"/>
                <w:color w:val="auto"/>
              </w:rPr>
            </w:pPr>
            <w:r>
              <w:rPr>
                <w:rFonts w:ascii="Arial" w:cs="Arial" w:eastAsia="Arial" w:hAnsi="Arial"/>
                <w:sz w:val="18"/>
                <w:szCs w:val="18"/>
                <w:color w:val="auto"/>
              </w:rPr>
              <w:t>​</w:t>
            </w:r>
          </w:p>
        </w:tc>
        <w:tc>
          <w:tcPr>
            <w:tcW w:w="2060" w:type="dxa"/>
            <w:vAlign w:val="bottom"/>
          </w:tcPr>
          <w:p>
            <w:pPr>
              <w:spacing w:after="0"/>
              <w:rPr>
                <w:sz w:val="17"/>
                <w:szCs w:val="17"/>
                <w:color w:val="auto"/>
              </w:rPr>
            </w:pPr>
          </w:p>
        </w:tc>
        <w:tc>
          <w:tcPr>
            <w:tcW w:w="120" w:type="dxa"/>
            <w:vAlign w:val="bottom"/>
          </w:tcPr>
          <w:p>
            <w:pPr>
              <w:ind w:left="20"/>
              <w:spacing w:after="0" w:line="197" w:lineRule="exact"/>
              <w:rPr>
                <w:sz w:val="20"/>
                <w:szCs w:val="20"/>
                <w:color w:val="auto"/>
              </w:rPr>
            </w:pPr>
            <w:r>
              <w:rPr>
                <w:rFonts w:ascii="Arial" w:cs="Arial" w:eastAsia="Arial" w:hAnsi="Arial"/>
                <w:sz w:val="18"/>
                <w:szCs w:val="18"/>
                <w:color w:val="auto"/>
              </w:rPr>
              <w:t>​</w:t>
            </w: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Reviewing and administering our compensation recovery policy;</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480" w:type="dxa"/>
            <w:vAlign w:val="bottom"/>
            <w:gridSpan w:val="2"/>
            <w:vMerge w:val="restart"/>
          </w:tcPr>
          <w:p>
            <w:pPr>
              <w:ind w:left="340"/>
              <w:spacing w:after="0"/>
              <w:rPr>
                <w:sz w:val="20"/>
                <w:szCs w:val="20"/>
                <w:color w:val="auto"/>
              </w:rPr>
            </w:pPr>
            <w:r>
              <w:rPr>
                <w:rFonts w:ascii="Arial" w:cs="Arial" w:eastAsia="Arial" w:hAnsi="Arial"/>
                <w:sz w:val="18"/>
                <w:szCs w:val="18"/>
                <w:color w:val="auto"/>
              </w:rPr>
              <w:t>All members are</w:t>
            </w:r>
          </w:p>
        </w:tc>
        <w:tc>
          <w:tcPr>
            <w:tcW w:w="120" w:type="dxa"/>
            <w:vAlign w:val="bottom"/>
          </w:tcPr>
          <w:p>
            <w:pPr>
              <w:spacing w:after="0"/>
              <w:rPr>
                <w:sz w:val="10"/>
                <w:szCs w:val="10"/>
                <w:color w:val="auto"/>
              </w:rPr>
            </w:pPr>
          </w:p>
        </w:tc>
        <w:tc>
          <w:tcPr>
            <w:tcW w:w="6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“nonemployee directors”</w:t>
            </w:r>
          </w:p>
        </w:tc>
        <w:tc>
          <w:tcPr>
            <w:tcW w:w="120" w:type="dxa"/>
            <w:vAlign w:val="bottom"/>
          </w:tcPr>
          <w:p>
            <w:pPr>
              <w:spacing w:after="0"/>
              <w:rPr>
                <w:sz w:val="18"/>
                <w:szCs w:val="18"/>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Reviewing and approving, or making recommendations to our Board with</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as defined by SEC rules</w:t>
            </w:r>
          </w:p>
        </w:tc>
        <w:tc>
          <w:tcPr>
            <w:tcW w:w="120" w:type="dxa"/>
            <w:vAlign w:val="bottom"/>
          </w:tcPr>
          <w:p>
            <w:pPr>
              <w:spacing w:after="0"/>
              <w:rPr>
                <w:sz w:val="20"/>
                <w:szCs w:val="20"/>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respect to, incentive compensation and equity plans; and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-3182620</wp:posOffset>
            </wp:positionV>
            <wp:extent cx="76835" cy="77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-379095</wp:posOffset>
            </wp:positionV>
            <wp:extent cx="76835" cy="768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92" w:lineRule="exact"/>
        <w:rPr>
          <w:sz w:val="20"/>
          <w:szCs w:val="20"/>
          <w:color w:val="auto"/>
        </w:rPr>
      </w:pPr>
    </w:p>
    <w:tbl>
      <w:tblPr>
        <w:tblLayout w:type="fixed"/>
        <w:tblInd w:w="1200" w:type="dxa"/>
        <w:tblCellMar>
          <w:top w:w="0" w:type="dxa"/>
          <w:left w:w="0" w:type="dxa"/>
          <w:bottom w:w="0" w:type="dxa"/>
          <w:right w:w="0" w:type="dxa"/>
        </w:tblCellMar>
      </w:tblPr>
      <w:tr>
        <w:trPr>
          <w:trHeight w:val="239"/>
        </w:trPr>
        <w:tc>
          <w:tcPr>
            <w:tcW w:w="2340" w:type="dxa"/>
            <w:vAlign w:val="bottom"/>
            <w:vMerge w:val="restart"/>
          </w:tcPr>
          <w:p>
            <w:pPr>
              <w:spacing w:after="0"/>
              <w:rPr>
                <w:sz w:val="20"/>
                <w:szCs w:val="20"/>
                <w:color w:val="auto"/>
              </w:rPr>
            </w:pPr>
            <w:r>
              <w:rPr>
                <w:rFonts w:ascii="Arial" w:cs="Arial" w:eastAsia="Arial" w:hAnsi="Arial"/>
                <w:sz w:val="18"/>
                <w:szCs w:val="18"/>
                <w:color w:val="auto"/>
              </w:rPr>
              <w:t>All members are deemed</w:t>
            </w:r>
          </w:p>
        </w:tc>
        <w:tc>
          <w:tcPr>
            <w:tcW w:w="4200" w:type="dxa"/>
            <w:vAlign w:val="bottom"/>
          </w:tcPr>
          <w:p>
            <w:pPr>
              <w:ind w:left="220"/>
              <w:spacing w:after="0"/>
              <w:rPr>
                <w:sz w:val="20"/>
                <w:szCs w:val="20"/>
                <w:color w:val="auto"/>
              </w:rPr>
            </w:pPr>
            <w:r>
              <w:rPr>
                <w:rFonts w:ascii="Arial" w:cs="Arial" w:eastAsia="Arial" w:hAnsi="Arial"/>
                <w:sz w:val="18"/>
                <w:szCs w:val="18"/>
                <w:color w:val="auto"/>
                <w:w w:val="99"/>
              </w:rPr>
              <w:t>• Reviewing our overall compensation philosophy.</w:t>
            </w:r>
          </w:p>
        </w:tc>
        <w:tc>
          <w:tcPr>
            <w:tcW w:w="0" w:type="dxa"/>
            <w:vAlign w:val="bottom"/>
          </w:tcPr>
          <w:p>
            <w:pPr>
              <w:spacing w:after="0"/>
              <w:rPr>
                <w:sz w:val="1"/>
                <w:szCs w:val="1"/>
                <w:color w:val="auto"/>
              </w:rPr>
            </w:pPr>
          </w:p>
        </w:tc>
      </w:tr>
      <w:tr>
        <w:trPr>
          <w:trHeight w:val="99"/>
        </w:trPr>
        <w:tc>
          <w:tcPr>
            <w:tcW w:w="2340" w:type="dxa"/>
            <w:vAlign w:val="bottom"/>
            <w:vMerge w:val="continue"/>
          </w:tcPr>
          <w:p>
            <w:pPr>
              <w:spacing w:after="0"/>
              <w:rPr>
                <w:sz w:val="8"/>
                <w:szCs w:val="8"/>
                <w:color w:val="auto"/>
              </w:rPr>
            </w:pPr>
          </w:p>
        </w:tc>
        <w:tc>
          <w:tcPr>
            <w:tcW w:w="4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“independent” under the</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applicable rules and</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regulations of the SEC and</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r>
              <w:rPr>
                <w:rFonts w:ascii="Arial" w:cs="Arial" w:eastAsia="Arial" w:hAnsi="Arial"/>
                <w:sz w:val="18"/>
                <w:szCs w:val="18"/>
                <w:color w:val="auto"/>
              </w:rPr>
              <w:t>Nasdaq.</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-653415</wp:posOffset>
            </wp:positionV>
            <wp:extent cx="76835" cy="768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3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CONSULTANT</w:t>
      </w:r>
    </w:p>
    <w:p>
      <w:pPr>
        <w:spacing w:after="0" w:line="158" w:lineRule="exact"/>
        <w:rPr>
          <w:sz w:val="20"/>
          <w:szCs w:val="20"/>
          <w:color w:val="auto"/>
        </w:rPr>
      </w:pPr>
    </w:p>
    <w:p>
      <w:pPr>
        <w:jc w:val="both"/>
        <w:ind w:left="880" w:right="19"/>
        <w:spacing w:after="0" w:line="264" w:lineRule="auto"/>
        <w:rPr>
          <w:sz w:val="20"/>
          <w:szCs w:val="20"/>
          <w:color w:val="auto"/>
        </w:rPr>
      </w:pPr>
      <w:r>
        <w:rPr>
          <w:rFonts w:ascii="Arial" w:cs="Arial" w:eastAsia="Arial" w:hAnsi="Arial"/>
          <w:sz w:val="18"/>
          <w:szCs w:val="18"/>
          <w:color w:val="auto"/>
        </w:rPr>
        <w:t>Radford, a subsidiary of Aon Hewitt Limited, serves as our executive compensation consultant.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program design and our award values in relation to performance. Radford does not provide services to us other than its advice to the Compensation Committee on executive and director compensation matters.</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shd w:val="clear" w:color="auto" w:fill="1DA46F"/>
        </w:rPr>
        <w:t>​CORPORATE GOVERNANCE AND RISK MANAGEMENT</w:t>
        <w:tab/>
        <w:t>​</w:t>
      </w:r>
    </w:p>
    <w:p>
      <w:pPr>
        <w:spacing w:after="0" w:line="34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4" w:lineRule="exact"/>
        <w:rPr>
          <w:sz w:val="20"/>
          <w:szCs w:val="20"/>
          <w:color w:val="auto"/>
        </w:rPr>
      </w:pPr>
    </w:p>
    <w:p>
      <w:pPr>
        <w:jc w:val="both"/>
        <w:ind w:left="880" w:right="40"/>
        <w:spacing w:after="0" w:line="257" w:lineRule="auto"/>
        <w:rPr>
          <w:sz w:val="20"/>
          <w:szCs w:val="20"/>
          <w:color w:val="auto"/>
        </w:rPr>
      </w:pPr>
      <w:r>
        <w:rPr>
          <w:rFonts w:ascii="Arial" w:cs="Arial" w:eastAsia="Arial" w:hAnsi="Arial"/>
          <w:sz w:val="18"/>
          <w:szCs w:val="18"/>
          <w:color w:val="auto"/>
        </w:rPr>
        <w:t>During 2023, Carlo Rizzuto, Cynthia Butitta, Joseph Jimenez and Timothy P. Walbert served as members of the Compensation Committee. During the fiscal year ended December 31, 2023 and as of the date of this Proxy Statement, 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or on our Compensation Committee.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FAMILY RELATIONSHIPS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128905</wp:posOffset>
            </wp:positionV>
            <wp:extent cx="5117465" cy="1705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1746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Connect</w:t>
      </w:r>
    </w:p>
    <w:p>
      <w:pPr>
        <w:spacing w:after="0" w:line="158" w:lineRule="exact"/>
        <w:rPr>
          <w:sz w:val="20"/>
          <w:szCs w:val="20"/>
          <w:color w:val="auto"/>
        </w:rPr>
      </w:pPr>
    </w:p>
    <w:p>
      <w:pPr>
        <w:jc w:val="both"/>
        <w:ind w:left="880" w:right="40"/>
        <w:spacing w:after="0" w:line="268" w:lineRule="auto"/>
        <w:rPr>
          <w:sz w:val="20"/>
          <w:szCs w:val="20"/>
          <w:color w:val="auto"/>
        </w:rPr>
      </w:pPr>
      <w:r>
        <w:rPr>
          <w:rFonts w:ascii="Arial" w:cs="Arial" w:eastAsia="Arial" w:hAnsi="Arial"/>
          <w:sz w:val="18"/>
          <w:szCs w:val="18"/>
          <w:color w:val="auto"/>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Collaborate</w:t>
      </w:r>
    </w:p>
    <w:p>
      <w:pPr>
        <w:spacing w:after="0" w:line="144" w:lineRule="exact"/>
        <w:rPr>
          <w:sz w:val="20"/>
          <w:szCs w:val="20"/>
          <w:color w:val="auto"/>
        </w:rPr>
      </w:pPr>
    </w:p>
    <w:p>
      <w:pPr>
        <w:jc w:val="both"/>
        <w:ind w:left="880" w:right="40"/>
        <w:spacing w:after="0" w:line="287" w:lineRule="auto"/>
        <w:rPr>
          <w:sz w:val="20"/>
          <w:szCs w:val="20"/>
          <w:color w:val="auto"/>
        </w:rPr>
      </w:pPr>
      <w:r>
        <w:rPr>
          <w:rFonts w:ascii="Arial" w:cs="Arial" w:eastAsia="Arial" w:hAnsi="Arial"/>
          <w:sz w:val="18"/>
          <w:szCs w:val="18"/>
          <w:color w:val="auto"/>
        </w:rPr>
        <w:t>We strive for a collaborative approach to stockholder engagement and value the variety of investors’ perspectives received, which helps deepen our understanding of their interests and motivations.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Communicate</w:t>
      </w:r>
    </w:p>
    <w:p>
      <w:pPr>
        <w:spacing w:after="0" w:line="158" w:lineRule="exact"/>
        <w:rPr>
          <w:sz w:val="20"/>
          <w:szCs w:val="20"/>
          <w:color w:val="auto"/>
        </w:rPr>
      </w:pPr>
    </w:p>
    <w:p>
      <w:pPr>
        <w:jc w:val="both"/>
        <w:ind w:left="880" w:right="40"/>
        <w:spacing w:after="0" w:line="268" w:lineRule="auto"/>
        <w:rPr>
          <w:sz w:val="20"/>
          <w:szCs w:val="20"/>
          <w:color w:val="auto"/>
        </w:rPr>
      </w:pPr>
      <w:r>
        <w:rPr>
          <w:rFonts w:ascii="Arial" w:cs="Arial" w:eastAsia="Arial" w:hAnsi="Arial"/>
          <w:sz w:val="18"/>
          <w:szCs w:val="18"/>
          <w:color w:val="auto"/>
        </w:rPr>
        <w:t>Our goal is to communicate with our stockholders through various platforms, including via our website at www.centurytx.com, in print and in person at investor presentations or stockholder meetings. We view communication between our stockholders and the Board as a dialogue.</w:t>
      </w:r>
    </w:p>
    <w:p>
      <w:pPr>
        <w:spacing w:after="0" w:line="129" w:lineRule="exact"/>
        <w:rPr>
          <w:sz w:val="20"/>
          <w:szCs w:val="20"/>
          <w:color w:val="auto"/>
        </w:rPr>
      </w:pPr>
    </w:p>
    <w:tbl>
      <w:tblPr>
        <w:tblLayout w:type="fixed"/>
        <w:tblInd w:w="860" w:type="dxa"/>
        <w:tblCellMar>
          <w:top w:w="0" w:type="dxa"/>
          <w:left w:w="0" w:type="dxa"/>
          <w:bottom w:w="0" w:type="dxa"/>
          <w:right w:w="0" w:type="dxa"/>
        </w:tblCellMar>
      </w:tblPr>
      <w:tr>
        <w:trPr>
          <w:trHeight w:val="292"/>
        </w:trPr>
        <w:tc>
          <w:tcPr>
            <w:tcW w:w="1640" w:type="dxa"/>
            <w:vAlign w:val="bottom"/>
            <w:tcBorders>
              <w:top w:val="single" w:sz="8" w:color="148CD9"/>
            </w:tcBorders>
          </w:tcPr>
          <w:p>
            <w:pPr>
              <w:ind w:left="20"/>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b w:val="1"/>
                <w:bCs w:val="1"/>
                <w:color w:val="auto"/>
              </w:rPr>
              <w:t xml:space="preserve">  HOW TO</w:t>
            </w:r>
          </w:p>
        </w:tc>
        <w:tc>
          <w:tcPr>
            <w:tcW w:w="7340" w:type="dxa"/>
            <w:vAlign w:val="bottom"/>
            <w:tcBorders>
              <w:top w:val="single" w:sz="8" w:color="148CD9"/>
            </w:tcBorders>
            <w:gridSpan w:val="2"/>
          </w:tcPr>
          <w:p>
            <w:pPr>
              <w:ind w:left="100"/>
              <w:spacing w:after="0" w:line="291"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By mail:</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COMMUNICATE</w:t>
            </w:r>
          </w:p>
        </w:tc>
        <w:tc>
          <w:tcPr>
            <w:tcW w:w="20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Corporate Secretary, Century Therapeutics, Inc.</w:t>
            </w:r>
          </w:p>
        </w:tc>
        <w:tc>
          <w:tcPr>
            <w:tcW w:w="60" w:type="dxa"/>
            <w:vAlign w:val="bottom"/>
          </w:tcPr>
          <w:p>
            <w:pPr>
              <w:spacing w:after="0"/>
              <w:rPr>
                <w:sz w:val="18"/>
                <w:szCs w:val="18"/>
                <w:color w:val="auto"/>
              </w:rPr>
            </w:pPr>
          </w:p>
        </w:tc>
      </w:tr>
      <w:tr>
        <w:trPr>
          <w:trHeight w:val="216"/>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WITH OUR</w:t>
            </w:r>
          </w:p>
        </w:tc>
        <w:tc>
          <w:tcPr>
            <w:tcW w:w="20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25 North 38th Street, 11th Floor,</w:t>
            </w:r>
          </w:p>
        </w:tc>
        <w:tc>
          <w:tcPr>
            <w:tcW w:w="60" w:type="dxa"/>
            <w:vAlign w:val="bottom"/>
          </w:tcPr>
          <w:p>
            <w:pPr>
              <w:spacing w:after="0"/>
              <w:rPr>
                <w:sz w:val="18"/>
                <w:szCs w:val="18"/>
                <w:color w:val="auto"/>
              </w:rPr>
            </w:pPr>
          </w:p>
        </w:tc>
      </w:tr>
      <w:tr>
        <w:trPr>
          <w:trHeight w:val="247"/>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DIRECTORS</w:t>
            </w:r>
          </w:p>
        </w:tc>
        <w:tc>
          <w:tcPr>
            <w:tcW w:w="200" w:type="dxa"/>
            <w:vAlign w:val="bottom"/>
          </w:tcPr>
          <w:p>
            <w:pPr>
              <w:spacing w:after="0"/>
              <w:rPr>
                <w:sz w:val="21"/>
                <w:szCs w:val="21"/>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Philadelphia, PA 19104</w:t>
            </w:r>
          </w:p>
        </w:tc>
        <w:tc>
          <w:tcPr>
            <w:tcW w:w="60" w:type="dxa"/>
            <w:vAlign w:val="bottom"/>
          </w:tcPr>
          <w:p>
            <w:pPr>
              <w:spacing w:after="0"/>
              <w:rPr>
                <w:sz w:val="21"/>
                <w:szCs w:val="21"/>
                <w:color w:val="auto"/>
              </w:rPr>
            </w:pPr>
          </w:p>
        </w:tc>
      </w:tr>
      <w:tr>
        <w:trPr>
          <w:trHeight w:val="82"/>
        </w:trPr>
        <w:tc>
          <w:tcPr>
            <w:tcW w:w="1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1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​DIRECTOR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8"/>
          <w:szCs w:val="18"/>
          <w:color w:val="148CD9"/>
        </w:rPr>
        <w:t>We have designed and implemented our compensation program for our non-employee directors to attract, motivate and retain individuals who are committed to our values and goals and who have the expertise and experience that we need to achieve those goals.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material terms of our non-employee director compensation policy are summarized in the table below:</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311"/>
        </w:trPr>
        <w:tc>
          <w:tcPr>
            <w:tcW w:w="200" w:type="dxa"/>
            <w:vAlign w:val="bottom"/>
            <w:shd w:val="clear" w:color="auto" w:fill="148CD9"/>
          </w:tcPr>
          <w:p>
            <w:pPr>
              <w:ind w:left="60"/>
              <w:spacing w:after="0"/>
              <w:rPr>
                <w:sz w:val="20"/>
                <w:szCs w:val="20"/>
                <w:color w:val="auto"/>
              </w:rPr>
            </w:pPr>
            <w:r>
              <w:rPr>
                <w:rFonts w:ascii="Arial" w:cs="Arial" w:eastAsia="Arial" w:hAnsi="Arial"/>
                <w:sz w:val="18"/>
                <w:szCs w:val="18"/>
                <w:b w:val="1"/>
                <w:bCs w:val="1"/>
                <w:color w:val="FFFFFF"/>
              </w:rPr>
              <w:t>​</w:t>
            </w:r>
          </w:p>
        </w:tc>
        <w:tc>
          <w:tcPr>
            <w:tcW w:w="8300" w:type="dxa"/>
            <w:vAlign w:val="bottom"/>
            <w:gridSpan w:val="4"/>
            <w:shd w:val="clear" w:color="auto" w:fill="148CD9"/>
          </w:tcPr>
          <w:p>
            <w:pPr>
              <w:ind w:left="660"/>
              <w:spacing w:after="0"/>
              <w:rPr>
                <w:sz w:val="20"/>
                <w:szCs w:val="20"/>
                <w:color w:val="auto"/>
              </w:rPr>
            </w:pPr>
            <w:r>
              <w:rPr>
                <w:rFonts w:ascii="Arial" w:cs="Arial" w:eastAsia="Arial" w:hAnsi="Arial"/>
                <w:sz w:val="18"/>
                <w:szCs w:val="18"/>
                <w:b w:val="1"/>
                <w:bCs w:val="1"/>
                <w:color w:val="FFFFFF"/>
              </w:rPr>
              <w:t>COMPENSATION ELEMENTS — NON-EMPLOYEE DIRECTOR COMPENSATION POLICY</w:t>
            </w:r>
          </w:p>
        </w:tc>
        <w:tc>
          <w:tcPr>
            <w:tcW w:w="480" w:type="dxa"/>
            <w:vAlign w:val="bottom"/>
            <w:shd w:val="clear" w:color="auto" w:fill="148CD9"/>
          </w:tcPr>
          <w:p>
            <w:pPr>
              <w:jc w:val="right"/>
              <w:spacing w:after="0"/>
              <w:rPr>
                <w:sz w:val="20"/>
                <w:szCs w:val="20"/>
                <w:color w:val="auto"/>
              </w:rPr>
            </w:pPr>
            <w:r>
              <w:rPr>
                <w:rFonts w:ascii="Arial" w:cs="Arial" w:eastAsia="Arial" w:hAnsi="Arial"/>
                <w:sz w:val="18"/>
                <w:szCs w:val="18"/>
                <w:b w:val="1"/>
                <w:bCs w:val="1"/>
                <w:color w:val="FFFFFF"/>
              </w:rPr>
              <w:t>​</w:t>
            </w:r>
          </w:p>
        </w:tc>
      </w:tr>
      <w:tr>
        <w:trPr>
          <w:trHeight w:val="283"/>
        </w:trPr>
        <w:tc>
          <w:tcPr>
            <w:tcW w:w="3880" w:type="dxa"/>
            <w:vAlign w:val="bottom"/>
            <w:gridSpan w:val="2"/>
            <w:shd w:val="clear" w:color="auto" w:fill="1DA46F"/>
          </w:tcPr>
          <w:p>
            <w:pPr>
              <w:ind w:left="20"/>
              <w:spacing w:after="0"/>
              <w:rPr>
                <w:sz w:val="20"/>
                <w:szCs w:val="20"/>
                <w:color w:val="auto"/>
              </w:rPr>
            </w:pPr>
            <w:r>
              <w:rPr>
                <w:rFonts w:ascii="Arial" w:cs="Arial" w:eastAsia="Arial" w:hAnsi="Arial"/>
                <w:sz w:val="18"/>
                <w:szCs w:val="18"/>
                <w:b w:val="1"/>
                <w:bCs w:val="1"/>
                <w:color w:val="FFFFFF"/>
              </w:rPr>
              <w:t>​ Cash</w:t>
            </w:r>
          </w:p>
        </w:tc>
        <w:tc>
          <w:tcPr>
            <w:tcW w:w="1540" w:type="dxa"/>
            <w:vAlign w:val="bottom"/>
            <w:shd w:val="clear" w:color="auto" w:fill="1DA46F"/>
          </w:tcPr>
          <w:p>
            <w:pPr>
              <w:ind w:left="460"/>
              <w:spacing w:after="0"/>
              <w:rPr>
                <w:sz w:val="20"/>
                <w:szCs w:val="20"/>
                <w:color w:val="auto"/>
              </w:rPr>
            </w:pPr>
            <w:r>
              <w:rPr>
                <w:rFonts w:ascii="Arial" w:cs="Arial" w:eastAsia="Arial" w:hAnsi="Arial"/>
                <w:sz w:val="18"/>
                <w:szCs w:val="18"/>
                <w:b w:val="1"/>
                <w:bCs w:val="1"/>
                <w:color w:val="FFFFFF"/>
              </w:rPr>
              <w:t>​ ​</w:t>
            </w:r>
          </w:p>
        </w:tc>
        <w:tc>
          <w:tcPr>
            <w:tcW w:w="1600" w:type="dxa"/>
            <w:vAlign w:val="bottom"/>
            <w:shd w:val="clear" w:color="auto" w:fill="1DA46F"/>
          </w:tcPr>
          <w:p>
            <w:pPr>
              <w:ind w:left="940"/>
              <w:spacing w:after="0"/>
              <w:rPr>
                <w:sz w:val="20"/>
                <w:szCs w:val="20"/>
                <w:color w:val="auto"/>
              </w:rPr>
            </w:pPr>
            <w:r>
              <w:rPr>
                <w:rFonts w:ascii="Arial" w:cs="Arial" w:eastAsia="Arial" w:hAnsi="Arial"/>
                <w:sz w:val="18"/>
                <w:szCs w:val="18"/>
                <w:b w:val="1"/>
                <w:bCs w:val="1"/>
                <w:color w:val="FFFFFF"/>
              </w:rPr>
              <w:t>​ ​</w:t>
            </w:r>
          </w:p>
        </w:tc>
        <w:tc>
          <w:tcPr>
            <w:tcW w:w="1480" w:type="dxa"/>
            <w:vAlign w:val="bottom"/>
            <w:shd w:val="clear" w:color="auto" w:fill="1DA46F"/>
          </w:tcPr>
          <w:p>
            <w:pPr>
              <w:ind w:left="20"/>
              <w:spacing w:after="0"/>
              <w:rPr>
                <w:sz w:val="20"/>
                <w:szCs w:val="20"/>
                <w:color w:val="auto"/>
              </w:rPr>
            </w:pPr>
            <w:r>
              <w:rPr>
                <w:rFonts w:ascii="Arial" w:cs="Arial" w:eastAsia="Arial" w:hAnsi="Arial"/>
                <w:sz w:val="18"/>
                <w:szCs w:val="18"/>
                <w:b w:val="1"/>
                <w:bCs w:val="1"/>
                <w:color w:val="FFFFFF"/>
              </w:rPr>
              <w:t>​</w:t>
            </w:r>
          </w:p>
        </w:tc>
        <w:tc>
          <w:tcPr>
            <w:tcW w:w="480" w:type="dxa"/>
            <w:vAlign w:val="bottom"/>
            <w:shd w:val="clear" w:color="auto" w:fill="1DA46F"/>
          </w:tcPr>
          <w:p>
            <w:pPr>
              <w:jc w:val="right"/>
              <w:spacing w:after="0"/>
              <w:rPr>
                <w:sz w:val="20"/>
                <w:szCs w:val="20"/>
                <w:color w:val="auto"/>
              </w:rPr>
            </w:pPr>
            <w:r>
              <w:rPr>
                <w:rFonts w:ascii="Arial" w:cs="Arial" w:eastAsia="Arial" w:hAnsi="Arial"/>
                <w:sz w:val="18"/>
                <w:szCs w:val="18"/>
                <w:b w:val="1"/>
                <w:bCs w:val="1"/>
                <w:color w:val="FFFFFF"/>
              </w:rPr>
              <w:t>​</w:t>
            </w:r>
          </w:p>
        </w:tc>
      </w:tr>
      <w:tr>
        <w:trPr>
          <w:trHeight w:val="268"/>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 Annual Retainer</w:t>
            </w:r>
          </w:p>
        </w:tc>
        <w:tc>
          <w:tcPr>
            <w:tcW w:w="1540" w:type="dxa"/>
            <w:vAlign w:val="bottom"/>
          </w:tcPr>
          <w:p>
            <w:pPr>
              <w:ind w:left="460"/>
              <w:spacing w:after="0"/>
              <w:rPr>
                <w:sz w:val="20"/>
                <w:szCs w:val="20"/>
                <w:color w:val="auto"/>
              </w:rPr>
            </w:pPr>
            <w:r>
              <w:rPr>
                <w:rFonts w:ascii="Arial" w:cs="Arial" w:eastAsia="Arial" w:hAnsi="Arial"/>
                <w:sz w:val="18"/>
                <w:szCs w:val="18"/>
                <w:b w:val="1"/>
                <w:bCs w:val="1"/>
                <w:color w:val="auto"/>
              </w:rPr>
              <w:t>​ ​</w:t>
            </w:r>
          </w:p>
        </w:tc>
        <w:tc>
          <w:tcPr>
            <w:tcW w:w="1600" w:type="dxa"/>
            <w:vAlign w:val="bottom"/>
          </w:tcPr>
          <w:p>
            <w:pPr>
              <w:ind w:left="940"/>
              <w:spacing w:after="0"/>
              <w:rPr>
                <w:sz w:val="20"/>
                <w:szCs w:val="20"/>
                <w:color w:val="auto"/>
              </w:rPr>
            </w:pPr>
            <w:r>
              <w:rPr>
                <w:rFonts w:ascii="Arial" w:cs="Arial" w:eastAsia="Arial" w:hAnsi="Arial"/>
                <w:sz w:val="18"/>
                <w:szCs w:val="18"/>
                <w:b w:val="1"/>
                <w:bCs w:val="1"/>
                <w:color w:val="auto"/>
              </w:rPr>
              <w:t>​ ​</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Member Annual Retainer</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​$40,000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Chairperson Annual Retainer</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​$30,000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8"/>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 Annual Committee Chair Retainer</w:t>
            </w:r>
          </w:p>
        </w:tc>
        <w:tc>
          <w:tcPr>
            <w:tcW w:w="1540" w:type="dxa"/>
            <w:vAlign w:val="bottom"/>
          </w:tcPr>
          <w:p>
            <w:pPr>
              <w:ind w:left="460"/>
              <w:spacing w:after="0"/>
              <w:rPr>
                <w:sz w:val="20"/>
                <w:szCs w:val="20"/>
                <w:color w:val="auto"/>
              </w:rPr>
            </w:pPr>
            <w:r>
              <w:rPr>
                <w:rFonts w:ascii="Arial" w:cs="Arial" w:eastAsia="Arial" w:hAnsi="Arial"/>
                <w:sz w:val="18"/>
                <w:szCs w:val="18"/>
                <w:b w:val="1"/>
                <w:bCs w:val="1"/>
                <w:color w:val="auto"/>
              </w:rPr>
              <w:t>​ ​</w:t>
            </w:r>
          </w:p>
        </w:tc>
        <w:tc>
          <w:tcPr>
            <w:tcW w:w="1600" w:type="dxa"/>
            <w:vAlign w:val="bottom"/>
          </w:tcPr>
          <w:p>
            <w:pPr>
              <w:ind w:left="940"/>
              <w:spacing w:after="0"/>
              <w:rPr>
                <w:sz w:val="20"/>
                <w:szCs w:val="20"/>
                <w:color w:val="auto"/>
              </w:rPr>
            </w:pPr>
            <w:r>
              <w:rPr>
                <w:rFonts w:ascii="Arial" w:cs="Arial" w:eastAsia="Arial" w:hAnsi="Arial"/>
                <w:sz w:val="18"/>
                <w:szCs w:val="18"/>
                <w:b w:val="1"/>
                <w:bCs w:val="1"/>
                <w:color w:val="auto"/>
              </w:rPr>
              <w:t>​ ​</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Audit</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​$15,000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Compensation</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​$10,000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   Nominating and Corporate Governance</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$8,000</w:t>
            </w:r>
          </w:p>
        </w:tc>
        <w:tc>
          <w:tcPr>
            <w:tcW w:w="1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 Annual Committee Member Retainer</w:t>
            </w:r>
          </w:p>
        </w:tc>
        <w:tc>
          <w:tcPr>
            <w:tcW w:w="1540" w:type="dxa"/>
            <w:vAlign w:val="bottom"/>
          </w:tcPr>
          <w:p>
            <w:pPr>
              <w:ind w:left="460"/>
              <w:spacing w:after="0"/>
              <w:rPr>
                <w:sz w:val="20"/>
                <w:szCs w:val="20"/>
                <w:color w:val="auto"/>
              </w:rPr>
            </w:pPr>
            <w:r>
              <w:rPr>
                <w:rFonts w:ascii="Arial" w:cs="Arial" w:eastAsia="Arial" w:hAnsi="Arial"/>
                <w:sz w:val="18"/>
                <w:szCs w:val="18"/>
                <w:b w:val="1"/>
                <w:bCs w:val="1"/>
                <w:color w:val="auto"/>
              </w:rPr>
              <w:t>​ ​</w:t>
            </w:r>
          </w:p>
        </w:tc>
        <w:tc>
          <w:tcPr>
            <w:tcW w:w="1600" w:type="dxa"/>
            <w:vAlign w:val="bottom"/>
          </w:tcPr>
          <w:p>
            <w:pPr>
              <w:ind w:left="940"/>
              <w:spacing w:after="0"/>
              <w:rPr>
                <w:sz w:val="20"/>
                <w:szCs w:val="20"/>
                <w:color w:val="auto"/>
              </w:rPr>
            </w:pPr>
            <w:r>
              <w:rPr>
                <w:rFonts w:ascii="Arial" w:cs="Arial" w:eastAsia="Arial" w:hAnsi="Arial"/>
                <w:sz w:val="18"/>
                <w:szCs w:val="18"/>
                <w:b w:val="1"/>
                <w:bCs w:val="1"/>
                <w:color w:val="auto"/>
              </w:rPr>
              <w:t>​ ​</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Audit</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$7,500</w:t>
            </w:r>
          </w:p>
        </w:tc>
        <w:tc>
          <w:tcPr>
            <w:tcW w:w="14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Compensation</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$5,000</w:t>
            </w:r>
          </w:p>
        </w:tc>
        <w:tc>
          <w:tcPr>
            <w:tcW w:w="1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   Nominating and Corporate Governance</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$4,000</w:t>
            </w:r>
          </w:p>
        </w:tc>
        <w:tc>
          <w:tcPr>
            <w:tcW w:w="1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3880" w:type="dxa"/>
            <w:vAlign w:val="bottom"/>
            <w:gridSpan w:val="2"/>
            <w:shd w:val="clear" w:color="auto" w:fill="1DA46F"/>
          </w:tcPr>
          <w:p>
            <w:pPr>
              <w:ind w:left="20"/>
              <w:spacing w:after="0"/>
              <w:rPr>
                <w:sz w:val="20"/>
                <w:szCs w:val="20"/>
                <w:color w:val="auto"/>
              </w:rPr>
            </w:pPr>
            <w:r>
              <w:rPr>
                <w:rFonts w:ascii="Arial" w:cs="Arial" w:eastAsia="Arial" w:hAnsi="Arial"/>
                <w:sz w:val="18"/>
                <w:szCs w:val="18"/>
                <w:b w:val="1"/>
                <w:bCs w:val="1"/>
                <w:color w:val="FFFFFF"/>
              </w:rPr>
              <w:t>​ Equity</w:t>
            </w:r>
          </w:p>
        </w:tc>
        <w:tc>
          <w:tcPr>
            <w:tcW w:w="1540" w:type="dxa"/>
            <w:vAlign w:val="bottom"/>
            <w:shd w:val="clear" w:color="auto" w:fill="1DA46F"/>
          </w:tcPr>
          <w:p>
            <w:pPr>
              <w:ind w:left="460"/>
              <w:spacing w:after="0"/>
              <w:rPr>
                <w:sz w:val="20"/>
                <w:szCs w:val="20"/>
                <w:color w:val="auto"/>
              </w:rPr>
            </w:pPr>
            <w:r>
              <w:rPr>
                <w:rFonts w:ascii="Arial" w:cs="Arial" w:eastAsia="Arial" w:hAnsi="Arial"/>
                <w:sz w:val="18"/>
                <w:szCs w:val="18"/>
                <w:b w:val="1"/>
                <w:bCs w:val="1"/>
                <w:color w:val="FFFFFF"/>
              </w:rPr>
              <w:t>​ ​</w:t>
            </w:r>
          </w:p>
        </w:tc>
        <w:tc>
          <w:tcPr>
            <w:tcW w:w="1600" w:type="dxa"/>
            <w:vAlign w:val="bottom"/>
            <w:shd w:val="clear" w:color="auto" w:fill="1DA46F"/>
          </w:tcPr>
          <w:p>
            <w:pPr>
              <w:ind w:left="940"/>
              <w:spacing w:after="0"/>
              <w:rPr>
                <w:sz w:val="20"/>
                <w:szCs w:val="20"/>
                <w:color w:val="auto"/>
              </w:rPr>
            </w:pPr>
            <w:r>
              <w:rPr>
                <w:rFonts w:ascii="Arial" w:cs="Arial" w:eastAsia="Arial" w:hAnsi="Arial"/>
                <w:sz w:val="18"/>
                <w:szCs w:val="18"/>
                <w:b w:val="1"/>
                <w:bCs w:val="1"/>
                <w:color w:val="FFFFFF"/>
              </w:rPr>
              <w:t>​ ​</w:t>
            </w:r>
          </w:p>
        </w:tc>
        <w:tc>
          <w:tcPr>
            <w:tcW w:w="1480" w:type="dxa"/>
            <w:vAlign w:val="bottom"/>
            <w:shd w:val="clear" w:color="auto" w:fill="1DA46F"/>
          </w:tcPr>
          <w:p>
            <w:pPr>
              <w:ind w:left="20"/>
              <w:spacing w:after="0"/>
              <w:rPr>
                <w:sz w:val="20"/>
                <w:szCs w:val="20"/>
                <w:color w:val="auto"/>
              </w:rPr>
            </w:pPr>
            <w:r>
              <w:rPr>
                <w:rFonts w:ascii="Arial" w:cs="Arial" w:eastAsia="Arial" w:hAnsi="Arial"/>
                <w:sz w:val="18"/>
                <w:szCs w:val="18"/>
                <w:b w:val="1"/>
                <w:bCs w:val="1"/>
                <w:color w:val="FFFFFF"/>
              </w:rPr>
              <w:t>​</w:t>
            </w:r>
          </w:p>
        </w:tc>
        <w:tc>
          <w:tcPr>
            <w:tcW w:w="480" w:type="dxa"/>
            <w:vAlign w:val="bottom"/>
            <w:shd w:val="clear" w:color="auto" w:fill="1DA46F"/>
          </w:tcPr>
          <w:p>
            <w:pPr>
              <w:jc w:val="right"/>
              <w:spacing w:after="0"/>
              <w:rPr>
                <w:sz w:val="20"/>
                <w:szCs w:val="20"/>
                <w:color w:val="auto"/>
              </w:rPr>
            </w:pPr>
            <w:r>
              <w:rPr>
                <w:rFonts w:ascii="Arial" w:cs="Arial" w:eastAsia="Arial" w:hAnsi="Arial"/>
                <w:sz w:val="18"/>
                <w:szCs w:val="18"/>
                <w:b w:val="1"/>
                <w:bCs w:val="1"/>
                <w:color w:val="FFFFFF"/>
              </w:rPr>
              <w:t>​</w:t>
            </w:r>
          </w:p>
        </w:tc>
      </w:tr>
    </w:tbl>
    <w:p>
      <w:pPr>
        <w:spacing w:after="0" w:line="2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Option to purchase 88,000 shares of common stock,</w:t>
            </w:r>
          </w:p>
        </w:tc>
      </w:tr>
      <w:tr>
        <w:trPr>
          <w:trHeight w:val="203"/>
        </w:trPr>
        <w:tc>
          <w:tcPr>
            <w:tcW w:w="1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5640" w:type="dxa"/>
            <w:vAlign w:val="bottom"/>
          </w:tcPr>
          <w:p>
            <w:pPr>
              <w:ind w:left="1240"/>
              <w:spacing w:after="0" w:line="202" w:lineRule="exact"/>
              <w:rPr>
                <w:sz w:val="20"/>
                <w:szCs w:val="20"/>
                <w:color w:val="auto"/>
              </w:rPr>
            </w:pPr>
            <w:r>
              <w:rPr>
                <w:rFonts w:ascii="Arial" w:cs="Arial" w:eastAsia="Arial" w:hAnsi="Arial"/>
                <w:sz w:val="18"/>
                <w:szCs w:val="18"/>
                <w:color w:val="auto"/>
              </w:rPr>
              <w:t>made  to  directors  at  the  commencement  of  their</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b w:val="1"/>
                <w:bCs w:val="1"/>
                <w:color w:val="auto"/>
              </w:rPr>
              <w:t>Initial Equity Grant</w:t>
            </w:r>
          </w:p>
        </w:tc>
        <w:tc>
          <w:tcPr>
            <w:tcW w:w="5640" w:type="dxa"/>
            <w:vAlign w:val="bottom"/>
          </w:tcPr>
          <w:p>
            <w:pPr>
              <w:ind w:left="1040"/>
              <w:spacing w:after="0"/>
              <w:rPr>
                <w:sz w:val="20"/>
                <w:szCs w:val="20"/>
                <w:color w:val="auto"/>
              </w:rPr>
            </w:pPr>
            <w:r>
              <w:rPr>
                <w:rFonts w:ascii="Arial" w:cs="Arial" w:eastAsia="Arial" w:hAnsi="Arial"/>
                <w:sz w:val="18"/>
                <w:szCs w:val="18"/>
                <w:color w:val="auto"/>
              </w:rPr>
              <w:t>​ ​ director service, vesting monthly over a period of​</w:t>
            </w:r>
          </w:p>
        </w:tc>
      </w:tr>
      <w:tr>
        <w:trPr>
          <w:trHeight w:val="216"/>
        </w:trPr>
        <w:tc>
          <w:tcPr>
            <w:tcW w:w="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36 months, subject generally to continued service with</w:t>
            </w:r>
          </w:p>
        </w:tc>
      </w:tr>
      <w:tr>
        <w:trPr>
          <w:trHeight w:val="239"/>
        </w:trPr>
        <w:tc>
          <w:tcPr>
            <w:tcW w:w="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the Company</w:t>
            </w:r>
          </w:p>
        </w:tc>
      </w:tr>
      <w:tr>
        <w:trPr>
          <w:trHeight w:val="247"/>
        </w:trPr>
        <w:tc>
          <w:tcPr>
            <w:tcW w:w="1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Option to purchase 44,000 shares of common stock,</w:t>
            </w:r>
          </w:p>
        </w:tc>
      </w:tr>
      <w:tr>
        <w:trPr>
          <w:trHeight w:val="216"/>
        </w:trPr>
        <w:tc>
          <w:tcPr>
            <w:tcW w:w="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vesting in full on the sooner of the first anniversary of</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b w:val="1"/>
                <w:bCs w:val="1"/>
                <w:color w:val="auto"/>
              </w:rPr>
              <w:t>Annual Equity Retainer</w:t>
            </w:r>
          </w:p>
        </w:tc>
        <w:tc>
          <w:tcPr>
            <w:tcW w:w="5640" w:type="dxa"/>
            <w:vAlign w:val="bottom"/>
          </w:tcPr>
          <w:p>
            <w:pPr>
              <w:ind w:left="1040"/>
              <w:spacing w:after="0"/>
              <w:rPr>
                <w:sz w:val="20"/>
                <w:szCs w:val="20"/>
                <w:color w:val="auto"/>
              </w:rPr>
            </w:pPr>
            <w:r>
              <w:rPr>
                <w:rFonts w:ascii="Arial" w:cs="Arial" w:eastAsia="Arial" w:hAnsi="Arial"/>
                <w:sz w:val="18"/>
                <w:szCs w:val="18"/>
                <w:color w:val="auto"/>
              </w:rPr>
              <w:t>​ ​ the date of grant or the next annual shareholder​</w:t>
            </w:r>
          </w:p>
        </w:tc>
      </w:tr>
      <w:tr>
        <w:trPr>
          <w:trHeight w:val="216"/>
        </w:trPr>
        <w:tc>
          <w:tcPr>
            <w:tcW w:w="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meeting, subject generally to continued service with</w:t>
            </w:r>
          </w:p>
        </w:tc>
      </w:tr>
      <w:tr>
        <w:trPr>
          <w:trHeight w:val="239"/>
        </w:trPr>
        <w:tc>
          <w:tcPr>
            <w:tcW w:w="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the Company</w:t>
            </w:r>
          </w:p>
        </w:tc>
      </w:tr>
    </w:tbl>
    <w:p>
      <w:pPr>
        <w:spacing w:after="0" w:line="166"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8"/>
          <w:szCs w:val="18"/>
          <w:color w:val="auto"/>
        </w:rPr>
        <w:t>Each annual cash retainer is paid quarterly in arrears. All equity awards granted under the non-employee director compensation policy will be granted under, and subject to the terms of, the Company’s 2021 Equity Incentive Plan, or the 2021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​DIRECTOR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COMPENSATION TABLE</w:t>
      </w:r>
    </w:p>
    <w:p>
      <w:pPr>
        <w:spacing w:after="0" w:line="144" w:lineRule="exact"/>
        <w:rPr>
          <w:sz w:val="20"/>
          <w:szCs w:val="20"/>
          <w:color w:val="auto"/>
        </w:rPr>
      </w:pPr>
    </w:p>
    <w:p>
      <w:pPr>
        <w:ind w:left="880" w:right="19"/>
        <w:spacing w:after="0" w:line="287" w:lineRule="auto"/>
        <w:rPr>
          <w:sz w:val="20"/>
          <w:szCs w:val="20"/>
          <w:color w:val="auto"/>
        </w:rPr>
      </w:pPr>
      <w:r>
        <w:rPr>
          <w:rFonts w:ascii="Arial" w:cs="Arial" w:eastAsia="Arial" w:hAnsi="Arial"/>
          <w:sz w:val="18"/>
          <w:szCs w:val="18"/>
          <w:color w:val="auto"/>
        </w:rPr>
        <w:t>The following table below sets forth information for the fiscal year ended December 31, 2023 regarding the compensation of our non-employee directors.</w:t>
      </w:r>
    </w:p>
    <w:p>
      <w:pPr>
        <w:spacing w:after="0" w:line="125" w:lineRule="exact"/>
        <w:rPr>
          <w:sz w:val="20"/>
          <w:szCs w:val="20"/>
          <w:color w:val="auto"/>
        </w:rPr>
      </w:pPr>
    </w:p>
    <w:tbl>
      <w:tblPr>
        <w:tblLayout w:type="fixed"/>
        <w:tblInd w:w="870" w:type="dxa"/>
        <w:tblCellMar>
          <w:top w:w="0" w:type="dxa"/>
          <w:left w:w="0" w:type="dxa"/>
          <w:bottom w:w="0" w:type="dxa"/>
          <w:right w:w="0" w:type="dxa"/>
        </w:tblCellMar>
      </w:tblPr>
      <w:tr>
        <w:trPr>
          <w:trHeight w:val="283"/>
        </w:trPr>
        <w:tc>
          <w:tcPr>
            <w:tcW w:w="1780" w:type="dxa"/>
            <w:vAlign w:val="bottom"/>
            <w:tcBorders>
              <w:top w:val="single" w:sz="8" w:color="auto"/>
              <w:lef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1360" w:type="dxa"/>
            <w:vAlign w:val="bottom"/>
            <w:tcBorders>
              <w:top w:val="single" w:sz="8" w:color="auto"/>
            </w:tcBorders>
            <w:shd w:val="clear" w:color="auto" w:fill="148CD9"/>
          </w:tcPr>
          <w:p>
            <w:pPr>
              <w:ind w:left="20"/>
              <w:spacing w:after="0"/>
              <w:rPr>
                <w:sz w:val="20"/>
                <w:szCs w:val="20"/>
                <w:color w:val="auto"/>
              </w:rPr>
            </w:pPr>
            <w:r>
              <w:rPr>
                <w:rFonts w:ascii="Arial" w:cs="Arial" w:eastAsia="Arial" w:hAnsi="Arial"/>
                <w:sz w:val="16"/>
                <w:szCs w:val="16"/>
                <w:b w:val="1"/>
                <w:bCs w:val="1"/>
                <w:color w:val="FFFFFF"/>
              </w:rPr>
              <w:t>NAME</w:t>
            </w:r>
          </w:p>
        </w:tc>
        <w:tc>
          <w:tcPr>
            <w:tcW w:w="3120" w:type="dxa"/>
            <w:vAlign w:val="bottom"/>
            <w:tcBorders>
              <w:top w:val="single" w:sz="8" w:color="auto"/>
            </w:tcBorders>
            <w:gridSpan w:val="2"/>
            <w:shd w:val="clear" w:color="auto" w:fill="148CD9"/>
          </w:tcPr>
          <w:p>
            <w:pPr>
              <w:ind w:left="860"/>
              <w:spacing w:after="0" w:line="283" w:lineRule="exact"/>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FEES EARNED OR PAID IN</w:t>
            </w:r>
          </w:p>
        </w:tc>
        <w:tc>
          <w:tcPr>
            <w:tcW w:w="1620" w:type="dxa"/>
            <w:vAlign w:val="bottom"/>
            <w:tcBorders>
              <w:top w:val="single" w:sz="8" w:color="auto"/>
            </w:tcBorders>
            <w:gridSpan w:val="2"/>
            <w:shd w:val="clear" w:color="auto" w:fill="148CD9"/>
          </w:tcPr>
          <w:p>
            <w:pPr>
              <w:ind w:left="40"/>
              <w:spacing w:after="0" w:line="283" w:lineRule="exact"/>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OPTION AWARDS</w:t>
            </w:r>
          </w:p>
        </w:tc>
        <w:tc>
          <w:tcPr>
            <w:tcW w:w="1120" w:type="dxa"/>
            <w:vAlign w:val="bottom"/>
            <w:tcBorders>
              <w:top w:val="single" w:sz="8" w:color="auto"/>
              <w:right w:val="single" w:sz="8" w:color="auto"/>
            </w:tcBorders>
            <w:gridSpan w:val="2"/>
            <w:shd w:val="clear" w:color="auto" w:fill="148CD9"/>
          </w:tcPr>
          <w:p>
            <w:pPr>
              <w:ind w:left="40"/>
              <w:spacing w:after="0"/>
              <w:rPr>
                <w:sz w:val="20"/>
                <w:szCs w:val="20"/>
                <w:color w:val="auto"/>
              </w:rPr>
            </w:pPr>
            <w:r>
              <w:rPr>
                <w:rFonts w:ascii="Arial" w:cs="Arial" w:eastAsia="Arial" w:hAnsi="Arial"/>
                <w:sz w:val="16"/>
                <w:szCs w:val="16"/>
                <w:b w:val="1"/>
                <w:bCs w:val="1"/>
                <w:color w:val="FFFFFF"/>
              </w:rPr>
              <w:t>​ ​ TOTAL ($) ​</w:t>
            </w:r>
          </w:p>
        </w:tc>
      </w:tr>
      <w:tr>
        <w:trPr>
          <w:trHeight w:val="176"/>
        </w:trPr>
        <w:tc>
          <w:tcPr>
            <w:tcW w:w="1780" w:type="dxa"/>
            <w:vAlign w:val="bottom"/>
            <w:tcBorders>
              <w:left w:val="single" w:sz="8" w:color="auto"/>
              <w:bottom w:val="single" w:sz="8" w:color="auto"/>
            </w:tcBorders>
            <w:shd w:val="clear" w:color="auto" w:fill="148CD9"/>
          </w:tcPr>
          <w:p>
            <w:pPr>
              <w:spacing w:after="0"/>
              <w:rPr>
                <w:sz w:val="15"/>
                <w:szCs w:val="15"/>
                <w:color w:val="auto"/>
              </w:rPr>
            </w:pPr>
          </w:p>
        </w:tc>
        <w:tc>
          <w:tcPr>
            <w:tcW w:w="1360" w:type="dxa"/>
            <w:vAlign w:val="bottom"/>
            <w:tcBorders>
              <w:bottom w:val="single" w:sz="8" w:color="auto"/>
            </w:tcBorders>
            <w:shd w:val="clear" w:color="auto" w:fill="148CD9"/>
          </w:tcPr>
          <w:p>
            <w:pPr>
              <w:spacing w:after="0"/>
              <w:rPr>
                <w:sz w:val="15"/>
                <w:szCs w:val="15"/>
                <w:color w:val="auto"/>
              </w:rPr>
            </w:pPr>
          </w:p>
        </w:tc>
        <w:tc>
          <w:tcPr>
            <w:tcW w:w="1380" w:type="dxa"/>
            <w:vAlign w:val="bottom"/>
            <w:tcBorders>
              <w:bottom w:val="single" w:sz="8" w:color="auto"/>
            </w:tcBorders>
            <w:shd w:val="clear" w:color="auto" w:fill="148CD9"/>
          </w:tcPr>
          <w:p>
            <w:pPr>
              <w:spacing w:after="0"/>
              <w:rPr>
                <w:sz w:val="15"/>
                <w:szCs w:val="15"/>
                <w:color w:val="auto"/>
              </w:rPr>
            </w:pPr>
          </w:p>
        </w:tc>
        <w:tc>
          <w:tcPr>
            <w:tcW w:w="1740" w:type="dxa"/>
            <w:vAlign w:val="bottom"/>
            <w:tcBorders>
              <w:bottom w:val="single" w:sz="8" w:color="auto"/>
            </w:tcBorders>
            <w:shd w:val="clear" w:color="auto" w:fill="148CD9"/>
          </w:tcPr>
          <w:p>
            <w:pPr>
              <w:jc w:val="center"/>
              <w:ind w:right="271"/>
              <w:spacing w:after="0" w:line="175" w:lineRule="exact"/>
              <w:rPr>
                <w:sz w:val="20"/>
                <w:szCs w:val="20"/>
                <w:color w:val="auto"/>
              </w:rPr>
            </w:pPr>
            <w:r>
              <w:rPr>
                <w:rFonts w:ascii="Arial" w:cs="Arial" w:eastAsia="Arial" w:hAnsi="Arial"/>
                <w:sz w:val="16"/>
                <w:szCs w:val="16"/>
                <w:b w:val="1"/>
                <w:bCs w:val="1"/>
                <w:color w:val="FFFFFF"/>
              </w:rPr>
              <w:t>CASH ($)</w:t>
            </w:r>
          </w:p>
        </w:tc>
        <w:tc>
          <w:tcPr>
            <w:tcW w:w="400" w:type="dxa"/>
            <w:vAlign w:val="bottom"/>
            <w:tcBorders>
              <w:bottom w:val="single" w:sz="8" w:color="auto"/>
            </w:tcBorders>
            <w:shd w:val="clear" w:color="auto" w:fill="148CD9"/>
          </w:tcPr>
          <w:p>
            <w:pPr>
              <w:spacing w:after="0"/>
              <w:rPr>
                <w:sz w:val="15"/>
                <w:szCs w:val="15"/>
                <w:color w:val="auto"/>
              </w:rPr>
            </w:pPr>
          </w:p>
        </w:tc>
        <w:tc>
          <w:tcPr>
            <w:tcW w:w="1220" w:type="dxa"/>
            <w:vAlign w:val="bottom"/>
            <w:tcBorders>
              <w:bottom w:val="single" w:sz="8" w:color="auto"/>
            </w:tcBorders>
            <w:shd w:val="clear" w:color="auto" w:fill="148CD9"/>
          </w:tcPr>
          <w:p>
            <w:pPr>
              <w:jc w:val="center"/>
              <w:ind w:right="111"/>
              <w:spacing w:after="0" w:line="175" w:lineRule="exact"/>
              <w:rPr>
                <w:sz w:val="20"/>
                <w:szCs w:val="20"/>
                <w:color w:val="auto"/>
              </w:rPr>
            </w:pPr>
            <w:r>
              <w:rPr>
                <w:rFonts w:ascii="Arial" w:cs="Arial" w:eastAsia="Arial" w:hAnsi="Arial"/>
                <w:sz w:val="16"/>
                <w:szCs w:val="16"/>
                <w:b w:val="1"/>
                <w:bCs w:val="1"/>
                <w:color w:val="FFFFFF"/>
                <w:w w:val="98"/>
              </w:rPr>
              <w:t>($)(1)(2)</w:t>
            </w:r>
          </w:p>
        </w:tc>
        <w:tc>
          <w:tcPr>
            <w:tcW w:w="980" w:type="dxa"/>
            <w:vAlign w:val="bottom"/>
            <w:tcBorders>
              <w:bottom w:val="single" w:sz="8" w:color="auto"/>
            </w:tcBorders>
            <w:shd w:val="clear" w:color="auto" w:fill="148CD9"/>
          </w:tcPr>
          <w:p>
            <w:pPr>
              <w:spacing w:after="0"/>
              <w:rPr>
                <w:sz w:val="15"/>
                <w:szCs w:val="15"/>
                <w:color w:val="auto"/>
              </w:rPr>
            </w:pPr>
          </w:p>
        </w:tc>
        <w:tc>
          <w:tcPr>
            <w:tcW w:w="140" w:type="dxa"/>
            <w:vAlign w:val="bottom"/>
            <w:tcBorders>
              <w:bottom w:val="single" w:sz="8" w:color="auto"/>
              <w:right w:val="single" w:sz="8" w:color="auto"/>
            </w:tcBorders>
            <w:shd w:val="clear" w:color="auto" w:fill="148CD9"/>
          </w:tcPr>
          <w:p>
            <w:pPr>
              <w:spacing w:after="0"/>
              <w:rPr>
                <w:sz w:val="15"/>
                <w:szCs w:val="15"/>
                <w:color w:val="auto"/>
              </w:rPr>
            </w:pPr>
          </w:p>
        </w:tc>
      </w:tr>
      <w:tr>
        <w:trPr>
          <w:trHeight w:val="250"/>
        </w:trPr>
        <w:tc>
          <w:tcPr>
            <w:tcW w:w="31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Kimberly Blackwell, M.D.</w:t>
            </w: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51,500</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114,400</w:t>
            </w:r>
          </w:p>
        </w:tc>
        <w:tc>
          <w:tcPr>
            <w:tcW w:w="98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165,900</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178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Cynthia Butitta</w:t>
            </w:r>
          </w:p>
        </w:tc>
        <w:tc>
          <w:tcPr>
            <w:tcW w:w="1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56,250</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114,400</w:t>
            </w:r>
          </w:p>
        </w:tc>
        <w:tc>
          <w:tcPr>
            <w:tcW w:w="98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170,650</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178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Joseph Jimenez</w:t>
            </w:r>
          </w:p>
        </w:tc>
        <w:tc>
          <w:tcPr>
            <w:tcW w:w="1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83,000</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114,400</w:t>
            </w:r>
          </w:p>
        </w:tc>
        <w:tc>
          <w:tcPr>
            <w:tcW w:w="98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197,400</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178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Daphne Quimi</w:t>
            </w:r>
          </w:p>
        </w:tc>
        <w:tc>
          <w:tcPr>
            <w:tcW w:w="1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55,250</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114,400</w:t>
            </w:r>
          </w:p>
        </w:tc>
        <w:tc>
          <w:tcPr>
            <w:tcW w:w="98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169,650</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31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Alessandro Riva, M.D.</w:t>
            </w: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47,500</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114,400</w:t>
            </w:r>
          </w:p>
        </w:tc>
        <w:tc>
          <w:tcPr>
            <w:tcW w:w="98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161,900</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178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Carlo Rizzuto, Ph.D.</w:t>
            </w:r>
          </w:p>
        </w:tc>
        <w:tc>
          <w:tcPr>
            <w:tcW w:w="1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54,000</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114,400</w:t>
            </w:r>
          </w:p>
        </w:tc>
        <w:tc>
          <w:tcPr>
            <w:tcW w:w="98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168,400</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178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Timothy P. Walbert</w:t>
            </w:r>
          </w:p>
        </w:tc>
        <w:tc>
          <w:tcPr>
            <w:tcW w:w="1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45,000</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114,400</w:t>
            </w:r>
          </w:p>
        </w:tc>
        <w:tc>
          <w:tcPr>
            <w:tcW w:w="98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159,400</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jc w:val="both"/>
        <w:ind w:left="1240" w:right="19" w:hanging="370"/>
        <w:spacing w:after="0" w:line="243"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shown in this column do not reflect dollar amounts actually received by our directors. Instead, these amounts reflect the aggregate grant date fair value of each stock option granted in 2023 determined in accordance with the provisions of Financial Accounting Standards Board Accounting Standards, Codification Topic 718, Compensation  —   Stock Compensation, or FASB ASC Topic 718. The assumptions made in the calculation of these amounts are included in Note 2 of the Notes to Consolidated Financial Statements included in our 2023 Annual Report.</w:t>
      </w:r>
    </w:p>
    <w:p>
      <w:pPr>
        <w:spacing w:after="0" w:line="40" w:lineRule="exact"/>
        <w:rPr>
          <w:rFonts w:ascii="Arial" w:cs="Arial" w:eastAsia="Arial" w:hAnsi="Arial"/>
          <w:sz w:val="16"/>
          <w:szCs w:val="16"/>
          <w:color w:val="auto"/>
        </w:rPr>
      </w:pPr>
    </w:p>
    <w:p>
      <w:pPr>
        <w:jc w:val="both"/>
        <w:ind w:left="1240" w:right="19" w:hanging="370"/>
        <w:spacing w:after="0" w:line="243"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December 31, 2023, Dr. Rizzuto held options to purchase 103,616 shares of our common stock; Ms. Butitta and Mr. Jimenez each held options to purchase 83,744 shares of our common stock; Dr. Riva and Dr. Blackwell each held options to purchase 183,227 shares of our common stock; and Mr. Walbert and Ms. Quimi each held options to purchase 83,744 shares of our common stock. As of December 31, 2023, Ms. Butitta held unvested stock awards totaling 49,468 shares of restricted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71"/>
        </w:trPr>
        <w:tc>
          <w:tcPr>
            <w:tcW w:w="9340" w:type="dxa"/>
            <w:vAlign w:val="bottom"/>
            <w:gridSpan w:val="2"/>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500" w:type="dxa"/>
            <w:vAlign w:val="bottom"/>
          </w:tcPr>
          <w:p>
            <w:pPr>
              <w:spacing w:after="0"/>
              <w:rPr>
                <w:sz w:val="14"/>
                <w:szCs w:val="14"/>
                <w:color w:val="auto"/>
              </w:rPr>
            </w:pPr>
          </w:p>
        </w:tc>
      </w:tr>
      <w:tr>
        <w:trPr>
          <w:trHeight w:val="182"/>
        </w:trPr>
        <w:tc>
          <w:tcPr>
            <w:tcW w:w="86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61"/>
        </w:trPr>
        <w:tc>
          <w:tcPr>
            <w:tcW w:w="860" w:type="dxa"/>
            <w:vAlign w:val="bottom"/>
          </w:tcPr>
          <w:p>
            <w:pPr>
              <w:spacing w:after="0"/>
              <w:rPr>
                <w:sz w:val="24"/>
                <w:szCs w:val="24"/>
                <w:color w:val="auto"/>
              </w:rPr>
            </w:pPr>
          </w:p>
        </w:tc>
        <w:tc>
          <w:tcPr>
            <w:tcW w:w="8480" w:type="dxa"/>
            <w:vAlign w:val="bottom"/>
            <w:shd w:val="clear" w:color="auto" w:fill="1DA46F"/>
          </w:tcPr>
          <w:p>
            <w:pPr>
              <w:ind w:left="120"/>
              <w:spacing w:after="0" w:line="361" w:lineRule="exact"/>
              <w:rPr>
                <w:sz w:val="20"/>
                <w:szCs w:val="20"/>
                <w:color w:val="auto"/>
              </w:rPr>
            </w:pPr>
            <w:r>
              <w:rPr>
                <w:rFonts w:ascii="Arial" w:cs="Arial" w:eastAsia="Arial" w:hAnsi="Arial"/>
                <w:sz w:val="32"/>
                <w:szCs w:val="32"/>
                <w:b w:val="1"/>
                <w:bCs w:val="1"/>
                <w:color w:val="FFFFFF"/>
              </w:rPr>
              <w:t>INDEPENDENT REGISTERED PUBLIC ACCOUNTING</w:t>
            </w:r>
          </w:p>
        </w:tc>
        <w:tc>
          <w:tcPr>
            <w:tcW w:w="500" w:type="dxa"/>
            <w:vAlign w:val="bottom"/>
            <w:shd w:val="clear" w:color="auto" w:fill="1DA46F"/>
          </w:tcPr>
          <w:p>
            <w:pPr>
              <w:spacing w:after="0"/>
              <w:rPr>
                <w:sz w:val="24"/>
                <w:szCs w:val="24"/>
                <w:color w:val="auto"/>
              </w:rPr>
            </w:pPr>
          </w:p>
        </w:tc>
      </w:tr>
      <w:tr>
        <w:trPr>
          <w:trHeight w:val="422"/>
        </w:trPr>
        <w:tc>
          <w:tcPr>
            <w:tcW w:w="860" w:type="dxa"/>
            <w:vAlign w:val="bottom"/>
          </w:tcPr>
          <w:p>
            <w:pPr>
              <w:spacing w:after="0"/>
              <w:rPr>
                <w:sz w:val="24"/>
                <w:szCs w:val="24"/>
                <w:color w:val="auto"/>
              </w:rPr>
            </w:pPr>
          </w:p>
        </w:tc>
        <w:tc>
          <w:tcPr>
            <w:tcW w:w="8480" w:type="dxa"/>
            <w:vAlign w:val="bottom"/>
            <w:shd w:val="clear" w:color="auto" w:fill="1DA46F"/>
          </w:tcPr>
          <w:p>
            <w:pPr>
              <w:ind w:left="20"/>
              <w:spacing w:after="0"/>
              <w:rPr>
                <w:sz w:val="20"/>
                <w:szCs w:val="20"/>
                <w:color w:val="auto"/>
              </w:rPr>
            </w:pPr>
            <w:r>
              <w:rPr>
                <w:rFonts w:ascii="Arial" w:cs="Arial" w:eastAsia="Arial" w:hAnsi="Arial"/>
                <w:sz w:val="32"/>
                <w:szCs w:val="32"/>
                <w:b w:val="1"/>
                <w:bCs w:val="1"/>
                <w:color w:val="FFFFFF"/>
              </w:rPr>
              <w:t>​FIRM</w:t>
            </w:r>
          </w:p>
        </w:tc>
        <w:tc>
          <w:tcPr>
            <w:tcW w:w="500" w:type="dxa"/>
            <w:vAlign w:val="bottom"/>
            <w:shd w:val="clear" w:color="auto" w:fill="1DA46F"/>
          </w:tcPr>
          <w:p>
            <w:pPr>
              <w:ind w:left="400"/>
              <w:spacing w:after="0"/>
              <w:rPr>
                <w:sz w:val="20"/>
                <w:szCs w:val="20"/>
                <w:color w:val="auto"/>
              </w:rPr>
            </w:pPr>
            <w:r>
              <w:rPr>
                <w:rFonts w:ascii="Arial" w:cs="Arial" w:eastAsia="Arial" w:hAnsi="Arial"/>
                <w:sz w:val="32"/>
                <w:szCs w:val="32"/>
                <w:b w:val="1"/>
                <w:bCs w:val="1"/>
                <w:color w:val="FFFFFF"/>
              </w:rPr>
              <w:t>​</w:t>
            </w:r>
          </w:p>
        </w:tc>
      </w:tr>
    </w:tbl>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158"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8"/>
          <w:szCs w:val="18"/>
          <w:color w:val="auto"/>
        </w:rPr>
        <w:t>The Audit Committee works with our management in order to negotiate appropriate fees with EY and is ultimately responsible for approving those fees. The following is a summary and description of fees for services provided by EY in 2023 and 2022.</w:t>
      </w:r>
    </w:p>
    <w:p>
      <w:pPr>
        <w:spacing w:after="0" w:line="129"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1960" w:type="dxa"/>
            <w:vAlign w:val="bottom"/>
            <w:tcBorders>
              <w:top w:val="single" w:sz="8" w:color="auto"/>
              <w:left w:val="single" w:sz="8" w:color="auto"/>
              <w:bottom w:val="single" w:sz="8" w:color="auto"/>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2100" w:type="dxa"/>
            <w:vAlign w:val="bottom"/>
            <w:tcBorders>
              <w:top w:val="single" w:sz="8" w:color="auto"/>
              <w:bottom w:val="single" w:sz="8" w:color="auto"/>
            </w:tcBorders>
            <w:shd w:val="clear" w:color="auto" w:fill="148CD9"/>
          </w:tcPr>
          <w:p>
            <w:pPr>
              <w:ind w:left="300"/>
              <w:spacing w:after="0"/>
              <w:rPr>
                <w:sz w:val="20"/>
                <w:szCs w:val="20"/>
                <w:color w:val="auto"/>
              </w:rPr>
            </w:pPr>
            <w:r>
              <w:rPr>
                <w:rFonts w:ascii="Arial" w:cs="Arial" w:eastAsia="Arial" w:hAnsi="Arial"/>
                <w:sz w:val="16"/>
                <w:szCs w:val="16"/>
                <w:b w:val="1"/>
                <w:bCs w:val="1"/>
                <w:color w:val="FFFFFF"/>
              </w:rPr>
              <w:t>SERVICE</w:t>
            </w:r>
          </w:p>
        </w:tc>
        <w:tc>
          <w:tcPr>
            <w:tcW w:w="1180" w:type="dxa"/>
            <w:vAlign w:val="bottom"/>
            <w:tcBorders>
              <w:top w:val="single" w:sz="8" w:color="auto"/>
              <w:bottom w:val="single" w:sz="8" w:color="auto"/>
              <w:right w:val="single" w:sz="8" w:color="auto"/>
            </w:tcBorders>
            <w:shd w:val="clear" w:color="auto" w:fill="148CD9"/>
          </w:tcPr>
          <w:p>
            <w:pPr>
              <w:ind w:left="1100"/>
              <w:spacing w:after="0"/>
              <w:rPr>
                <w:sz w:val="20"/>
                <w:szCs w:val="20"/>
                <w:color w:val="auto"/>
              </w:rPr>
            </w:pPr>
            <w:r>
              <w:rPr>
                <w:rFonts w:ascii="Arial" w:cs="Arial" w:eastAsia="Arial" w:hAnsi="Arial"/>
                <w:sz w:val="16"/>
                <w:szCs w:val="16"/>
                <w:b w:val="1"/>
                <w:bCs w:val="1"/>
                <w:color w:val="FFFFFF"/>
              </w:rPr>
              <w:t>​</w:t>
            </w:r>
          </w:p>
        </w:tc>
        <w:tc>
          <w:tcPr>
            <w:tcW w:w="200" w:type="dxa"/>
            <w:vAlign w:val="bottom"/>
            <w:tcBorders>
              <w:top w:val="single" w:sz="8" w:color="auto"/>
              <w:bottom w:val="single" w:sz="8" w:color="auto"/>
            </w:tcBorders>
            <w:shd w:val="clear" w:color="auto" w:fill="148CD9"/>
          </w:tcPr>
          <w:p>
            <w:pPr>
              <w:ind w:left="40"/>
              <w:spacing w:after="0"/>
              <w:rPr>
                <w:sz w:val="20"/>
                <w:szCs w:val="20"/>
                <w:color w:val="auto"/>
              </w:rPr>
            </w:pPr>
            <w:r>
              <w:rPr>
                <w:rFonts w:ascii="Arial" w:cs="Arial" w:eastAsia="Arial" w:hAnsi="Arial"/>
                <w:sz w:val="16"/>
                <w:szCs w:val="16"/>
                <w:b w:val="1"/>
                <w:bCs w:val="1"/>
                <w:color w:val="FFFFFF"/>
              </w:rPr>
              <w:t>​</w:t>
            </w:r>
          </w:p>
        </w:tc>
        <w:tc>
          <w:tcPr>
            <w:tcW w:w="108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2023 ($)</w:t>
            </w:r>
          </w:p>
        </w:tc>
        <w:tc>
          <w:tcPr>
            <w:tcW w:w="220" w:type="dxa"/>
            <w:vAlign w:val="bottom"/>
            <w:tcBorders>
              <w:top w:val="single" w:sz="8" w:color="auto"/>
              <w:bottom w:val="single" w:sz="8" w:color="auto"/>
              <w:right w:val="single" w:sz="8" w:color="auto"/>
            </w:tcBorders>
            <w:shd w:val="clear" w:color="auto" w:fill="148CD9"/>
          </w:tcPr>
          <w:p>
            <w:pPr>
              <w:ind w:left="140"/>
              <w:spacing w:after="0"/>
              <w:rPr>
                <w:sz w:val="20"/>
                <w:szCs w:val="20"/>
                <w:color w:val="auto"/>
              </w:rPr>
            </w:pPr>
            <w:r>
              <w:rPr>
                <w:rFonts w:ascii="Arial" w:cs="Arial" w:eastAsia="Arial" w:hAnsi="Arial"/>
                <w:sz w:val="16"/>
                <w:szCs w:val="16"/>
                <w:b w:val="1"/>
                <w:bCs w:val="1"/>
                <w:color w:val="FFFFFF"/>
              </w:rPr>
              <w:t>​</w:t>
            </w:r>
          </w:p>
        </w:tc>
        <w:tc>
          <w:tcPr>
            <w:tcW w:w="240" w:type="dxa"/>
            <w:vAlign w:val="bottom"/>
            <w:tcBorders>
              <w:top w:val="single" w:sz="8" w:color="auto"/>
              <w:bottom w:val="single" w:sz="8" w:color="auto"/>
            </w:tcBorders>
            <w:shd w:val="clear" w:color="auto" w:fill="148CD9"/>
          </w:tcPr>
          <w:p>
            <w:pPr>
              <w:ind w:left="40"/>
              <w:spacing w:after="0"/>
              <w:rPr>
                <w:sz w:val="20"/>
                <w:szCs w:val="20"/>
                <w:color w:val="auto"/>
              </w:rPr>
            </w:pPr>
            <w:r>
              <w:rPr>
                <w:rFonts w:ascii="Arial" w:cs="Arial" w:eastAsia="Arial" w:hAnsi="Arial"/>
                <w:sz w:val="16"/>
                <w:szCs w:val="16"/>
                <w:b w:val="1"/>
                <w:bCs w:val="1"/>
                <w:color w:val="FFFFFF"/>
              </w:rPr>
              <w:t>​</w:t>
            </w:r>
          </w:p>
        </w:tc>
        <w:tc>
          <w:tcPr>
            <w:tcW w:w="102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2022 ($)</w:t>
            </w:r>
          </w:p>
        </w:tc>
        <w:tc>
          <w:tcPr>
            <w:tcW w:w="260" w:type="dxa"/>
            <w:vAlign w:val="bottom"/>
            <w:tcBorders>
              <w:top w:val="single" w:sz="8" w:color="auto"/>
              <w:bottom w:val="single" w:sz="8" w:color="auto"/>
              <w:right w:val="single" w:sz="8" w:color="auto"/>
            </w:tcBorders>
            <w:shd w:val="clear" w:color="auto" w:fill="148CD9"/>
          </w:tcPr>
          <w:p>
            <w:pPr>
              <w:ind w:left="180"/>
              <w:spacing w:after="0"/>
              <w:rPr>
                <w:sz w:val="20"/>
                <w:szCs w:val="20"/>
                <w:color w:val="auto"/>
              </w:rPr>
            </w:pPr>
            <w:r>
              <w:rPr>
                <w:rFonts w:ascii="Arial" w:cs="Arial" w:eastAsia="Arial" w:hAnsi="Arial"/>
                <w:sz w:val="16"/>
                <w:szCs w:val="16"/>
                <w:b w:val="1"/>
                <w:bCs w:val="1"/>
                <w:color w:val="FFFFFF"/>
              </w:rPr>
              <w:t>​</w:t>
            </w:r>
          </w:p>
        </w:tc>
      </w:tr>
      <w:tr>
        <w:trPr>
          <w:trHeight w:val="250"/>
        </w:trPr>
        <w:tc>
          <w:tcPr>
            <w:tcW w:w="196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Audit Fees</w:t>
            </w:r>
          </w:p>
        </w:tc>
        <w:tc>
          <w:tcPr>
            <w:tcW w:w="210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727,700</w:t>
            </w:r>
          </w:p>
        </w:tc>
        <w:tc>
          <w:tcPr>
            <w:tcW w:w="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779,500</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50"/>
        </w:trPr>
        <w:tc>
          <w:tcPr>
            <w:tcW w:w="196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Audit-Related Fees</w:t>
            </w:r>
          </w:p>
        </w:tc>
        <w:tc>
          <w:tcPr>
            <w:tcW w:w="210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50"/>
        </w:trPr>
        <w:tc>
          <w:tcPr>
            <w:tcW w:w="196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Tax Fees</w:t>
            </w:r>
          </w:p>
        </w:tc>
        <w:tc>
          <w:tcPr>
            <w:tcW w:w="210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276,140</w:t>
            </w:r>
          </w:p>
        </w:tc>
        <w:tc>
          <w:tcPr>
            <w:tcW w:w="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198,018</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50"/>
        </w:trPr>
        <w:tc>
          <w:tcPr>
            <w:tcW w:w="196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All Other Fees</w:t>
            </w:r>
          </w:p>
        </w:tc>
        <w:tc>
          <w:tcPr>
            <w:tcW w:w="210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50"/>
        </w:trPr>
        <w:tc>
          <w:tcPr>
            <w:tcW w:w="196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Total</w:t>
            </w:r>
          </w:p>
        </w:tc>
        <w:tc>
          <w:tcPr>
            <w:tcW w:w="210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1,003,840</w:t>
            </w:r>
          </w:p>
        </w:tc>
        <w:tc>
          <w:tcPr>
            <w:tcW w:w="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977,518</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 fees</w:t>
      </w:r>
      <w:r>
        <w:rPr>
          <w:rFonts w:ascii="Arial" w:cs="Arial" w:eastAsia="Arial" w:hAnsi="Arial"/>
          <w:sz w:val="18"/>
          <w:szCs w:val="18"/>
          <w:color w:val="auto"/>
        </w:rPr>
        <w:t>” represents the aggregate fees for professional services rendered for the audit of our financial statements and the review of our quarterly financial statements on Form 10-Q that are customary under the standards of the Public Company Accounting Oversight Board (United States), or the PCAOB. Also included are the fees related to our Registration Statements on Form S-1, Form S-3 and Form S-8.</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fees</w:t>
      </w:r>
      <w:r>
        <w:rPr>
          <w:rFonts w:ascii="Arial" w:cs="Arial" w:eastAsia="Arial" w:hAnsi="Arial"/>
          <w:sz w:val="18"/>
          <w:szCs w:val="18"/>
          <w:color w:val="auto"/>
        </w:rPr>
        <w:t>” consists of fees related to tax compliance, tax planning and tax advice.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44"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p>
    <w:p>
      <w:pPr>
        <w:spacing w:after="0" w:line="109"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All such audit and permissible non-audit services were pre-approved in accordance with this policy during the fiscal year ended December 31, 2023.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​AUDIT COMMITTEE REPORT</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The audit committee is appointed by the board of directors to assist the board of directors in fulfilling its oversight responsibilities with respect to (1) the integrity of the Company’s financial statements and financial reporting process and systems of internal controls regarding finance, accounting, and compliance with legal and regulatory requirements, (2) the qualifications, independence, and performance of the Company’s independent registered public accounting firm, (3) the performance of the Company’s internal audit function, if any, and (4) other matters as set forth in the charter of the audit committee approved by the board of directors.</w:t>
      </w:r>
    </w:p>
    <w:p>
      <w:pPr>
        <w:spacing w:after="0" w:line="101"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Management is responsible for the preparation of the Company’s financial statements and the financial reporting process, including its system of internal control over financial reporting and its disclosure controls and procedures. The independent registered public accounting firm is responsible for performing an audit of the Company’s financial statements in accordance with the standards of the Public Company Accounting Oversight Board, or the PCAOB, and issuing a report thereon. The audit committee’s responsibility is to monitor and oversee these processes.</w:t>
      </w:r>
    </w:p>
    <w:p>
      <w:pPr>
        <w:spacing w:after="0" w:line="115"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In connection with these responsibilities, the audit committee reviewed and discussed with management and the independent registered public accounting firm the audited consolidated financial statements of the Company for the fiscal year ended December 31, 2023. The audit committee also discussed with the independent registered public accounting firm the matters required to be discussed by the PCAOB’s Auditing Standard No. 1301, Communication with Audit Committees.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p>
    <w:p>
      <w:pPr>
        <w:spacing w:after="0" w:line="117"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consolidated financial statements of the Company be included in the Company’s Annual Report on Form 10-K for the fiscal year ended December 31, 2023, that was filed with the SEC. The information contained in this report shall not be deemed to be (1) “soliciting material,” (2)​ “filed” with the SEC, (3) subject to Regulations 14A or 14C of the Securities Exchange Act of 1934, as amended, or the Exchange Act, or (4) subject to the liabilities of Section 18 of the Exchange Act. This report shall not be deemed incorporated by reference into any of our other filings under the Exchange Act or the Securities Act of 1933, as amended, or the Securities Act, except to the extent that we specifically incorporate it by reference into such filing.</w:t>
      </w:r>
    </w:p>
    <w:p>
      <w:pPr>
        <w:spacing w:after="0" w:line="200" w:lineRule="exact"/>
        <w:rPr>
          <w:sz w:val="20"/>
          <w:szCs w:val="20"/>
          <w:color w:val="auto"/>
        </w:rPr>
      </w:pPr>
    </w:p>
    <w:p>
      <w:pPr>
        <w:spacing w:after="0" w:line="20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148CD9"/>
        </w:rPr>
        <w:t>THE AUDIT COMMITTEE OF THE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148CD9"/>
        </w:rPr>
        <w:t>BOARD OF DIRECTORS OF</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148CD9"/>
        </w:rPr>
        <w:t>CENTURY THERAPEUTICS, INC.</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Daphne Quimi, Chairperson</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Cynthia Butitta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Kimberly Blackwell, M.D.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Alessandro Riva, M.D.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April 25,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OFFICERS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the name, age and position of each of our executive officers as of the date of this</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Proxy Statement:</w:t>
      </w:r>
    </w:p>
    <w:p>
      <w:pPr>
        <w:spacing w:after="0" w:line="165"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3260" w:type="dxa"/>
            <w:vAlign w:val="bottom"/>
            <w:tcBorders>
              <w:top w:val="single" w:sz="8" w:color="auto"/>
              <w:left w:val="single" w:sz="8" w:color="auto"/>
              <w:bottom w:val="single" w:sz="8" w:color="auto"/>
            </w:tcBorders>
            <w:shd w:val="clear" w:color="auto" w:fill="148CD9"/>
          </w:tcPr>
          <w:p>
            <w:pPr>
              <w:ind w:left="20"/>
              <w:spacing w:after="0" w:line="269" w:lineRule="exact"/>
              <w:rPr>
                <w:sz w:val="20"/>
                <w:szCs w:val="20"/>
                <w:color w:val="auto"/>
              </w:rPr>
            </w:pPr>
            <w:r>
              <w:rPr>
                <w:rFonts w:ascii="Arial" w:cs="Arial" w:eastAsia="Arial" w:hAnsi="Arial"/>
                <w:sz w:val="31"/>
                <w:szCs w:val="31"/>
                <w:b w:val="1"/>
                <w:bCs w:val="1"/>
                <w:color w:val="FFFFFF"/>
                <w:vertAlign w:val="subscript"/>
              </w:rPr>
              <w:t>​</w:t>
            </w:r>
            <w:r>
              <w:rPr>
                <w:rFonts w:ascii="Arial" w:cs="Arial" w:eastAsia="Arial" w:hAnsi="Arial"/>
                <w:sz w:val="16"/>
                <w:szCs w:val="16"/>
                <w:b w:val="1"/>
                <w:bCs w:val="1"/>
                <w:color w:val="FFFFFF"/>
              </w:rPr>
              <w:t xml:space="preserve"> NAME</w:t>
            </w:r>
          </w:p>
        </w:tc>
        <w:tc>
          <w:tcPr>
            <w:tcW w:w="4680" w:type="dxa"/>
            <w:vAlign w:val="bottom"/>
            <w:tcBorders>
              <w:top w:val="single" w:sz="8" w:color="auto"/>
              <w:bottom w:val="single" w:sz="8" w:color="auto"/>
            </w:tcBorders>
            <w:shd w:val="clear" w:color="auto" w:fill="148CD9"/>
          </w:tcPr>
          <w:p>
            <w:pPr>
              <w:ind w:left="70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POSITION</w:t>
            </w:r>
          </w:p>
        </w:tc>
        <w:tc>
          <w:tcPr>
            <w:tcW w:w="320" w:type="dxa"/>
            <w:vAlign w:val="bottom"/>
            <w:tcBorders>
              <w:top w:val="single" w:sz="8" w:color="auto"/>
              <w:bottom w:val="single" w:sz="8" w:color="auto"/>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 ​</w:t>
            </w:r>
          </w:p>
        </w:tc>
        <w:tc>
          <w:tcPr>
            <w:tcW w:w="54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AGE</w:t>
            </w:r>
          </w:p>
        </w:tc>
        <w:tc>
          <w:tcPr>
            <w:tcW w:w="200" w:type="dxa"/>
            <w:vAlign w:val="bottom"/>
            <w:tcBorders>
              <w:top w:val="single" w:sz="8" w:color="auto"/>
              <w:bottom w:val="single" w:sz="8" w:color="auto"/>
              <w:right w:val="single" w:sz="8" w:color="auto"/>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r>
      <w:tr>
        <w:trPr>
          <w:trHeight w:val="250"/>
        </w:trPr>
        <w:tc>
          <w:tcPr>
            <w:tcW w:w="326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Brent Pfeiffenberger, Pharm.D.</w:t>
            </w:r>
          </w:p>
        </w:tc>
        <w:tc>
          <w:tcPr>
            <w:tcW w:w="4680" w:type="dxa"/>
            <w:vAlign w:val="bottom"/>
            <w:tcBorders>
              <w:bottom w:val="single" w:sz="8" w:color="auto"/>
            </w:tcBorders>
          </w:tcPr>
          <w:p>
            <w:pPr>
              <w:ind w:left="70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President and Chief Executive Officer</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46</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Gregory Russotti, Ph.D.</w:t>
            </w:r>
          </w:p>
        </w:tc>
        <w:tc>
          <w:tcPr>
            <w:tcW w:w="4680" w:type="dxa"/>
            <w:vAlign w:val="bottom"/>
            <w:tcBorders>
              <w:bottom w:val="single" w:sz="8" w:color="auto"/>
            </w:tcBorders>
          </w:tcPr>
          <w:p>
            <w:pPr>
              <w:ind w:left="70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Chief Technology and Manufacturing Officer</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57</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Adrienne Farid, Ph.D.</w:t>
            </w:r>
          </w:p>
        </w:tc>
        <w:tc>
          <w:tcPr>
            <w:tcW w:w="4680" w:type="dxa"/>
            <w:vAlign w:val="bottom"/>
            <w:tcBorders>
              <w:bottom w:val="single" w:sz="8" w:color="auto"/>
            </w:tcBorders>
          </w:tcPr>
          <w:p>
            <w:pPr>
              <w:ind w:left="70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Chief Operations Officer</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62</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Hyam Levitsky, Ph.D.</w:t>
            </w:r>
          </w:p>
        </w:tc>
        <w:tc>
          <w:tcPr>
            <w:tcW w:w="4680" w:type="dxa"/>
            <w:vAlign w:val="bottom"/>
            <w:tcBorders>
              <w:bottom w:val="single" w:sz="8" w:color="auto"/>
            </w:tcBorders>
          </w:tcPr>
          <w:p>
            <w:pPr>
              <w:ind w:left="70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President, Research and Development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66</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Douglas Carr</w:t>
            </w:r>
          </w:p>
        </w:tc>
        <w:tc>
          <w:tcPr>
            <w:tcW w:w="4680" w:type="dxa"/>
            <w:vAlign w:val="bottom"/>
            <w:tcBorders>
              <w:bottom w:val="single" w:sz="8" w:color="auto"/>
            </w:tcBorders>
          </w:tcPr>
          <w:p>
            <w:pPr>
              <w:ind w:left="70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Senior Vice President, Finance and Operations</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61</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bl>
    <w:p>
      <w:pPr>
        <w:spacing w:after="0" w:line="103"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b w:val="1"/>
          <w:bCs w:val="1"/>
          <w:i w:val="1"/>
          <w:iCs w:val="1"/>
          <w:color w:val="auto"/>
        </w:rPr>
        <w:t xml:space="preserve">Brent Pfeiffenberger, Pharm.D. </w:t>
      </w:r>
      <w:r>
        <w:rPr>
          <w:rFonts w:ascii="Arial" w:cs="Arial" w:eastAsia="Arial" w:hAnsi="Arial"/>
          <w:sz w:val="18"/>
          <w:szCs w:val="18"/>
          <w:color w:val="auto"/>
        </w:rPr>
        <w:t>For biographical information for Dr. Pfeiffenberger, see “Board of Directors —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Nominees.”</w:t>
      </w:r>
    </w:p>
    <w:p>
      <w:pPr>
        <w:spacing w:after="0" w:line="72" w:lineRule="exact"/>
        <w:rPr>
          <w:sz w:val="20"/>
          <w:szCs w:val="20"/>
          <w:color w:val="auto"/>
        </w:rPr>
      </w:pPr>
    </w:p>
    <w:p>
      <w:pPr>
        <w:jc w:val="both"/>
        <w:ind w:left="880" w:right="19"/>
        <w:spacing w:after="0" w:line="242" w:lineRule="auto"/>
        <w:rPr>
          <w:sz w:val="20"/>
          <w:szCs w:val="20"/>
          <w:color w:val="auto"/>
        </w:rPr>
      </w:pPr>
      <w:r>
        <w:rPr>
          <w:rFonts w:ascii="Arial" w:cs="Arial" w:eastAsia="Arial" w:hAnsi="Arial"/>
          <w:sz w:val="18"/>
          <w:szCs w:val="18"/>
          <w:b w:val="1"/>
          <w:bCs w:val="1"/>
          <w:i w:val="1"/>
          <w:iCs w:val="1"/>
          <w:color w:val="auto"/>
        </w:rPr>
        <w:t xml:space="preserve">Gregory Russotti, Ph.D. </w:t>
      </w:r>
      <w:r>
        <w:rPr>
          <w:rFonts w:ascii="Arial" w:cs="Arial" w:eastAsia="Arial" w:hAnsi="Arial"/>
          <w:sz w:val="18"/>
          <w:szCs w:val="18"/>
          <w:color w:val="auto"/>
        </w:rPr>
        <w:t>has served as our Chief Technology and Manufacturing Officer since December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this, Dr. Russotti served as our Interim President and Chief Executive Officer from April 2023 until December 2023. Previously, Dr. Russotti served as our Chief Technology Officer since January 2020. Prior to joining us, Dr. Russotti held multiple positions at Celgene Corporation, or Celgene, a Bristol-Myers company, from 2016 through 2019, including, Vice President of Cell Therapy Technical Development from January 2018 to November 2019 and Vice President of Cell Therapy Development and Operations from October 2016 to December 2017. Dr. Russotti served as Vice President of Technical Operations of Celgene Cellular Therapeutics from May 2013 to October 2016, and Executive Director of Technical Operations of Celgene Cellular Therapeutics from June 2011 to May 2013. Prior to this, Dr. Russotti served as Senior Investigator at Merck &amp; Co., where he oversaw process development of vaccines and biologics from December 2004 to November 2006, and various positions of increasing responsibility dating back to 1991, when he began his career at Merck. Dr. Russotti holds a number of honors including the ECI and NIIMBL Cell Therapy Manufacturing Award for leadership in cell therapy process development, scale-up, and manufacturing in 2019 as well as receiving the Rutgers Engineering School Distinguished Alumnus Medal of Excellence in Education and Research in 2013 and the John W. Jackson Leadership Award in 2011, an award that was given to one leader at Celgene each year. Dr. Russotti holds both a B.S. and M.S. in chemical engineering from Rensselaer Polytechnic Institute. He received his Ph.D. in biochemical and chemical engineering from Rutgers University.</w:t>
      </w:r>
    </w:p>
    <w:p>
      <w:pPr>
        <w:spacing w:after="0" w:line="110" w:lineRule="exact"/>
        <w:rPr>
          <w:sz w:val="20"/>
          <w:szCs w:val="20"/>
          <w:color w:val="auto"/>
        </w:rPr>
      </w:pPr>
    </w:p>
    <w:p>
      <w:pPr>
        <w:jc w:val="both"/>
        <w:ind w:left="880" w:right="19"/>
        <w:spacing w:after="0" w:line="258" w:lineRule="auto"/>
        <w:rPr>
          <w:sz w:val="20"/>
          <w:szCs w:val="20"/>
          <w:color w:val="auto"/>
        </w:rPr>
      </w:pPr>
      <w:r>
        <w:rPr>
          <w:rFonts w:ascii="Arial" w:cs="Arial" w:eastAsia="Arial" w:hAnsi="Arial"/>
          <w:sz w:val="17"/>
          <w:szCs w:val="17"/>
          <w:b w:val="1"/>
          <w:bCs w:val="1"/>
          <w:i w:val="1"/>
          <w:iCs w:val="1"/>
          <w:color w:val="auto"/>
        </w:rPr>
        <w:t xml:space="preserve">Adrienne Farid, Ph.D. </w:t>
      </w:r>
      <w:r>
        <w:rPr>
          <w:rFonts w:ascii="Arial" w:cs="Arial" w:eastAsia="Arial" w:hAnsi="Arial"/>
          <w:sz w:val="17"/>
          <w:szCs w:val="17"/>
          <w:color w:val="auto"/>
        </w:rPr>
        <w:t>has served as our Chief Operations Officer and Head of Early Development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2021 and previously served as Chief Development Officer from March 2019 until April 2021. Prior to joining us, Dr. Farid was Corporate Vice President Project Leadership and Business Operations in Research &amp; Early Development from July 2017 to February 2019, and Vice President of Project Leadership, Research &amp; Early Development from July 2014 until July 2017 with Celgene Corporation, a Bristol Myers Squibb global biopharmaceutical company; and held prior positions with Celgene Corporation from 2011. Dr. Farid held positions of Global Head, Project and Portfolio Management in Research &amp; Early Development, or pRED, and in Clinical Research and Exploratory Development and Pharmaceutical and Analytical R&amp;D, at Roche Pharmaceuticals from 1995 to 2011. Dr. Farid also worked as a Senior Investigator at GlaxoSmithKline from 1990 until 1994. Dr. Farid completed her postdoctoral fellowship at the California Institute of Technology. Dr. Farid received a B.A. in biochemistry from Barnard College. She holds a Ph.D. in Chemistry from Columbia University.</w:t>
      </w:r>
    </w:p>
    <w:p>
      <w:pPr>
        <w:spacing w:after="0" w:line="105"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b w:val="1"/>
          <w:bCs w:val="1"/>
          <w:i w:val="1"/>
          <w:iCs w:val="1"/>
          <w:color w:val="auto"/>
        </w:rPr>
        <w:t xml:space="preserve">Hyam Levitsky, M.D. </w:t>
      </w:r>
      <w:r>
        <w:rPr>
          <w:rFonts w:ascii="Arial" w:cs="Arial" w:eastAsia="Arial" w:hAnsi="Arial"/>
          <w:sz w:val="18"/>
          <w:szCs w:val="18"/>
          <w:color w:val="auto"/>
        </w:rPr>
        <w:t>served as our President, Research and Development from May 2019 until January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February 2023 until April 2023, Dr. Levitsky focused on his board representation at Replimune Therapeutics, Inc., where he has served on the board of directors since May 2018. In April 2023, Dr. Levitsky reassumed his role as our President, Research and Development. Dr. Levitsky served as Executive Vice President and Chief Scientific Officer at Juno Therapeutics, Inc. from 2015 to 2018 and was Head of Cancer Immunotherapy Experimental Medicine at F. Hoffmann-La Roche &amp; Co. from 2011 to 2015. Previously, Dr. Levitsky was Professor of Oncology, Medicine, and Urology at The Johns Hopkins University School of Medicine and the Sidney Kimmel Comprehensive Cancer Center where he began as an Assistant Professor of Oncology in 1991 and rose to Professor in 2002. At The Johns Hopkins University, Dr. Levitsky served as Scientific Director of the George Santos Bone Marrow Transplant Program from 2005 to 2011. He served on the External Scientific Advisory Board of the Pasteur Institute’s Center for Human Immunology from 2008 to 2010. Dr. Levitsky holds a number of honors including being named a Stohlman Scholar by the Leukemia and Lymphoma Society in 2002, and was elected as a member of the American</w:t>
      </w:r>
    </w:p>
    <w:p>
      <w:pPr>
        <w:spacing w:after="0" w:line="286"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OFFICERS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Society for Clinical Investigation in 2002. Dr. Levitsky received a B.S. from the University of Pennsylvania School of Engineering and Applied Science and an M.D. from The Johns Hopkins University School of Medicine.</w:t>
      </w:r>
    </w:p>
    <w:p>
      <w:pPr>
        <w:spacing w:after="0" w:line="72" w:lineRule="exact"/>
        <w:rPr>
          <w:sz w:val="20"/>
          <w:szCs w:val="20"/>
          <w:color w:val="auto"/>
        </w:rPr>
      </w:pPr>
    </w:p>
    <w:p>
      <w:pPr>
        <w:jc w:val="both"/>
        <w:ind w:left="880" w:right="19"/>
        <w:spacing w:after="0" w:line="271" w:lineRule="auto"/>
        <w:rPr>
          <w:sz w:val="20"/>
          <w:szCs w:val="20"/>
          <w:color w:val="auto"/>
        </w:rPr>
      </w:pPr>
      <w:r>
        <w:rPr>
          <w:rFonts w:ascii="Arial" w:cs="Arial" w:eastAsia="Arial" w:hAnsi="Arial"/>
          <w:sz w:val="17"/>
          <w:szCs w:val="17"/>
          <w:b w:val="1"/>
          <w:bCs w:val="1"/>
          <w:i w:val="1"/>
          <w:iCs w:val="1"/>
          <w:color w:val="auto"/>
        </w:rPr>
        <w:t xml:space="preserve">Douglas Carr </w:t>
      </w:r>
      <w:r>
        <w:rPr>
          <w:rFonts w:ascii="Arial" w:cs="Arial" w:eastAsia="Arial" w:hAnsi="Arial"/>
          <w:sz w:val="17"/>
          <w:szCs w:val="17"/>
          <w:color w:val="auto"/>
        </w:rPr>
        <w:t>has served as our Senior Vice President of Finance and Operations, Treasurer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Secretary since October 2018. Prior to joining us, Mr. Carr was Vice President of Finance at Novira Therapeutics, Inc., or Novira, an antiviral drug discovery company, from July 2014 to June 2017 where he directed all financial and fiscal management aspects of the company’s operations and participated in the execution of the sale of Novira to Johnson &amp; Johnson. Prior to that time, Mr. Carr was Financial Controller for Omthera Pharmaceuticals, Inc. from November 2008 to July 2014 where he established the finance and accounting infrastructure and led the company through an initial public offering and subsequent sale to AstraZeneca in 2013. Mr. Carr holds a B.A. from Rutgers University and is a Certified Public Accountant in the State of New Jersey. Mr. Carr currently serves on the Board of Directors at Heritage Conservancy in Doylestown, Pennsylvania.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or NEOs. In 2023, our NEOs were Brent Pfeiffenberger, Pharm.D., our President and Chief Executive Officer, Gregory Russotti, Ph.D., our Chief Technology and Manufacturing Officer and former Interim President and Chief Executive Officer, Osvaldo Flores, Ph.D., our former President and Chief Executive Officer, Michael Diem, M.D., our former Chief Financial Officer and Adrienne Farid, Ph.D., our Chief Operations Officer.</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SUMMARY COMPENSATION TABLE</w:t>
      </w:r>
    </w:p>
    <w:p>
      <w:pPr>
        <w:spacing w:after="0" w:line="158"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The following table sets forth information concerning the compensation of our 2023 NEOs during the fiscal years ended December 31, 2023 and December 31, 2022:</w:t>
      </w:r>
    </w:p>
    <w:p>
      <w:pPr>
        <w:spacing w:after="0" w:line="125" w:lineRule="exact"/>
        <w:rPr>
          <w:sz w:val="20"/>
          <w:szCs w:val="20"/>
          <w:color w:val="auto"/>
        </w:rPr>
      </w:pPr>
    </w:p>
    <w:tbl>
      <w:tblPr>
        <w:tblLayout w:type="fixed"/>
        <w:tblInd w:w="870" w:type="dxa"/>
        <w:tblCellMar>
          <w:top w:w="0" w:type="dxa"/>
          <w:left w:w="0" w:type="dxa"/>
          <w:bottom w:w="0" w:type="dxa"/>
          <w:right w:w="0" w:type="dxa"/>
        </w:tblCellMar>
      </w:tblPr>
      <w:tr>
        <w:trPr>
          <w:trHeight w:val="239"/>
        </w:trPr>
        <w:tc>
          <w:tcPr>
            <w:tcW w:w="1820" w:type="dxa"/>
            <w:vAlign w:val="bottom"/>
            <w:tcBorders>
              <w:top w:val="single" w:sz="8" w:color="auto"/>
              <w:left w:val="single" w:sz="8" w:color="auto"/>
            </w:tcBorders>
            <w:vMerge w:val="restart"/>
            <w:shd w:val="clear" w:color="auto" w:fill="148CD9"/>
          </w:tcPr>
          <w:p>
            <w:pPr>
              <w:ind w:left="120"/>
              <w:spacing w:after="0"/>
              <w:rPr>
                <w:sz w:val="20"/>
                <w:szCs w:val="20"/>
                <w:color w:val="auto"/>
              </w:rPr>
            </w:pPr>
            <w:r>
              <w:rPr>
                <w:rFonts w:ascii="Arial" w:cs="Arial" w:eastAsia="Arial" w:hAnsi="Arial"/>
                <w:sz w:val="13"/>
                <w:szCs w:val="13"/>
                <w:b w:val="1"/>
                <w:bCs w:val="1"/>
                <w:color w:val="FFFFFF"/>
              </w:rPr>
              <w:t>NAME AND</w:t>
            </w:r>
          </w:p>
        </w:tc>
        <w:tc>
          <w:tcPr>
            <w:tcW w:w="100" w:type="dxa"/>
            <w:vAlign w:val="bottom"/>
            <w:tcBorders>
              <w:top w:val="single" w:sz="8" w:color="auto"/>
            </w:tcBorders>
            <w:shd w:val="clear" w:color="auto" w:fill="148CD9"/>
          </w:tcPr>
          <w:p>
            <w:pPr>
              <w:spacing w:after="0"/>
              <w:rPr>
                <w:sz w:val="20"/>
                <w:szCs w:val="20"/>
                <w:color w:val="auto"/>
              </w:rPr>
            </w:pPr>
          </w:p>
        </w:tc>
        <w:tc>
          <w:tcPr>
            <w:tcW w:w="440" w:type="dxa"/>
            <w:vAlign w:val="bottom"/>
            <w:tcBorders>
              <w:top w:val="single" w:sz="8" w:color="auto"/>
            </w:tcBorders>
            <w:shd w:val="clear" w:color="auto" w:fill="148CD9"/>
          </w:tcPr>
          <w:p>
            <w:pPr>
              <w:spacing w:after="0"/>
              <w:rPr>
                <w:sz w:val="20"/>
                <w:szCs w:val="20"/>
                <w:color w:val="auto"/>
              </w:rPr>
            </w:pPr>
          </w:p>
        </w:tc>
        <w:tc>
          <w:tcPr>
            <w:tcW w:w="140" w:type="dxa"/>
            <w:vAlign w:val="bottom"/>
            <w:tcBorders>
              <w:top w:val="single" w:sz="8" w:color="auto"/>
            </w:tcBorders>
            <w:shd w:val="clear" w:color="auto" w:fill="148CD9"/>
          </w:tcPr>
          <w:p>
            <w:pPr>
              <w:spacing w:after="0"/>
              <w:rPr>
                <w:sz w:val="20"/>
                <w:szCs w:val="20"/>
                <w:color w:val="auto"/>
              </w:rPr>
            </w:pPr>
          </w:p>
        </w:tc>
        <w:tc>
          <w:tcPr>
            <w:tcW w:w="560" w:type="dxa"/>
            <w:vAlign w:val="bottom"/>
            <w:tcBorders>
              <w:top w:val="single" w:sz="8" w:color="auto"/>
            </w:tcBorders>
            <w:shd w:val="clear" w:color="auto" w:fill="148CD9"/>
          </w:tcPr>
          <w:p>
            <w:pPr>
              <w:spacing w:after="0"/>
              <w:rPr>
                <w:sz w:val="20"/>
                <w:szCs w:val="20"/>
                <w:color w:val="auto"/>
              </w:rPr>
            </w:pPr>
          </w:p>
        </w:tc>
        <w:tc>
          <w:tcPr>
            <w:tcW w:w="200" w:type="dxa"/>
            <w:vAlign w:val="bottom"/>
            <w:tcBorders>
              <w:top w:val="single" w:sz="8" w:color="auto"/>
            </w:tcBorders>
            <w:shd w:val="clear" w:color="auto" w:fill="148CD9"/>
          </w:tcPr>
          <w:p>
            <w:pPr>
              <w:spacing w:after="0"/>
              <w:rPr>
                <w:sz w:val="20"/>
                <w:szCs w:val="20"/>
                <w:color w:val="auto"/>
              </w:rPr>
            </w:pPr>
          </w:p>
        </w:tc>
        <w:tc>
          <w:tcPr>
            <w:tcW w:w="600" w:type="dxa"/>
            <w:vAlign w:val="bottom"/>
            <w:tcBorders>
              <w:top w:val="single" w:sz="8" w:color="auto"/>
            </w:tcBorders>
            <w:shd w:val="clear" w:color="auto" w:fill="148CD9"/>
          </w:tcPr>
          <w:p>
            <w:pPr>
              <w:spacing w:after="0"/>
              <w:rPr>
                <w:sz w:val="20"/>
                <w:szCs w:val="20"/>
                <w:color w:val="auto"/>
              </w:rPr>
            </w:pPr>
          </w:p>
        </w:tc>
        <w:tc>
          <w:tcPr>
            <w:tcW w:w="240" w:type="dxa"/>
            <w:vAlign w:val="bottom"/>
            <w:tcBorders>
              <w:top w:val="single" w:sz="8" w:color="auto"/>
            </w:tcBorders>
            <w:shd w:val="clear" w:color="auto" w:fill="148CD9"/>
          </w:tcPr>
          <w:p>
            <w:pPr>
              <w:spacing w:after="0"/>
              <w:rPr>
                <w:sz w:val="20"/>
                <w:szCs w:val="20"/>
                <w:color w:val="auto"/>
              </w:rPr>
            </w:pPr>
          </w:p>
        </w:tc>
        <w:tc>
          <w:tcPr>
            <w:tcW w:w="580" w:type="dxa"/>
            <w:vAlign w:val="bottom"/>
            <w:tcBorders>
              <w:top w:val="single" w:sz="8" w:color="auto"/>
            </w:tcBorders>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w w:val="96"/>
              </w:rPr>
              <w:t>STOCK</w:t>
            </w:r>
          </w:p>
        </w:tc>
        <w:tc>
          <w:tcPr>
            <w:tcW w:w="220" w:type="dxa"/>
            <w:vAlign w:val="bottom"/>
            <w:tcBorders>
              <w:top w:val="single" w:sz="8" w:color="auto"/>
            </w:tcBorders>
            <w:shd w:val="clear" w:color="auto" w:fill="148CD9"/>
          </w:tcPr>
          <w:p>
            <w:pPr>
              <w:spacing w:after="0"/>
              <w:rPr>
                <w:sz w:val="20"/>
                <w:szCs w:val="20"/>
                <w:color w:val="auto"/>
              </w:rPr>
            </w:pPr>
          </w:p>
        </w:tc>
        <w:tc>
          <w:tcPr>
            <w:tcW w:w="740" w:type="dxa"/>
            <w:vAlign w:val="bottom"/>
            <w:tcBorders>
              <w:top w:val="single" w:sz="8" w:color="auto"/>
            </w:tcBorders>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w w:val="96"/>
              </w:rPr>
              <w:t>OPTION</w:t>
            </w:r>
          </w:p>
        </w:tc>
        <w:tc>
          <w:tcPr>
            <w:tcW w:w="240" w:type="dxa"/>
            <w:vAlign w:val="bottom"/>
            <w:tcBorders>
              <w:top w:val="single" w:sz="8" w:color="auto"/>
            </w:tcBorders>
            <w:shd w:val="clear" w:color="auto" w:fill="148CD9"/>
          </w:tcPr>
          <w:p>
            <w:pPr>
              <w:spacing w:after="0"/>
              <w:rPr>
                <w:sz w:val="20"/>
                <w:szCs w:val="20"/>
                <w:color w:val="auto"/>
              </w:rPr>
            </w:pPr>
          </w:p>
        </w:tc>
        <w:tc>
          <w:tcPr>
            <w:tcW w:w="980" w:type="dxa"/>
            <w:vAlign w:val="bottom"/>
            <w:tcBorders>
              <w:top w:val="single" w:sz="8" w:color="auto"/>
            </w:tcBorders>
            <w:shd w:val="clear" w:color="auto" w:fill="148CD9"/>
          </w:tcPr>
          <w:p>
            <w:pPr>
              <w:jc w:val="center"/>
              <w:ind w:right="31"/>
              <w:spacing w:after="0"/>
              <w:rPr>
                <w:sz w:val="20"/>
                <w:szCs w:val="20"/>
                <w:color w:val="auto"/>
              </w:rPr>
            </w:pPr>
            <w:r>
              <w:rPr>
                <w:rFonts w:ascii="Arial" w:cs="Arial" w:eastAsia="Arial" w:hAnsi="Arial"/>
                <w:sz w:val="13"/>
                <w:szCs w:val="13"/>
                <w:b w:val="1"/>
                <w:bCs w:val="1"/>
                <w:color w:val="FFFFFF"/>
                <w:w w:val="93"/>
              </w:rPr>
              <w:t>NON-EQUITY</w:t>
            </w:r>
          </w:p>
        </w:tc>
        <w:tc>
          <w:tcPr>
            <w:tcW w:w="200" w:type="dxa"/>
            <w:vAlign w:val="bottom"/>
            <w:tcBorders>
              <w:top w:val="single" w:sz="8" w:color="auto"/>
            </w:tcBorders>
            <w:shd w:val="clear" w:color="auto" w:fill="148CD9"/>
          </w:tcPr>
          <w:p>
            <w:pPr>
              <w:spacing w:after="0"/>
              <w:rPr>
                <w:sz w:val="20"/>
                <w:szCs w:val="20"/>
                <w:color w:val="auto"/>
              </w:rPr>
            </w:pPr>
          </w:p>
        </w:tc>
        <w:tc>
          <w:tcPr>
            <w:tcW w:w="980" w:type="dxa"/>
            <w:vAlign w:val="bottom"/>
            <w:tcBorders>
              <w:top w:val="single" w:sz="8" w:color="auto"/>
            </w:tcBorders>
            <w:vMerge w:val="restart"/>
            <w:shd w:val="clear" w:color="auto" w:fill="148CD9"/>
          </w:tcPr>
          <w:p>
            <w:pPr>
              <w:ind w:left="100"/>
              <w:spacing w:after="0"/>
              <w:rPr>
                <w:sz w:val="20"/>
                <w:szCs w:val="20"/>
                <w:color w:val="auto"/>
              </w:rPr>
            </w:pPr>
            <w:r>
              <w:rPr>
                <w:rFonts w:ascii="Arial" w:cs="Arial" w:eastAsia="Arial" w:hAnsi="Arial"/>
                <w:sz w:val="13"/>
                <w:szCs w:val="13"/>
                <w:b w:val="1"/>
                <w:bCs w:val="1"/>
                <w:color w:val="FFFFFF"/>
              </w:rPr>
              <w:t>ALL OTHER</w:t>
            </w:r>
          </w:p>
        </w:tc>
        <w:tc>
          <w:tcPr>
            <w:tcW w:w="220" w:type="dxa"/>
            <w:vAlign w:val="bottom"/>
            <w:tcBorders>
              <w:top w:val="single" w:sz="8" w:color="auto"/>
            </w:tcBorders>
            <w:shd w:val="clear" w:color="auto" w:fill="148CD9"/>
          </w:tcPr>
          <w:p>
            <w:pPr>
              <w:spacing w:after="0"/>
              <w:rPr>
                <w:sz w:val="20"/>
                <w:szCs w:val="20"/>
                <w:color w:val="auto"/>
              </w:rPr>
            </w:pPr>
          </w:p>
        </w:tc>
        <w:tc>
          <w:tcPr>
            <w:tcW w:w="620" w:type="dxa"/>
            <w:vAlign w:val="bottom"/>
            <w:tcBorders>
              <w:top w:val="single" w:sz="8" w:color="auto"/>
            </w:tcBorders>
            <w:shd w:val="clear" w:color="auto" w:fill="148CD9"/>
          </w:tcPr>
          <w:p>
            <w:pPr>
              <w:spacing w:after="0"/>
              <w:rPr>
                <w:sz w:val="20"/>
                <w:szCs w:val="20"/>
                <w:color w:val="auto"/>
              </w:rPr>
            </w:pPr>
          </w:p>
        </w:tc>
        <w:tc>
          <w:tcPr>
            <w:tcW w:w="120" w:type="dxa"/>
            <w:vAlign w:val="bottom"/>
            <w:tcBorders>
              <w:top w:val="single" w:sz="8" w:color="auto"/>
              <w:right w:val="single" w:sz="8" w:color="auto"/>
            </w:tcBorders>
            <w:shd w:val="clear" w:color="auto" w:fill="148CD9"/>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820" w:type="dxa"/>
            <w:vAlign w:val="bottom"/>
            <w:tcBorders>
              <w:left w:val="single" w:sz="8" w:color="auto"/>
            </w:tcBorders>
            <w:vMerge w:val="continue"/>
            <w:shd w:val="clear" w:color="auto" w:fill="148CD9"/>
          </w:tcPr>
          <w:p>
            <w:pPr>
              <w:spacing w:after="0"/>
              <w:rPr>
                <w:sz w:val="13"/>
                <w:szCs w:val="13"/>
                <w:color w:val="auto"/>
              </w:rPr>
            </w:pPr>
          </w:p>
        </w:tc>
        <w:tc>
          <w:tcPr>
            <w:tcW w:w="680" w:type="dxa"/>
            <w:vAlign w:val="bottom"/>
            <w:gridSpan w:val="3"/>
            <w:vMerge w:val="restart"/>
            <w:shd w:val="clear" w:color="auto" w:fill="148CD9"/>
          </w:tcPr>
          <w:p>
            <w:pPr>
              <w:ind w:left="60"/>
              <w:spacing w:after="0"/>
              <w:rPr>
                <w:sz w:val="20"/>
                <w:szCs w:val="20"/>
                <w:color w:val="auto"/>
              </w:rPr>
            </w:pPr>
            <w:r>
              <w:rPr>
                <w:rFonts w:ascii="Arial" w:cs="Arial" w:eastAsia="Arial" w:hAnsi="Arial"/>
                <w:sz w:val="13"/>
                <w:szCs w:val="13"/>
                <w:b w:val="1"/>
                <w:bCs w:val="1"/>
                <w:color w:val="FFFFFF"/>
              </w:rPr>
              <w:t>​ ​YEAR ​ ​</w:t>
            </w:r>
          </w:p>
        </w:tc>
        <w:tc>
          <w:tcPr>
            <w:tcW w:w="560" w:type="dxa"/>
            <w:vAlign w:val="bottom"/>
            <w:shd w:val="clear" w:color="auto" w:fill="148CD9"/>
          </w:tcPr>
          <w:p>
            <w:pPr>
              <w:jc w:val="right"/>
              <w:spacing w:after="0"/>
              <w:rPr>
                <w:sz w:val="20"/>
                <w:szCs w:val="20"/>
                <w:color w:val="auto"/>
              </w:rPr>
            </w:pPr>
            <w:r>
              <w:rPr>
                <w:rFonts w:ascii="Arial" w:cs="Arial" w:eastAsia="Arial" w:hAnsi="Arial"/>
                <w:sz w:val="13"/>
                <w:szCs w:val="13"/>
                <w:b w:val="1"/>
                <w:bCs w:val="1"/>
                <w:color w:val="FFFFFF"/>
                <w:w w:val="93"/>
              </w:rPr>
              <w:t>SALARY</w:t>
            </w:r>
          </w:p>
        </w:tc>
        <w:tc>
          <w:tcPr>
            <w:tcW w:w="200" w:type="dxa"/>
            <w:vAlign w:val="bottom"/>
            <w:vMerge w:val="restart"/>
            <w:shd w:val="clear" w:color="auto" w:fill="148CD9"/>
          </w:tcPr>
          <w:p>
            <w:pPr>
              <w:jc w:val="right"/>
              <w:spacing w:after="0"/>
              <w:rPr>
                <w:sz w:val="20"/>
                <w:szCs w:val="20"/>
                <w:color w:val="auto"/>
              </w:rPr>
            </w:pPr>
            <w:r>
              <w:rPr>
                <w:rFonts w:ascii="Arial" w:cs="Arial" w:eastAsia="Arial" w:hAnsi="Arial"/>
                <w:sz w:val="13"/>
                <w:szCs w:val="13"/>
                <w:b w:val="1"/>
                <w:bCs w:val="1"/>
                <w:color w:val="FFFFFF"/>
              </w:rPr>
              <w:t>​ ​</w:t>
            </w:r>
          </w:p>
        </w:tc>
        <w:tc>
          <w:tcPr>
            <w:tcW w:w="600" w:type="dxa"/>
            <w:vAlign w:val="bottom"/>
            <w:shd w:val="clear" w:color="auto" w:fill="148CD9"/>
          </w:tcPr>
          <w:p>
            <w:pPr>
              <w:jc w:val="center"/>
              <w:spacing w:after="0"/>
              <w:rPr>
                <w:sz w:val="20"/>
                <w:szCs w:val="20"/>
                <w:color w:val="auto"/>
              </w:rPr>
            </w:pPr>
            <w:r>
              <w:rPr>
                <w:rFonts w:ascii="Arial" w:cs="Arial" w:eastAsia="Arial" w:hAnsi="Arial"/>
                <w:sz w:val="13"/>
                <w:szCs w:val="13"/>
                <w:b w:val="1"/>
                <w:bCs w:val="1"/>
                <w:color w:val="FFFFFF"/>
                <w:w w:val="93"/>
              </w:rPr>
              <w:t>BONUS</w:t>
            </w:r>
          </w:p>
        </w:tc>
        <w:tc>
          <w:tcPr>
            <w:tcW w:w="240" w:type="dxa"/>
            <w:vAlign w:val="bottom"/>
            <w:shd w:val="clear" w:color="auto" w:fill="148CD9"/>
          </w:tcPr>
          <w:p>
            <w:pPr>
              <w:spacing w:after="0"/>
              <w:rPr>
                <w:sz w:val="13"/>
                <w:szCs w:val="13"/>
                <w:color w:val="auto"/>
              </w:rPr>
            </w:pPr>
          </w:p>
        </w:tc>
        <w:tc>
          <w:tcPr>
            <w:tcW w:w="580" w:type="dxa"/>
            <w:vAlign w:val="bottom"/>
            <w:vMerge w:val="continue"/>
            <w:shd w:val="clear" w:color="auto" w:fill="148CD9"/>
          </w:tcPr>
          <w:p>
            <w:pPr>
              <w:spacing w:after="0"/>
              <w:rPr>
                <w:sz w:val="13"/>
                <w:szCs w:val="13"/>
                <w:color w:val="auto"/>
              </w:rPr>
            </w:pPr>
          </w:p>
        </w:tc>
        <w:tc>
          <w:tcPr>
            <w:tcW w:w="220" w:type="dxa"/>
            <w:vAlign w:val="bottom"/>
            <w:vMerge w:val="restart"/>
            <w:shd w:val="clear" w:color="auto" w:fill="148CD9"/>
          </w:tcPr>
          <w:p>
            <w:pPr>
              <w:jc w:val="right"/>
              <w:spacing w:after="0"/>
              <w:rPr>
                <w:sz w:val="20"/>
                <w:szCs w:val="20"/>
                <w:color w:val="auto"/>
              </w:rPr>
            </w:pPr>
            <w:r>
              <w:rPr>
                <w:rFonts w:ascii="Arial" w:cs="Arial" w:eastAsia="Arial" w:hAnsi="Arial"/>
                <w:sz w:val="13"/>
                <w:szCs w:val="13"/>
                <w:b w:val="1"/>
                <w:bCs w:val="1"/>
                <w:color w:val="FFFFFF"/>
              </w:rPr>
              <w:t>​ ​</w:t>
            </w:r>
          </w:p>
        </w:tc>
        <w:tc>
          <w:tcPr>
            <w:tcW w:w="740" w:type="dxa"/>
            <w:vAlign w:val="bottom"/>
            <w:vMerge w:val="continue"/>
            <w:shd w:val="clear" w:color="auto" w:fill="148CD9"/>
          </w:tcPr>
          <w:p>
            <w:pPr>
              <w:spacing w:after="0"/>
              <w:rPr>
                <w:sz w:val="13"/>
                <w:szCs w:val="13"/>
                <w:color w:val="auto"/>
              </w:rPr>
            </w:pPr>
          </w:p>
        </w:tc>
        <w:tc>
          <w:tcPr>
            <w:tcW w:w="240" w:type="dxa"/>
            <w:vAlign w:val="bottom"/>
            <w:vMerge w:val="restart"/>
            <w:shd w:val="clear" w:color="auto" w:fill="148CD9"/>
          </w:tcPr>
          <w:p>
            <w:pPr>
              <w:jc w:val="right"/>
              <w:spacing w:after="0"/>
              <w:rPr>
                <w:sz w:val="20"/>
                <w:szCs w:val="20"/>
                <w:color w:val="auto"/>
              </w:rPr>
            </w:pPr>
            <w:r>
              <w:rPr>
                <w:rFonts w:ascii="Arial" w:cs="Arial" w:eastAsia="Arial" w:hAnsi="Arial"/>
                <w:sz w:val="13"/>
                <w:szCs w:val="13"/>
                <w:b w:val="1"/>
                <w:bCs w:val="1"/>
                <w:color w:val="FFFFFF"/>
              </w:rPr>
              <w:t>​ ​</w:t>
            </w:r>
          </w:p>
        </w:tc>
        <w:tc>
          <w:tcPr>
            <w:tcW w:w="980" w:type="dxa"/>
            <w:vAlign w:val="bottom"/>
            <w:shd w:val="clear" w:color="auto" w:fill="148CD9"/>
          </w:tcPr>
          <w:p>
            <w:pPr>
              <w:jc w:val="center"/>
              <w:ind w:right="51"/>
              <w:spacing w:after="0"/>
              <w:rPr>
                <w:sz w:val="20"/>
                <w:szCs w:val="20"/>
                <w:color w:val="auto"/>
              </w:rPr>
            </w:pPr>
            <w:r>
              <w:rPr>
                <w:rFonts w:ascii="Arial" w:cs="Arial" w:eastAsia="Arial" w:hAnsi="Arial"/>
                <w:sz w:val="13"/>
                <w:szCs w:val="13"/>
                <w:b w:val="1"/>
                <w:bCs w:val="1"/>
                <w:color w:val="FFFFFF"/>
                <w:w w:val="95"/>
              </w:rPr>
              <w:t>INCENTIVE</w:t>
            </w:r>
          </w:p>
        </w:tc>
        <w:tc>
          <w:tcPr>
            <w:tcW w:w="200" w:type="dxa"/>
            <w:vAlign w:val="bottom"/>
            <w:shd w:val="clear" w:color="auto" w:fill="148CD9"/>
          </w:tcPr>
          <w:p>
            <w:pPr>
              <w:spacing w:after="0"/>
              <w:rPr>
                <w:sz w:val="13"/>
                <w:szCs w:val="13"/>
                <w:color w:val="auto"/>
              </w:rPr>
            </w:pPr>
          </w:p>
        </w:tc>
        <w:tc>
          <w:tcPr>
            <w:tcW w:w="980" w:type="dxa"/>
            <w:vAlign w:val="bottom"/>
            <w:vMerge w:val="continue"/>
            <w:shd w:val="clear" w:color="auto" w:fill="148CD9"/>
          </w:tcPr>
          <w:p>
            <w:pPr>
              <w:spacing w:after="0"/>
              <w:rPr>
                <w:sz w:val="13"/>
                <w:szCs w:val="13"/>
                <w:color w:val="auto"/>
              </w:rPr>
            </w:pPr>
          </w:p>
        </w:tc>
        <w:tc>
          <w:tcPr>
            <w:tcW w:w="220" w:type="dxa"/>
            <w:vAlign w:val="bottom"/>
            <w:vMerge w:val="restart"/>
            <w:shd w:val="clear" w:color="auto" w:fill="148CD9"/>
          </w:tcPr>
          <w:p>
            <w:pPr>
              <w:ind w:left="60"/>
              <w:spacing w:after="0"/>
              <w:rPr>
                <w:sz w:val="20"/>
                <w:szCs w:val="20"/>
                <w:color w:val="auto"/>
              </w:rPr>
            </w:pPr>
            <w:r>
              <w:rPr>
                <w:rFonts w:ascii="Arial" w:cs="Arial" w:eastAsia="Arial" w:hAnsi="Arial"/>
                <w:sz w:val="13"/>
                <w:szCs w:val="13"/>
                <w:b w:val="1"/>
                <w:bCs w:val="1"/>
                <w:color w:val="FFFFFF"/>
              </w:rPr>
              <w:t>​ ​</w:t>
            </w:r>
          </w:p>
        </w:tc>
        <w:tc>
          <w:tcPr>
            <w:tcW w:w="620" w:type="dxa"/>
            <w:vAlign w:val="bottom"/>
            <w:shd w:val="clear" w:color="auto" w:fill="148CD9"/>
          </w:tcPr>
          <w:p>
            <w:pPr>
              <w:jc w:val="center"/>
              <w:ind w:right="34"/>
              <w:spacing w:after="0"/>
              <w:rPr>
                <w:sz w:val="20"/>
                <w:szCs w:val="20"/>
                <w:color w:val="auto"/>
              </w:rPr>
            </w:pPr>
            <w:r>
              <w:rPr>
                <w:rFonts w:ascii="Arial" w:cs="Arial" w:eastAsia="Arial" w:hAnsi="Arial"/>
                <w:sz w:val="13"/>
                <w:szCs w:val="13"/>
                <w:b w:val="1"/>
                <w:bCs w:val="1"/>
                <w:color w:val="FFFFFF"/>
                <w:w w:val="92"/>
              </w:rPr>
              <w:t>TOTAL</w:t>
            </w:r>
          </w:p>
        </w:tc>
        <w:tc>
          <w:tcPr>
            <w:tcW w:w="120" w:type="dxa"/>
            <w:vAlign w:val="bottom"/>
            <w:tcBorders>
              <w:right w:val="single" w:sz="8" w:color="auto"/>
            </w:tcBorders>
            <w:vMerge w:val="restart"/>
            <w:shd w:val="clear" w:color="auto" w:fill="148CD9"/>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tcBorders>
            <w:shd w:val="clear" w:color="auto" w:fill="148CD9"/>
          </w:tcPr>
          <w:p>
            <w:pPr>
              <w:ind w:left="60"/>
              <w:spacing w:after="0" w:line="108" w:lineRule="exact"/>
              <w:rPr>
                <w:sz w:val="20"/>
                <w:szCs w:val="20"/>
                <w:color w:val="auto"/>
              </w:rPr>
            </w:pPr>
            <w:r>
              <w:rPr>
                <w:rFonts w:ascii="Arial" w:cs="Arial" w:eastAsia="Arial" w:hAnsi="Arial"/>
                <w:sz w:val="12"/>
                <w:szCs w:val="12"/>
                <w:b w:val="1"/>
                <w:bCs w:val="1"/>
                <w:color w:val="FFFFFF"/>
              </w:rPr>
              <w:t>​ PRINCIPAL</w:t>
            </w:r>
          </w:p>
        </w:tc>
        <w:tc>
          <w:tcPr>
            <w:tcW w:w="680" w:type="dxa"/>
            <w:vAlign w:val="bottom"/>
            <w:gridSpan w:val="3"/>
            <w:vMerge w:val="continue"/>
            <w:shd w:val="clear" w:color="auto" w:fill="148CD9"/>
          </w:tcPr>
          <w:p>
            <w:pPr>
              <w:spacing w:after="0"/>
              <w:rPr>
                <w:sz w:val="9"/>
                <w:szCs w:val="9"/>
                <w:color w:val="auto"/>
              </w:rPr>
            </w:pPr>
          </w:p>
        </w:tc>
        <w:tc>
          <w:tcPr>
            <w:tcW w:w="560" w:type="dxa"/>
            <w:vAlign w:val="bottom"/>
            <w:shd w:val="clear" w:color="auto" w:fill="148CD9"/>
          </w:tcPr>
          <w:p>
            <w:pPr>
              <w:jc w:val="right"/>
              <w:ind w:right="136"/>
              <w:spacing w:after="0" w:line="108" w:lineRule="exact"/>
              <w:rPr>
                <w:sz w:val="20"/>
                <w:szCs w:val="20"/>
                <w:color w:val="auto"/>
              </w:rPr>
            </w:pPr>
            <w:r>
              <w:rPr>
                <w:rFonts w:ascii="Arial" w:cs="Arial" w:eastAsia="Arial" w:hAnsi="Arial"/>
                <w:sz w:val="12"/>
                <w:szCs w:val="12"/>
                <w:b w:val="1"/>
                <w:bCs w:val="1"/>
                <w:color w:val="FFFFFF"/>
              </w:rPr>
              <w:t>($)</w:t>
            </w:r>
          </w:p>
        </w:tc>
        <w:tc>
          <w:tcPr>
            <w:tcW w:w="200" w:type="dxa"/>
            <w:vAlign w:val="bottom"/>
            <w:vMerge w:val="continue"/>
            <w:shd w:val="clear" w:color="auto" w:fill="148CD9"/>
          </w:tcPr>
          <w:p>
            <w:pPr>
              <w:spacing w:after="0"/>
              <w:rPr>
                <w:sz w:val="9"/>
                <w:szCs w:val="9"/>
                <w:color w:val="auto"/>
              </w:rPr>
            </w:pPr>
          </w:p>
        </w:tc>
        <w:tc>
          <w:tcPr>
            <w:tcW w:w="600" w:type="dxa"/>
            <w:vAlign w:val="bottom"/>
            <w:shd w:val="clear" w:color="auto" w:fill="148CD9"/>
          </w:tcPr>
          <w:p>
            <w:pPr>
              <w:jc w:val="center"/>
              <w:spacing w:after="0" w:line="108" w:lineRule="exact"/>
              <w:rPr>
                <w:sz w:val="20"/>
                <w:szCs w:val="20"/>
                <w:color w:val="auto"/>
              </w:rPr>
            </w:pPr>
            <w:r>
              <w:rPr>
                <w:rFonts w:ascii="Arial" w:cs="Arial" w:eastAsia="Arial" w:hAnsi="Arial"/>
                <w:sz w:val="12"/>
                <w:szCs w:val="12"/>
                <w:b w:val="1"/>
                <w:bCs w:val="1"/>
                <w:color w:val="FFFFFF"/>
              </w:rPr>
              <w:t>($)</w:t>
            </w:r>
          </w:p>
        </w:tc>
        <w:tc>
          <w:tcPr>
            <w:tcW w:w="820" w:type="dxa"/>
            <w:vAlign w:val="bottom"/>
            <w:gridSpan w:val="2"/>
            <w:shd w:val="clear" w:color="auto" w:fill="148CD9"/>
          </w:tcPr>
          <w:p>
            <w:pPr>
              <w:ind w:left="80"/>
              <w:spacing w:after="0" w:line="108" w:lineRule="exact"/>
              <w:rPr>
                <w:sz w:val="20"/>
                <w:szCs w:val="20"/>
                <w:color w:val="auto"/>
              </w:rPr>
            </w:pPr>
            <w:r>
              <w:rPr>
                <w:rFonts w:ascii="Arial" w:cs="Arial" w:eastAsia="Arial" w:hAnsi="Arial"/>
                <w:sz w:val="12"/>
                <w:szCs w:val="12"/>
                <w:b w:val="1"/>
                <w:bCs w:val="1"/>
                <w:color w:val="FFFFFF"/>
              </w:rPr>
              <w:t>​ ​ AWARDS</w:t>
            </w:r>
          </w:p>
        </w:tc>
        <w:tc>
          <w:tcPr>
            <w:tcW w:w="220" w:type="dxa"/>
            <w:vAlign w:val="bottom"/>
            <w:vMerge w:val="continue"/>
            <w:shd w:val="clear" w:color="auto" w:fill="148CD9"/>
          </w:tcPr>
          <w:p>
            <w:pPr>
              <w:spacing w:after="0"/>
              <w:rPr>
                <w:sz w:val="9"/>
                <w:szCs w:val="9"/>
                <w:color w:val="auto"/>
              </w:rPr>
            </w:pPr>
          </w:p>
        </w:tc>
        <w:tc>
          <w:tcPr>
            <w:tcW w:w="740" w:type="dxa"/>
            <w:vAlign w:val="bottom"/>
            <w:shd w:val="clear" w:color="auto" w:fill="148CD9"/>
          </w:tcPr>
          <w:p>
            <w:pPr>
              <w:jc w:val="center"/>
              <w:spacing w:after="0" w:line="108" w:lineRule="exact"/>
              <w:rPr>
                <w:sz w:val="20"/>
                <w:szCs w:val="20"/>
                <w:color w:val="auto"/>
              </w:rPr>
            </w:pPr>
            <w:r>
              <w:rPr>
                <w:rFonts w:ascii="Arial" w:cs="Arial" w:eastAsia="Arial" w:hAnsi="Arial"/>
                <w:sz w:val="12"/>
                <w:szCs w:val="12"/>
                <w:b w:val="1"/>
                <w:bCs w:val="1"/>
                <w:color w:val="FFFFFF"/>
                <w:w w:val="99"/>
              </w:rPr>
              <w:t>AWARDS</w:t>
            </w:r>
          </w:p>
        </w:tc>
        <w:tc>
          <w:tcPr>
            <w:tcW w:w="240" w:type="dxa"/>
            <w:vAlign w:val="bottom"/>
            <w:vMerge w:val="continue"/>
            <w:shd w:val="clear" w:color="auto" w:fill="148CD9"/>
          </w:tcPr>
          <w:p>
            <w:pPr>
              <w:spacing w:after="0"/>
              <w:rPr>
                <w:sz w:val="9"/>
                <w:szCs w:val="9"/>
                <w:color w:val="auto"/>
              </w:rPr>
            </w:pPr>
          </w:p>
        </w:tc>
        <w:tc>
          <w:tcPr>
            <w:tcW w:w="980" w:type="dxa"/>
            <w:vAlign w:val="bottom"/>
            <w:shd w:val="clear" w:color="auto" w:fill="148CD9"/>
          </w:tcPr>
          <w:p>
            <w:pPr>
              <w:jc w:val="center"/>
              <w:ind w:right="51"/>
              <w:spacing w:after="0" w:line="108" w:lineRule="exact"/>
              <w:rPr>
                <w:sz w:val="20"/>
                <w:szCs w:val="20"/>
                <w:color w:val="auto"/>
              </w:rPr>
            </w:pPr>
            <w:r>
              <w:rPr>
                <w:rFonts w:ascii="Arial" w:cs="Arial" w:eastAsia="Arial" w:hAnsi="Arial"/>
                <w:sz w:val="12"/>
                <w:szCs w:val="12"/>
                <w:b w:val="1"/>
                <w:bCs w:val="1"/>
                <w:color w:val="FFFFFF"/>
              </w:rPr>
              <w:t>PLAN</w:t>
            </w:r>
          </w:p>
        </w:tc>
        <w:tc>
          <w:tcPr>
            <w:tcW w:w="1180" w:type="dxa"/>
            <w:vAlign w:val="bottom"/>
            <w:gridSpan w:val="2"/>
            <w:shd w:val="clear" w:color="auto" w:fill="148CD9"/>
          </w:tcPr>
          <w:p>
            <w:pPr>
              <w:ind w:left="20"/>
              <w:spacing w:after="0" w:line="108" w:lineRule="exact"/>
              <w:rPr>
                <w:sz w:val="20"/>
                <w:szCs w:val="20"/>
                <w:color w:val="auto"/>
              </w:rPr>
            </w:pPr>
            <w:r>
              <w:rPr>
                <w:rFonts w:ascii="Arial" w:cs="Arial" w:eastAsia="Arial" w:hAnsi="Arial"/>
                <w:sz w:val="12"/>
                <w:szCs w:val="12"/>
                <w:b w:val="1"/>
                <w:bCs w:val="1"/>
                <w:color w:val="FFFFFF"/>
              </w:rPr>
              <w:t>​ ​ COMPENSATION</w:t>
            </w:r>
          </w:p>
        </w:tc>
        <w:tc>
          <w:tcPr>
            <w:tcW w:w="220" w:type="dxa"/>
            <w:vAlign w:val="bottom"/>
            <w:vMerge w:val="continue"/>
            <w:shd w:val="clear" w:color="auto" w:fill="148CD9"/>
          </w:tcPr>
          <w:p>
            <w:pPr>
              <w:spacing w:after="0"/>
              <w:rPr>
                <w:sz w:val="9"/>
                <w:szCs w:val="9"/>
                <w:color w:val="auto"/>
              </w:rPr>
            </w:pPr>
          </w:p>
        </w:tc>
        <w:tc>
          <w:tcPr>
            <w:tcW w:w="620" w:type="dxa"/>
            <w:vAlign w:val="bottom"/>
            <w:shd w:val="clear" w:color="auto" w:fill="148CD9"/>
          </w:tcPr>
          <w:p>
            <w:pPr>
              <w:jc w:val="center"/>
              <w:ind w:right="14"/>
              <w:spacing w:after="0" w:line="108" w:lineRule="exact"/>
              <w:rPr>
                <w:sz w:val="20"/>
                <w:szCs w:val="20"/>
                <w:color w:val="auto"/>
              </w:rPr>
            </w:pPr>
            <w:r>
              <w:rPr>
                <w:rFonts w:ascii="Arial" w:cs="Arial" w:eastAsia="Arial" w:hAnsi="Arial"/>
                <w:sz w:val="12"/>
                <w:szCs w:val="12"/>
                <w:b w:val="1"/>
                <w:bCs w:val="1"/>
                <w:color w:val="FFFFFF"/>
                <w:w w:val="95"/>
              </w:rPr>
              <w:t>($)</w:t>
            </w:r>
          </w:p>
        </w:tc>
        <w:tc>
          <w:tcPr>
            <w:tcW w:w="120" w:type="dxa"/>
            <w:vAlign w:val="bottom"/>
            <w:tcBorders>
              <w:right w:val="single" w:sz="8" w:color="auto"/>
            </w:tcBorders>
            <w:vMerge w:val="continue"/>
            <w:shd w:val="clear" w:color="auto" w:fill="148CD9"/>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tcBorders>
            <w:shd w:val="clear" w:color="auto" w:fill="148CD9"/>
          </w:tcPr>
          <w:p>
            <w:pPr>
              <w:ind w:left="120"/>
              <w:spacing w:after="0"/>
              <w:rPr>
                <w:sz w:val="20"/>
                <w:szCs w:val="20"/>
                <w:color w:val="auto"/>
              </w:rPr>
            </w:pPr>
            <w:r>
              <w:rPr>
                <w:rFonts w:ascii="Arial" w:cs="Arial" w:eastAsia="Arial" w:hAnsi="Arial"/>
                <w:sz w:val="13"/>
                <w:szCs w:val="13"/>
                <w:b w:val="1"/>
                <w:bCs w:val="1"/>
                <w:color w:val="FFFFFF"/>
              </w:rPr>
              <w:t>POSITION</w:t>
            </w:r>
          </w:p>
        </w:tc>
        <w:tc>
          <w:tcPr>
            <w:tcW w:w="100" w:type="dxa"/>
            <w:vAlign w:val="bottom"/>
            <w:shd w:val="clear" w:color="auto" w:fill="148CD9"/>
          </w:tcPr>
          <w:p>
            <w:pPr>
              <w:spacing w:after="0"/>
              <w:rPr>
                <w:sz w:val="13"/>
                <w:szCs w:val="13"/>
                <w:color w:val="auto"/>
              </w:rPr>
            </w:pPr>
          </w:p>
        </w:tc>
        <w:tc>
          <w:tcPr>
            <w:tcW w:w="440" w:type="dxa"/>
            <w:vAlign w:val="bottom"/>
            <w:shd w:val="clear" w:color="auto" w:fill="148CD9"/>
          </w:tcPr>
          <w:p>
            <w:pPr>
              <w:spacing w:after="0"/>
              <w:rPr>
                <w:sz w:val="13"/>
                <w:szCs w:val="13"/>
                <w:color w:val="auto"/>
              </w:rPr>
            </w:pPr>
          </w:p>
        </w:tc>
        <w:tc>
          <w:tcPr>
            <w:tcW w:w="140" w:type="dxa"/>
            <w:vAlign w:val="bottom"/>
            <w:shd w:val="clear" w:color="auto" w:fill="148CD9"/>
          </w:tcPr>
          <w:p>
            <w:pPr>
              <w:spacing w:after="0"/>
              <w:rPr>
                <w:sz w:val="13"/>
                <w:szCs w:val="13"/>
                <w:color w:val="auto"/>
              </w:rPr>
            </w:pPr>
          </w:p>
        </w:tc>
        <w:tc>
          <w:tcPr>
            <w:tcW w:w="560" w:type="dxa"/>
            <w:vAlign w:val="bottom"/>
            <w:shd w:val="clear" w:color="auto" w:fill="148CD9"/>
          </w:tcPr>
          <w:p>
            <w:pPr>
              <w:spacing w:after="0"/>
              <w:rPr>
                <w:sz w:val="13"/>
                <w:szCs w:val="13"/>
                <w:color w:val="auto"/>
              </w:rPr>
            </w:pPr>
          </w:p>
        </w:tc>
        <w:tc>
          <w:tcPr>
            <w:tcW w:w="200" w:type="dxa"/>
            <w:vAlign w:val="bottom"/>
            <w:shd w:val="clear" w:color="auto" w:fill="148CD9"/>
          </w:tcPr>
          <w:p>
            <w:pPr>
              <w:spacing w:after="0"/>
              <w:rPr>
                <w:sz w:val="13"/>
                <w:szCs w:val="13"/>
                <w:color w:val="auto"/>
              </w:rPr>
            </w:pPr>
          </w:p>
        </w:tc>
        <w:tc>
          <w:tcPr>
            <w:tcW w:w="600" w:type="dxa"/>
            <w:vAlign w:val="bottom"/>
            <w:shd w:val="clear" w:color="auto" w:fill="148CD9"/>
          </w:tcPr>
          <w:p>
            <w:pPr>
              <w:spacing w:after="0"/>
              <w:rPr>
                <w:sz w:val="13"/>
                <w:szCs w:val="13"/>
                <w:color w:val="auto"/>
              </w:rPr>
            </w:pPr>
          </w:p>
        </w:tc>
        <w:tc>
          <w:tcPr>
            <w:tcW w:w="240" w:type="dxa"/>
            <w:vAlign w:val="bottom"/>
            <w:shd w:val="clear" w:color="auto" w:fill="148CD9"/>
          </w:tcPr>
          <w:p>
            <w:pPr>
              <w:spacing w:after="0"/>
              <w:rPr>
                <w:sz w:val="13"/>
                <w:szCs w:val="13"/>
                <w:color w:val="auto"/>
              </w:rPr>
            </w:pPr>
          </w:p>
        </w:tc>
        <w:tc>
          <w:tcPr>
            <w:tcW w:w="580" w:type="dxa"/>
            <w:vAlign w:val="bottom"/>
            <w:shd w:val="clear" w:color="auto" w:fill="148CD9"/>
          </w:tcPr>
          <w:p>
            <w:pPr>
              <w:jc w:val="center"/>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148CD9"/>
          </w:tcPr>
          <w:p>
            <w:pPr>
              <w:spacing w:after="0"/>
              <w:rPr>
                <w:sz w:val="13"/>
                <w:szCs w:val="13"/>
                <w:color w:val="auto"/>
              </w:rPr>
            </w:pPr>
          </w:p>
        </w:tc>
        <w:tc>
          <w:tcPr>
            <w:tcW w:w="740" w:type="dxa"/>
            <w:vAlign w:val="bottom"/>
            <w:shd w:val="clear" w:color="auto" w:fill="148CD9"/>
          </w:tcPr>
          <w:p>
            <w:pPr>
              <w:jc w:val="center"/>
              <w:spacing w:after="0"/>
              <w:rPr>
                <w:sz w:val="20"/>
                <w:szCs w:val="20"/>
                <w:color w:val="auto"/>
              </w:rPr>
            </w:pPr>
            <w:r>
              <w:rPr>
                <w:rFonts w:ascii="Arial" w:cs="Arial" w:eastAsia="Arial" w:hAnsi="Arial"/>
                <w:sz w:val="13"/>
                <w:szCs w:val="13"/>
                <w:b w:val="1"/>
                <w:bCs w:val="1"/>
                <w:color w:val="FFFFFF"/>
                <w:w w:val="94"/>
              </w:rPr>
              <w:t>($)(1)</w:t>
            </w:r>
          </w:p>
        </w:tc>
        <w:tc>
          <w:tcPr>
            <w:tcW w:w="1220" w:type="dxa"/>
            <w:vAlign w:val="bottom"/>
            <w:gridSpan w:val="2"/>
            <w:shd w:val="clear" w:color="auto" w:fill="148CD9"/>
          </w:tcPr>
          <w:p>
            <w:pPr>
              <w:jc w:val="center"/>
              <w:ind w:left="70"/>
              <w:spacing w:after="0"/>
              <w:rPr>
                <w:sz w:val="20"/>
                <w:szCs w:val="20"/>
                <w:color w:val="auto"/>
              </w:rPr>
            </w:pPr>
            <w:r>
              <w:rPr>
                <w:rFonts w:ascii="Arial" w:cs="Arial" w:eastAsia="Arial" w:hAnsi="Arial"/>
                <w:sz w:val="13"/>
                <w:szCs w:val="13"/>
                <w:b w:val="1"/>
                <w:bCs w:val="1"/>
                <w:color w:val="FFFFFF"/>
                <w:w w:val="94"/>
              </w:rPr>
              <w:t>COMPENSATION</w:t>
            </w:r>
          </w:p>
        </w:tc>
        <w:tc>
          <w:tcPr>
            <w:tcW w:w="200" w:type="dxa"/>
            <w:vAlign w:val="bottom"/>
            <w:shd w:val="clear" w:color="auto" w:fill="148CD9"/>
          </w:tcPr>
          <w:p>
            <w:pPr>
              <w:spacing w:after="0"/>
              <w:rPr>
                <w:sz w:val="13"/>
                <w:szCs w:val="13"/>
                <w:color w:val="auto"/>
              </w:rPr>
            </w:pPr>
          </w:p>
        </w:tc>
        <w:tc>
          <w:tcPr>
            <w:tcW w:w="980" w:type="dxa"/>
            <w:vAlign w:val="bottom"/>
            <w:shd w:val="clear" w:color="auto" w:fill="148CD9"/>
          </w:tcPr>
          <w:p>
            <w:pPr>
              <w:jc w:val="center"/>
              <w:spacing w:after="0"/>
              <w:rPr>
                <w:sz w:val="20"/>
                <w:szCs w:val="20"/>
                <w:color w:val="auto"/>
              </w:rPr>
            </w:pPr>
            <w:r>
              <w:rPr>
                <w:rFonts w:ascii="Arial" w:cs="Arial" w:eastAsia="Arial" w:hAnsi="Arial"/>
                <w:sz w:val="13"/>
                <w:szCs w:val="13"/>
                <w:b w:val="1"/>
                <w:bCs w:val="1"/>
                <w:color w:val="FFFFFF"/>
                <w:w w:val="94"/>
              </w:rPr>
              <w:t>($)(3)</w:t>
            </w:r>
          </w:p>
        </w:tc>
        <w:tc>
          <w:tcPr>
            <w:tcW w:w="220" w:type="dxa"/>
            <w:vAlign w:val="bottom"/>
            <w:shd w:val="clear" w:color="auto" w:fill="148CD9"/>
          </w:tcPr>
          <w:p>
            <w:pPr>
              <w:spacing w:after="0"/>
              <w:rPr>
                <w:sz w:val="13"/>
                <w:szCs w:val="13"/>
                <w:color w:val="auto"/>
              </w:rPr>
            </w:pPr>
          </w:p>
        </w:tc>
        <w:tc>
          <w:tcPr>
            <w:tcW w:w="620" w:type="dxa"/>
            <w:vAlign w:val="bottom"/>
            <w:shd w:val="clear" w:color="auto" w:fill="148CD9"/>
          </w:tcPr>
          <w:p>
            <w:pPr>
              <w:spacing w:after="0"/>
              <w:rPr>
                <w:sz w:val="13"/>
                <w:szCs w:val="13"/>
                <w:color w:val="auto"/>
              </w:rPr>
            </w:pPr>
          </w:p>
        </w:tc>
        <w:tc>
          <w:tcPr>
            <w:tcW w:w="120" w:type="dxa"/>
            <w:vAlign w:val="bottom"/>
            <w:tcBorders>
              <w:right w:val="single" w:sz="8" w:color="auto"/>
            </w:tcBorders>
            <w:shd w:val="clear" w:color="auto" w:fill="148CD9"/>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820" w:type="dxa"/>
            <w:vAlign w:val="bottom"/>
            <w:tcBorders>
              <w:left w:val="single" w:sz="8" w:color="auto"/>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440" w:type="dxa"/>
            <w:vAlign w:val="bottom"/>
            <w:shd w:val="clear" w:color="auto" w:fill="148CD9"/>
          </w:tcPr>
          <w:p>
            <w:pPr>
              <w:spacing w:after="0"/>
              <w:rPr>
                <w:sz w:val="15"/>
                <w:szCs w:val="15"/>
                <w:color w:val="auto"/>
              </w:rPr>
            </w:pPr>
          </w:p>
        </w:tc>
        <w:tc>
          <w:tcPr>
            <w:tcW w:w="140" w:type="dxa"/>
            <w:vAlign w:val="bottom"/>
            <w:shd w:val="clear" w:color="auto" w:fill="148CD9"/>
          </w:tcPr>
          <w:p>
            <w:pPr>
              <w:spacing w:after="0"/>
              <w:rPr>
                <w:sz w:val="15"/>
                <w:szCs w:val="15"/>
                <w:color w:val="auto"/>
              </w:rPr>
            </w:pPr>
          </w:p>
        </w:tc>
        <w:tc>
          <w:tcPr>
            <w:tcW w:w="560" w:type="dxa"/>
            <w:vAlign w:val="bottom"/>
            <w:shd w:val="clear" w:color="auto" w:fill="148CD9"/>
          </w:tcPr>
          <w:p>
            <w:pPr>
              <w:spacing w:after="0"/>
              <w:rPr>
                <w:sz w:val="15"/>
                <w:szCs w:val="15"/>
                <w:color w:val="auto"/>
              </w:rPr>
            </w:pPr>
          </w:p>
        </w:tc>
        <w:tc>
          <w:tcPr>
            <w:tcW w:w="200" w:type="dxa"/>
            <w:vAlign w:val="bottom"/>
            <w:shd w:val="clear" w:color="auto" w:fill="148CD9"/>
          </w:tcPr>
          <w:p>
            <w:pPr>
              <w:spacing w:after="0"/>
              <w:rPr>
                <w:sz w:val="15"/>
                <w:szCs w:val="15"/>
                <w:color w:val="auto"/>
              </w:rPr>
            </w:pPr>
          </w:p>
        </w:tc>
        <w:tc>
          <w:tcPr>
            <w:tcW w:w="600" w:type="dxa"/>
            <w:vAlign w:val="bottom"/>
            <w:shd w:val="clear" w:color="auto" w:fill="148CD9"/>
          </w:tcPr>
          <w:p>
            <w:pPr>
              <w:spacing w:after="0"/>
              <w:rPr>
                <w:sz w:val="15"/>
                <w:szCs w:val="15"/>
                <w:color w:val="auto"/>
              </w:rPr>
            </w:pPr>
          </w:p>
        </w:tc>
        <w:tc>
          <w:tcPr>
            <w:tcW w:w="240" w:type="dxa"/>
            <w:vAlign w:val="bottom"/>
            <w:shd w:val="clear" w:color="auto" w:fill="148CD9"/>
          </w:tcPr>
          <w:p>
            <w:pPr>
              <w:spacing w:after="0"/>
              <w:rPr>
                <w:sz w:val="15"/>
                <w:szCs w:val="15"/>
                <w:color w:val="auto"/>
              </w:rPr>
            </w:pPr>
          </w:p>
        </w:tc>
        <w:tc>
          <w:tcPr>
            <w:tcW w:w="580" w:type="dxa"/>
            <w:vAlign w:val="bottom"/>
            <w:shd w:val="clear" w:color="auto" w:fill="148CD9"/>
          </w:tcPr>
          <w:p>
            <w:pPr>
              <w:spacing w:after="0"/>
              <w:rPr>
                <w:sz w:val="15"/>
                <w:szCs w:val="15"/>
                <w:color w:val="auto"/>
              </w:rPr>
            </w:pPr>
          </w:p>
        </w:tc>
        <w:tc>
          <w:tcPr>
            <w:tcW w:w="220" w:type="dxa"/>
            <w:vAlign w:val="bottom"/>
            <w:shd w:val="clear" w:color="auto" w:fill="148CD9"/>
          </w:tcPr>
          <w:p>
            <w:pPr>
              <w:spacing w:after="0"/>
              <w:rPr>
                <w:sz w:val="15"/>
                <w:szCs w:val="15"/>
                <w:color w:val="auto"/>
              </w:rPr>
            </w:pPr>
          </w:p>
        </w:tc>
        <w:tc>
          <w:tcPr>
            <w:tcW w:w="740" w:type="dxa"/>
            <w:vAlign w:val="bottom"/>
            <w:shd w:val="clear" w:color="auto" w:fill="148CD9"/>
          </w:tcPr>
          <w:p>
            <w:pPr>
              <w:spacing w:after="0"/>
              <w:rPr>
                <w:sz w:val="15"/>
                <w:szCs w:val="15"/>
                <w:color w:val="auto"/>
              </w:rPr>
            </w:pPr>
          </w:p>
        </w:tc>
        <w:tc>
          <w:tcPr>
            <w:tcW w:w="240" w:type="dxa"/>
            <w:vAlign w:val="bottom"/>
            <w:shd w:val="clear" w:color="auto" w:fill="148CD9"/>
          </w:tcPr>
          <w:p>
            <w:pPr>
              <w:spacing w:after="0"/>
              <w:rPr>
                <w:sz w:val="15"/>
                <w:szCs w:val="15"/>
                <w:color w:val="auto"/>
              </w:rPr>
            </w:pPr>
          </w:p>
        </w:tc>
        <w:tc>
          <w:tcPr>
            <w:tcW w:w="980" w:type="dxa"/>
            <w:vAlign w:val="bottom"/>
            <w:shd w:val="clear" w:color="auto" w:fill="148CD9"/>
          </w:tcPr>
          <w:p>
            <w:pPr>
              <w:jc w:val="center"/>
              <w:ind w:right="11"/>
              <w:spacing w:after="0"/>
              <w:rPr>
                <w:sz w:val="20"/>
                <w:szCs w:val="20"/>
                <w:color w:val="auto"/>
              </w:rPr>
            </w:pPr>
            <w:r>
              <w:rPr>
                <w:rFonts w:ascii="Arial" w:cs="Arial" w:eastAsia="Arial" w:hAnsi="Arial"/>
                <w:sz w:val="13"/>
                <w:szCs w:val="13"/>
                <w:b w:val="1"/>
                <w:bCs w:val="1"/>
                <w:color w:val="FFFFFF"/>
                <w:w w:val="94"/>
              </w:rPr>
              <w:t>($)(2)</w:t>
            </w:r>
          </w:p>
        </w:tc>
        <w:tc>
          <w:tcPr>
            <w:tcW w:w="200" w:type="dxa"/>
            <w:vAlign w:val="bottom"/>
            <w:shd w:val="clear" w:color="auto" w:fill="148CD9"/>
          </w:tcPr>
          <w:p>
            <w:pPr>
              <w:spacing w:after="0"/>
              <w:rPr>
                <w:sz w:val="15"/>
                <w:szCs w:val="15"/>
                <w:color w:val="auto"/>
              </w:rPr>
            </w:pPr>
          </w:p>
        </w:tc>
        <w:tc>
          <w:tcPr>
            <w:tcW w:w="980" w:type="dxa"/>
            <w:vAlign w:val="bottom"/>
            <w:shd w:val="clear" w:color="auto" w:fill="148CD9"/>
          </w:tcPr>
          <w:p>
            <w:pPr>
              <w:spacing w:after="0"/>
              <w:rPr>
                <w:sz w:val="15"/>
                <w:szCs w:val="15"/>
                <w:color w:val="auto"/>
              </w:rPr>
            </w:pPr>
          </w:p>
        </w:tc>
        <w:tc>
          <w:tcPr>
            <w:tcW w:w="220" w:type="dxa"/>
            <w:vAlign w:val="bottom"/>
            <w:shd w:val="clear" w:color="auto" w:fill="148CD9"/>
          </w:tcPr>
          <w:p>
            <w:pPr>
              <w:spacing w:after="0"/>
              <w:rPr>
                <w:sz w:val="15"/>
                <w:szCs w:val="15"/>
                <w:color w:val="auto"/>
              </w:rPr>
            </w:pPr>
          </w:p>
        </w:tc>
        <w:tc>
          <w:tcPr>
            <w:tcW w:w="620" w:type="dxa"/>
            <w:vAlign w:val="bottom"/>
            <w:shd w:val="clear" w:color="auto" w:fill="148CD9"/>
          </w:tcPr>
          <w:p>
            <w:pPr>
              <w:spacing w:after="0"/>
              <w:rPr>
                <w:sz w:val="15"/>
                <w:szCs w:val="15"/>
                <w:color w:val="auto"/>
              </w:rPr>
            </w:pPr>
          </w:p>
        </w:tc>
        <w:tc>
          <w:tcPr>
            <w:tcW w:w="120" w:type="dxa"/>
            <w:vAlign w:val="bottom"/>
            <w:tcBorders>
              <w:right w:val="single" w:sz="8" w:color="auto"/>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82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Brent Pfeiffenberger,</w:t>
            </w:r>
          </w:p>
        </w:tc>
        <w:tc>
          <w:tcPr>
            <w:tcW w:w="100" w:type="dxa"/>
            <w:vAlign w:val="bottom"/>
          </w:tcPr>
          <w:p>
            <w:pPr>
              <w:spacing w:after="0"/>
              <w:rPr>
                <w:sz w:val="17"/>
                <w:szCs w:val="17"/>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 2023</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auto"/>
              </w:rPr>
              <w:t>​ ​ 49,716</w:t>
            </w:r>
          </w:p>
        </w:tc>
        <w:tc>
          <w:tcPr>
            <w:tcW w:w="1840" w:type="dxa"/>
            <w:vAlign w:val="bottom"/>
            <w:gridSpan w:val="5"/>
            <w:vMerge w:val="restart"/>
          </w:tcPr>
          <w:p>
            <w:pPr>
              <w:jc w:val="right"/>
              <w:spacing w:after="0"/>
              <w:rPr>
                <w:sz w:val="20"/>
                <w:szCs w:val="20"/>
                <w:color w:val="auto"/>
              </w:rPr>
            </w:pPr>
            <w:r>
              <w:rPr>
                <w:rFonts w:ascii="Arial" w:cs="Arial" w:eastAsia="Arial" w:hAnsi="Arial"/>
                <w:sz w:val="14"/>
                <w:szCs w:val="14"/>
                <w:color w:val="auto"/>
              </w:rPr>
              <w:t>​ ​200,000(5) ​ ​2,339,779 ​ ​</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621,167</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24,349</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color w:val="auto"/>
              </w:rPr>
              <w:t>​ ​3,235,011</w:t>
            </w:r>
          </w:p>
        </w:tc>
        <w:tc>
          <w:tcPr>
            <w:tcW w:w="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1820" w:type="dxa"/>
            <w:vAlign w:val="bottom"/>
            <w:tcBorders>
              <w:left w:val="single" w:sz="8" w:color="auto"/>
            </w:tcBorders>
            <w:vMerge w:val="restart"/>
          </w:tcPr>
          <w:p>
            <w:pPr>
              <w:ind w:left="60"/>
              <w:spacing w:after="0" w:line="172"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b w:val="1"/>
                <w:bCs w:val="1"/>
                <w:color w:val="auto"/>
              </w:rPr>
              <w:t xml:space="preserve">Pharm.D., </w:t>
            </w:r>
            <w:r>
              <w:rPr>
                <w:rFonts w:ascii="Arial" w:cs="Arial" w:eastAsia="Arial" w:hAnsi="Arial"/>
                <w:sz w:val="11"/>
                <w:szCs w:val="11"/>
                <w:color w:val="auto"/>
              </w:rPr>
              <w:t>President</w:t>
            </w:r>
          </w:p>
        </w:tc>
        <w:tc>
          <w:tcPr>
            <w:tcW w:w="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840" w:type="dxa"/>
            <w:vAlign w:val="bottom"/>
            <w:gridSpan w:val="5"/>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tcBorders>
            <w:vMerge w:val="continue"/>
          </w:tcPr>
          <w:p>
            <w:pPr>
              <w:spacing w:after="0"/>
              <w:rPr>
                <w:sz w:val="8"/>
                <w:szCs w:val="8"/>
                <w:color w:val="auto"/>
              </w:rPr>
            </w:pPr>
          </w:p>
        </w:tc>
        <w:tc>
          <w:tcPr>
            <w:tcW w:w="100" w:type="dxa"/>
            <w:vAlign w:val="bottom"/>
          </w:tcPr>
          <w:p>
            <w:pPr>
              <w:ind w:left="60"/>
              <w:spacing w:after="0" w:line="103" w:lineRule="exact"/>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820" w:type="dxa"/>
            <w:vAlign w:val="bottom"/>
            <w:tcBorders>
              <w:left w:val="single" w:sz="8" w:color="auto"/>
            </w:tcBorders>
          </w:tcPr>
          <w:p>
            <w:pPr>
              <w:ind w:left="100"/>
              <w:spacing w:after="0" w:line="160" w:lineRule="exact"/>
              <w:rPr>
                <w:sz w:val="20"/>
                <w:szCs w:val="20"/>
                <w:color w:val="auto"/>
              </w:rPr>
            </w:pPr>
            <w:r>
              <w:rPr>
                <w:rFonts w:ascii="Arial" w:cs="Arial" w:eastAsia="Arial" w:hAnsi="Arial"/>
                <w:sz w:val="14"/>
                <w:szCs w:val="14"/>
                <w:color w:val="auto"/>
              </w:rPr>
              <w:t>and Chief Executive</w:t>
            </w:r>
          </w:p>
        </w:tc>
        <w:tc>
          <w:tcPr>
            <w:tcW w:w="100" w:type="dxa"/>
            <w:vAlign w:val="bottom"/>
          </w:tcPr>
          <w:p>
            <w:pPr>
              <w:spacing w:after="0"/>
              <w:rPr>
                <w:sz w:val="13"/>
                <w:szCs w:val="13"/>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00" w:type="dxa"/>
            <w:vAlign w:val="bottom"/>
            <w:gridSpan w:val="2"/>
            <w:vMerge w:val="restart"/>
          </w:tcPr>
          <w:p>
            <w:pPr>
              <w:jc w:val="right"/>
              <w:ind w:right="136"/>
              <w:spacing w:after="0"/>
              <w:rPr>
                <w:sz w:val="20"/>
                <w:szCs w:val="20"/>
                <w:color w:val="auto"/>
              </w:rPr>
            </w:pPr>
            <w:r>
              <w:rPr>
                <w:rFonts w:ascii="Arial" w:cs="Arial" w:eastAsia="Arial" w:hAnsi="Arial"/>
                <w:sz w:val="14"/>
                <w:szCs w:val="14"/>
                <w:color w:val="auto"/>
              </w:rPr>
              <w:t>​ ​   —</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ind w:right="11"/>
              <w:spacing w:after="0"/>
              <w:rPr>
                <w:sz w:val="20"/>
                <w:szCs w:val="20"/>
                <w:color w:val="auto"/>
              </w:rPr>
            </w:pPr>
            <w:r>
              <w:rPr>
                <w:rFonts w:ascii="Arial" w:cs="Arial" w:eastAsia="Arial" w:hAnsi="Arial"/>
                <w:sz w:val="14"/>
                <w:szCs w:val="14"/>
                <w:color w:val="auto"/>
                <w:w w:val="99"/>
              </w:rPr>
              <w:t>—</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jc w:val="center"/>
              <w:ind w:right="14"/>
              <w:spacing w:after="0"/>
              <w:rPr>
                <w:sz w:val="20"/>
                <w:szCs w:val="20"/>
                <w:color w:val="auto"/>
              </w:rPr>
            </w:pPr>
            <w:r>
              <w:rPr>
                <w:rFonts w:ascii="Arial" w:cs="Arial" w:eastAsia="Arial" w:hAnsi="Arial"/>
                <w:sz w:val="14"/>
                <w:szCs w:val="14"/>
                <w:color w:val="auto"/>
                <w:w w:val="99"/>
              </w:rPr>
              <w:t>—</w:t>
            </w:r>
          </w:p>
        </w:tc>
        <w:tc>
          <w:tcPr>
            <w:tcW w:w="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820" w:type="dxa"/>
            <w:vAlign w:val="bottom"/>
            <w:tcBorders>
              <w:left w:val="single" w:sz="8" w:color="auto"/>
            </w:tcBorders>
            <w:vMerge w:val="restart"/>
          </w:tcPr>
          <w:p>
            <w:pPr>
              <w:ind w:left="100"/>
              <w:spacing w:after="0"/>
              <w:rPr>
                <w:sz w:val="20"/>
                <w:szCs w:val="20"/>
                <w:color w:val="auto"/>
              </w:rPr>
            </w:pPr>
            <w:r>
              <w:rPr>
                <w:rFonts w:ascii="Arial" w:cs="Arial" w:eastAsia="Arial" w:hAnsi="Arial"/>
                <w:sz w:val="14"/>
                <w:szCs w:val="14"/>
                <w:color w:val="auto"/>
              </w:rPr>
              <w:t>Officer (4)</w:t>
            </w: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820" w:type="dxa"/>
            <w:vAlign w:val="bottom"/>
            <w:tcBorders>
              <w:lef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82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82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Gregory Russotti, Ph.D.,</w:t>
            </w:r>
          </w:p>
        </w:tc>
        <w:tc>
          <w:tcPr>
            <w:tcW w:w="100" w:type="dxa"/>
            <w:vAlign w:val="bottom"/>
          </w:tcPr>
          <w:p>
            <w:pPr>
              <w:spacing w:after="0"/>
              <w:rPr>
                <w:sz w:val="17"/>
                <w:szCs w:val="17"/>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 2023</w:t>
            </w: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color w:val="auto"/>
              </w:rPr>
              <w:t>​ ​564,364 ​ ​</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1,737,065</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275,000</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13,200</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color w:val="auto"/>
              </w:rPr>
              <w:t>​ ​2,589,630</w:t>
            </w:r>
          </w:p>
        </w:tc>
        <w:tc>
          <w:tcPr>
            <w:tcW w:w="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82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Chief Technology and</w:t>
            </w: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tcBorders>
          </w:tcPr>
          <w:p>
            <w:pPr>
              <w:ind w:left="60"/>
              <w:spacing w:after="0" w:line="172"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Manufacturing Officer and</w:t>
            </w:r>
          </w:p>
        </w:tc>
        <w:tc>
          <w:tcPr>
            <w:tcW w:w="100" w:type="dxa"/>
            <w:vAlign w:val="bottom"/>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20" w:type="dxa"/>
            <w:vAlign w:val="bottom"/>
            <w:tcBorders>
              <w:left w:val="single" w:sz="8" w:color="auto"/>
            </w:tcBorders>
          </w:tcPr>
          <w:p>
            <w:pPr>
              <w:ind w:left="100"/>
              <w:spacing w:after="0" w:line="160" w:lineRule="exact"/>
              <w:rPr>
                <w:sz w:val="20"/>
                <w:szCs w:val="20"/>
                <w:color w:val="auto"/>
              </w:rPr>
            </w:pPr>
            <w:r>
              <w:rPr>
                <w:rFonts w:ascii="Arial" w:cs="Arial" w:eastAsia="Arial" w:hAnsi="Arial"/>
                <w:sz w:val="14"/>
                <w:szCs w:val="14"/>
                <w:color w:val="auto"/>
              </w:rPr>
              <w:t>former Interim President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and Chief Executive</w:t>
            </w: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  —</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560" w:type="dxa"/>
            <w:vAlign w:val="bottom"/>
          </w:tcPr>
          <w:p>
            <w:pPr>
              <w:jc w:val="right"/>
              <w:ind w:right="136"/>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 ​</w:t>
            </w:r>
          </w:p>
        </w:tc>
        <w:tc>
          <w:tcPr>
            <w:tcW w:w="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 ​</w:t>
            </w:r>
          </w:p>
        </w:tc>
        <w:tc>
          <w:tcPr>
            <w:tcW w:w="5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jc w:val="center"/>
              <w:ind w:right="11"/>
              <w:spacing w:after="0"/>
              <w:rPr>
                <w:sz w:val="20"/>
                <w:szCs w:val="20"/>
                <w:color w:val="auto"/>
              </w:rPr>
            </w:pPr>
            <w:r>
              <w:rPr>
                <w:rFonts w:ascii="Arial" w:cs="Arial" w:eastAsia="Arial" w:hAnsi="Arial"/>
                <w:sz w:val="14"/>
                <w:szCs w:val="14"/>
                <w:color w:val="auto"/>
                <w:w w:val="99"/>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 ​</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620" w:type="dxa"/>
            <w:vAlign w:val="bottom"/>
          </w:tcPr>
          <w:p>
            <w:pPr>
              <w:jc w:val="center"/>
              <w:ind w:right="14"/>
              <w:spacing w:after="0"/>
              <w:rPr>
                <w:sz w:val="20"/>
                <w:szCs w:val="20"/>
                <w:color w:val="auto"/>
              </w:rPr>
            </w:pPr>
            <w:r>
              <w:rPr>
                <w:rFonts w:ascii="Arial" w:cs="Arial" w:eastAsia="Arial" w:hAnsi="Arial"/>
                <w:sz w:val="14"/>
                <w:szCs w:val="14"/>
                <w:color w:val="auto"/>
                <w:w w:val="99"/>
              </w:rPr>
              <w:t>—</w:t>
            </w:r>
          </w:p>
        </w:tc>
        <w:tc>
          <w:tcPr>
            <w:tcW w:w="1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82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Officer (6)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820" w:type="dxa"/>
            <w:vAlign w:val="bottom"/>
            <w:tcBorders>
              <w:left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82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Osvaldo Flores, Ph.D.</w:t>
            </w:r>
          </w:p>
        </w:tc>
        <w:tc>
          <w:tcPr>
            <w:tcW w:w="10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 2023</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 ​176,008 ​ ​</w:t>
            </w:r>
          </w:p>
        </w:tc>
        <w:tc>
          <w:tcPr>
            <w:tcW w:w="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 ​</w:t>
            </w:r>
          </w:p>
        </w:tc>
        <w:tc>
          <w:tcPr>
            <w:tcW w:w="5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 ​4,188,293(8) ​ ​</w:t>
            </w:r>
          </w:p>
        </w:tc>
        <w:tc>
          <w:tcPr>
            <w:tcW w:w="980" w:type="dxa"/>
            <w:vAlign w:val="bottom"/>
          </w:tcPr>
          <w:p>
            <w:pPr>
              <w:jc w:val="center"/>
              <w:ind w:right="11"/>
              <w:spacing w:after="0"/>
              <w:rPr>
                <w:sz w:val="20"/>
                <w:szCs w:val="20"/>
                <w:color w:val="auto"/>
              </w:rPr>
            </w:pPr>
            <w:r>
              <w:rPr>
                <w:rFonts w:ascii="Arial" w:cs="Arial" w:eastAsia="Arial" w:hAnsi="Arial"/>
                <w:sz w:val="14"/>
                <w:szCs w:val="14"/>
                <w:color w:val="auto"/>
                <w:w w:val="99"/>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 ​</w:t>
            </w:r>
          </w:p>
        </w:tc>
        <w:tc>
          <w:tcPr>
            <w:tcW w:w="980" w:type="dxa"/>
            <w:vAlign w:val="bottom"/>
          </w:tcPr>
          <w:p>
            <w:pPr>
              <w:jc w:val="center"/>
              <w:spacing w:after="0"/>
              <w:rPr>
                <w:sz w:val="20"/>
                <w:szCs w:val="20"/>
                <w:color w:val="auto"/>
              </w:rPr>
            </w:pPr>
            <w:r>
              <w:rPr>
                <w:rFonts w:ascii="Arial" w:cs="Arial" w:eastAsia="Arial" w:hAnsi="Arial"/>
                <w:sz w:val="14"/>
                <w:szCs w:val="14"/>
                <w:color w:val="auto"/>
              </w:rPr>
              <w:t>634,093(10)</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 ​4,978,394 ​</w:t>
            </w:r>
          </w:p>
        </w:tc>
        <w:tc>
          <w:tcPr>
            <w:tcW w:w="0" w:type="dxa"/>
            <w:vAlign w:val="bottom"/>
          </w:tcPr>
          <w:p>
            <w:pPr>
              <w:spacing w:after="0"/>
              <w:rPr>
                <w:sz w:val="1"/>
                <w:szCs w:val="1"/>
                <w:color w:val="auto"/>
              </w:rPr>
            </w:pPr>
          </w:p>
        </w:tc>
      </w:tr>
      <w:tr>
        <w:trPr>
          <w:trHeight w:val="90"/>
        </w:trPr>
        <w:tc>
          <w:tcPr>
            <w:tcW w:w="1820" w:type="dxa"/>
            <w:vAlign w:val="bottom"/>
            <w:tcBorders>
              <w:left w:val="single" w:sz="8" w:color="auto"/>
            </w:tcBorders>
            <w:vMerge w:val="restart"/>
          </w:tcPr>
          <w:p>
            <w:pPr>
              <w:ind w:left="60"/>
              <w:spacing w:after="0"/>
              <w:rPr>
                <w:sz w:val="20"/>
                <w:szCs w:val="20"/>
                <w:color w:val="auto"/>
              </w:rPr>
            </w:pPr>
            <w:r>
              <w:rPr>
                <w:rFonts w:ascii="Arial" w:cs="Arial" w:eastAsia="Arial" w:hAnsi="Arial"/>
                <w:sz w:val="14"/>
                <w:szCs w:val="14"/>
                <w:color w:val="auto"/>
              </w:rPr>
              <w:t>​Former President and</w:t>
            </w:r>
          </w:p>
        </w:tc>
        <w:tc>
          <w:tcPr>
            <w:tcW w:w="1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 2022</w:t>
            </w: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color w:val="auto"/>
              </w:rPr>
              <w:t>​ ​ 580,208 ​ ​</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2,707,003</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290,104</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Borders>
              <w:right w:val="single" w:sz="8" w:color="auto"/>
            </w:tcBorders>
            <w:gridSpan w:val="3"/>
            <w:vMerge w:val="restart"/>
          </w:tcPr>
          <w:p>
            <w:pPr>
              <w:jc w:val="right"/>
              <w:spacing w:after="0"/>
              <w:rPr>
                <w:sz w:val="20"/>
                <w:szCs w:val="20"/>
                <w:color w:val="auto"/>
              </w:rPr>
            </w:pPr>
            <w:r>
              <w:rPr>
                <w:rFonts w:ascii="Arial" w:cs="Arial" w:eastAsia="Arial" w:hAnsi="Arial"/>
                <w:sz w:val="14"/>
                <w:szCs w:val="14"/>
                <w:color w:val="auto"/>
              </w:rPr>
              <w:t>​ ​3,577,315 ​</w:t>
            </w:r>
          </w:p>
        </w:tc>
        <w:tc>
          <w:tcPr>
            <w:tcW w:w="0" w:type="dxa"/>
            <w:vAlign w:val="bottom"/>
          </w:tcPr>
          <w:p>
            <w:pPr>
              <w:spacing w:after="0"/>
              <w:rPr>
                <w:sz w:val="1"/>
                <w:szCs w:val="1"/>
                <w:color w:val="auto"/>
              </w:rPr>
            </w:pPr>
          </w:p>
        </w:tc>
      </w:tr>
      <w:tr>
        <w:trPr>
          <w:trHeight w:val="190"/>
        </w:trPr>
        <w:tc>
          <w:tcPr>
            <w:tcW w:w="182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Chief Executive Officer (7)</w:t>
            </w: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60" w:type="dxa"/>
            <w:vAlign w:val="bottom"/>
            <w:tcBorders>
              <w:right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2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82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Michael Diem, M.D.,</w:t>
            </w:r>
          </w:p>
        </w:tc>
        <w:tc>
          <w:tcPr>
            <w:tcW w:w="10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 2023</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 ​490,398 ​ ​</w:t>
            </w:r>
          </w:p>
        </w:tc>
        <w:tc>
          <w:tcPr>
            <w:tcW w:w="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 ​ 703,002</w:t>
            </w: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rPr>
              <w:t>836,627</w:t>
            </w:r>
          </w:p>
        </w:tc>
        <w:tc>
          <w:tcPr>
            <w:tcW w:w="24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jc w:val="center"/>
              <w:spacing w:after="0"/>
              <w:rPr>
                <w:sz w:val="20"/>
                <w:szCs w:val="20"/>
                <w:color w:val="auto"/>
              </w:rPr>
            </w:pPr>
            <w:r>
              <w:rPr>
                <w:rFonts w:ascii="Arial" w:cs="Arial" w:eastAsia="Arial" w:hAnsi="Arial"/>
                <w:sz w:val="14"/>
                <w:szCs w:val="14"/>
                <w:color w:val="auto"/>
              </w:rPr>
              <w:t>182,612</w:t>
            </w:r>
          </w:p>
        </w:tc>
        <w:tc>
          <w:tcPr>
            <w:tcW w:w="200" w:type="dxa"/>
            <w:vAlign w:val="bottom"/>
          </w:tcPr>
          <w:p>
            <w:pPr>
              <w:ind w:left="20"/>
              <w:spacing w:after="0"/>
              <w:rPr>
                <w:sz w:val="20"/>
                <w:szCs w:val="20"/>
                <w:color w:val="auto"/>
              </w:rPr>
            </w:pPr>
            <w:r>
              <w:rPr>
                <w:rFonts w:ascii="Arial" w:cs="Arial" w:eastAsia="Arial" w:hAnsi="Arial"/>
                <w:sz w:val="14"/>
                <w:szCs w:val="14"/>
                <w:color w:val="auto"/>
              </w:rPr>
              <w:t>​ ​</w:t>
            </w:r>
          </w:p>
        </w:tc>
        <w:tc>
          <w:tcPr>
            <w:tcW w:w="980" w:type="dxa"/>
            <w:vAlign w:val="bottom"/>
          </w:tcPr>
          <w:p>
            <w:pPr>
              <w:jc w:val="center"/>
              <w:spacing w:after="0"/>
              <w:rPr>
                <w:sz w:val="20"/>
                <w:szCs w:val="20"/>
                <w:color w:val="auto"/>
              </w:rPr>
            </w:pPr>
            <w:r>
              <w:rPr>
                <w:rFonts w:ascii="Arial" w:cs="Arial" w:eastAsia="Arial" w:hAnsi="Arial"/>
                <w:sz w:val="14"/>
                <w:szCs w:val="14"/>
                <w:color w:val="auto"/>
              </w:rPr>
              <w:t>13,200</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 ​2,225,839 ​</w:t>
            </w:r>
          </w:p>
        </w:tc>
        <w:tc>
          <w:tcPr>
            <w:tcW w:w="0" w:type="dxa"/>
            <w:vAlign w:val="bottom"/>
          </w:tcPr>
          <w:p>
            <w:pPr>
              <w:spacing w:after="0"/>
              <w:rPr>
                <w:sz w:val="1"/>
                <w:szCs w:val="1"/>
                <w:color w:val="auto"/>
              </w:rPr>
            </w:pPr>
          </w:p>
        </w:tc>
      </w:tr>
      <w:tr>
        <w:trPr>
          <w:trHeight w:val="63"/>
        </w:trPr>
        <w:tc>
          <w:tcPr>
            <w:tcW w:w="1820" w:type="dxa"/>
            <w:vAlign w:val="bottom"/>
            <w:tcBorders>
              <w:left w:val="single" w:sz="8" w:color="auto"/>
            </w:tcBorders>
            <w:vMerge w:val="restart"/>
          </w:tcPr>
          <w:p>
            <w:pPr>
              <w:ind w:left="60"/>
              <w:spacing w:after="0"/>
              <w:rPr>
                <w:sz w:val="20"/>
                <w:szCs w:val="20"/>
                <w:color w:val="auto"/>
              </w:rPr>
            </w:pPr>
            <w:r>
              <w:rPr>
                <w:rFonts w:ascii="Arial" w:cs="Arial" w:eastAsia="Arial" w:hAnsi="Arial"/>
                <w:sz w:val="14"/>
                <w:szCs w:val="14"/>
                <w:color w:val="auto"/>
              </w:rPr>
              <w:t>​former Chief Financial</w:t>
            </w:r>
          </w:p>
        </w:tc>
        <w:tc>
          <w:tcPr>
            <w:tcW w:w="1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820" w:type="dxa"/>
            <w:vAlign w:val="bottom"/>
            <w:tcBorders>
              <w:left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 2022</w:t>
            </w: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color w:val="auto"/>
              </w:rPr>
              <w:t>​ ​ 456,042 ​ ​</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902,334</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182,417</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12,200</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color w:val="auto"/>
              </w:rPr>
              <w:t>​ ​1,552,993</w:t>
            </w:r>
          </w:p>
        </w:tc>
        <w:tc>
          <w:tcPr>
            <w:tcW w:w="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82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Officer(9)</w:t>
            </w: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2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Adrienne Farid, Ph.D.</w:t>
            </w: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 2023</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 ​490,365 ​ ​</w:t>
            </w:r>
          </w:p>
        </w:tc>
        <w:tc>
          <w:tcPr>
            <w:tcW w:w="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 ​ 203,000</w:t>
            </w: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rPr>
              <w:t>836,627</w:t>
            </w:r>
          </w:p>
        </w:tc>
        <w:tc>
          <w:tcPr>
            <w:tcW w:w="24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jc w:val="center"/>
              <w:spacing w:after="0"/>
              <w:rPr>
                <w:sz w:val="20"/>
                <w:szCs w:val="20"/>
                <w:color w:val="auto"/>
              </w:rPr>
            </w:pPr>
            <w:r>
              <w:rPr>
                <w:rFonts w:ascii="Arial" w:cs="Arial" w:eastAsia="Arial" w:hAnsi="Arial"/>
                <w:sz w:val="14"/>
                <w:szCs w:val="14"/>
                <w:color w:val="auto"/>
              </w:rPr>
              <w:t>166,724</w:t>
            </w:r>
          </w:p>
        </w:tc>
        <w:tc>
          <w:tcPr>
            <w:tcW w:w="200" w:type="dxa"/>
            <w:vAlign w:val="bottom"/>
          </w:tcPr>
          <w:p>
            <w:pPr>
              <w:ind w:left="20"/>
              <w:spacing w:after="0"/>
              <w:rPr>
                <w:sz w:val="20"/>
                <w:szCs w:val="20"/>
                <w:color w:val="auto"/>
              </w:rPr>
            </w:pPr>
            <w:r>
              <w:rPr>
                <w:rFonts w:ascii="Arial" w:cs="Arial" w:eastAsia="Arial" w:hAnsi="Arial"/>
                <w:sz w:val="14"/>
                <w:szCs w:val="14"/>
                <w:color w:val="auto"/>
              </w:rPr>
              <w:t>​ ​</w:t>
            </w:r>
          </w:p>
        </w:tc>
        <w:tc>
          <w:tcPr>
            <w:tcW w:w="980" w:type="dxa"/>
            <w:vAlign w:val="bottom"/>
          </w:tcPr>
          <w:p>
            <w:pPr>
              <w:jc w:val="center"/>
              <w:spacing w:after="0"/>
              <w:rPr>
                <w:sz w:val="20"/>
                <w:szCs w:val="20"/>
                <w:color w:val="auto"/>
              </w:rPr>
            </w:pPr>
            <w:r>
              <w:rPr>
                <w:rFonts w:ascii="Arial" w:cs="Arial" w:eastAsia="Arial" w:hAnsi="Arial"/>
                <w:sz w:val="14"/>
                <w:szCs w:val="14"/>
                <w:color w:val="auto"/>
              </w:rPr>
              <w:t>13,200</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 ​1,709,916 ​</w:t>
            </w:r>
          </w:p>
        </w:tc>
        <w:tc>
          <w:tcPr>
            <w:tcW w:w="0" w:type="dxa"/>
            <w:vAlign w:val="bottom"/>
          </w:tcPr>
          <w:p>
            <w:pPr>
              <w:spacing w:after="0"/>
              <w:rPr>
                <w:sz w:val="1"/>
                <w:szCs w:val="1"/>
                <w:color w:val="auto"/>
              </w:rPr>
            </w:pPr>
          </w:p>
        </w:tc>
      </w:tr>
      <w:tr>
        <w:trPr>
          <w:trHeight w:val="27"/>
        </w:trPr>
        <w:tc>
          <w:tcPr>
            <w:tcW w:w="1820" w:type="dxa"/>
            <w:vAlign w:val="bottom"/>
            <w:tcBorders>
              <w:left w:val="single" w:sz="8" w:color="auto"/>
            </w:tcBorders>
            <w:vMerge w:val="restart"/>
          </w:tcPr>
          <w:p>
            <w:pPr>
              <w:ind w:left="60"/>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Chief Operations Officer</w:t>
            </w:r>
          </w:p>
        </w:tc>
        <w:tc>
          <w:tcPr>
            <w:tcW w:w="1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 2022</w:t>
            </w: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color w:val="auto"/>
              </w:rPr>
              <w:t>​ ​456,042 ​ ​</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902,334</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182,417</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12,200</w:t>
            </w:r>
          </w:p>
        </w:tc>
        <w:tc>
          <w:tcPr>
            <w:tcW w:w="960" w:type="dxa"/>
            <w:vAlign w:val="bottom"/>
            <w:tcBorders>
              <w:right w:val="single" w:sz="8" w:color="auto"/>
            </w:tcBorders>
            <w:gridSpan w:val="3"/>
            <w:vMerge w:val="restart"/>
          </w:tcPr>
          <w:p>
            <w:pPr>
              <w:jc w:val="right"/>
              <w:spacing w:after="0"/>
              <w:rPr>
                <w:sz w:val="20"/>
                <w:szCs w:val="20"/>
                <w:color w:val="auto"/>
              </w:rPr>
            </w:pPr>
            <w:r>
              <w:rPr>
                <w:rFonts w:ascii="Arial" w:cs="Arial" w:eastAsia="Arial" w:hAnsi="Arial"/>
                <w:sz w:val="14"/>
                <w:szCs w:val="14"/>
                <w:color w:val="auto"/>
              </w:rPr>
              <w:t>​ ​1,552,993 ​</w:t>
            </w:r>
          </w:p>
        </w:tc>
        <w:tc>
          <w:tcPr>
            <w:tcW w:w="0" w:type="dxa"/>
            <w:vAlign w:val="bottom"/>
          </w:tcPr>
          <w:p>
            <w:pPr>
              <w:spacing w:after="0"/>
              <w:rPr>
                <w:sz w:val="1"/>
                <w:szCs w:val="1"/>
                <w:color w:val="auto"/>
              </w:rPr>
            </w:pPr>
          </w:p>
        </w:tc>
      </w:tr>
      <w:tr>
        <w:trPr>
          <w:trHeight w:val="46"/>
        </w:trPr>
        <w:tc>
          <w:tcPr>
            <w:tcW w:w="1820" w:type="dxa"/>
            <w:vAlign w:val="bottom"/>
            <w:tcBorders>
              <w:lef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60" w:type="dxa"/>
            <w:vAlign w:val="bottom"/>
            <w:tcBorders>
              <w:right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82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1240" w:right="39" w:hanging="370"/>
        <w:spacing w:after="0" w:line="248"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shown in this column do not reflect dollar amounts actually received by our NEOs. Instead, these amounts reflect the aggregate grant date fair value of each stock option, determined in accordance with the provisions of FASB ASC Topic 718. The assumptions made in the calculation of these amounts are included in Note 2 of the Notes to the Consolidated Financial Statements included in our 2023 Annual Report.</w:t>
      </w:r>
    </w:p>
    <w:p>
      <w:pPr>
        <w:spacing w:after="0" w:line="36" w:lineRule="exact"/>
        <w:rPr>
          <w:rFonts w:ascii="Arial" w:cs="Arial" w:eastAsia="Arial" w:hAnsi="Arial"/>
          <w:sz w:val="16"/>
          <w:szCs w:val="16"/>
          <w:color w:val="auto"/>
        </w:rPr>
      </w:pPr>
    </w:p>
    <w:p>
      <w:pPr>
        <w:jc w:val="both"/>
        <w:ind w:left="1240" w:right="39" w:hanging="370"/>
        <w:spacing w:after="0" w:line="257"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shown for 2023 are cash incentive payments earned in respect of 2023 performance and paid in the first quarter of 2024. Amounts shown for 2022 are cash incentive payments earned in respect of 2022 performance and paid in the first quarter of 2023.</w:t>
      </w:r>
    </w:p>
    <w:p>
      <w:pPr>
        <w:spacing w:after="0" w:line="29" w:lineRule="exact"/>
        <w:rPr>
          <w:rFonts w:ascii="Arial" w:cs="Arial" w:eastAsia="Arial" w:hAnsi="Arial"/>
          <w:sz w:val="16"/>
          <w:szCs w:val="16"/>
          <w:color w:val="auto"/>
        </w:rPr>
      </w:pPr>
    </w:p>
    <w:p>
      <w:pPr>
        <w:ind w:left="1240" w:hanging="370"/>
        <w:spacing w:after="0"/>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Unless otherwise noted, amounts represent 401(k) matching contributions.</w:t>
      </w:r>
    </w:p>
    <w:p>
      <w:pPr>
        <w:spacing w:after="0" w:line="86" w:lineRule="exact"/>
        <w:rPr>
          <w:rFonts w:ascii="Arial" w:cs="Arial" w:eastAsia="Arial" w:hAnsi="Arial"/>
          <w:sz w:val="16"/>
          <w:szCs w:val="16"/>
          <w:color w:val="auto"/>
        </w:rPr>
      </w:pPr>
    </w:p>
    <w:p>
      <w:pPr>
        <w:ind w:left="1240" w:hanging="370"/>
        <w:spacing w:after="0"/>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Dr. Pfeiffenberger was appointed President and Chief Executive Officer in December 2023.</w:t>
      </w:r>
    </w:p>
    <w:p>
      <w:pPr>
        <w:spacing w:after="0" w:line="72" w:lineRule="exact"/>
        <w:rPr>
          <w:rFonts w:ascii="Arial" w:cs="Arial" w:eastAsia="Arial" w:hAnsi="Arial"/>
          <w:sz w:val="16"/>
          <w:szCs w:val="16"/>
          <w:color w:val="auto"/>
        </w:rPr>
      </w:pPr>
    </w:p>
    <w:p>
      <w:pPr>
        <w:ind w:left="1240" w:right="39" w:hanging="370"/>
        <w:spacing w:after="0" w:line="286"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 signing bonus Dr. Pfeiffenberger received in connection with the commencement of his employment with us.</w:t>
      </w:r>
    </w:p>
    <w:p>
      <w:pPr>
        <w:spacing w:after="0" w:line="7" w:lineRule="exact"/>
        <w:rPr>
          <w:rFonts w:ascii="Arial" w:cs="Arial" w:eastAsia="Arial" w:hAnsi="Arial"/>
          <w:sz w:val="16"/>
          <w:szCs w:val="16"/>
          <w:color w:val="auto"/>
        </w:rPr>
      </w:pPr>
    </w:p>
    <w:p>
      <w:pPr>
        <w:ind w:left="1240" w:hanging="370"/>
        <w:spacing w:after="0"/>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Dr. Russotti served as interim President and Chief Executive Officer from April 2023 until December 2023.</w:t>
      </w:r>
    </w:p>
    <w:p>
      <w:pPr>
        <w:spacing w:after="0" w:line="72" w:lineRule="exact"/>
        <w:rPr>
          <w:rFonts w:ascii="Arial" w:cs="Arial" w:eastAsia="Arial" w:hAnsi="Arial"/>
          <w:sz w:val="16"/>
          <w:szCs w:val="16"/>
          <w:color w:val="auto"/>
        </w:rPr>
      </w:pPr>
    </w:p>
    <w:p>
      <w:pPr>
        <w:ind w:left="1240" w:hanging="370"/>
        <w:spacing w:after="0"/>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Dr. Flores served as President and Chief Executive Officer until April 2023.</w:t>
      </w:r>
    </w:p>
    <w:p>
      <w:pPr>
        <w:spacing w:after="0" w:line="86" w:lineRule="exact"/>
        <w:rPr>
          <w:rFonts w:ascii="Arial" w:cs="Arial" w:eastAsia="Arial" w:hAnsi="Arial"/>
          <w:sz w:val="16"/>
          <w:szCs w:val="16"/>
          <w:color w:val="auto"/>
        </w:rPr>
      </w:pPr>
    </w:p>
    <w:p>
      <w:pPr>
        <w:jc w:val="both"/>
        <w:ind w:left="1240" w:right="19" w:hanging="370"/>
        <w:spacing w:after="0" w:line="257"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 includes $124,676, which represents the incremental fair value recognized upon the amendment of Dr. Flores’ outstanding stock options to extend the exercise period, as described in further detail below under “Employment Agreements — Osvaldo Flores, Ph.D.”</w:t>
      </w:r>
    </w:p>
    <w:p>
      <w:pPr>
        <w:spacing w:after="0" w:line="29" w:lineRule="exact"/>
        <w:rPr>
          <w:rFonts w:ascii="Arial" w:cs="Arial" w:eastAsia="Arial" w:hAnsi="Arial"/>
          <w:sz w:val="16"/>
          <w:szCs w:val="16"/>
          <w:color w:val="auto"/>
        </w:rPr>
      </w:pPr>
    </w:p>
    <w:p>
      <w:pPr>
        <w:ind w:left="1240" w:hanging="370"/>
        <w:spacing w:after="0"/>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Dr. Diem served as Chief Financial Officer until February 2024.</w:t>
      </w:r>
    </w:p>
    <w:p>
      <w:pPr>
        <w:spacing w:after="0" w:line="72" w:lineRule="exact"/>
        <w:rPr>
          <w:rFonts w:ascii="Arial" w:cs="Arial" w:eastAsia="Arial" w:hAnsi="Arial"/>
          <w:sz w:val="16"/>
          <w:szCs w:val="16"/>
          <w:color w:val="auto"/>
        </w:rPr>
      </w:pPr>
    </w:p>
    <w:p>
      <w:pPr>
        <w:ind w:left="1240" w:right="19" w:hanging="370"/>
        <w:spacing w:after="0" w:line="286"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 reported represents severance paid or accrued in 2023 in connection with Dr. Flores departure, as described in further detail below under “Employment Agreements — Osvaldo Flores, Ph.D.”</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56"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The compensation of our NEOs generally consists of base salary, annual cash incentive opportunities, long term incentive compensation in the form of equity awards, and other benefits, as described below.</w:t>
      </w:r>
    </w:p>
    <w:p>
      <w:pPr>
        <w:spacing w:after="0" w:line="27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Base salary</w:t>
      </w:r>
    </w:p>
    <w:p>
      <w:pPr>
        <w:spacing w:after="0" w:line="142"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The base salary payable to each NEO is intended to provide a fixed component of compensation reflecting the executive’s skill set, experience, role, responsibilities, and contributions. Each NEO’s initial base salary was specified in his or her employment agreement, as described below, and is reviewed (and, if applicable, adjusted) from time to time by our Board or Compensation Committee, as applicable. In 2023, the annual base salary rates for our NEOs were $625,000 for Dr. Pfeiffenberger (pro-rated), $474,800 for Dr. Russotti, which was subsequently increased to $614,092.50 upon his appointment to interim Chief Executive Officer for the period he served as interim Chief Executive Officer (for more information, see below for the description of the Russotti Side Letter, as defined below), $614,092.50 for Dr. Flores, $482,700 for Dr. Diem, which was subsequently increased to $500,000 upon his transition from Chief Business Officer to Chief Financial Officer in May 2023, and $496,500 for Dr. Farid.</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Annual Incentive Opportunities</w:t>
      </w:r>
    </w:p>
    <w:p>
      <w:pPr>
        <w:spacing w:after="0" w:line="142" w:lineRule="exact"/>
        <w:rPr>
          <w:sz w:val="20"/>
          <w:szCs w:val="20"/>
          <w:color w:val="auto"/>
        </w:rPr>
      </w:pPr>
    </w:p>
    <w:p>
      <w:pPr>
        <w:jc w:val="both"/>
        <w:ind w:left="880" w:right="19"/>
        <w:spacing w:after="0" w:line="248" w:lineRule="auto"/>
        <w:rPr>
          <w:sz w:val="20"/>
          <w:szCs w:val="20"/>
          <w:color w:val="auto"/>
        </w:rPr>
      </w:pPr>
      <w:r>
        <w:rPr>
          <w:rFonts w:ascii="Arial" w:cs="Arial" w:eastAsia="Arial" w:hAnsi="Arial"/>
          <w:sz w:val="18"/>
          <w:szCs w:val="18"/>
          <w:color w:val="auto"/>
        </w:rPr>
        <w:t>Each of our NEOs’ annual non-equity incentive opportunity is expressed as a percentage of base salary that can be earned based on the achievement of predetermined corporate and individual performance objectives. The 2023 annual bonus opportunities for Dr. Pfeiffenberger and Dr. Farid were targeted at 55% and 40% of their respective base salaries. Dr. Russotti’s annual bonus opportunity was increased from 40% to 45% in connection with his appointment to interim Chief Executive Officer (for more information, see below for the description of the Russotti Side Letter, as defined below).</w:t>
      </w:r>
    </w:p>
    <w:p>
      <w:pPr>
        <w:spacing w:after="0" w:line="107"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For 2023, all NEOs were eligible to earn their annual cash incentives pursuant to the achievement of corporate and/or individual performance goals approved by our Board. These goals primarily related to pipeline and platform development, financing, operations, business development, intellectual property and increasing external visibility. The Board determined that the 2023 corporate goals were achieved at 85%. Following a review of 2023 performance, our Compensation Committee approved, and, in the case of Dr. Pfeiffenberger, our Compensation Committee recommended and our Board approved, 2023 annual cash incentive payouts to each of Dr. Pfeiffenberger, Dr. Russotti, and Dr. Farid equal to $24,348.96, $275,000 and $166,724, respectively, in each case representing 85% of the target cash incentive for each such NEO. Pursuant to their respective severance agreements described below, Dr. Flores and Dr. Diem were not eligible to receive annual cash incentive payouts for 2023.</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Long Term Equity Incentives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Annual Equity Grants</w:t>
      </w:r>
    </w:p>
    <w:p>
      <w:pPr>
        <w:spacing w:after="0" w:line="156"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color w:val="auto"/>
        </w:rPr>
        <w:t>Our equity-based incentive awards are designed to align the interests of our stockholders with those of our NEOs. Our Board or Compensation Committee, as applicable, approves equity grants to NEOs under our 2021 Plan. In 2023, our Compensation Committee recommended and our Board approved, an equity grant to Dr. Flores consisting of an option to purchase 1,275,000 shares of common stock. In 2023, our Compensation Committee approved equity grants to our non-Chief Executive Officer NEOs in the form of 100% options, or a split between 75% options and 25% restricted stock units, at the option of the grantee. We made equity grants to</w:t>
      </w:r>
    </w:p>
    <w:p>
      <w:pPr>
        <w:spacing w:after="0" w:line="3" w:lineRule="exact"/>
        <w:rPr>
          <w:sz w:val="20"/>
          <w:szCs w:val="20"/>
          <w:color w:val="auto"/>
        </w:rPr>
      </w:pPr>
    </w:p>
    <w:p>
      <w:pPr>
        <w:ind w:left="880" w:right="39" w:hanging="10"/>
        <w:spacing w:after="0" w:line="250" w:lineRule="auto"/>
        <w:tabs>
          <w:tab w:leader="none" w:pos="10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Dr. Diem and Dr. Farid, consisting of (a) options to purchase 131,250 shares of common stock and (b), and (ii) to Dr. Russotti consisting of an option to purchase 175,000 shares of common stock.</w:t>
      </w:r>
    </w:p>
    <w:p>
      <w:pPr>
        <w:spacing w:after="0" w:line="104" w:lineRule="exact"/>
        <w:rPr>
          <w:sz w:val="20"/>
          <w:szCs w:val="20"/>
          <w:color w:val="auto"/>
        </w:rPr>
      </w:pPr>
    </w:p>
    <w:p>
      <w:pPr>
        <w:jc w:val="both"/>
        <w:ind w:left="880" w:right="39"/>
        <w:spacing w:after="0" w:line="252" w:lineRule="auto"/>
        <w:rPr>
          <w:sz w:val="20"/>
          <w:szCs w:val="20"/>
          <w:color w:val="auto"/>
        </w:rPr>
      </w:pPr>
      <w:r>
        <w:rPr>
          <w:rFonts w:ascii="Arial" w:cs="Arial" w:eastAsia="Arial" w:hAnsi="Arial"/>
          <w:sz w:val="18"/>
          <w:szCs w:val="18"/>
          <w:color w:val="auto"/>
        </w:rPr>
        <w:t>Stock option awards to our NEOs generally vest 25% on the first anniversary of the grant date, with the remaining 75% vesting in equal monthly installments on the last day of each of the 36 calendar months immediately following the first anniversary of the grant date, subject generally to the NEO’s continuous service through the relevant vesting dates.</w:t>
      </w:r>
    </w:p>
    <w:p>
      <w:pPr>
        <w:spacing w:after="0" w:line="103" w:lineRule="exact"/>
        <w:rPr>
          <w:sz w:val="20"/>
          <w:szCs w:val="20"/>
          <w:color w:val="auto"/>
        </w:rPr>
      </w:pPr>
    </w:p>
    <w:p>
      <w:pPr>
        <w:jc w:val="both"/>
        <w:ind w:left="880" w:right="19"/>
        <w:spacing w:after="0" w:line="261" w:lineRule="auto"/>
        <w:rPr>
          <w:sz w:val="20"/>
          <w:szCs w:val="20"/>
          <w:color w:val="auto"/>
        </w:rPr>
      </w:pPr>
      <w:r>
        <w:rPr>
          <w:rFonts w:ascii="Arial" w:cs="Arial" w:eastAsia="Arial" w:hAnsi="Arial"/>
          <w:sz w:val="18"/>
          <w:szCs w:val="18"/>
          <w:color w:val="auto"/>
        </w:rPr>
        <w:t>Restricted stock unit awards to our NEOs generally vest 25% on the first anniversary of the date of grant for each employee, with the remaining with the remaining 75% vesting on a quarterly basis for the three years thereafter, subject to the NEO’s continued employment with the Company.</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2023 Retention Equity Grants</w:t>
      </w:r>
    </w:p>
    <w:p>
      <w:pPr>
        <w:spacing w:after="0" w:line="156" w:lineRule="exact"/>
        <w:rPr>
          <w:sz w:val="20"/>
          <w:szCs w:val="20"/>
          <w:color w:val="auto"/>
        </w:rPr>
      </w:pPr>
    </w:p>
    <w:p>
      <w:pPr>
        <w:jc w:val="both"/>
        <w:ind w:left="880" w:right="19"/>
        <w:spacing w:after="0" w:line="271" w:lineRule="auto"/>
        <w:rPr>
          <w:sz w:val="20"/>
          <w:szCs w:val="20"/>
          <w:color w:val="auto"/>
        </w:rPr>
      </w:pPr>
      <w:r>
        <w:rPr>
          <w:rFonts w:ascii="Arial" w:cs="Arial" w:eastAsia="Arial" w:hAnsi="Arial"/>
          <w:sz w:val="18"/>
          <w:szCs w:val="18"/>
          <w:color w:val="auto"/>
        </w:rPr>
        <w:t>In January 2023, our Compensation Committee approved special retention grants to our non-Chief Executive Officer NEOs and certain other employees of the Company following a company-wide reduction in force. Our</w:t>
      </w:r>
    </w:p>
    <w:p>
      <w:pPr>
        <w:spacing w:after="0" w:line="27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54" w:lineRule="auto"/>
        <w:rPr>
          <w:sz w:val="20"/>
          <w:szCs w:val="20"/>
          <w:color w:val="auto"/>
        </w:rPr>
      </w:pPr>
      <w:r>
        <w:rPr>
          <w:rFonts w:ascii="Arial" w:cs="Arial" w:eastAsia="Arial" w:hAnsi="Arial"/>
          <w:sz w:val="18"/>
          <w:szCs w:val="18"/>
          <w:color w:val="auto"/>
        </w:rPr>
        <w:t>Compensation Committee approved such retention grants in the form of 100% options, or a split between 75% options and 25% restricted stock units, at the option of the grantee. Each of (i) Dr. Diem and Dr. Farid were granted (a) options to purchase 131,250 shares of common stock, or the Retention Options, and (b) 21,875 restricted stock units, or the Retention RSUs, and (ii) Dr. Russotti was granted 175,000 Retention Options. The Retention Options vest 25% on the first anniversary of the grant date, with the remaining 75% vesting in equal monthly installments on the last day of each of the 36 calendar months immediately following the first anniversary of the grant date, subject generally to the NEO’s continuous service through the relevant vesting dates. The Retention RSUs vest 25% on the first anniversary of the date of grant for each employee, with the remaining with the remaining 75% vesting on a quarterly basis for the three years thereafter, subject to the NEO’s continued employment with the Company.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Interim Chief Executive Officer and Chief Financial Officer Promotion Equity Awards</w:t>
      </w:r>
    </w:p>
    <w:p>
      <w:pPr>
        <w:spacing w:after="0" w:line="142"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In April 2023, Dr. Russotti was promoted to interim Chief Executive Officer and Dr. Diem was promoted to Chief Financial Officer.</w:t>
      </w:r>
    </w:p>
    <w:p>
      <w:pPr>
        <w:spacing w:after="0" w:line="85"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On April 11, 2023, in recognition of Dr. Russotti’s promotion to interim Chief Executive Officer, the Board granted Dr. Russotti a one-time stock option grant to purchase 318,750 shares of common stock, which will vest 25% on the one-year anniversary of the grant date, with the remaining 75% vesting in 36 equal monthly installments, in each case subject to Dr. Russotti’s continued employment with the Company.</w:t>
      </w:r>
    </w:p>
    <w:p>
      <w:pPr>
        <w:spacing w:after="0" w:line="109"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On May 1, 2023, in recognition of Dr. Diem’s promotion to Chief Financial Officer, the Board approved a grant of restricted stock units to Dr. Diem, covering 151,058 shares of common stock. The RSUs vest 50% on November 1, 2023, with the remaining 50% vesting upon the earlier of: (i) November 1, 2024; and (ii) satisfaction of certain performance criteria, in each case subject to Dr. Diem’s continued employment with the Company. Because Dr. Diem’s employment terminated in February 2024, the remaining 50% of the RSUs were canceled and will not vest.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Pfeiffenberger Sign-On Equity Awards</w:t>
      </w:r>
    </w:p>
    <w:p>
      <w:pPr>
        <w:spacing w:after="0" w:line="142" w:lineRule="exact"/>
        <w:rPr>
          <w:sz w:val="20"/>
          <w:szCs w:val="20"/>
          <w:color w:val="auto"/>
        </w:rPr>
      </w:pPr>
    </w:p>
    <w:p>
      <w:pPr>
        <w:jc w:val="both"/>
        <w:ind w:left="880" w:right="19"/>
        <w:spacing w:after="0" w:line="254" w:lineRule="auto"/>
        <w:rPr>
          <w:sz w:val="20"/>
          <w:szCs w:val="20"/>
          <w:color w:val="auto"/>
        </w:rPr>
      </w:pPr>
      <w:r>
        <w:rPr>
          <w:rFonts w:ascii="Arial" w:cs="Arial" w:eastAsia="Arial" w:hAnsi="Arial"/>
          <w:sz w:val="18"/>
          <w:szCs w:val="18"/>
          <w:color w:val="auto"/>
        </w:rPr>
        <w:t>In connection with Dr. Pfeiffenberger’s appointment to President and Chief Executive Officer, we granted Dr. Pfeiffenberger an equity award consisting of (i) an option to purchase 573,691 shares of common stock, or the Pfeiffenberger Option (ii) restricted stock units covering 1,173,775 shares of common stock, or the Initial RSU Award, and (iii) restricted stock units covering 279,504 shares of common stock, or the Second RSU Award. The Pfeiffenberger Option will vest 25% on December 4, 2024, or the Initial Vesting Date, with the remaining 75% vesting in 36 equal monthly installments thereafter, subject to Dr. Pfeiffenberger’s continued employment with the Company. The Initial RSU Award will vest 25% on the Initial Vesting Date, and the remaining 75% in one-twelfth increments on each of the first trading days on or after each of February 15, May 15, August 15, and November 15, until the First RSU is fully vested, subject to Dr. Pfeiffenberger’s continued employment with the Company. The Second RSU Award shall vest 100% on the Initial Vesting Date, subject to Dr. Pfeiffenberger’s continued employment with the Company.</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Other Benefits</w:t>
      </w:r>
    </w:p>
    <w:p>
      <w:pPr>
        <w:spacing w:after="0" w:line="156"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Our NEOs are eligible for the same welfare benefits that are generally available to all of our salaried employees, including health, dental, life, vision, and disability insurance.</w:t>
      </w:r>
    </w:p>
    <w:p>
      <w:pPr>
        <w:spacing w:after="0" w:line="85"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In addition, we maintain, and the NEOs are eligible to participate in, a 401(k) plan that provides eligible employees with an opportunity to save for retirement on a tax-advantaged basis and under which we make safe harbor matching employer contributions. We match 100% of each participating employee’s contributions (up to the first 3% of eligible compensation) and 50% of the participating employee’s contributions (for the next 2% of eligible compensation), and participants are always fully vested in these employer matching contributions. For 2023, the Internal Revenue Service, or IRS, limit on eligible compensation for this purpose was $330,000. Employees’ pre-tax contributions are allocated to each participant’s individual account and are then invested in selected investment alternatives according to the participant’s directions. The 401(k) plan is intended to be qualified under Section 401(a) of the Internal Revenue Code.</w:t>
      </w:r>
    </w:p>
    <w:p>
      <w:pPr>
        <w:spacing w:after="0" w:line="289"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PLEDGING AND HEDGING POLICIES</w:t>
      </w:r>
    </w:p>
    <w:p>
      <w:pPr>
        <w:spacing w:after="0" w:line="144" w:lineRule="exact"/>
        <w:rPr>
          <w:sz w:val="20"/>
          <w:szCs w:val="20"/>
          <w:color w:val="auto"/>
        </w:rPr>
      </w:pPr>
    </w:p>
    <w:p>
      <w:pPr>
        <w:jc w:val="both"/>
        <w:ind w:left="880" w:right="39"/>
        <w:spacing w:after="0" w:line="271" w:lineRule="auto"/>
        <w:rPr>
          <w:sz w:val="20"/>
          <w:szCs w:val="20"/>
          <w:color w:val="auto"/>
        </w:rPr>
      </w:pPr>
      <w:r>
        <w:rPr>
          <w:rFonts w:ascii="Arial" w:cs="Arial" w:eastAsia="Arial" w:hAnsi="Arial"/>
          <w:sz w:val="17"/>
          <w:szCs w:val="17"/>
          <w:color w:val="auto"/>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RECOVERY POLICY</w:t>
      </w:r>
    </w:p>
    <w:p>
      <w:pPr>
        <w:spacing w:after="0" w:line="144"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Our Board has adopted a compensation recoupment or “clawback” policy, applicable to all officers subject to Section 16 of the Exchange Act. Under this policy, we will pursue recoupment of any excess compensation, which was awarded to a covered officer based on financial statements of the Company where such statements are required to be restated. In addition to recoupment of any excess compensation, we will seek to recoup up to 100% of all incentive-based compensation in the case of (i) willful, knowing or intentional misconduct or a willful, knowing or intentional violation of any of the our rules or applicable legal or regulatory requirements or (ii) fraud in the course of a covered employee’s employment. The recovery period for recoupment of any compensation is up to three fiscal years preceding the date on which we determine we are required to prepare and file the restated financial statements. This policy has been adopted to comply with the final guidance under Section 954 of the Dodd-Frank Wall Street Reform and Consumer Protection Act of 2010, or the Dodd-Frank Act.</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4"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The following table sets forth information regarding the number of shares of common stock underlying outstanding plan awards held by each of our NEOs as of December 31, 2023:</w:t>
      </w:r>
    </w:p>
    <w:p>
      <w:pPr>
        <w:spacing w:after="0" w:line="98" w:lineRule="exact"/>
        <w:rPr>
          <w:sz w:val="20"/>
          <w:szCs w:val="20"/>
          <w:color w:val="auto"/>
        </w:rPr>
      </w:pPr>
    </w:p>
    <w:tbl>
      <w:tblPr>
        <w:tblLayout w:type="fixed"/>
        <w:tblInd w:w="870" w:type="dxa"/>
        <w:tblCellMar>
          <w:top w:w="0" w:type="dxa"/>
          <w:left w:w="0" w:type="dxa"/>
          <w:bottom w:w="0" w:type="dxa"/>
          <w:right w:w="0" w:type="dxa"/>
        </w:tblCellMar>
      </w:tblPr>
      <w:tr>
        <w:trPr>
          <w:trHeight w:val="289"/>
        </w:trPr>
        <w:tc>
          <w:tcPr>
            <w:tcW w:w="1660" w:type="dxa"/>
            <w:vAlign w:val="bottom"/>
            <w:tcBorders>
              <w:top w:val="single" w:sz="8" w:color="auto"/>
              <w:left w:val="single" w:sz="8" w:color="auto"/>
              <w:bottom w:val="single" w:sz="8" w:color="148CD9"/>
            </w:tcBorders>
            <w:shd w:val="clear" w:color="auto" w:fill="148CD9"/>
          </w:tcPr>
          <w:p>
            <w:pPr>
              <w:spacing w:after="0"/>
              <w:rPr>
                <w:sz w:val="24"/>
                <w:szCs w:val="24"/>
                <w:color w:val="auto"/>
              </w:rPr>
            </w:pPr>
          </w:p>
        </w:tc>
        <w:tc>
          <w:tcPr>
            <w:tcW w:w="140" w:type="dxa"/>
            <w:vAlign w:val="bottom"/>
            <w:tcBorders>
              <w:top w:val="single" w:sz="8" w:color="auto"/>
              <w:bottom w:val="single" w:sz="8" w:color="148CD9"/>
            </w:tcBorders>
            <w:shd w:val="clear" w:color="auto" w:fill="148CD9"/>
          </w:tcPr>
          <w:p>
            <w:pPr>
              <w:spacing w:after="0"/>
              <w:rPr>
                <w:sz w:val="24"/>
                <w:szCs w:val="24"/>
                <w:color w:val="auto"/>
              </w:rPr>
            </w:pPr>
          </w:p>
        </w:tc>
        <w:tc>
          <w:tcPr>
            <w:tcW w:w="500" w:type="dxa"/>
            <w:vAlign w:val="bottom"/>
            <w:tcBorders>
              <w:top w:val="single" w:sz="8" w:color="auto"/>
              <w:bottom w:val="single" w:sz="8" w:color="148CD9"/>
            </w:tcBorders>
            <w:shd w:val="clear" w:color="auto" w:fill="148CD9"/>
          </w:tcPr>
          <w:p>
            <w:pPr>
              <w:spacing w:after="0"/>
              <w:rPr>
                <w:sz w:val="24"/>
                <w:szCs w:val="24"/>
                <w:color w:val="auto"/>
              </w:rPr>
            </w:pPr>
          </w:p>
        </w:tc>
        <w:tc>
          <w:tcPr>
            <w:tcW w:w="480" w:type="dxa"/>
            <w:vAlign w:val="bottom"/>
            <w:tcBorders>
              <w:top w:val="single" w:sz="8" w:color="auto"/>
              <w:bottom w:val="single" w:sz="8" w:color="148CD9"/>
            </w:tcBorders>
            <w:shd w:val="clear" w:color="auto" w:fill="148CD9"/>
          </w:tcPr>
          <w:p>
            <w:pPr>
              <w:spacing w:after="0"/>
              <w:rPr>
                <w:sz w:val="24"/>
                <w:szCs w:val="24"/>
                <w:color w:val="auto"/>
              </w:rPr>
            </w:pPr>
          </w:p>
        </w:tc>
        <w:tc>
          <w:tcPr>
            <w:tcW w:w="60" w:type="dxa"/>
            <w:vAlign w:val="bottom"/>
            <w:tcBorders>
              <w:top w:val="single" w:sz="8" w:color="auto"/>
              <w:bottom w:val="single" w:sz="8" w:color="148CD9"/>
            </w:tcBorders>
            <w:shd w:val="clear" w:color="auto" w:fill="148CD9"/>
          </w:tcPr>
          <w:p>
            <w:pPr>
              <w:ind w:left="40"/>
              <w:spacing w:after="0"/>
              <w:rPr>
                <w:sz w:val="20"/>
                <w:szCs w:val="20"/>
                <w:color w:val="auto"/>
              </w:rPr>
            </w:pPr>
            <w:r>
              <w:rPr>
                <w:rFonts w:ascii="Arial" w:cs="Arial" w:eastAsia="Arial" w:hAnsi="Arial"/>
                <w:sz w:val="1"/>
                <w:szCs w:val="1"/>
                <w:b w:val="1"/>
                <w:bCs w:val="1"/>
                <w:color w:val="FFFFFF"/>
                <w:w w:val="4294942296"/>
              </w:rPr>
              <w:t>​</w:t>
            </w:r>
          </w:p>
        </w:tc>
        <w:tc>
          <w:tcPr>
            <w:tcW w:w="20" w:type="dxa"/>
            <w:vAlign w:val="bottom"/>
            <w:tcBorders>
              <w:top w:val="single" w:sz="8" w:color="auto"/>
              <w:bottom w:val="single" w:sz="8" w:color="148CD9"/>
            </w:tcBorders>
            <w:shd w:val="clear" w:color="auto" w:fill="148CD9"/>
          </w:tcPr>
          <w:p>
            <w:pPr>
              <w:spacing w:after="0"/>
              <w:rPr>
                <w:sz w:val="24"/>
                <w:szCs w:val="24"/>
                <w:color w:val="auto"/>
              </w:rPr>
            </w:pPr>
          </w:p>
        </w:tc>
        <w:tc>
          <w:tcPr>
            <w:tcW w:w="920" w:type="dxa"/>
            <w:vAlign w:val="bottom"/>
            <w:tcBorders>
              <w:top w:val="single" w:sz="8" w:color="auto"/>
              <w:bottom w:val="single" w:sz="8" w:color="148CD9"/>
            </w:tcBorders>
            <w:shd w:val="clear" w:color="auto" w:fill="148CD9"/>
          </w:tcPr>
          <w:p>
            <w:pPr>
              <w:spacing w:after="0"/>
              <w:rPr>
                <w:sz w:val="24"/>
                <w:szCs w:val="24"/>
                <w:color w:val="auto"/>
              </w:rPr>
            </w:pPr>
          </w:p>
        </w:tc>
        <w:tc>
          <w:tcPr>
            <w:tcW w:w="140" w:type="dxa"/>
            <w:vAlign w:val="bottom"/>
            <w:tcBorders>
              <w:top w:val="single" w:sz="8" w:color="auto"/>
              <w:bottom w:val="single" w:sz="8" w:color="148CD9"/>
            </w:tcBorders>
            <w:shd w:val="clear" w:color="auto" w:fill="148CD9"/>
          </w:tcPr>
          <w:p>
            <w:pPr>
              <w:spacing w:after="0"/>
              <w:rPr>
                <w:sz w:val="24"/>
                <w:szCs w:val="24"/>
                <w:color w:val="auto"/>
              </w:rPr>
            </w:pPr>
          </w:p>
        </w:tc>
        <w:tc>
          <w:tcPr>
            <w:tcW w:w="1860" w:type="dxa"/>
            <w:vAlign w:val="bottom"/>
            <w:tcBorders>
              <w:top w:val="single" w:sz="8" w:color="auto"/>
              <w:bottom w:val="single" w:sz="8" w:color="148CD9"/>
            </w:tcBorders>
            <w:gridSpan w:val="3"/>
            <w:shd w:val="clear" w:color="auto" w:fill="148CD9"/>
          </w:tcPr>
          <w:p>
            <w:pPr>
              <w:ind w:left="320"/>
              <w:spacing w:after="0"/>
              <w:rPr>
                <w:sz w:val="20"/>
                <w:szCs w:val="20"/>
                <w:color w:val="auto"/>
              </w:rPr>
            </w:pPr>
            <w:r>
              <w:rPr>
                <w:rFonts w:ascii="Arial" w:cs="Arial" w:eastAsia="Arial" w:hAnsi="Arial"/>
                <w:sz w:val="13"/>
                <w:szCs w:val="13"/>
                <w:b w:val="1"/>
                <w:bCs w:val="1"/>
                <w:color w:val="FFFFFF"/>
              </w:rPr>
              <w:t>OPTION AWARDS</w:t>
            </w:r>
          </w:p>
        </w:tc>
        <w:tc>
          <w:tcPr>
            <w:tcW w:w="180" w:type="dxa"/>
            <w:vAlign w:val="bottom"/>
            <w:tcBorders>
              <w:top w:val="single" w:sz="8" w:color="auto"/>
              <w:bottom w:val="single" w:sz="8" w:color="148CD9"/>
            </w:tcBorders>
            <w:shd w:val="clear" w:color="auto" w:fill="148CD9"/>
          </w:tcPr>
          <w:p>
            <w:pPr>
              <w:spacing w:after="0"/>
              <w:rPr>
                <w:sz w:val="24"/>
                <w:szCs w:val="24"/>
                <w:color w:val="auto"/>
              </w:rPr>
            </w:pPr>
          </w:p>
        </w:tc>
        <w:tc>
          <w:tcPr>
            <w:tcW w:w="740" w:type="dxa"/>
            <w:vAlign w:val="bottom"/>
            <w:tcBorders>
              <w:top w:val="single" w:sz="8" w:color="auto"/>
              <w:bottom w:val="single" w:sz="8" w:color="148CD9"/>
            </w:tcBorders>
            <w:shd w:val="clear" w:color="auto" w:fill="148CD9"/>
          </w:tcPr>
          <w:p>
            <w:pPr>
              <w:spacing w:after="0"/>
              <w:rPr>
                <w:sz w:val="24"/>
                <w:szCs w:val="24"/>
                <w:color w:val="auto"/>
              </w:rPr>
            </w:pPr>
          </w:p>
        </w:tc>
        <w:tc>
          <w:tcPr>
            <w:tcW w:w="140" w:type="dxa"/>
            <w:vAlign w:val="bottom"/>
            <w:tcBorders>
              <w:top w:val="single" w:sz="8" w:color="auto"/>
              <w:bottom w:val="single" w:sz="8" w:color="148CD9"/>
            </w:tcBorders>
            <w:shd w:val="clear" w:color="auto" w:fill="148CD9"/>
          </w:tcPr>
          <w:p>
            <w:pPr>
              <w:ind w:left="20"/>
              <w:spacing w:after="0"/>
              <w:rPr>
                <w:sz w:val="20"/>
                <w:szCs w:val="20"/>
                <w:color w:val="auto"/>
              </w:rPr>
            </w:pPr>
            <w:r>
              <w:rPr>
                <w:rFonts w:ascii="Arial" w:cs="Arial" w:eastAsia="Arial" w:hAnsi="Arial"/>
                <w:sz w:val="13"/>
                <w:szCs w:val="13"/>
                <w:b w:val="1"/>
                <w:bCs w:val="1"/>
                <w:color w:val="FFFFFF"/>
              </w:rPr>
              <w:t>​ ​</w:t>
            </w:r>
          </w:p>
        </w:tc>
        <w:tc>
          <w:tcPr>
            <w:tcW w:w="2040" w:type="dxa"/>
            <w:vAlign w:val="bottom"/>
            <w:tcBorders>
              <w:top w:val="single" w:sz="8" w:color="auto"/>
              <w:bottom w:val="single" w:sz="8" w:color="148CD9"/>
            </w:tcBorders>
            <w:gridSpan w:val="3"/>
            <w:shd w:val="clear" w:color="auto" w:fill="148CD9"/>
          </w:tcPr>
          <w:p>
            <w:pPr>
              <w:ind w:left="500"/>
              <w:spacing w:after="0"/>
              <w:rPr>
                <w:sz w:val="20"/>
                <w:szCs w:val="20"/>
                <w:color w:val="auto"/>
              </w:rPr>
            </w:pPr>
            <w:r>
              <w:rPr>
                <w:rFonts w:ascii="Arial" w:cs="Arial" w:eastAsia="Arial" w:hAnsi="Arial"/>
                <w:sz w:val="13"/>
                <w:szCs w:val="13"/>
                <w:b w:val="1"/>
                <w:bCs w:val="1"/>
                <w:color w:val="FFFFFF"/>
              </w:rPr>
              <w:t>STOCK AWARDS</w:t>
            </w:r>
          </w:p>
        </w:tc>
        <w:tc>
          <w:tcPr>
            <w:tcW w:w="120" w:type="dxa"/>
            <w:vAlign w:val="bottom"/>
            <w:tcBorders>
              <w:top w:val="single" w:sz="8" w:color="auto"/>
              <w:bottom w:val="single" w:sz="8" w:color="148CD9"/>
              <w:right w:val="single" w:sz="8" w:color="auto"/>
            </w:tcBorders>
            <w:shd w:val="clear" w:color="auto" w:fill="148CD9"/>
          </w:tcPr>
          <w:p>
            <w:pPr>
              <w:ind w:left="4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65"/>
        </w:trPr>
        <w:tc>
          <w:tcPr>
            <w:tcW w:w="1660" w:type="dxa"/>
            <w:vAlign w:val="bottom"/>
            <w:tcBorders>
              <w:top w:val="single" w:sz="8" w:color="148CD9"/>
              <w:left w:val="single" w:sz="8" w:color="auto"/>
            </w:tcBorders>
            <w:shd w:val="clear" w:color="auto" w:fill="148CD9"/>
          </w:tcPr>
          <w:p>
            <w:pPr>
              <w:spacing w:after="0"/>
              <w:rPr>
                <w:sz w:val="14"/>
                <w:szCs w:val="14"/>
                <w:color w:val="auto"/>
              </w:rPr>
            </w:pPr>
          </w:p>
        </w:tc>
        <w:tc>
          <w:tcPr>
            <w:tcW w:w="140" w:type="dxa"/>
            <w:vAlign w:val="bottom"/>
            <w:tcBorders>
              <w:top w:val="single" w:sz="8" w:color="148CD9"/>
            </w:tcBorders>
            <w:shd w:val="clear" w:color="auto" w:fill="148CD9"/>
          </w:tcPr>
          <w:p>
            <w:pPr>
              <w:spacing w:after="0"/>
              <w:rPr>
                <w:sz w:val="14"/>
                <w:szCs w:val="14"/>
                <w:color w:val="auto"/>
              </w:rPr>
            </w:pPr>
          </w:p>
        </w:tc>
        <w:tc>
          <w:tcPr>
            <w:tcW w:w="500" w:type="dxa"/>
            <w:vAlign w:val="bottom"/>
            <w:tcBorders>
              <w:top w:val="single" w:sz="8" w:color="148CD9"/>
            </w:tcBorders>
            <w:shd w:val="clear" w:color="auto" w:fill="148CD9"/>
          </w:tcPr>
          <w:p>
            <w:pPr>
              <w:spacing w:after="0"/>
              <w:rPr>
                <w:sz w:val="14"/>
                <w:szCs w:val="14"/>
                <w:color w:val="auto"/>
              </w:rPr>
            </w:pPr>
          </w:p>
        </w:tc>
        <w:tc>
          <w:tcPr>
            <w:tcW w:w="480" w:type="dxa"/>
            <w:vAlign w:val="bottom"/>
            <w:tcBorders>
              <w:top w:val="single" w:sz="8" w:color="148CD9"/>
            </w:tcBorders>
            <w:shd w:val="clear" w:color="auto" w:fill="148CD9"/>
          </w:tcPr>
          <w:p>
            <w:pPr>
              <w:spacing w:after="0"/>
              <w:rPr>
                <w:sz w:val="14"/>
                <w:szCs w:val="14"/>
                <w:color w:val="auto"/>
              </w:rPr>
            </w:pPr>
          </w:p>
        </w:tc>
        <w:tc>
          <w:tcPr>
            <w:tcW w:w="60" w:type="dxa"/>
            <w:vAlign w:val="bottom"/>
            <w:tcBorders>
              <w:top w:val="single" w:sz="8" w:color="auto"/>
            </w:tcBorders>
            <w:shd w:val="clear" w:color="auto" w:fill="148CD9"/>
          </w:tcPr>
          <w:p>
            <w:pPr>
              <w:spacing w:after="0"/>
              <w:rPr>
                <w:sz w:val="14"/>
                <w:szCs w:val="14"/>
                <w:color w:val="auto"/>
              </w:rPr>
            </w:pPr>
          </w:p>
        </w:tc>
        <w:tc>
          <w:tcPr>
            <w:tcW w:w="20" w:type="dxa"/>
            <w:vAlign w:val="bottom"/>
            <w:tcBorders>
              <w:top w:val="single" w:sz="8" w:color="auto"/>
            </w:tcBorders>
            <w:shd w:val="clear" w:color="auto" w:fill="148CD9"/>
          </w:tcPr>
          <w:p>
            <w:pPr>
              <w:spacing w:after="0"/>
              <w:rPr>
                <w:sz w:val="14"/>
                <w:szCs w:val="14"/>
                <w:color w:val="auto"/>
              </w:rPr>
            </w:pPr>
          </w:p>
        </w:tc>
        <w:tc>
          <w:tcPr>
            <w:tcW w:w="920" w:type="dxa"/>
            <w:vAlign w:val="bottom"/>
            <w:tcBorders>
              <w:top w:val="single" w:sz="8" w:color="auto"/>
            </w:tcBorders>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w w:val="93"/>
              </w:rPr>
              <w:t>NUMBER OF</w:t>
            </w:r>
          </w:p>
        </w:tc>
        <w:tc>
          <w:tcPr>
            <w:tcW w:w="140" w:type="dxa"/>
            <w:vAlign w:val="bottom"/>
            <w:tcBorders>
              <w:top w:val="single" w:sz="8" w:color="auto"/>
            </w:tcBorders>
            <w:shd w:val="clear" w:color="auto" w:fill="148CD9"/>
          </w:tcPr>
          <w:p>
            <w:pPr>
              <w:spacing w:after="0"/>
              <w:rPr>
                <w:sz w:val="14"/>
                <w:szCs w:val="14"/>
                <w:color w:val="auto"/>
              </w:rPr>
            </w:pPr>
          </w:p>
        </w:tc>
        <w:tc>
          <w:tcPr>
            <w:tcW w:w="1080" w:type="dxa"/>
            <w:vAlign w:val="bottom"/>
            <w:tcBorders>
              <w:top w:val="single" w:sz="8" w:color="auto"/>
            </w:tcBorders>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w w:val="93"/>
              </w:rPr>
              <w:t>NUMBER OF</w:t>
            </w:r>
          </w:p>
        </w:tc>
        <w:tc>
          <w:tcPr>
            <w:tcW w:w="140" w:type="dxa"/>
            <w:vAlign w:val="bottom"/>
            <w:tcBorders>
              <w:top w:val="single" w:sz="8" w:color="auto"/>
            </w:tcBorders>
            <w:shd w:val="clear" w:color="auto" w:fill="148CD9"/>
          </w:tcPr>
          <w:p>
            <w:pPr>
              <w:spacing w:after="0"/>
              <w:rPr>
                <w:sz w:val="14"/>
                <w:szCs w:val="14"/>
                <w:color w:val="auto"/>
              </w:rPr>
            </w:pPr>
          </w:p>
        </w:tc>
        <w:tc>
          <w:tcPr>
            <w:tcW w:w="640" w:type="dxa"/>
            <w:vAlign w:val="bottom"/>
            <w:tcBorders>
              <w:top w:val="single" w:sz="8" w:color="auto"/>
            </w:tcBorders>
            <w:shd w:val="clear" w:color="auto" w:fill="148CD9"/>
          </w:tcPr>
          <w:p>
            <w:pPr>
              <w:spacing w:after="0"/>
              <w:rPr>
                <w:sz w:val="14"/>
                <w:szCs w:val="14"/>
                <w:color w:val="auto"/>
              </w:rPr>
            </w:pPr>
          </w:p>
        </w:tc>
        <w:tc>
          <w:tcPr>
            <w:tcW w:w="180" w:type="dxa"/>
            <w:vAlign w:val="bottom"/>
            <w:tcBorders>
              <w:top w:val="single" w:sz="8" w:color="auto"/>
            </w:tcBorders>
            <w:shd w:val="clear" w:color="auto" w:fill="148CD9"/>
          </w:tcPr>
          <w:p>
            <w:pPr>
              <w:spacing w:after="0"/>
              <w:rPr>
                <w:sz w:val="14"/>
                <w:szCs w:val="14"/>
                <w:color w:val="auto"/>
              </w:rPr>
            </w:pPr>
          </w:p>
        </w:tc>
        <w:tc>
          <w:tcPr>
            <w:tcW w:w="740" w:type="dxa"/>
            <w:vAlign w:val="bottom"/>
            <w:tcBorders>
              <w:top w:val="single" w:sz="8" w:color="auto"/>
            </w:tcBorders>
            <w:shd w:val="clear" w:color="auto" w:fill="148CD9"/>
          </w:tcPr>
          <w:p>
            <w:pPr>
              <w:spacing w:after="0"/>
              <w:rPr>
                <w:sz w:val="14"/>
                <w:szCs w:val="14"/>
                <w:color w:val="auto"/>
              </w:rPr>
            </w:pPr>
          </w:p>
        </w:tc>
        <w:tc>
          <w:tcPr>
            <w:tcW w:w="140" w:type="dxa"/>
            <w:vAlign w:val="bottom"/>
            <w:tcBorders>
              <w:top w:val="single" w:sz="8" w:color="auto"/>
            </w:tcBorders>
            <w:shd w:val="clear" w:color="auto" w:fill="148CD9"/>
          </w:tcPr>
          <w:p>
            <w:pPr>
              <w:spacing w:after="0"/>
              <w:rPr>
                <w:sz w:val="14"/>
                <w:szCs w:val="14"/>
                <w:color w:val="auto"/>
              </w:rPr>
            </w:pPr>
          </w:p>
        </w:tc>
        <w:tc>
          <w:tcPr>
            <w:tcW w:w="800" w:type="dxa"/>
            <w:vAlign w:val="bottom"/>
            <w:tcBorders>
              <w:top w:val="single" w:sz="8" w:color="auto"/>
            </w:tcBorders>
            <w:shd w:val="clear" w:color="auto" w:fill="148CD9"/>
          </w:tcPr>
          <w:p>
            <w:pPr>
              <w:jc w:val="center"/>
              <w:spacing w:after="0"/>
              <w:rPr>
                <w:sz w:val="20"/>
                <w:szCs w:val="20"/>
                <w:color w:val="auto"/>
              </w:rPr>
            </w:pPr>
            <w:r>
              <w:rPr>
                <w:rFonts w:ascii="Arial" w:cs="Arial" w:eastAsia="Arial" w:hAnsi="Arial"/>
                <w:sz w:val="13"/>
                <w:szCs w:val="13"/>
                <w:b w:val="1"/>
                <w:bCs w:val="1"/>
                <w:color w:val="FFFFFF"/>
                <w:w w:val="96"/>
              </w:rPr>
              <w:t>NUMBER OF</w:t>
            </w:r>
          </w:p>
        </w:tc>
        <w:tc>
          <w:tcPr>
            <w:tcW w:w="160" w:type="dxa"/>
            <w:vAlign w:val="bottom"/>
            <w:tcBorders>
              <w:top w:val="single" w:sz="8" w:color="auto"/>
            </w:tcBorders>
            <w:shd w:val="clear" w:color="auto" w:fill="148CD9"/>
          </w:tcPr>
          <w:p>
            <w:pPr>
              <w:spacing w:after="0"/>
              <w:rPr>
                <w:sz w:val="14"/>
                <w:szCs w:val="14"/>
                <w:color w:val="auto"/>
              </w:rPr>
            </w:pPr>
          </w:p>
        </w:tc>
        <w:tc>
          <w:tcPr>
            <w:tcW w:w="1080" w:type="dxa"/>
            <w:vAlign w:val="bottom"/>
            <w:tcBorders>
              <w:top w:val="single" w:sz="8" w:color="auto"/>
            </w:tcBorders>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w w:val="94"/>
              </w:rPr>
              <w:t>MARKET VALUE</w:t>
            </w:r>
          </w:p>
        </w:tc>
        <w:tc>
          <w:tcPr>
            <w:tcW w:w="120" w:type="dxa"/>
            <w:vAlign w:val="bottom"/>
            <w:tcBorders>
              <w:top w:val="single" w:sz="8" w:color="auto"/>
              <w:right w:val="single" w:sz="8" w:color="auto"/>
            </w:tcBorders>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60" w:type="dxa"/>
            <w:vAlign w:val="bottom"/>
            <w:tcBorders>
              <w:left w:val="single" w:sz="8" w:color="auto"/>
            </w:tcBorders>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500" w:type="dxa"/>
            <w:vAlign w:val="bottom"/>
            <w:shd w:val="clear" w:color="auto" w:fill="148CD9"/>
          </w:tcPr>
          <w:p>
            <w:pPr>
              <w:spacing w:after="0"/>
              <w:rPr>
                <w:sz w:val="5"/>
                <w:szCs w:val="5"/>
                <w:color w:val="auto"/>
              </w:rPr>
            </w:pPr>
          </w:p>
        </w:tc>
        <w:tc>
          <w:tcPr>
            <w:tcW w:w="480" w:type="dxa"/>
            <w:vAlign w:val="bottom"/>
            <w:shd w:val="clear" w:color="auto" w:fill="148CD9"/>
          </w:tcPr>
          <w:p>
            <w:pPr>
              <w:spacing w:after="0"/>
              <w:rPr>
                <w:sz w:val="5"/>
                <w:szCs w:val="5"/>
                <w:color w:val="auto"/>
              </w:rPr>
            </w:pPr>
          </w:p>
        </w:tc>
        <w:tc>
          <w:tcPr>
            <w:tcW w:w="60" w:type="dxa"/>
            <w:vAlign w:val="bottom"/>
            <w:shd w:val="clear" w:color="auto" w:fill="148CD9"/>
          </w:tcPr>
          <w:p>
            <w:pPr>
              <w:spacing w:after="0"/>
              <w:rPr>
                <w:sz w:val="5"/>
                <w:szCs w:val="5"/>
                <w:color w:val="auto"/>
              </w:rPr>
            </w:pPr>
          </w:p>
        </w:tc>
        <w:tc>
          <w:tcPr>
            <w:tcW w:w="20" w:type="dxa"/>
            <w:vAlign w:val="bottom"/>
            <w:shd w:val="clear" w:color="auto" w:fill="148CD9"/>
          </w:tcPr>
          <w:p>
            <w:pPr>
              <w:spacing w:after="0"/>
              <w:rPr>
                <w:sz w:val="5"/>
                <w:szCs w:val="5"/>
                <w:color w:val="auto"/>
              </w:rPr>
            </w:pPr>
          </w:p>
        </w:tc>
        <w:tc>
          <w:tcPr>
            <w:tcW w:w="920" w:type="dxa"/>
            <w:vAlign w:val="bottom"/>
            <w:vMerge w:val="continue"/>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1080" w:type="dxa"/>
            <w:vAlign w:val="bottom"/>
            <w:vMerge w:val="continue"/>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640" w:type="dxa"/>
            <w:vAlign w:val="bottom"/>
            <w:shd w:val="clear" w:color="auto" w:fill="148CD9"/>
          </w:tcPr>
          <w:p>
            <w:pPr>
              <w:spacing w:after="0"/>
              <w:rPr>
                <w:sz w:val="5"/>
                <w:szCs w:val="5"/>
                <w:color w:val="auto"/>
              </w:rPr>
            </w:pPr>
          </w:p>
        </w:tc>
        <w:tc>
          <w:tcPr>
            <w:tcW w:w="180" w:type="dxa"/>
            <w:vAlign w:val="bottom"/>
            <w:shd w:val="clear" w:color="auto" w:fill="148CD9"/>
          </w:tcPr>
          <w:p>
            <w:pPr>
              <w:spacing w:after="0"/>
              <w:rPr>
                <w:sz w:val="5"/>
                <w:szCs w:val="5"/>
                <w:color w:val="auto"/>
              </w:rPr>
            </w:pPr>
          </w:p>
        </w:tc>
        <w:tc>
          <w:tcPr>
            <w:tcW w:w="740" w:type="dxa"/>
            <w:vAlign w:val="bottom"/>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800" w:type="dxa"/>
            <w:vAlign w:val="bottom"/>
            <w:vMerge w:val="restart"/>
            <w:shd w:val="clear" w:color="auto" w:fill="148CD9"/>
          </w:tcPr>
          <w:p>
            <w:pPr>
              <w:jc w:val="center"/>
              <w:spacing w:after="0" w:line="135" w:lineRule="exact"/>
              <w:rPr>
                <w:sz w:val="20"/>
                <w:szCs w:val="20"/>
                <w:color w:val="auto"/>
              </w:rPr>
            </w:pPr>
            <w:r>
              <w:rPr>
                <w:rFonts w:ascii="Arial" w:cs="Arial" w:eastAsia="Arial" w:hAnsi="Arial"/>
                <w:sz w:val="13"/>
                <w:szCs w:val="13"/>
                <w:b w:val="1"/>
                <w:bCs w:val="1"/>
                <w:color w:val="FFFFFF"/>
                <w:w w:val="95"/>
              </w:rPr>
              <w:t>SHARES OR</w:t>
            </w:r>
          </w:p>
        </w:tc>
        <w:tc>
          <w:tcPr>
            <w:tcW w:w="160" w:type="dxa"/>
            <w:vAlign w:val="bottom"/>
            <w:shd w:val="clear" w:color="auto" w:fill="148CD9"/>
          </w:tcPr>
          <w:p>
            <w:pPr>
              <w:spacing w:after="0"/>
              <w:rPr>
                <w:sz w:val="5"/>
                <w:szCs w:val="5"/>
                <w:color w:val="auto"/>
              </w:rPr>
            </w:pPr>
          </w:p>
        </w:tc>
        <w:tc>
          <w:tcPr>
            <w:tcW w:w="1080" w:type="dxa"/>
            <w:vAlign w:val="bottom"/>
            <w:vMerge w:val="continue"/>
            <w:shd w:val="clear" w:color="auto" w:fill="148CD9"/>
          </w:tcPr>
          <w:p>
            <w:pPr>
              <w:spacing w:after="0"/>
              <w:rPr>
                <w:sz w:val="5"/>
                <w:szCs w:val="5"/>
                <w:color w:val="auto"/>
              </w:rPr>
            </w:pPr>
          </w:p>
        </w:tc>
        <w:tc>
          <w:tcPr>
            <w:tcW w:w="120" w:type="dxa"/>
            <w:vAlign w:val="bottom"/>
            <w:tcBorders>
              <w:right w:val="single" w:sz="8" w:color="auto"/>
            </w:tcBorders>
            <w:shd w:val="clear" w:color="auto" w:fill="148CD9"/>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660" w:type="dxa"/>
            <w:vAlign w:val="bottom"/>
            <w:tcBorders>
              <w:left w:val="single" w:sz="8" w:color="auto"/>
            </w:tcBorders>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500" w:type="dxa"/>
            <w:vAlign w:val="bottom"/>
            <w:shd w:val="clear" w:color="auto" w:fill="148CD9"/>
          </w:tcPr>
          <w:p>
            <w:pPr>
              <w:spacing w:after="0"/>
              <w:rPr>
                <w:sz w:val="5"/>
                <w:szCs w:val="5"/>
                <w:color w:val="auto"/>
              </w:rPr>
            </w:pPr>
          </w:p>
        </w:tc>
        <w:tc>
          <w:tcPr>
            <w:tcW w:w="480" w:type="dxa"/>
            <w:vAlign w:val="bottom"/>
            <w:shd w:val="clear" w:color="auto" w:fill="148CD9"/>
          </w:tcPr>
          <w:p>
            <w:pPr>
              <w:spacing w:after="0"/>
              <w:rPr>
                <w:sz w:val="5"/>
                <w:szCs w:val="5"/>
                <w:color w:val="auto"/>
              </w:rPr>
            </w:pPr>
          </w:p>
        </w:tc>
        <w:tc>
          <w:tcPr>
            <w:tcW w:w="60" w:type="dxa"/>
            <w:vAlign w:val="bottom"/>
            <w:shd w:val="clear" w:color="auto" w:fill="148CD9"/>
          </w:tcPr>
          <w:p>
            <w:pPr>
              <w:spacing w:after="0"/>
              <w:rPr>
                <w:sz w:val="5"/>
                <w:szCs w:val="5"/>
                <w:color w:val="auto"/>
              </w:rPr>
            </w:pPr>
          </w:p>
        </w:tc>
        <w:tc>
          <w:tcPr>
            <w:tcW w:w="20" w:type="dxa"/>
            <w:vAlign w:val="bottom"/>
            <w:shd w:val="clear" w:color="auto" w:fill="148CD9"/>
          </w:tcPr>
          <w:p>
            <w:pPr>
              <w:spacing w:after="0"/>
              <w:rPr>
                <w:sz w:val="5"/>
                <w:szCs w:val="5"/>
                <w:color w:val="auto"/>
              </w:rPr>
            </w:pPr>
          </w:p>
        </w:tc>
        <w:tc>
          <w:tcPr>
            <w:tcW w:w="920" w:type="dxa"/>
            <w:vAlign w:val="bottom"/>
            <w:vMerge w:val="restart"/>
            <w:shd w:val="clear" w:color="auto" w:fill="148CD9"/>
          </w:tcPr>
          <w:p>
            <w:pPr>
              <w:jc w:val="center"/>
              <w:spacing w:after="0" w:line="135" w:lineRule="exact"/>
              <w:rPr>
                <w:sz w:val="20"/>
                <w:szCs w:val="20"/>
                <w:color w:val="auto"/>
              </w:rPr>
            </w:pPr>
            <w:r>
              <w:rPr>
                <w:rFonts w:ascii="Arial" w:cs="Arial" w:eastAsia="Arial" w:hAnsi="Arial"/>
                <w:sz w:val="13"/>
                <w:szCs w:val="13"/>
                <w:b w:val="1"/>
                <w:bCs w:val="1"/>
                <w:color w:val="FFFFFF"/>
                <w:w w:val="94"/>
              </w:rPr>
              <w:t>SECURITIES</w:t>
            </w:r>
          </w:p>
        </w:tc>
        <w:tc>
          <w:tcPr>
            <w:tcW w:w="140" w:type="dxa"/>
            <w:vAlign w:val="bottom"/>
            <w:shd w:val="clear" w:color="auto" w:fill="148CD9"/>
          </w:tcPr>
          <w:p>
            <w:pPr>
              <w:spacing w:after="0"/>
              <w:rPr>
                <w:sz w:val="5"/>
                <w:szCs w:val="5"/>
                <w:color w:val="auto"/>
              </w:rPr>
            </w:pPr>
          </w:p>
        </w:tc>
        <w:tc>
          <w:tcPr>
            <w:tcW w:w="1080" w:type="dxa"/>
            <w:vAlign w:val="bottom"/>
            <w:vMerge w:val="restart"/>
            <w:shd w:val="clear" w:color="auto" w:fill="148CD9"/>
          </w:tcPr>
          <w:p>
            <w:pPr>
              <w:jc w:val="center"/>
              <w:spacing w:after="0" w:line="135" w:lineRule="exact"/>
              <w:rPr>
                <w:sz w:val="20"/>
                <w:szCs w:val="20"/>
                <w:color w:val="auto"/>
              </w:rPr>
            </w:pPr>
            <w:r>
              <w:rPr>
                <w:rFonts w:ascii="Arial" w:cs="Arial" w:eastAsia="Arial" w:hAnsi="Arial"/>
                <w:sz w:val="13"/>
                <w:szCs w:val="13"/>
                <w:b w:val="1"/>
                <w:bCs w:val="1"/>
                <w:color w:val="FFFFFF"/>
                <w:w w:val="94"/>
              </w:rPr>
              <w:t>SECURITIES</w:t>
            </w:r>
          </w:p>
        </w:tc>
        <w:tc>
          <w:tcPr>
            <w:tcW w:w="140" w:type="dxa"/>
            <w:vAlign w:val="bottom"/>
            <w:shd w:val="clear" w:color="auto" w:fill="148CD9"/>
          </w:tcPr>
          <w:p>
            <w:pPr>
              <w:spacing w:after="0"/>
              <w:rPr>
                <w:sz w:val="5"/>
                <w:szCs w:val="5"/>
                <w:color w:val="auto"/>
              </w:rPr>
            </w:pPr>
          </w:p>
        </w:tc>
        <w:tc>
          <w:tcPr>
            <w:tcW w:w="640" w:type="dxa"/>
            <w:vAlign w:val="bottom"/>
            <w:shd w:val="clear" w:color="auto" w:fill="148CD9"/>
          </w:tcPr>
          <w:p>
            <w:pPr>
              <w:spacing w:after="0"/>
              <w:rPr>
                <w:sz w:val="5"/>
                <w:szCs w:val="5"/>
                <w:color w:val="auto"/>
              </w:rPr>
            </w:pPr>
          </w:p>
        </w:tc>
        <w:tc>
          <w:tcPr>
            <w:tcW w:w="180" w:type="dxa"/>
            <w:vAlign w:val="bottom"/>
            <w:shd w:val="clear" w:color="auto" w:fill="148CD9"/>
          </w:tcPr>
          <w:p>
            <w:pPr>
              <w:spacing w:after="0"/>
              <w:rPr>
                <w:sz w:val="5"/>
                <w:szCs w:val="5"/>
                <w:color w:val="auto"/>
              </w:rPr>
            </w:pPr>
          </w:p>
        </w:tc>
        <w:tc>
          <w:tcPr>
            <w:tcW w:w="740" w:type="dxa"/>
            <w:vAlign w:val="bottom"/>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800" w:type="dxa"/>
            <w:vAlign w:val="bottom"/>
            <w:vMerge w:val="continue"/>
            <w:shd w:val="clear" w:color="auto" w:fill="148CD9"/>
          </w:tcPr>
          <w:p>
            <w:pPr>
              <w:spacing w:after="0"/>
              <w:rPr>
                <w:sz w:val="5"/>
                <w:szCs w:val="5"/>
                <w:color w:val="auto"/>
              </w:rPr>
            </w:pPr>
          </w:p>
        </w:tc>
        <w:tc>
          <w:tcPr>
            <w:tcW w:w="160" w:type="dxa"/>
            <w:vAlign w:val="bottom"/>
            <w:shd w:val="clear" w:color="auto" w:fill="148CD9"/>
          </w:tcPr>
          <w:p>
            <w:pPr>
              <w:spacing w:after="0"/>
              <w:rPr>
                <w:sz w:val="5"/>
                <w:szCs w:val="5"/>
                <w:color w:val="auto"/>
              </w:rPr>
            </w:pPr>
          </w:p>
        </w:tc>
        <w:tc>
          <w:tcPr>
            <w:tcW w:w="1080" w:type="dxa"/>
            <w:vAlign w:val="bottom"/>
            <w:vMerge w:val="restart"/>
            <w:shd w:val="clear" w:color="auto" w:fill="148CD9"/>
          </w:tcPr>
          <w:p>
            <w:pPr>
              <w:jc w:val="center"/>
              <w:spacing w:after="0" w:line="135" w:lineRule="exact"/>
              <w:rPr>
                <w:sz w:val="20"/>
                <w:szCs w:val="20"/>
                <w:color w:val="auto"/>
              </w:rPr>
            </w:pPr>
            <w:r>
              <w:rPr>
                <w:rFonts w:ascii="Arial" w:cs="Arial" w:eastAsia="Arial" w:hAnsi="Arial"/>
                <w:sz w:val="13"/>
                <w:szCs w:val="13"/>
                <w:b w:val="1"/>
                <w:bCs w:val="1"/>
                <w:color w:val="FFFFFF"/>
                <w:w w:val="94"/>
              </w:rPr>
              <w:t>OF SHARES OR</w:t>
            </w:r>
          </w:p>
        </w:tc>
        <w:tc>
          <w:tcPr>
            <w:tcW w:w="120" w:type="dxa"/>
            <w:vAlign w:val="bottom"/>
            <w:tcBorders>
              <w:right w:val="single" w:sz="8" w:color="auto"/>
            </w:tcBorders>
            <w:shd w:val="clear" w:color="auto" w:fill="148CD9"/>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660" w:type="dxa"/>
            <w:vAlign w:val="bottom"/>
            <w:tcBorders>
              <w:left w:val="single" w:sz="8" w:color="auto"/>
            </w:tcBorders>
            <w:vMerge w:val="restart"/>
            <w:shd w:val="clear" w:color="auto" w:fill="148CD9"/>
          </w:tcPr>
          <w:p>
            <w:pPr>
              <w:ind w:left="60"/>
              <w:spacing w:after="0"/>
              <w:rPr>
                <w:sz w:val="20"/>
                <w:szCs w:val="20"/>
                <w:color w:val="auto"/>
              </w:rPr>
            </w:pPr>
            <w:r>
              <w:rPr>
                <w:rFonts w:ascii="Arial" w:cs="Arial" w:eastAsia="Arial" w:hAnsi="Arial"/>
                <w:sz w:val="13"/>
                <w:szCs w:val="13"/>
                <w:b w:val="1"/>
                <w:bCs w:val="1"/>
                <w:color w:val="FFFFFF"/>
              </w:rPr>
              <w:t>​ NAME</w:t>
            </w:r>
          </w:p>
        </w:tc>
        <w:tc>
          <w:tcPr>
            <w:tcW w:w="1180" w:type="dxa"/>
            <w:vAlign w:val="bottom"/>
            <w:gridSpan w:val="4"/>
            <w:vMerge w:val="restart"/>
            <w:shd w:val="clear" w:color="auto" w:fill="148CD9"/>
          </w:tcPr>
          <w:p>
            <w:pPr>
              <w:ind w:left="80"/>
              <w:spacing w:after="0"/>
              <w:rPr>
                <w:sz w:val="20"/>
                <w:szCs w:val="20"/>
                <w:color w:val="auto"/>
              </w:rPr>
            </w:pPr>
            <w:r>
              <w:rPr>
                <w:rFonts w:ascii="Arial" w:cs="Arial" w:eastAsia="Arial" w:hAnsi="Arial"/>
                <w:sz w:val="13"/>
                <w:szCs w:val="13"/>
                <w:b w:val="1"/>
                <w:bCs w:val="1"/>
                <w:color w:val="FFFFFF"/>
              </w:rPr>
              <w:t>​ ​ GRANT DATE ​</w:t>
            </w:r>
          </w:p>
        </w:tc>
        <w:tc>
          <w:tcPr>
            <w:tcW w:w="20" w:type="dxa"/>
            <w:vAlign w:val="bottom"/>
            <w:shd w:val="clear" w:color="auto" w:fill="148CD9"/>
          </w:tcPr>
          <w:p>
            <w:pPr>
              <w:spacing w:after="0"/>
              <w:rPr>
                <w:sz w:val="5"/>
                <w:szCs w:val="5"/>
                <w:color w:val="auto"/>
              </w:rPr>
            </w:pPr>
          </w:p>
        </w:tc>
        <w:tc>
          <w:tcPr>
            <w:tcW w:w="920" w:type="dxa"/>
            <w:vAlign w:val="bottom"/>
            <w:vMerge w:val="continue"/>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1080" w:type="dxa"/>
            <w:vAlign w:val="bottom"/>
            <w:vMerge w:val="continue"/>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640" w:type="dxa"/>
            <w:vAlign w:val="bottom"/>
            <w:vMerge w:val="restart"/>
            <w:shd w:val="clear" w:color="auto" w:fill="148CD9"/>
          </w:tcPr>
          <w:p>
            <w:pPr>
              <w:ind w:left="60"/>
              <w:spacing w:after="0"/>
              <w:rPr>
                <w:sz w:val="20"/>
                <w:szCs w:val="20"/>
                <w:color w:val="auto"/>
              </w:rPr>
            </w:pPr>
            <w:r>
              <w:rPr>
                <w:rFonts w:ascii="Arial" w:cs="Arial" w:eastAsia="Arial" w:hAnsi="Arial"/>
                <w:sz w:val="13"/>
                <w:szCs w:val="13"/>
                <w:b w:val="1"/>
                <w:bCs w:val="1"/>
                <w:color w:val="FFFFFF"/>
              </w:rPr>
              <w:t>OPTION</w:t>
            </w:r>
          </w:p>
        </w:tc>
        <w:tc>
          <w:tcPr>
            <w:tcW w:w="180" w:type="dxa"/>
            <w:vAlign w:val="bottom"/>
            <w:shd w:val="clear" w:color="auto" w:fill="148CD9"/>
          </w:tcPr>
          <w:p>
            <w:pPr>
              <w:spacing w:after="0"/>
              <w:rPr>
                <w:sz w:val="5"/>
                <w:szCs w:val="5"/>
                <w:color w:val="auto"/>
              </w:rPr>
            </w:pPr>
          </w:p>
        </w:tc>
        <w:tc>
          <w:tcPr>
            <w:tcW w:w="740" w:type="dxa"/>
            <w:vAlign w:val="bottom"/>
            <w:vMerge w:val="restart"/>
            <w:shd w:val="clear" w:color="auto" w:fill="148CD9"/>
          </w:tcPr>
          <w:p>
            <w:pPr>
              <w:ind w:left="80"/>
              <w:spacing w:after="0"/>
              <w:rPr>
                <w:sz w:val="20"/>
                <w:szCs w:val="20"/>
                <w:color w:val="auto"/>
              </w:rPr>
            </w:pPr>
            <w:r>
              <w:rPr>
                <w:rFonts w:ascii="Arial" w:cs="Arial" w:eastAsia="Arial" w:hAnsi="Arial"/>
                <w:sz w:val="13"/>
                <w:szCs w:val="13"/>
                <w:b w:val="1"/>
                <w:bCs w:val="1"/>
                <w:color w:val="FFFFFF"/>
              </w:rPr>
              <w:t>OPTION</w:t>
            </w:r>
          </w:p>
        </w:tc>
        <w:tc>
          <w:tcPr>
            <w:tcW w:w="140" w:type="dxa"/>
            <w:vAlign w:val="bottom"/>
            <w:shd w:val="clear" w:color="auto" w:fill="148CD9"/>
          </w:tcPr>
          <w:p>
            <w:pPr>
              <w:spacing w:after="0"/>
              <w:rPr>
                <w:sz w:val="5"/>
                <w:szCs w:val="5"/>
                <w:color w:val="auto"/>
              </w:rPr>
            </w:pPr>
          </w:p>
        </w:tc>
        <w:tc>
          <w:tcPr>
            <w:tcW w:w="800" w:type="dxa"/>
            <w:vAlign w:val="bottom"/>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w w:val="95"/>
              </w:rPr>
              <w:t>UNITS OF</w:t>
            </w:r>
          </w:p>
        </w:tc>
        <w:tc>
          <w:tcPr>
            <w:tcW w:w="160" w:type="dxa"/>
            <w:vAlign w:val="bottom"/>
            <w:shd w:val="clear" w:color="auto" w:fill="148CD9"/>
          </w:tcPr>
          <w:p>
            <w:pPr>
              <w:spacing w:after="0"/>
              <w:rPr>
                <w:sz w:val="5"/>
                <w:szCs w:val="5"/>
                <w:color w:val="auto"/>
              </w:rPr>
            </w:pPr>
          </w:p>
        </w:tc>
        <w:tc>
          <w:tcPr>
            <w:tcW w:w="1080" w:type="dxa"/>
            <w:vAlign w:val="bottom"/>
            <w:vMerge w:val="continue"/>
            <w:shd w:val="clear" w:color="auto" w:fill="148CD9"/>
          </w:tcPr>
          <w:p>
            <w:pPr>
              <w:spacing w:after="0"/>
              <w:rPr>
                <w:sz w:val="5"/>
                <w:szCs w:val="5"/>
                <w:color w:val="auto"/>
              </w:rPr>
            </w:pPr>
          </w:p>
        </w:tc>
        <w:tc>
          <w:tcPr>
            <w:tcW w:w="120" w:type="dxa"/>
            <w:vAlign w:val="bottom"/>
            <w:tcBorders>
              <w:right w:val="single" w:sz="8" w:color="auto"/>
            </w:tcBorders>
            <w:shd w:val="clear" w:color="auto" w:fill="148CD9"/>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660" w:type="dxa"/>
            <w:vAlign w:val="bottom"/>
            <w:tcBorders>
              <w:left w:val="single" w:sz="8" w:color="auto"/>
            </w:tcBorders>
            <w:vMerge w:val="continue"/>
            <w:shd w:val="clear" w:color="auto" w:fill="148CD9"/>
          </w:tcPr>
          <w:p>
            <w:pPr>
              <w:spacing w:after="0"/>
              <w:rPr>
                <w:sz w:val="10"/>
                <w:szCs w:val="10"/>
                <w:color w:val="auto"/>
              </w:rPr>
            </w:pPr>
          </w:p>
        </w:tc>
        <w:tc>
          <w:tcPr>
            <w:tcW w:w="1180" w:type="dxa"/>
            <w:vAlign w:val="bottom"/>
            <w:gridSpan w:val="4"/>
            <w:vMerge w:val="continue"/>
            <w:shd w:val="clear" w:color="auto" w:fill="148CD9"/>
          </w:tcPr>
          <w:p>
            <w:pPr>
              <w:spacing w:after="0"/>
              <w:rPr>
                <w:sz w:val="10"/>
                <w:szCs w:val="10"/>
                <w:color w:val="auto"/>
              </w:rPr>
            </w:pPr>
          </w:p>
        </w:tc>
        <w:tc>
          <w:tcPr>
            <w:tcW w:w="20" w:type="dxa"/>
            <w:vAlign w:val="bottom"/>
            <w:shd w:val="clear" w:color="auto" w:fill="148CD9"/>
          </w:tcPr>
          <w:p>
            <w:pPr>
              <w:spacing w:after="0"/>
              <w:rPr>
                <w:sz w:val="10"/>
                <w:szCs w:val="10"/>
                <w:color w:val="auto"/>
              </w:rPr>
            </w:pPr>
          </w:p>
        </w:tc>
        <w:tc>
          <w:tcPr>
            <w:tcW w:w="920" w:type="dxa"/>
            <w:vAlign w:val="bottom"/>
            <w:shd w:val="clear" w:color="auto" w:fill="148CD9"/>
          </w:tcPr>
          <w:p>
            <w:pPr>
              <w:jc w:val="center"/>
              <w:spacing w:after="0" w:line="126" w:lineRule="exact"/>
              <w:rPr>
                <w:sz w:val="20"/>
                <w:szCs w:val="20"/>
                <w:color w:val="auto"/>
              </w:rPr>
            </w:pPr>
            <w:r>
              <w:rPr>
                <w:rFonts w:ascii="Arial" w:cs="Arial" w:eastAsia="Arial" w:hAnsi="Arial"/>
                <w:sz w:val="13"/>
                <w:szCs w:val="13"/>
                <w:b w:val="1"/>
                <w:bCs w:val="1"/>
                <w:color w:val="FFFFFF"/>
                <w:w w:val="93"/>
              </w:rPr>
              <w:t>UNDERLYING</w:t>
            </w:r>
          </w:p>
        </w:tc>
        <w:tc>
          <w:tcPr>
            <w:tcW w:w="140" w:type="dxa"/>
            <w:vAlign w:val="bottom"/>
            <w:shd w:val="clear" w:color="auto" w:fill="148CD9"/>
          </w:tcPr>
          <w:p>
            <w:pPr>
              <w:spacing w:after="0"/>
              <w:rPr>
                <w:sz w:val="10"/>
                <w:szCs w:val="10"/>
                <w:color w:val="auto"/>
              </w:rPr>
            </w:pPr>
          </w:p>
        </w:tc>
        <w:tc>
          <w:tcPr>
            <w:tcW w:w="1080" w:type="dxa"/>
            <w:vAlign w:val="bottom"/>
            <w:shd w:val="clear" w:color="auto" w:fill="148CD9"/>
          </w:tcPr>
          <w:p>
            <w:pPr>
              <w:jc w:val="center"/>
              <w:spacing w:after="0" w:line="126" w:lineRule="exact"/>
              <w:rPr>
                <w:sz w:val="20"/>
                <w:szCs w:val="20"/>
                <w:color w:val="auto"/>
              </w:rPr>
            </w:pPr>
            <w:r>
              <w:rPr>
                <w:rFonts w:ascii="Arial" w:cs="Arial" w:eastAsia="Arial" w:hAnsi="Arial"/>
                <w:sz w:val="13"/>
                <w:szCs w:val="13"/>
                <w:b w:val="1"/>
                <w:bCs w:val="1"/>
                <w:color w:val="FFFFFF"/>
                <w:w w:val="95"/>
              </w:rPr>
              <w:t>UNDERLYING</w:t>
            </w:r>
          </w:p>
        </w:tc>
        <w:tc>
          <w:tcPr>
            <w:tcW w:w="140" w:type="dxa"/>
            <w:vAlign w:val="bottom"/>
            <w:shd w:val="clear" w:color="auto" w:fill="148CD9"/>
          </w:tcPr>
          <w:p>
            <w:pPr>
              <w:spacing w:after="0"/>
              <w:rPr>
                <w:sz w:val="10"/>
                <w:szCs w:val="10"/>
                <w:color w:val="auto"/>
              </w:rPr>
            </w:pPr>
          </w:p>
        </w:tc>
        <w:tc>
          <w:tcPr>
            <w:tcW w:w="640" w:type="dxa"/>
            <w:vAlign w:val="bottom"/>
            <w:vMerge w:val="continue"/>
            <w:shd w:val="clear" w:color="auto" w:fill="148CD9"/>
          </w:tcPr>
          <w:p>
            <w:pPr>
              <w:spacing w:after="0"/>
              <w:rPr>
                <w:sz w:val="10"/>
                <w:szCs w:val="10"/>
                <w:color w:val="auto"/>
              </w:rPr>
            </w:pPr>
          </w:p>
        </w:tc>
        <w:tc>
          <w:tcPr>
            <w:tcW w:w="180" w:type="dxa"/>
            <w:vAlign w:val="bottom"/>
            <w:shd w:val="clear" w:color="auto" w:fill="148CD9"/>
          </w:tcPr>
          <w:p>
            <w:pPr>
              <w:spacing w:after="0"/>
              <w:rPr>
                <w:sz w:val="10"/>
                <w:szCs w:val="10"/>
                <w:color w:val="auto"/>
              </w:rPr>
            </w:pPr>
          </w:p>
        </w:tc>
        <w:tc>
          <w:tcPr>
            <w:tcW w:w="740" w:type="dxa"/>
            <w:vAlign w:val="bottom"/>
            <w:vMerge w:val="continue"/>
            <w:shd w:val="clear" w:color="auto" w:fill="148CD9"/>
          </w:tcPr>
          <w:p>
            <w:pPr>
              <w:spacing w:after="0"/>
              <w:rPr>
                <w:sz w:val="10"/>
                <w:szCs w:val="10"/>
                <w:color w:val="auto"/>
              </w:rPr>
            </w:pPr>
          </w:p>
        </w:tc>
        <w:tc>
          <w:tcPr>
            <w:tcW w:w="140" w:type="dxa"/>
            <w:vAlign w:val="bottom"/>
            <w:shd w:val="clear" w:color="auto" w:fill="148CD9"/>
          </w:tcPr>
          <w:p>
            <w:pPr>
              <w:spacing w:after="0"/>
              <w:rPr>
                <w:sz w:val="10"/>
                <w:szCs w:val="10"/>
                <w:color w:val="auto"/>
              </w:rPr>
            </w:pPr>
          </w:p>
        </w:tc>
        <w:tc>
          <w:tcPr>
            <w:tcW w:w="800" w:type="dxa"/>
            <w:vAlign w:val="bottom"/>
            <w:vMerge w:val="continue"/>
            <w:shd w:val="clear" w:color="auto" w:fill="148CD9"/>
          </w:tcPr>
          <w:p>
            <w:pPr>
              <w:spacing w:after="0"/>
              <w:rPr>
                <w:sz w:val="10"/>
                <w:szCs w:val="10"/>
                <w:color w:val="auto"/>
              </w:rPr>
            </w:pPr>
          </w:p>
        </w:tc>
        <w:tc>
          <w:tcPr>
            <w:tcW w:w="1240" w:type="dxa"/>
            <w:vAlign w:val="bottom"/>
            <w:gridSpan w:val="2"/>
            <w:shd w:val="clear" w:color="auto" w:fill="148CD9"/>
          </w:tcPr>
          <w:p>
            <w:pPr>
              <w:jc w:val="center"/>
              <w:ind w:left="28"/>
              <w:spacing w:after="0" w:line="126" w:lineRule="exact"/>
              <w:rPr>
                <w:sz w:val="20"/>
                <w:szCs w:val="20"/>
                <w:color w:val="auto"/>
              </w:rPr>
            </w:pPr>
            <w:r>
              <w:rPr>
                <w:rFonts w:ascii="Arial" w:cs="Arial" w:eastAsia="Arial" w:hAnsi="Arial"/>
                <w:sz w:val="13"/>
                <w:szCs w:val="13"/>
                <w:b w:val="1"/>
                <w:bCs w:val="1"/>
                <w:color w:val="FFFFFF"/>
                <w:w w:val="96"/>
              </w:rPr>
              <w:t>UNITS OF STOCK</w:t>
            </w:r>
          </w:p>
        </w:tc>
        <w:tc>
          <w:tcPr>
            <w:tcW w:w="120" w:type="dxa"/>
            <w:vAlign w:val="bottom"/>
            <w:tcBorders>
              <w:right w:val="single" w:sz="8" w:color="auto"/>
            </w:tcBorders>
            <w:shd w:val="clear" w:color="auto" w:fill="148CD9"/>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tcBorders>
            <w:shd w:val="clear" w:color="auto" w:fill="148CD9"/>
          </w:tcPr>
          <w:p>
            <w:pPr>
              <w:spacing w:after="0"/>
              <w:rPr>
                <w:sz w:val="12"/>
                <w:szCs w:val="12"/>
                <w:color w:val="auto"/>
              </w:rPr>
            </w:pPr>
          </w:p>
        </w:tc>
        <w:tc>
          <w:tcPr>
            <w:tcW w:w="140" w:type="dxa"/>
            <w:vAlign w:val="bottom"/>
            <w:shd w:val="clear" w:color="auto" w:fill="148CD9"/>
          </w:tcPr>
          <w:p>
            <w:pPr>
              <w:spacing w:after="0"/>
              <w:rPr>
                <w:sz w:val="12"/>
                <w:szCs w:val="12"/>
                <w:color w:val="auto"/>
              </w:rPr>
            </w:pPr>
          </w:p>
        </w:tc>
        <w:tc>
          <w:tcPr>
            <w:tcW w:w="500" w:type="dxa"/>
            <w:vAlign w:val="bottom"/>
            <w:shd w:val="clear" w:color="auto" w:fill="148CD9"/>
          </w:tcPr>
          <w:p>
            <w:pPr>
              <w:spacing w:after="0"/>
              <w:rPr>
                <w:sz w:val="12"/>
                <w:szCs w:val="12"/>
                <w:color w:val="auto"/>
              </w:rPr>
            </w:pPr>
          </w:p>
        </w:tc>
        <w:tc>
          <w:tcPr>
            <w:tcW w:w="480" w:type="dxa"/>
            <w:vAlign w:val="bottom"/>
            <w:shd w:val="clear" w:color="auto" w:fill="148CD9"/>
          </w:tcPr>
          <w:p>
            <w:pPr>
              <w:spacing w:after="0"/>
              <w:rPr>
                <w:sz w:val="12"/>
                <w:szCs w:val="12"/>
                <w:color w:val="auto"/>
              </w:rPr>
            </w:pPr>
          </w:p>
        </w:tc>
        <w:tc>
          <w:tcPr>
            <w:tcW w:w="60" w:type="dxa"/>
            <w:vAlign w:val="bottom"/>
            <w:shd w:val="clear" w:color="auto" w:fill="148CD9"/>
          </w:tcPr>
          <w:p>
            <w:pPr>
              <w:ind w:left="40"/>
              <w:spacing w:after="0"/>
              <w:rPr>
                <w:sz w:val="20"/>
                <w:szCs w:val="20"/>
                <w:color w:val="auto"/>
              </w:rPr>
            </w:pPr>
            <w:r>
              <w:rPr>
                <w:rFonts w:ascii="Arial" w:cs="Arial" w:eastAsia="Arial" w:hAnsi="Arial"/>
                <w:sz w:val="1"/>
                <w:szCs w:val="1"/>
                <w:b w:val="1"/>
                <w:bCs w:val="1"/>
                <w:color w:val="FFFFFF"/>
                <w:w w:val="4294942296"/>
              </w:rPr>
              <w:t>​</w:t>
            </w:r>
          </w:p>
        </w:tc>
        <w:tc>
          <w:tcPr>
            <w:tcW w:w="940" w:type="dxa"/>
            <w:vAlign w:val="bottom"/>
            <w:gridSpan w:val="2"/>
            <w:shd w:val="clear" w:color="auto" w:fill="148CD9"/>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140" w:type="dxa"/>
            <w:vAlign w:val="bottom"/>
            <w:shd w:val="clear" w:color="auto" w:fill="148CD9"/>
          </w:tcPr>
          <w:p>
            <w:pPr>
              <w:ind w:left="40"/>
              <w:spacing w:after="0"/>
              <w:rPr>
                <w:sz w:val="20"/>
                <w:szCs w:val="20"/>
                <w:color w:val="auto"/>
              </w:rPr>
            </w:pPr>
            <w:r>
              <w:rPr>
                <w:rFonts w:ascii="Arial" w:cs="Arial" w:eastAsia="Arial" w:hAnsi="Arial"/>
                <w:sz w:val="13"/>
                <w:szCs w:val="13"/>
                <w:b w:val="1"/>
                <w:bCs w:val="1"/>
                <w:color w:val="FFFFFF"/>
              </w:rPr>
              <w:t>​ ​</w:t>
            </w:r>
          </w:p>
        </w:tc>
        <w:tc>
          <w:tcPr>
            <w:tcW w:w="1080" w:type="dxa"/>
            <w:vAlign w:val="bottom"/>
            <w:shd w:val="clear" w:color="auto" w:fill="148CD9"/>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780" w:type="dxa"/>
            <w:vAlign w:val="bottom"/>
            <w:gridSpan w:val="2"/>
            <w:shd w:val="clear" w:color="auto" w:fill="148CD9"/>
          </w:tcPr>
          <w:p>
            <w:pPr>
              <w:ind w:left="20"/>
              <w:spacing w:after="0"/>
              <w:rPr>
                <w:sz w:val="20"/>
                <w:szCs w:val="20"/>
                <w:color w:val="auto"/>
              </w:rPr>
            </w:pPr>
            <w:r>
              <w:rPr>
                <w:rFonts w:ascii="Arial" w:cs="Arial" w:eastAsia="Arial" w:hAnsi="Arial"/>
                <w:sz w:val="13"/>
                <w:szCs w:val="13"/>
                <w:b w:val="1"/>
                <w:bCs w:val="1"/>
                <w:color w:val="FFFFFF"/>
              </w:rPr>
              <w:t>​ ​EXERCISE</w:t>
            </w:r>
          </w:p>
        </w:tc>
        <w:tc>
          <w:tcPr>
            <w:tcW w:w="920" w:type="dxa"/>
            <w:vAlign w:val="bottom"/>
            <w:gridSpan w:val="2"/>
            <w:shd w:val="clear" w:color="auto" w:fill="148CD9"/>
          </w:tcPr>
          <w:p>
            <w:pPr>
              <w:ind w:left="20"/>
              <w:spacing w:after="0"/>
              <w:rPr>
                <w:sz w:val="20"/>
                <w:szCs w:val="20"/>
                <w:color w:val="auto"/>
              </w:rPr>
            </w:pPr>
            <w:r>
              <w:rPr>
                <w:rFonts w:ascii="Arial" w:cs="Arial" w:eastAsia="Arial" w:hAnsi="Arial"/>
                <w:sz w:val="13"/>
                <w:szCs w:val="13"/>
                <w:b w:val="1"/>
                <w:bCs w:val="1"/>
                <w:color w:val="FFFFFF"/>
              </w:rPr>
              <w:t>​ ​EXPIRATION</w:t>
            </w:r>
          </w:p>
        </w:tc>
        <w:tc>
          <w:tcPr>
            <w:tcW w:w="2180" w:type="dxa"/>
            <w:vAlign w:val="bottom"/>
            <w:gridSpan w:val="4"/>
            <w:shd w:val="clear" w:color="auto" w:fill="148CD9"/>
          </w:tcPr>
          <w:p>
            <w:pPr>
              <w:ind w:left="20"/>
              <w:spacing w:after="0" w:line="149" w:lineRule="exact"/>
              <w:rPr>
                <w:sz w:val="20"/>
                <w:szCs w:val="20"/>
                <w:color w:val="auto"/>
              </w:rPr>
            </w:pPr>
            <w:r>
              <w:rPr>
                <w:rFonts w:ascii="Arial" w:cs="Arial" w:eastAsia="Arial" w:hAnsi="Arial"/>
                <w:sz w:val="10"/>
                <w:szCs w:val="10"/>
                <w:b w:val="1"/>
                <w:bCs w:val="1"/>
                <w:color w:val="FFFFFF"/>
              </w:rPr>
              <w:t xml:space="preserve">​ ​STOCK THAT ​ ​ </w:t>
            </w:r>
            <w:r>
              <w:rPr>
                <w:rFonts w:ascii="Arial" w:cs="Arial" w:eastAsia="Arial" w:hAnsi="Arial"/>
                <w:sz w:val="17"/>
                <w:szCs w:val="17"/>
                <w:b w:val="1"/>
                <w:bCs w:val="1"/>
                <w:color w:val="FFFFFF"/>
                <w:vertAlign w:val="subscript"/>
              </w:rPr>
              <w:t>THAT HAVE NOT</w:t>
            </w:r>
          </w:p>
        </w:tc>
        <w:tc>
          <w:tcPr>
            <w:tcW w:w="120" w:type="dxa"/>
            <w:vAlign w:val="bottom"/>
            <w:tcBorders>
              <w:right w:val="single" w:sz="8" w:color="auto"/>
            </w:tcBorders>
            <w:shd w:val="clear" w:color="auto" w:fill="148CD9"/>
          </w:tcPr>
          <w:p>
            <w:pPr>
              <w:ind w:left="4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90"/>
        </w:trPr>
        <w:tc>
          <w:tcPr>
            <w:tcW w:w="1660" w:type="dxa"/>
            <w:vAlign w:val="bottom"/>
            <w:tcBorders>
              <w:left w:val="single" w:sz="8" w:color="auto"/>
            </w:tcBorders>
            <w:shd w:val="clear" w:color="auto" w:fill="148CD9"/>
          </w:tcPr>
          <w:p>
            <w:pPr>
              <w:spacing w:after="0"/>
              <w:rPr>
                <w:sz w:val="7"/>
                <w:szCs w:val="7"/>
                <w:color w:val="auto"/>
              </w:rPr>
            </w:pPr>
          </w:p>
        </w:tc>
        <w:tc>
          <w:tcPr>
            <w:tcW w:w="140" w:type="dxa"/>
            <w:vAlign w:val="bottom"/>
            <w:shd w:val="clear" w:color="auto" w:fill="148CD9"/>
          </w:tcPr>
          <w:p>
            <w:pPr>
              <w:spacing w:after="0"/>
              <w:rPr>
                <w:sz w:val="7"/>
                <w:szCs w:val="7"/>
                <w:color w:val="auto"/>
              </w:rPr>
            </w:pPr>
          </w:p>
        </w:tc>
        <w:tc>
          <w:tcPr>
            <w:tcW w:w="500" w:type="dxa"/>
            <w:vAlign w:val="bottom"/>
            <w:shd w:val="clear" w:color="auto" w:fill="148CD9"/>
          </w:tcPr>
          <w:p>
            <w:pPr>
              <w:spacing w:after="0"/>
              <w:rPr>
                <w:sz w:val="7"/>
                <w:szCs w:val="7"/>
                <w:color w:val="auto"/>
              </w:rPr>
            </w:pPr>
          </w:p>
        </w:tc>
        <w:tc>
          <w:tcPr>
            <w:tcW w:w="480" w:type="dxa"/>
            <w:vAlign w:val="bottom"/>
            <w:shd w:val="clear" w:color="auto" w:fill="148CD9"/>
          </w:tcPr>
          <w:p>
            <w:pPr>
              <w:spacing w:after="0"/>
              <w:rPr>
                <w:sz w:val="7"/>
                <w:szCs w:val="7"/>
                <w:color w:val="auto"/>
              </w:rPr>
            </w:pPr>
          </w:p>
        </w:tc>
        <w:tc>
          <w:tcPr>
            <w:tcW w:w="60" w:type="dxa"/>
            <w:vAlign w:val="bottom"/>
            <w:shd w:val="clear" w:color="auto" w:fill="148CD9"/>
          </w:tcPr>
          <w:p>
            <w:pPr>
              <w:spacing w:after="0"/>
              <w:rPr>
                <w:sz w:val="7"/>
                <w:szCs w:val="7"/>
                <w:color w:val="auto"/>
              </w:rPr>
            </w:pPr>
          </w:p>
        </w:tc>
        <w:tc>
          <w:tcPr>
            <w:tcW w:w="20" w:type="dxa"/>
            <w:vAlign w:val="bottom"/>
            <w:shd w:val="clear" w:color="auto" w:fill="148CD9"/>
          </w:tcPr>
          <w:p>
            <w:pPr>
              <w:spacing w:after="0"/>
              <w:rPr>
                <w:sz w:val="7"/>
                <w:szCs w:val="7"/>
                <w:color w:val="auto"/>
              </w:rPr>
            </w:pPr>
          </w:p>
        </w:tc>
        <w:tc>
          <w:tcPr>
            <w:tcW w:w="920" w:type="dxa"/>
            <w:vAlign w:val="bottom"/>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w w:val="94"/>
              </w:rPr>
              <w:t>OPTIONS (#)</w:t>
            </w:r>
          </w:p>
        </w:tc>
        <w:tc>
          <w:tcPr>
            <w:tcW w:w="140" w:type="dxa"/>
            <w:vAlign w:val="bottom"/>
            <w:shd w:val="clear" w:color="auto" w:fill="148CD9"/>
          </w:tcPr>
          <w:p>
            <w:pPr>
              <w:spacing w:after="0"/>
              <w:rPr>
                <w:sz w:val="7"/>
                <w:szCs w:val="7"/>
                <w:color w:val="auto"/>
              </w:rPr>
            </w:pPr>
          </w:p>
        </w:tc>
        <w:tc>
          <w:tcPr>
            <w:tcW w:w="1080" w:type="dxa"/>
            <w:vAlign w:val="bottom"/>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w w:val="94"/>
              </w:rPr>
              <w:t>OPTIONS (#)</w:t>
            </w:r>
          </w:p>
        </w:tc>
        <w:tc>
          <w:tcPr>
            <w:tcW w:w="140" w:type="dxa"/>
            <w:vAlign w:val="bottom"/>
            <w:shd w:val="clear" w:color="auto" w:fill="148CD9"/>
          </w:tcPr>
          <w:p>
            <w:pPr>
              <w:spacing w:after="0"/>
              <w:rPr>
                <w:sz w:val="7"/>
                <w:szCs w:val="7"/>
                <w:color w:val="auto"/>
              </w:rPr>
            </w:pPr>
          </w:p>
        </w:tc>
        <w:tc>
          <w:tcPr>
            <w:tcW w:w="640" w:type="dxa"/>
            <w:vAlign w:val="bottom"/>
            <w:shd w:val="clear" w:color="auto" w:fill="148CD9"/>
          </w:tcPr>
          <w:p>
            <w:pPr>
              <w:jc w:val="center"/>
              <w:spacing w:after="0" w:line="90" w:lineRule="exact"/>
              <w:rPr>
                <w:sz w:val="20"/>
                <w:szCs w:val="20"/>
                <w:color w:val="auto"/>
              </w:rPr>
            </w:pPr>
            <w:r>
              <w:rPr>
                <w:rFonts w:ascii="Arial" w:cs="Arial" w:eastAsia="Arial" w:hAnsi="Arial"/>
                <w:sz w:val="10"/>
                <w:szCs w:val="10"/>
                <w:b w:val="1"/>
                <w:bCs w:val="1"/>
                <w:color w:val="FFFFFF"/>
              </w:rPr>
              <w:t>PRICE ($)</w:t>
            </w:r>
          </w:p>
        </w:tc>
        <w:tc>
          <w:tcPr>
            <w:tcW w:w="180" w:type="dxa"/>
            <w:vAlign w:val="bottom"/>
            <w:shd w:val="clear" w:color="auto" w:fill="148CD9"/>
          </w:tcPr>
          <w:p>
            <w:pPr>
              <w:spacing w:after="0"/>
              <w:rPr>
                <w:sz w:val="7"/>
                <w:szCs w:val="7"/>
                <w:color w:val="auto"/>
              </w:rPr>
            </w:pPr>
          </w:p>
        </w:tc>
        <w:tc>
          <w:tcPr>
            <w:tcW w:w="740" w:type="dxa"/>
            <w:vAlign w:val="bottom"/>
            <w:shd w:val="clear" w:color="auto" w:fill="148CD9"/>
          </w:tcPr>
          <w:p>
            <w:pPr>
              <w:jc w:val="center"/>
              <w:spacing w:after="0" w:line="90" w:lineRule="exact"/>
              <w:rPr>
                <w:sz w:val="20"/>
                <w:szCs w:val="20"/>
                <w:color w:val="auto"/>
              </w:rPr>
            </w:pPr>
            <w:r>
              <w:rPr>
                <w:rFonts w:ascii="Arial" w:cs="Arial" w:eastAsia="Arial" w:hAnsi="Arial"/>
                <w:sz w:val="10"/>
                <w:szCs w:val="10"/>
                <w:b w:val="1"/>
                <w:bCs w:val="1"/>
                <w:color w:val="FFFFFF"/>
              </w:rPr>
              <w:t>DATE</w:t>
            </w:r>
          </w:p>
        </w:tc>
        <w:tc>
          <w:tcPr>
            <w:tcW w:w="140" w:type="dxa"/>
            <w:vAlign w:val="bottom"/>
            <w:shd w:val="clear" w:color="auto" w:fill="148CD9"/>
          </w:tcPr>
          <w:p>
            <w:pPr>
              <w:spacing w:after="0"/>
              <w:rPr>
                <w:sz w:val="7"/>
                <w:szCs w:val="7"/>
                <w:color w:val="auto"/>
              </w:rPr>
            </w:pPr>
          </w:p>
        </w:tc>
        <w:tc>
          <w:tcPr>
            <w:tcW w:w="800" w:type="dxa"/>
            <w:vAlign w:val="bottom"/>
            <w:shd w:val="clear" w:color="auto" w:fill="148CD9"/>
          </w:tcPr>
          <w:p>
            <w:pPr>
              <w:jc w:val="center"/>
              <w:spacing w:after="0" w:line="90" w:lineRule="exact"/>
              <w:rPr>
                <w:sz w:val="20"/>
                <w:szCs w:val="20"/>
                <w:color w:val="auto"/>
              </w:rPr>
            </w:pPr>
            <w:r>
              <w:rPr>
                <w:rFonts w:ascii="Arial" w:cs="Arial" w:eastAsia="Arial" w:hAnsi="Arial"/>
                <w:sz w:val="10"/>
                <w:szCs w:val="10"/>
                <w:b w:val="1"/>
                <w:bCs w:val="1"/>
                <w:color w:val="FFFFFF"/>
              </w:rPr>
              <w:t>HAVE NOT</w:t>
            </w:r>
          </w:p>
        </w:tc>
        <w:tc>
          <w:tcPr>
            <w:tcW w:w="160" w:type="dxa"/>
            <w:vAlign w:val="bottom"/>
            <w:shd w:val="clear" w:color="auto" w:fill="148CD9"/>
          </w:tcPr>
          <w:p>
            <w:pPr>
              <w:spacing w:after="0"/>
              <w:rPr>
                <w:sz w:val="7"/>
                <w:szCs w:val="7"/>
                <w:color w:val="auto"/>
              </w:rPr>
            </w:pPr>
          </w:p>
        </w:tc>
        <w:tc>
          <w:tcPr>
            <w:tcW w:w="1080" w:type="dxa"/>
            <w:vAlign w:val="bottom"/>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w w:val="96"/>
              </w:rPr>
              <w:t>VESTED</w:t>
            </w:r>
          </w:p>
        </w:tc>
        <w:tc>
          <w:tcPr>
            <w:tcW w:w="120" w:type="dxa"/>
            <w:vAlign w:val="bottom"/>
            <w:tcBorders>
              <w:right w:val="single" w:sz="8" w:color="auto"/>
            </w:tcBorders>
            <w:shd w:val="clear" w:color="auto" w:fill="148CD9"/>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tcBorders>
              <w:left w:val="single" w:sz="8" w:color="auto"/>
            </w:tcBorders>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500" w:type="dxa"/>
            <w:vAlign w:val="bottom"/>
            <w:shd w:val="clear" w:color="auto" w:fill="148CD9"/>
          </w:tcPr>
          <w:p>
            <w:pPr>
              <w:spacing w:after="0"/>
              <w:rPr>
                <w:sz w:val="5"/>
                <w:szCs w:val="5"/>
                <w:color w:val="auto"/>
              </w:rPr>
            </w:pPr>
          </w:p>
        </w:tc>
        <w:tc>
          <w:tcPr>
            <w:tcW w:w="480" w:type="dxa"/>
            <w:vAlign w:val="bottom"/>
            <w:shd w:val="clear" w:color="auto" w:fill="148CD9"/>
          </w:tcPr>
          <w:p>
            <w:pPr>
              <w:spacing w:after="0"/>
              <w:rPr>
                <w:sz w:val="5"/>
                <w:szCs w:val="5"/>
                <w:color w:val="auto"/>
              </w:rPr>
            </w:pPr>
          </w:p>
        </w:tc>
        <w:tc>
          <w:tcPr>
            <w:tcW w:w="60" w:type="dxa"/>
            <w:vAlign w:val="bottom"/>
            <w:shd w:val="clear" w:color="auto" w:fill="148CD9"/>
          </w:tcPr>
          <w:p>
            <w:pPr>
              <w:spacing w:after="0"/>
              <w:rPr>
                <w:sz w:val="5"/>
                <w:szCs w:val="5"/>
                <w:color w:val="auto"/>
              </w:rPr>
            </w:pPr>
          </w:p>
        </w:tc>
        <w:tc>
          <w:tcPr>
            <w:tcW w:w="20" w:type="dxa"/>
            <w:vAlign w:val="bottom"/>
            <w:shd w:val="clear" w:color="auto" w:fill="148CD9"/>
          </w:tcPr>
          <w:p>
            <w:pPr>
              <w:spacing w:after="0"/>
              <w:rPr>
                <w:sz w:val="5"/>
                <w:szCs w:val="5"/>
                <w:color w:val="auto"/>
              </w:rPr>
            </w:pPr>
          </w:p>
        </w:tc>
        <w:tc>
          <w:tcPr>
            <w:tcW w:w="920" w:type="dxa"/>
            <w:vAlign w:val="bottom"/>
            <w:vMerge w:val="continue"/>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1080" w:type="dxa"/>
            <w:vAlign w:val="bottom"/>
            <w:vMerge w:val="continue"/>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640" w:type="dxa"/>
            <w:vAlign w:val="bottom"/>
            <w:shd w:val="clear" w:color="auto" w:fill="148CD9"/>
          </w:tcPr>
          <w:p>
            <w:pPr>
              <w:spacing w:after="0"/>
              <w:rPr>
                <w:sz w:val="5"/>
                <w:szCs w:val="5"/>
                <w:color w:val="auto"/>
              </w:rPr>
            </w:pPr>
          </w:p>
        </w:tc>
        <w:tc>
          <w:tcPr>
            <w:tcW w:w="180" w:type="dxa"/>
            <w:vAlign w:val="bottom"/>
            <w:shd w:val="clear" w:color="auto" w:fill="148CD9"/>
          </w:tcPr>
          <w:p>
            <w:pPr>
              <w:spacing w:after="0"/>
              <w:rPr>
                <w:sz w:val="5"/>
                <w:szCs w:val="5"/>
                <w:color w:val="auto"/>
              </w:rPr>
            </w:pPr>
          </w:p>
        </w:tc>
        <w:tc>
          <w:tcPr>
            <w:tcW w:w="740" w:type="dxa"/>
            <w:vAlign w:val="bottom"/>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800" w:type="dxa"/>
            <w:vAlign w:val="bottom"/>
            <w:vMerge w:val="restart"/>
            <w:shd w:val="clear" w:color="auto" w:fill="148CD9"/>
          </w:tcPr>
          <w:p>
            <w:pPr>
              <w:jc w:val="center"/>
              <w:spacing w:after="0" w:line="135" w:lineRule="exact"/>
              <w:rPr>
                <w:sz w:val="20"/>
                <w:szCs w:val="20"/>
                <w:color w:val="auto"/>
              </w:rPr>
            </w:pPr>
            <w:r>
              <w:rPr>
                <w:rFonts w:ascii="Arial" w:cs="Arial" w:eastAsia="Arial" w:hAnsi="Arial"/>
                <w:sz w:val="13"/>
                <w:szCs w:val="13"/>
                <w:b w:val="1"/>
                <w:bCs w:val="1"/>
                <w:color w:val="FFFFFF"/>
                <w:w w:val="96"/>
              </w:rPr>
              <w:t>VESTED</w:t>
            </w:r>
          </w:p>
        </w:tc>
        <w:tc>
          <w:tcPr>
            <w:tcW w:w="160" w:type="dxa"/>
            <w:vAlign w:val="bottom"/>
            <w:shd w:val="clear" w:color="auto" w:fill="148CD9"/>
          </w:tcPr>
          <w:p>
            <w:pPr>
              <w:spacing w:after="0"/>
              <w:rPr>
                <w:sz w:val="5"/>
                <w:szCs w:val="5"/>
                <w:color w:val="auto"/>
              </w:rPr>
            </w:pPr>
          </w:p>
        </w:tc>
        <w:tc>
          <w:tcPr>
            <w:tcW w:w="1080" w:type="dxa"/>
            <w:vAlign w:val="bottom"/>
            <w:vMerge w:val="continue"/>
            <w:shd w:val="clear" w:color="auto" w:fill="148CD9"/>
          </w:tcPr>
          <w:p>
            <w:pPr>
              <w:spacing w:after="0"/>
              <w:rPr>
                <w:sz w:val="5"/>
                <w:szCs w:val="5"/>
                <w:color w:val="auto"/>
              </w:rPr>
            </w:pPr>
          </w:p>
        </w:tc>
        <w:tc>
          <w:tcPr>
            <w:tcW w:w="120" w:type="dxa"/>
            <w:vAlign w:val="bottom"/>
            <w:tcBorders>
              <w:right w:val="single" w:sz="8" w:color="auto"/>
            </w:tcBorders>
            <w:shd w:val="clear" w:color="auto" w:fill="148CD9"/>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660" w:type="dxa"/>
            <w:vAlign w:val="bottom"/>
            <w:tcBorders>
              <w:left w:val="single" w:sz="8" w:color="auto"/>
            </w:tcBorders>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500" w:type="dxa"/>
            <w:vAlign w:val="bottom"/>
            <w:shd w:val="clear" w:color="auto" w:fill="148CD9"/>
          </w:tcPr>
          <w:p>
            <w:pPr>
              <w:spacing w:after="0"/>
              <w:rPr>
                <w:sz w:val="5"/>
                <w:szCs w:val="5"/>
                <w:color w:val="auto"/>
              </w:rPr>
            </w:pPr>
          </w:p>
        </w:tc>
        <w:tc>
          <w:tcPr>
            <w:tcW w:w="480" w:type="dxa"/>
            <w:vAlign w:val="bottom"/>
            <w:shd w:val="clear" w:color="auto" w:fill="148CD9"/>
          </w:tcPr>
          <w:p>
            <w:pPr>
              <w:spacing w:after="0"/>
              <w:rPr>
                <w:sz w:val="5"/>
                <w:szCs w:val="5"/>
                <w:color w:val="auto"/>
              </w:rPr>
            </w:pPr>
          </w:p>
        </w:tc>
        <w:tc>
          <w:tcPr>
            <w:tcW w:w="60" w:type="dxa"/>
            <w:vAlign w:val="bottom"/>
            <w:shd w:val="clear" w:color="auto" w:fill="148CD9"/>
          </w:tcPr>
          <w:p>
            <w:pPr>
              <w:spacing w:after="0"/>
              <w:rPr>
                <w:sz w:val="5"/>
                <w:szCs w:val="5"/>
                <w:color w:val="auto"/>
              </w:rPr>
            </w:pPr>
          </w:p>
        </w:tc>
        <w:tc>
          <w:tcPr>
            <w:tcW w:w="20" w:type="dxa"/>
            <w:vAlign w:val="bottom"/>
            <w:shd w:val="clear" w:color="auto" w:fill="148CD9"/>
          </w:tcPr>
          <w:p>
            <w:pPr>
              <w:spacing w:after="0"/>
              <w:rPr>
                <w:sz w:val="5"/>
                <w:szCs w:val="5"/>
                <w:color w:val="auto"/>
              </w:rPr>
            </w:pPr>
          </w:p>
        </w:tc>
        <w:tc>
          <w:tcPr>
            <w:tcW w:w="920" w:type="dxa"/>
            <w:vAlign w:val="bottom"/>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w w:val="95"/>
              </w:rPr>
              <w:t>EXERCISABLE</w:t>
            </w:r>
          </w:p>
        </w:tc>
        <w:tc>
          <w:tcPr>
            <w:tcW w:w="140" w:type="dxa"/>
            <w:vAlign w:val="bottom"/>
            <w:shd w:val="clear" w:color="auto" w:fill="148CD9"/>
          </w:tcPr>
          <w:p>
            <w:pPr>
              <w:spacing w:after="0"/>
              <w:rPr>
                <w:sz w:val="5"/>
                <w:szCs w:val="5"/>
                <w:color w:val="auto"/>
              </w:rPr>
            </w:pPr>
          </w:p>
        </w:tc>
        <w:tc>
          <w:tcPr>
            <w:tcW w:w="1080" w:type="dxa"/>
            <w:vAlign w:val="bottom"/>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w w:val="95"/>
              </w:rPr>
              <w:t>UNEXERCISABLE</w:t>
            </w:r>
          </w:p>
        </w:tc>
        <w:tc>
          <w:tcPr>
            <w:tcW w:w="140" w:type="dxa"/>
            <w:vAlign w:val="bottom"/>
            <w:shd w:val="clear" w:color="auto" w:fill="148CD9"/>
          </w:tcPr>
          <w:p>
            <w:pPr>
              <w:spacing w:after="0"/>
              <w:rPr>
                <w:sz w:val="5"/>
                <w:szCs w:val="5"/>
                <w:color w:val="auto"/>
              </w:rPr>
            </w:pPr>
          </w:p>
        </w:tc>
        <w:tc>
          <w:tcPr>
            <w:tcW w:w="640" w:type="dxa"/>
            <w:vAlign w:val="bottom"/>
            <w:shd w:val="clear" w:color="auto" w:fill="148CD9"/>
          </w:tcPr>
          <w:p>
            <w:pPr>
              <w:spacing w:after="0"/>
              <w:rPr>
                <w:sz w:val="5"/>
                <w:szCs w:val="5"/>
                <w:color w:val="auto"/>
              </w:rPr>
            </w:pPr>
          </w:p>
        </w:tc>
        <w:tc>
          <w:tcPr>
            <w:tcW w:w="180" w:type="dxa"/>
            <w:vAlign w:val="bottom"/>
            <w:shd w:val="clear" w:color="auto" w:fill="148CD9"/>
          </w:tcPr>
          <w:p>
            <w:pPr>
              <w:spacing w:after="0"/>
              <w:rPr>
                <w:sz w:val="5"/>
                <w:szCs w:val="5"/>
                <w:color w:val="auto"/>
              </w:rPr>
            </w:pPr>
          </w:p>
        </w:tc>
        <w:tc>
          <w:tcPr>
            <w:tcW w:w="740" w:type="dxa"/>
            <w:vAlign w:val="bottom"/>
            <w:shd w:val="clear" w:color="auto" w:fill="148CD9"/>
          </w:tcPr>
          <w:p>
            <w:pPr>
              <w:spacing w:after="0"/>
              <w:rPr>
                <w:sz w:val="5"/>
                <w:szCs w:val="5"/>
                <w:color w:val="auto"/>
              </w:rPr>
            </w:pPr>
          </w:p>
        </w:tc>
        <w:tc>
          <w:tcPr>
            <w:tcW w:w="140" w:type="dxa"/>
            <w:vAlign w:val="bottom"/>
            <w:shd w:val="clear" w:color="auto" w:fill="148CD9"/>
          </w:tcPr>
          <w:p>
            <w:pPr>
              <w:spacing w:after="0"/>
              <w:rPr>
                <w:sz w:val="5"/>
                <w:szCs w:val="5"/>
                <w:color w:val="auto"/>
              </w:rPr>
            </w:pPr>
          </w:p>
        </w:tc>
        <w:tc>
          <w:tcPr>
            <w:tcW w:w="800" w:type="dxa"/>
            <w:vAlign w:val="bottom"/>
            <w:vMerge w:val="continue"/>
            <w:shd w:val="clear" w:color="auto" w:fill="148CD9"/>
          </w:tcPr>
          <w:p>
            <w:pPr>
              <w:spacing w:after="0"/>
              <w:rPr>
                <w:sz w:val="5"/>
                <w:szCs w:val="5"/>
                <w:color w:val="auto"/>
              </w:rPr>
            </w:pPr>
          </w:p>
        </w:tc>
        <w:tc>
          <w:tcPr>
            <w:tcW w:w="160" w:type="dxa"/>
            <w:vAlign w:val="bottom"/>
            <w:shd w:val="clear" w:color="auto" w:fill="148CD9"/>
          </w:tcPr>
          <w:p>
            <w:pPr>
              <w:spacing w:after="0"/>
              <w:rPr>
                <w:sz w:val="5"/>
                <w:szCs w:val="5"/>
                <w:color w:val="auto"/>
              </w:rPr>
            </w:pPr>
          </w:p>
        </w:tc>
        <w:tc>
          <w:tcPr>
            <w:tcW w:w="1080" w:type="dxa"/>
            <w:vAlign w:val="bottom"/>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w w:val="94"/>
              </w:rPr>
              <w:t>($)(1)</w:t>
            </w:r>
          </w:p>
        </w:tc>
        <w:tc>
          <w:tcPr>
            <w:tcW w:w="120" w:type="dxa"/>
            <w:vAlign w:val="bottom"/>
            <w:tcBorders>
              <w:right w:val="single" w:sz="8" w:color="auto"/>
            </w:tcBorders>
            <w:shd w:val="clear" w:color="auto" w:fill="148CD9"/>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tcBorders>
            <w:shd w:val="clear" w:color="auto" w:fill="148CD9"/>
          </w:tcPr>
          <w:p>
            <w:pPr>
              <w:spacing w:after="0"/>
              <w:rPr>
                <w:sz w:val="9"/>
                <w:szCs w:val="9"/>
                <w:color w:val="auto"/>
              </w:rPr>
            </w:pPr>
          </w:p>
        </w:tc>
        <w:tc>
          <w:tcPr>
            <w:tcW w:w="140" w:type="dxa"/>
            <w:vAlign w:val="bottom"/>
            <w:shd w:val="clear" w:color="auto" w:fill="148CD9"/>
          </w:tcPr>
          <w:p>
            <w:pPr>
              <w:spacing w:after="0"/>
              <w:rPr>
                <w:sz w:val="9"/>
                <w:szCs w:val="9"/>
                <w:color w:val="auto"/>
              </w:rPr>
            </w:pPr>
          </w:p>
        </w:tc>
        <w:tc>
          <w:tcPr>
            <w:tcW w:w="500" w:type="dxa"/>
            <w:vAlign w:val="bottom"/>
            <w:shd w:val="clear" w:color="auto" w:fill="148CD9"/>
          </w:tcPr>
          <w:p>
            <w:pPr>
              <w:spacing w:after="0"/>
              <w:rPr>
                <w:sz w:val="9"/>
                <w:szCs w:val="9"/>
                <w:color w:val="auto"/>
              </w:rPr>
            </w:pPr>
          </w:p>
        </w:tc>
        <w:tc>
          <w:tcPr>
            <w:tcW w:w="480" w:type="dxa"/>
            <w:vAlign w:val="bottom"/>
            <w:shd w:val="clear" w:color="auto" w:fill="148CD9"/>
          </w:tcPr>
          <w:p>
            <w:pPr>
              <w:spacing w:after="0"/>
              <w:rPr>
                <w:sz w:val="9"/>
                <w:szCs w:val="9"/>
                <w:color w:val="auto"/>
              </w:rPr>
            </w:pPr>
          </w:p>
        </w:tc>
        <w:tc>
          <w:tcPr>
            <w:tcW w:w="60" w:type="dxa"/>
            <w:vAlign w:val="bottom"/>
            <w:shd w:val="clear" w:color="auto" w:fill="148CD9"/>
          </w:tcPr>
          <w:p>
            <w:pPr>
              <w:spacing w:after="0"/>
              <w:rPr>
                <w:sz w:val="9"/>
                <w:szCs w:val="9"/>
                <w:color w:val="auto"/>
              </w:rPr>
            </w:pPr>
          </w:p>
        </w:tc>
        <w:tc>
          <w:tcPr>
            <w:tcW w:w="20" w:type="dxa"/>
            <w:vAlign w:val="bottom"/>
            <w:shd w:val="clear" w:color="auto" w:fill="148CD9"/>
          </w:tcPr>
          <w:p>
            <w:pPr>
              <w:spacing w:after="0"/>
              <w:rPr>
                <w:sz w:val="9"/>
                <w:szCs w:val="9"/>
                <w:color w:val="auto"/>
              </w:rPr>
            </w:pPr>
          </w:p>
        </w:tc>
        <w:tc>
          <w:tcPr>
            <w:tcW w:w="920" w:type="dxa"/>
            <w:vAlign w:val="bottom"/>
            <w:vMerge w:val="continue"/>
            <w:shd w:val="clear" w:color="auto" w:fill="148CD9"/>
          </w:tcPr>
          <w:p>
            <w:pPr>
              <w:spacing w:after="0"/>
              <w:rPr>
                <w:sz w:val="9"/>
                <w:szCs w:val="9"/>
                <w:color w:val="auto"/>
              </w:rPr>
            </w:pPr>
          </w:p>
        </w:tc>
        <w:tc>
          <w:tcPr>
            <w:tcW w:w="140" w:type="dxa"/>
            <w:vAlign w:val="bottom"/>
            <w:shd w:val="clear" w:color="auto" w:fill="148CD9"/>
          </w:tcPr>
          <w:p>
            <w:pPr>
              <w:spacing w:after="0"/>
              <w:rPr>
                <w:sz w:val="9"/>
                <w:szCs w:val="9"/>
                <w:color w:val="auto"/>
              </w:rPr>
            </w:pPr>
          </w:p>
        </w:tc>
        <w:tc>
          <w:tcPr>
            <w:tcW w:w="1080" w:type="dxa"/>
            <w:vAlign w:val="bottom"/>
            <w:vMerge w:val="continue"/>
            <w:shd w:val="clear" w:color="auto" w:fill="148CD9"/>
          </w:tcPr>
          <w:p>
            <w:pPr>
              <w:spacing w:after="0"/>
              <w:rPr>
                <w:sz w:val="9"/>
                <w:szCs w:val="9"/>
                <w:color w:val="auto"/>
              </w:rPr>
            </w:pPr>
          </w:p>
        </w:tc>
        <w:tc>
          <w:tcPr>
            <w:tcW w:w="140" w:type="dxa"/>
            <w:vAlign w:val="bottom"/>
            <w:shd w:val="clear" w:color="auto" w:fill="148CD9"/>
          </w:tcPr>
          <w:p>
            <w:pPr>
              <w:spacing w:after="0"/>
              <w:rPr>
                <w:sz w:val="9"/>
                <w:szCs w:val="9"/>
                <w:color w:val="auto"/>
              </w:rPr>
            </w:pPr>
          </w:p>
        </w:tc>
        <w:tc>
          <w:tcPr>
            <w:tcW w:w="640" w:type="dxa"/>
            <w:vAlign w:val="bottom"/>
            <w:shd w:val="clear" w:color="auto" w:fill="148CD9"/>
          </w:tcPr>
          <w:p>
            <w:pPr>
              <w:spacing w:after="0"/>
              <w:rPr>
                <w:sz w:val="9"/>
                <w:szCs w:val="9"/>
                <w:color w:val="auto"/>
              </w:rPr>
            </w:pPr>
          </w:p>
        </w:tc>
        <w:tc>
          <w:tcPr>
            <w:tcW w:w="180" w:type="dxa"/>
            <w:vAlign w:val="bottom"/>
            <w:shd w:val="clear" w:color="auto" w:fill="148CD9"/>
          </w:tcPr>
          <w:p>
            <w:pPr>
              <w:spacing w:after="0"/>
              <w:rPr>
                <w:sz w:val="9"/>
                <w:szCs w:val="9"/>
                <w:color w:val="auto"/>
              </w:rPr>
            </w:pPr>
          </w:p>
        </w:tc>
        <w:tc>
          <w:tcPr>
            <w:tcW w:w="740" w:type="dxa"/>
            <w:vAlign w:val="bottom"/>
            <w:shd w:val="clear" w:color="auto" w:fill="148CD9"/>
          </w:tcPr>
          <w:p>
            <w:pPr>
              <w:spacing w:after="0"/>
              <w:rPr>
                <w:sz w:val="9"/>
                <w:szCs w:val="9"/>
                <w:color w:val="auto"/>
              </w:rPr>
            </w:pPr>
          </w:p>
        </w:tc>
        <w:tc>
          <w:tcPr>
            <w:tcW w:w="140" w:type="dxa"/>
            <w:vAlign w:val="bottom"/>
            <w:shd w:val="clear" w:color="auto" w:fill="148CD9"/>
          </w:tcPr>
          <w:p>
            <w:pPr>
              <w:spacing w:after="0"/>
              <w:rPr>
                <w:sz w:val="9"/>
                <w:szCs w:val="9"/>
                <w:color w:val="auto"/>
              </w:rPr>
            </w:pPr>
          </w:p>
        </w:tc>
        <w:tc>
          <w:tcPr>
            <w:tcW w:w="800" w:type="dxa"/>
            <w:vAlign w:val="bottom"/>
            <w:vMerge w:val="restart"/>
            <w:shd w:val="clear" w:color="auto" w:fill="148CD9"/>
          </w:tcPr>
          <w:p>
            <w:pPr>
              <w:jc w:val="center"/>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148CD9"/>
          </w:tcPr>
          <w:p>
            <w:pPr>
              <w:spacing w:after="0"/>
              <w:rPr>
                <w:sz w:val="9"/>
                <w:szCs w:val="9"/>
                <w:color w:val="auto"/>
              </w:rPr>
            </w:pPr>
          </w:p>
        </w:tc>
        <w:tc>
          <w:tcPr>
            <w:tcW w:w="1080" w:type="dxa"/>
            <w:vAlign w:val="bottom"/>
            <w:vMerge w:val="continue"/>
            <w:shd w:val="clear" w:color="auto" w:fill="148CD9"/>
          </w:tcPr>
          <w:p>
            <w:pPr>
              <w:spacing w:after="0"/>
              <w:rPr>
                <w:sz w:val="9"/>
                <w:szCs w:val="9"/>
                <w:color w:val="auto"/>
              </w:rPr>
            </w:pPr>
          </w:p>
        </w:tc>
        <w:tc>
          <w:tcPr>
            <w:tcW w:w="120" w:type="dxa"/>
            <w:vAlign w:val="bottom"/>
            <w:tcBorders>
              <w:right w:val="single" w:sz="8" w:color="auto"/>
            </w:tcBorders>
            <w:shd w:val="clear" w:color="auto" w:fill="148CD9"/>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60" w:type="dxa"/>
            <w:vAlign w:val="bottom"/>
            <w:tcBorders>
              <w:left w:val="single" w:sz="8" w:color="auto"/>
              <w:bottom w:val="single" w:sz="8" w:color="148CD9"/>
            </w:tcBorders>
            <w:shd w:val="clear" w:color="auto" w:fill="148CD9"/>
          </w:tcPr>
          <w:p>
            <w:pPr>
              <w:spacing w:after="0"/>
              <w:rPr>
                <w:sz w:val="8"/>
                <w:szCs w:val="8"/>
                <w:color w:val="auto"/>
              </w:rPr>
            </w:pPr>
          </w:p>
        </w:tc>
        <w:tc>
          <w:tcPr>
            <w:tcW w:w="140" w:type="dxa"/>
            <w:vAlign w:val="bottom"/>
            <w:tcBorders>
              <w:bottom w:val="single" w:sz="8" w:color="148CD9"/>
            </w:tcBorders>
            <w:shd w:val="clear" w:color="auto" w:fill="148CD9"/>
          </w:tcPr>
          <w:p>
            <w:pPr>
              <w:spacing w:after="0"/>
              <w:rPr>
                <w:sz w:val="8"/>
                <w:szCs w:val="8"/>
                <w:color w:val="auto"/>
              </w:rPr>
            </w:pPr>
          </w:p>
        </w:tc>
        <w:tc>
          <w:tcPr>
            <w:tcW w:w="500" w:type="dxa"/>
            <w:vAlign w:val="bottom"/>
            <w:tcBorders>
              <w:bottom w:val="single" w:sz="8" w:color="148CD9"/>
            </w:tcBorders>
            <w:shd w:val="clear" w:color="auto" w:fill="148CD9"/>
          </w:tcPr>
          <w:p>
            <w:pPr>
              <w:spacing w:after="0"/>
              <w:rPr>
                <w:sz w:val="8"/>
                <w:szCs w:val="8"/>
                <w:color w:val="auto"/>
              </w:rPr>
            </w:pPr>
          </w:p>
        </w:tc>
        <w:tc>
          <w:tcPr>
            <w:tcW w:w="480" w:type="dxa"/>
            <w:vAlign w:val="bottom"/>
            <w:tcBorders>
              <w:bottom w:val="single" w:sz="8" w:color="148CD9"/>
            </w:tcBorders>
            <w:shd w:val="clear" w:color="auto" w:fill="148CD9"/>
          </w:tcPr>
          <w:p>
            <w:pPr>
              <w:spacing w:after="0"/>
              <w:rPr>
                <w:sz w:val="8"/>
                <w:szCs w:val="8"/>
                <w:color w:val="auto"/>
              </w:rPr>
            </w:pPr>
          </w:p>
        </w:tc>
        <w:tc>
          <w:tcPr>
            <w:tcW w:w="60" w:type="dxa"/>
            <w:vAlign w:val="bottom"/>
            <w:tcBorders>
              <w:bottom w:val="single" w:sz="8" w:color="148CD9"/>
            </w:tcBorders>
            <w:shd w:val="clear" w:color="auto" w:fill="148CD9"/>
          </w:tcPr>
          <w:p>
            <w:pPr>
              <w:spacing w:after="0"/>
              <w:rPr>
                <w:sz w:val="8"/>
                <w:szCs w:val="8"/>
                <w:color w:val="auto"/>
              </w:rPr>
            </w:pPr>
          </w:p>
        </w:tc>
        <w:tc>
          <w:tcPr>
            <w:tcW w:w="20" w:type="dxa"/>
            <w:vAlign w:val="bottom"/>
            <w:tcBorders>
              <w:bottom w:val="single" w:sz="8" w:color="148CD9"/>
            </w:tcBorders>
            <w:shd w:val="clear" w:color="auto" w:fill="148CD9"/>
          </w:tcPr>
          <w:p>
            <w:pPr>
              <w:spacing w:after="0"/>
              <w:rPr>
                <w:sz w:val="8"/>
                <w:szCs w:val="8"/>
                <w:color w:val="auto"/>
              </w:rPr>
            </w:pPr>
          </w:p>
        </w:tc>
        <w:tc>
          <w:tcPr>
            <w:tcW w:w="920" w:type="dxa"/>
            <w:vAlign w:val="bottom"/>
            <w:tcBorders>
              <w:bottom w:val="single" w:sz="8" w:color="148CD9"/>
            </w:tcBorders>
            <w:shd w:val="clear" w:color="auto" w:fill="148CD9"/>
          </w:tcPr>
          <w:p>
            <w:pPr>
              <w:spacing w:after="0"/>
              <w:rPr>
                <w:sz w:val="8"/>
                <w:szCs w:val="8"/>
                <w:color w:val="auto"/>
              </w:rPr>
            </w:pPr>
          </w:p>
        </w:tc>
        <w:tc>
          <w:tcPr>
            <w:tcW w:w="140" w:type="dxa"/>
            <w:vAlign w:val="bottom"/>
            <w:tcBorders>
              <w:bottom w:val="single" w:sz="8" w:color="148CD9"/>
            </w:tcBorders>
            <w:shd w:val="clear" w:color="auto" w:fill="148CD9"/>
          </w:tcPr>
          <w:p>
            <w:pPr>
              <w:spacing w:after="0"/>
              <w:rPr>
                <w:sz w:val="8"/>
                <w:szCs w:val="8"/>
                <w:color w:val="auto"/>
              </w:rPr>
            </w:pPr>
          </w:p>
        </w:tc>
        <w:tc>
          <w:tcPr>
            <w:tcW w:w="1080" w:type="dxa"/>
            <w:vAlign w:val="bottom"/>
            <w:tcBorders>
              <w:bottom w:val="single" w:sz="8" w:color="148CD9"/>
            </w:tcBorders>
            <w:shd w:val="clear" w:color="auto" w:fill="148CD9"/>
          </w:tcPr>
          <w:p>
            <w:pPr>
              <w:spacing w:after="0"/>
              <w:rPr>
                <w:sz w:val="8"/>
                <w:szCs w:val="8"/>
                <w:color w:val="auto"/>
              </w:rPr>
            </w:pPr>
          </w:p>
        </w:tc>
        <w:tc>
          <w:tcPr>
            <w:tcW w:w="140" w:type="dxa"/>
            <w:vAlign w:val="bottom"/>
            <w:tcBorders>
              <w:bottom w:val="single" w:sz="8" w:color="148CD9"/>
            </w:tcBorders>
            <w:shd w:val="clear" w:color="auto" w:fill="148CD9"/>
          </w:tcPr>
          <w:p>
            <w:pPr>
              <w:spacing w:after="0"/>
              <w:rPr>
                <w:sz w:val="8"/>
                <w:szCs w:val="8"/>
                <w:color w:val="auto"/>
              </w:rPr>
            </w:pPr>
          </w:p>
        </w:tc>
        <w:tc>
          <w:tcPr>
            <w:tcW w:w="640" w:type="dxa"/>
            <w:vAlign w:val="bottom"/>
            <w:tcBorders>
              <w:bottom w:val="single" w:sz="8" w:color="148CD9"/>
            </w:tcBorders>
            <w:shd w:val="clear" w:color="auto" w:fill="148CD9"/>
          </w:tcPr>
          <w:p>
            <w:pPr>
              <w:spacing w:after="0"/>
              <w:rPr>
                <w:sz w:val="8"/>
                <w:szCs w:val="8"/>
                <w:color w:val="auto"/>
              </w:rPr>
            </w:pPr>
          </w:p>
        </w:tc>
        <w:tc>
          <w:tcPr>
            <w:tcW w:w="180" w:type="dxa"/>
            <w:vAlign w:val="bottom"/>
            <w:tcBorders>
              <w:bottom w:val="single" w:sz="8" w:color="148CD9"/>
            </w:tcBorders>
            <w:shd w:val="clear" w:color="auto" w:fill="148CD9"/>
          </w:tcPr>
          <w:p>
            <w:pPr>
              <w:spacing w:after="0"/>
              <w:rPr>
                <w:sz w:val="8"/>
                <w:szCs w:val="8"/>
                <w:color w:val="auto"/>
              </w:rPr>
            </w:pPr>
          </w:p>
        </w:tc>
        <w:tc>
          <w:tcPr>
            <w:tcW w:w="740" w:type="dxa"/>
            <w:vAlign w:val="bottom"/>
            <w:tcBorders>
              <w:bottom w:val="single" w:sz="8" w:color="148CD9"/>
            </w:tcBorders>
            <w:shd w:val="clear" w:color="auto" w:fill="148CD9"/>
          </w:tcPr>
          <w:p>
            <w:pPr>
              <w:spacing w:after="0"/>
              <w:rPr>
                <w:sz w:val="8"/>
                <w:szCs w:val="8"/>
                <w:color w:val="auto"/>
              </w:rPr>
            </w:pPr>
          </w:p>
        </w:tc>
        <w:tc>
          <w:tcPr>
            <w:tcW w:w="140" w:type="dxa"/>
            <w:vAlign w:val="bottom"/>
            <w:tcBorders>
              <w:bottom w:val="single" w:sz="8" w:color="148CD9"/>
            </w:tcBorders>
            <w:shd w:val="clear" w:color="auto" w:fill="148CD9"/>
          </w:tcPr>
          <w:p>
            <w:pPr>
              <w:spacing w:after="0"/>
              <w:rPr>
                <w:sz w:val="8"/>
                <w:szCs w:val="8"/>
                <w:color w:val="auto"/>
              </w:rPr>
            </w:pPr>
          </w:p>
        </w:tc>
        <w:tc>
          <w:tcPr>
            <w:tcW w:w="800" w:type="dxa"/>
            <w:vAlign w:val="bottom"/>
            <w:tcBorders>
              <w:bottom w:val="single" w:sz="8" w:color="148CD9"/>
            </w:tcBorders>
            <w:vMerge w:val="continue"/>
            <w:shd w:val="clear" w:color="auto" w:fill="148CD9"/>
          </w:tcPr>
          <w:p>
            <w:pPr>
              <w:spacing w:after="0"/>
              <w:rPr>
                <w:sz w:val="8"/>
                <w:szCs w:val="8"/>
                <w:color w:val="auto"/>
              </w:rPr>
            </w:pPr>
          </w:p>
        </w:tc>
        <w:tc>
          <w:tcPr>
            <w:tcW w:w="160" w:type="dxa"/>
            <w:vAlign w:val="bottom"/>
            <w:tcBorders>
              <w:bottom w:val="single" w:sz="8" w:color="148CD9"/>
            </w:tcBorders>
            <w:shd w:val="clear" w:color="auto" w:fill="148CD9"/>
          </w:tcPr>
          <w:p>
            <w:pPr>
              <w:spacing w:after="0"/>
              <w:rPr>
                <w:sz w:val="8"/>
                <w:szCs w:val="8"/>
                <w:color w:val="auto"/>
              </w:rPr>
            </w:pPr>
          </w:p>
        </w:tc>
        <w:tc>
          <w:tcPr>
            <w:tcW w:w="1080" w:type="dxa"/>
            <w:vAlign w:val="bottom"/>
            <w:tcBorders>
              <w:bottom w:val="single" w:sz="8" w:color="148CD9"/>
            </w:tcBorders>
            <w:shd w:val="clear" w:color="auto" w:fill="148CD9"/>
          </w:tcPr>
          <w:p>
            <w:pPr>
              <w:spacing w:after="0"/>
              <w:rPr>
                <w:sz w:val="8"/>
                <w:szCs w:val="8"/>
                <w:color w:val="auto"/>
              </w:rPr>
            </w:pPr>
          </w:p>
        </w:tc>
        <w:tc>
          <w:tcPr>
            <w:tcW w:w="120" w:type="dxa"/>
            <w:vAlign w:val="bottom"/>
            <w:tcBorders>
              <w:bottom w:val="single" w:sz="8" w:color="148CD9"/>
              <w:right w:val="single" w:sz="8" w:color="auto"/>
            </w:tcBorders>
            <w:shd w:val="clear" w:color="auto" w:fill="148CD9"/>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6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4"/>
                <w:szCs w:val="14"/>
                <w:b w:val="1"/>
                <w:bCs w:val="1"/>
                <w:color w:val="auto"/>
              </w:rPr>
              <w:t>Brent Pfeiffenberger,</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12/4/2023(9​​) ​</w:t>
            </w: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62,111</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$1.61</w:t>
            </w:r>
          </w:p>
        </w:tc>
        <w:tc>
          <w:tcPr>
            <w:tcW w:w="9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 ​ 12/4/2033</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62,111</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$206,209</w:t>
            </w:r>
          </w:p>
        </w:tc>
        <w:tc>
          <w:tcPr>
            <w:tcW w:w="1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66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Pharm.D.</w:t>
            </w:r>
          </w:p>
        </w:tc>
        <w:tc>
          <w:tcPr>
            <w:tcW w:w="140" w:type="dxa"/>
            <w:vAlign w:val="bottom"/>
          </w:tcPr>
          <w:p>
            <w:pPr>
              <w:spacing w:after="0"/>
              <w:rPr>
                <w:sz w:val="16"/>
                <w:szCs w:val="16"/>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12/4/2023(9​​) ​</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8"/>
              </w:rPr>
              <w:t>511,580</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$1.61</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color w:val="auto"/>
              </w:rPr>
              <w:t>​ ​ 12/4/2033</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511,580</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$1,698,446</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1660" w:type="dxa"/>
            <w:vAlign w:val="bottom"/>
            <w:tcBorders>
              <w:left w:val="single" w:sz="8" w:color="auto"/>
            </w:tcBorders>
            <w:vMerge w:val="restart"/>
          </w:tcPr>
          <w:p>
            <w:pPr>
              <w:ind w:left="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gridSpan w:val="4"/>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tcBorders>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 12/4/2023(7​​) ​</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279,504</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$927,953</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 12/4/2023(8​​) ​</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1,173,775</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$3,896,933</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66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4"/>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66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Gregory Russotti,</w:t>
            </w:r>
          </w:p>
        </w:tc>
        <w:tc>
          <w:tcPr>
            <w:tcW w:w="14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3/18/2020(14​​) ​</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$1.03</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 ​ 3/17/2030</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7,731</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$25,667</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66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Ph.D.,</w:t>
            </w:r>
          </w:p>
        </w:tc>
        <w:tc>
          <w:tcPr>
            <w:tcW w:w="140" w:type="dxa"/>
            <w:vAlign w:val="bottom"/>
          </w:tcPr>
          <w:p>
            <w:pPr>
              <w:spacing w:after="0"/>
              <w:rPr>
                <w:sz w:val="17"/>
                <w:szCs w:val="17"/>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4/16/2021(3​​) ​</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63,341</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38,006</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$7.27</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color w:val="auto"/>
              </w:rPr>
              <w:t>​ ​ 4/15/2031</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38,006</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$126,180</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1"/>
        </w:trPr>
        <w:tc>
          <w:tcPr>
            <w:tcW w:w="166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66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 1/25/2022(4​​) ​</w:t>
            </w:r>
          </w:p>
        </w:tc>
        <w:tc>
          <w:tcPr>
            <w:tcW w:w="920" w:type="dxa"/>
            <w:vAlign w:val="bottom"/>
          </w:tcPr>
          <w:p>
            <w:pPr>
              <w:jc w:val="center"/>
              <w:spacing w:after="0"/>
              <w:rPr>
                <w:sz w:val="20"/>
                <w:szCs w:val="20"/>
                <w:color w:val="auto"/>
              </w:rPr>
            </w:pPr>
            <w:r>
              <w:rPr>
                <w:rFonts w:ascii="Arial" w:cs="Arial" w:eastAsia="Arial" w:hAnsi="Arial"/>
                <w:sz w:val="14"/>
                <w:szCs w:val="14"/>
                <w:color w:val="auto"/>
              </w:rPr>
              <w:t>50,307</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54,693</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$13.15</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 ​ 1/25/2032</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54,693</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$181,581</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6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 2/2/2023(10​​) ​</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175,000</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rPr>
              <w:t>2/2/2033</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175,000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$581,000</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16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 2/2/2023(10​​) ​</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175,000</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rPr>
              <w:t>2/2/2033</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175,000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$581,000</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4/12/2023(10​​) ​</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318,750</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$2.91</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 ​ 4/12/2033</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318,750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$1,058,250</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16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660" w:type="dxa"/>
            <w:vAlign w:val="bottom"/>
            <w:tcBorders>
              <w:lef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Osvaldo Flores, Ph.D.</w:t>
            </w:r>
          </w:p>
        </w:tc>
        <w:tc>
          <w:tcPr>
            <w:tcW w:w="140" w:type="dxa"/>
            <w:vAlign w:val="bottom"/>
          </w:tcPr>
          <w:p>
            <w:pPr>
              <w:spacing w:after="0"/>
              <w:rPr>
                <w:sz w:val="12"/>
                <w:szCs w:val="12"/>
                <w:color w:val="auto"/>
              </w:rPr>
            </w:pPr>
          </w:p>
        </w:tc>
        <w:tc>
          <w:tcPr>
            <w:tcW w:w="50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 ​</w:t>
            </w: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rPr>
              <w:t>213,624</w:t>
            </w:r>
          </w:p>
        </w:tc>
        <w:tc>
          <w:tcPr>
            <w:tcW w:w="14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rPr>
              <w:t>$1.74</w:t>
            </w:r>
          </w:p>
        </w:tc>
        <w:tc>
          <w:tcPr>
            <w:tcW w:w="18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740" w:type="dxa"/>
            <w:vAlign w:val="bottom"/>
          </w:tcPr>
          <w:p>
            <w:pPr>
              <w:jc w:val="center"/>
              <w:spacing w:after="0" w:line="142" w:lineRule="exact"/>
              <w:rPr>
                <w:sz w:val="20"/>
                <w:szCs w:val="20"/>
                <w:color w:val="auto"/>
              </w:rPr>
            </w:pPr>
            <w:r>
              <w:rPr>
                <w:rFonts w:ascii="Arial" w:cs="Arial" w:eastAsia="Arial" w:hAnsi="Arial"/>
                <w:sz w:val="14"/>
                <w:szCs w:val="14"/>
                <w:color w:val="auto"/>
              </w:rPr>
              <w:t>4/11/2026</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80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1660" w:type="dxa"/>
            <w:vAlign w:val="bottom"/>
            <w:tcBorders>
              <w:lef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4"/>
          </w:tcPr>
          <w:p>
            <w:pPr>
              <w:jc w:val="right"/>
              <w:ind w:right="37"/>
              <w:spacing w:after="0" w:line="85" w:lineRule="exact"/>
              <w:rPr>
                <w:sz w:val="20"/>
                <w:szCs w:val="20"/>
                <w:color w:val="auto"/>
              </w:rPr>
            </w:pPr>
            <w:r>
              <w:rPr>
                <w:rFonts w:ascii="Arial" w:cs="Arial" w:eastAsia="Arial" w:hAnsi="Arial"/>
                <w:sz w:val="9"/>
                <w:szCs w:val="9"/>
                <w:color w:val="auto"/>
              </w:rPr>
              <w:t>​ 10/1/2020(2)</w:t>
            </w: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66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200" w:type="dxa"/>
            <w:vAlign w:val="bottom"/>
            <w:gridSpan w:val="5"/>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4/16/2021(3​​) ​</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340,119</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$7.27</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rPr>
              <w:t>4/11/2026</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1/25/2022(4​​) ​</w:t>
            </w:r>
          </w:p>
        </w:tc>
        <w:tc>
          <w:tcPr>
            <w:tcW w:w="920" w:type="dxa"/>
            <w:vAlign w:val="bottom"/>
          </w:tcPr>
          <w:p>
            <w:pPr>
              <w:jc w:val="center"/>
              <w:spacing w:after="0"/>
              <w:rPr>
                <w:sz w:val="20"/>
                <w:szCs w:val="20"/>
                <w:color w:val="auto"/>
              </w:rPr>
            </w:pPr>
            <w:r>
              <w:rPr>
                <w:rFonts w:ascii="Arial" w:cs="Arial" w:eastAsia="Arial" w:hAnsi="Arial"/>
                <w:sz w:val="14"/>
                <w:szCs w:val="14"/>
                <w:color w:val="auto"/>
              </w:rPr>
              <w:t>91,875</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$13.15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rPr>
              <w:t>4/11/2026</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16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660" w:type="dxa"/>
            <w:vAlign w:val="bottom"/>
            <w:tcBorders>
              <w:lef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Michael Diem, M.D.</w:t>
            </w:r>
          </w:p>
        </w:tc>
        <w:tc>
          <w:tcPr>
            <w:tcW w:w="140" w:type="dxa"/>
            <w:vAlign w:val="bottom"/>
          </w:tcPr>
          <w:p>
            <w:pPr>
              <w:spacing w:after="0"/>
              <w:rPr>
                <w:sz w:val="12"/>
                <w:szCs w:val="12"/>
                <w:color w:val="auto"/>
              </w:rPr>
            </w:pPr>
          </w:p>
        </w:tc>
        <w:tc>
          <w:tcPr>
            <w:tcW w:w="50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 ​</w:t>
            </w: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rPr>
              <w:t>222,024</w:t>
            </w:r>
          </w:p>
        </w:tc>
        <w:tc>
          <w:tcPr>
            <w:tcW w:w="14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rPr>
              <w:t>69,580</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rPr>
              <w:t>$1.74</w:t>
            </w: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 ​ 9/30/2030</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800" w:type="dxa"/>
            <w:vAlign w:val="bottom"/>
          </w:tcPr>
          <w:p>
            <w:pPr>
              <w:jc w:val="center"/>
              <w:spacing w:after="0" w:line="142" w:lineRule="exact"/>
              <w:rPr>
                <w:sz w:val="20"/>
                <w:szCs w:val="20"/>
                <w:color w:val="auto"/>
              </w:rPr>
            </w:pPr>
            <w:r>
              <w:rPr>
                <w:rFonts w:ascii="Arial" w:cs="Arial" w:eastAsia="Arial" w:hAnsi="Arial"/>
                <w:sz w:val="14"/>
                <w:szCs w:val="14"/>
                <w:color w:val="auto"/>
              </w:rPr>
              <w:t>69,580</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rPr>
              <w:t>$231,006</w:t>
            </w:r>
          </w:p>
        </w:tc>
        <w:tc>
          <w:tcPr>
            <w:tcW w:w="12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1660" w:type="dxa"/>
            <w:vAlign w:val="bottom"/>
            <w:tcBorders>
              <w:lef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4"/>
          </w:tcPr>
          <w:p>
            <w:pPr>
              <w:jc w:val="right"/>
              <w:ind w:right="37"/>
              <w:spacing w:after="0" w:line="85" w:lineRule="exact"/>
              <w:rPr>
                <w:sz w:val="20"/>
                <w:szCs w:val="20"/>
                <w:color w:val="auto"/>
              </w:rPr>
            </w:pPr>
            <w:r>
              <w:rPr>
                <w:rFonts w:ascii="Arial" w:cs="Arial" w:eastAsia="Arial" w:hAnsi="Arial"/>
                <w:sz w:val="9"/>
                <w:szCs w:val="9"/>
                <w:color w:val="auto"/>
              </w:rPr>
              <w:t>​ 10/1/2020(5)</w:t>
            </w: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6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4/16/2021(3​​) ​</w:t>
            </w:r>
          </w:p>
        </w:tc>
        <w:tc>
          <w:tcPr>
            <w:tcW w:w="920" w:type="dxa"/>
            <w:vAlign w:val="bottom"/>
          </w:tcPr>
          <w:p>
            <w:pPr>
              <w:jc w:val="center"/>
              <w:spacing w:after="0"/>
              <w:rPr>
                <w:sz w:val="20"/>
                <w:szCs w:val="20"/>
                <w:color w:val="auto"/>
              </w:rPr>
            </w:pPr>
            <w:r>
              <w:rPr>
                <w:rFonts w:ascii="Arial" w:cs="Arial" w:eastAsia="Arial" w:hAnsi="Arial"/>
                <w:sz w:val="14"/>
                <w:szCs w:val="14"/>
                <w:color w:val="auto"/>
              </w:rPr>
              <w:t>79,487</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47,693</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$7.27</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 ​ 4/15/2031</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47,693</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$158,341</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1/25/2022(4​​) ​</w:t>
            </w:r>
          </w:p>
        </w:tc>
        <w:tc>
          <w:tcPr>
            <w:tcW w:w="920" w:type="dxa"/>
            <w:vAlign w:val="bottom"/>
          </w:tcPr>
          <w:p>
            <w:pPr>
              <w:jc w:val="center"/>
              <w:spacing w:after="0"/>
              <w:rPr>
                <w:sz w:val="20"/>
                <w:szCs w:val="20"/>
                <w:color w:val="auto"/>
              </w:rPr>
            </w:pPr>
            <w:r>
              <w:rPr>
                <w:rFonts w:ascii="Arial" w:cs="Arial" w:eastAsia="Arial" w:hAnsi="Arial"/>
                <w:sz w:val="14"/>
                <w:szCs w:val="14"/>
                <w:color w:val="auto"/>
              </w:rPr>
              <w:t>50,307</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54,693</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$13.15</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 ​ 1/25/2032</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54,693</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$181,581</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6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2/2/2023(10​​) ​</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131,250</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rPr>
              <w:t>2/2/2033</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131,250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$435,750</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166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200" w:type="dxa"/>
            <w:vAlign w:val="bottom"/>
            <w:gridSpan w:val="5"/>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2/2/2023(10​​) ​</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131,250</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rPr>
              <w:t>2/2/2033</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131,250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$435,750</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6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2/2/2023(11​​) ​</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21,875</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$72,625</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2/2/2023(11​​) ​</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21,875</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$72,625</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6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tcPr>
          <w:p>
            <w:pPr>
              <w:jc w:val="right"/>
              <w:ind w:right="37"/>
              <w:spacing w:after="0"/>
              <w:rPr>
                <w:sz w:val="20"/>
                <w:szCs w:val="20"/>
                <w:color w:val="auto"/>
              </w:rPr>
            </w:pPr>
            <w:r>
              <w:rPr>
                <w:rFonts w:ascii="Arial" w:cs="Arial" w:eastAsia="Arial" w:hAnsi="Arial"/>
                <w:sz w:val="14"/>
                <w:szCs w:val="14"/>
                <w:color w:val="auto"/>
              </w:rPr>
              <w:t>​5/15/2023(12)</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08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75,529</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$250,756</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660" w:type="dxa"/>
            <w:vAlign w:val="bottom"/>
            <w:tcBorders>
              <w:left w:val="single" w:sz="8" w:color="auto"/>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3"/>
          </w:tcPr>
          <w:p>
            <w:pPr>
              <w:jc w:val="right"/>
              <w:spacing w:after="0" w:line="135" w:lineRule="exact"/>
              <w:rPr>
                <w:sz w:val="20"/>
                <w:szCs w:val="20"/>
                <w:color w:val="auto"/>
              </w:rPr>
            </w:pPr>
            <w:r>
              <w:rPr>
                <w:rFonts w:ascii="Arial" w:cs="Arial" w:eastAsia="Arial" w:hAnsi="Arial"/>
                <w:sz w:val="14"/>
                <w:szCs w:val="14"/>
                <w:color w:val="auto"/>
              </w:rPr>
              <w:t>​​ ​</w:t>
            </w:r>
          </w:p>
        </w:tc>
        <w:tc>
          <w:tcPr>
            <w:tcW w:w="92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0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70" w:type="dxa"/>
        <w:tblCellMar>
          <w:top w:w="0" w:type="dxa"/>
          <w:left w:w="0" w:type="dxa"/>
          <w:bottom w:w="0" w:type="dxa"/>
          <w:right w:w="0" w:type="dxa"/>
        </w:tblCellMar>
      </w:tblPr>
      <w:tr>
        <w:trPr>
          <w:trHeight w:val="378"/>
        </w:trPr>
        <w:tc>
          <w:tcPr>
            <w:tcW w:w="5000" w:type="dxa"/>
            <w:vAlign w:val="bottom"/>
            <w:tcBorders>
              <w:left w:val="single" w:sz="8" w:color="1DA46F"/>
            </w:tcBorders>
            <w:gridSpan w:val="8"/>
            <w:shd w:val="clear" w:color="auto" w:fill="1DA46F"/>
          </w:tcPr>
          <w:p>
            <w:pPr>
              <w:ind w:left="20"/>
              <w:spacing w:after="0"/>
              <w:rPr>
                <w:sz w:val="20"/>
                <w:szCs w:val="20"/>
                <w:color w:val="auto"/>
              </w:rPr>
            </w:pPr>
            <w:r>
              <w:rPr>
                <w:rFonts w:ascii="Arial" w:cs="Arial" w:eastAsia="Arial" w:hAnsi="Arial"/>
                <w:sz w:val="32"/>
                <w:szCs w:val="32"/>
                <w:b w:val="1"/>
                <w:bCs w:val="1"/>
                <w:color w:val="FFFFFF"/>
              </w:rPr>
              <w:t>​EXECUTIVE COMPENSATION</w:t>
            </w:r>
          </w:p>
        </w:tc>
        <w:tc>
          <w:tcPr>
            <w:tcW w:w="140" w:type="dxa"/>
            <w:vAlign w:val="bottom"/>
            <w:shd w:val="clear" w:color="auto" w:fill="1DA46F"/>
          </w:tcPr>
          <w:p>
            <w:pPr>
              <w:spacing w:after="0"/>
              <w:rPr>
                <w:sz w:val="24"/>
                <w:szCs w:val="24"/>
                <w:color w:val="auto"/>
              </w:rPr>
            </w:pPr>
          </w:p>
        </w:tc>
        <w:tc>
          <w:tcPr>
            <w:tcW w:w="640" w:type="dxa"/>
            <w:vAlign w:val="bottom"/>
            <w:shd w:val="clear" w:color="auto" w:fill="1DA46F"/>
          </w:tcPr>
          <w:p>
            <w:pPr>
              <w:spacing w:after="0"/>
              <w:rPr>
                <w:sz w:val="24"/>
                <w:szCs w:val="24"/>
                <w:color w:val="auto"/>
              </w:rPr>
            </w:pPr>
          </w:p>
        </w:tc>
        <w:tc>
          <w:tcPr>
            <w:tcW w:w="160" w:type="dxa"/>
            <w:vAlign w:val="bottom"/>
            <w:shd w:val="clear" w:color="auto" w:fill="1DA46F"/>
          </w:tcPr>
          <w:p>
            <w:pPr>
              <w:spacing w:after="0"/>
              <w:rPr>
                <w:sz w:val="24"/>
                <w:szCs w:val="24"/>
                <w:color w:val="auto"/>
              </w:rPr>
            </w:pPr>
          </w:p>
        </w:tc>
        <w:tc>
          <w:tcPr>
            <w:tcW w:w="760" w:type="dxa"/>
            <w:vAlign w:val="bottom"/>
            <w:shd w:val="clear" w:color="auto" w:fill="1DA46F"/>
          </w:tcPr>
          <w:p>
            <w:pPr>
              <w:spacing w:after="0"/>
              <w:rPr>
                <w:sz w:val="24"/>
                <w:szCs w:val="24"/>
                <w:color w:val="auto"/>
              </w:rPr>
            </w:pPr>
          </w:p>
        </w:tc>
        <w:tc>
          <w:tcPr>
            <w:tcW w:w="140" w:type="dxa"/>
            <w:vAlign w:val="bottom"/>
            <w:shd w:val="clear" w:color="auto" w:fill="1DA46F"/>
          </w:tcPr>
          <w:p>
            <w:pPr>
              <w:spacing w:after="0"/>
              <w:rPr>
                <w:sz w:val="24"/>
                <w:szCs w:val="24"/>
                <w:color w:val="auto"/>
              </w:rPr>
            </w:pPr>
          </w:p>
        </w:tc>
        <w:tc>
          <w:tcPr>
            <w:tcW w:w="800" w:type="dxa"/>
            <w:vAlign w:val="bottom"/>
            <w:shd w:val="clear" w:color="auto" w:fill="1DA46F"/>
          </w:tcPr>
          <w:p>
            <w:pPr>
              <w:spacing w:after="0"/>
              <w:rPr>
                <w:sz w:val="24"/>
                <w:szCs w:val="24"/>
                <w:color w:val="auto"/>
              </w:rPr>
            </w:pPr>
          </w:p>
        </w:tc>
        <w:tc>
          <w:tcPr>
            <w:tcW w:w="160" w:type="dxa"/>
            <w:vAlign w:val="bottom"/>
            <w:shd w:val="clear" w:color="auto" w:fill="1DA46F"/>
          </w:tcPr>
          <w:p>
            <w:pPr>
              <w:spacing w:after="0"/>
              <w:rPr>
                <w:sz w:val="24"/>
                <w:szCs w:val="24"/>
                <w:color w:val="auto"/>
              </w:rPr>
            </w:pPr>
          </w:p>
        </w:tc>
        <w:tc>
          <w:tcPr>
            <w:tcW w:w="1060" w:type="dxa"/>
            <w:vAlign w:val="bottom"/>
            <w:shd w:val="clear" w:color="auto" w:fill="1DA46F"/>
          </w:tcPr>
          <w:p>
            <w:pPr>
              <w:spacing w:after="0"/>
              <w:rPr>
                <w:sz w:val="24"/>
                <w:szCs w:val="24"/>
                <w:color w:val="auto"/>
              </w:rPr>
            </w:pPr>
          </w:p>
        </w:tc>
        <w:tc>
          <w:tcPr>
            <w:tcW w:w="140" w:type="dxa"/>
            <w:vAlign w:val="bottom"/>
            <w:tcBorders>
              <w:right w:val="single" w:sz="8" w:color="1DA46F"/>
            </w:tcBorders>
            <w:shd w:val="clear" w:color="auto" w:fill="1DA46F"/>
          </w:tcPr>
          <w:p>
            <w:pPr>
              <w:jc w:val="right"/>
              <w:spacing w:after="0"/>
              <w:rPr>
                <w:sz w:val="20"/>
                <w:szCs w:val="20"/>
                <w:color w:val="auto"/>
              </w:rPr>
            </w:pPr>
            <w:r>
              <w:rPr>
                <w:rFonts w:ascii="Arial" w:cs="Arial" w:eastAsia="Arial" w:hAnsi="Arial"/>
                <w:sz w:val="32"/>
                <w:szCs w:val="32"/>
                <w:b w:val="1"/>
                <w:bCs w:val="1"/>
                <w:color w:val="FFFFFF"/>
              </w:rPr>
              <w:t>​</w:t>
            </w:r>
          </w:p>
        </w:tc>
        <w:tc>
          <w:tcPr>
            <w:tcW w:w="0" w:type="dxa"/>
            <w:vAlign w:val="bottom"/>
          </w:tcPr>
          <w:p>
            <w:pPr>
              <w:spacing w:after="0"/>
              <w:rPr>
                <w:sz w:val="1"/>
                <w:szCs w:val="1"/>
                <w:color w:val="auto"/>
              </w:rPr>
            </w:pPr>
          </w:p>
        </w:tc>
      </w:tr>
      <w:tr>
        <w:trPr>
          <w:trHeight w:val="324"/>
        </w:trPr>
        <w:tc>
          <w:tcPr>
            <w:tcW w:w="1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64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Borders>
              <w:bottom w:val="single" w:sz="8" w:color="148CD9"/>
            </w:tcBorders>
            <w:gridSpan w:val="2"/>
            <w:shd w:val="clear" w:color="auto" w:fill="148CD9"/>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bottom w:val="single" w:sz="8" w:color="148CD9"/>
            </w:tcBorders>
            <w:shd w:val="clear" w:color="auto" w:fill="148CD9"/>
          </w:tcPr>
          <w:p>
            <w:pPr>
              <w:spacing w:after="0"/>
              <w:rPr>
                <w:sz w:val="22"/>
                <w:szCs w:val="22"/>
                <w:color w:val="auto"/>
              </w:rPr>
            </w:pPr>
          </w:p>
        </w:tc>
        <w:tc>
          <w:tcPr>
            <w:tcW w:w="120" w:type="dxa"/>
            <w:vAlign w:val="bottom"/>
            <w:tcBorders>
              <w:bottom w:val="single" w:sz="8" w:color="148CD9"/>
            </w:tcBorders>
            <w:shd w:val="clear" w:color="auto" w:fill="148CD9"/>
          </w:tcPr>
          <w:p>
            <w:pPr>
              <w:spacing w:after="0"/>
              <w:rPr>
                <w:sz w:val="22"/>
                <w:szCs w:val="22"/>
                <w:color w:val="auto"/>
              </w:rPr>
            </w:pPr>
          </w:p>
        </w:tc>
        <w:tc>
          <w:tcPr>
            <w:tcW w:w="1860" w:type="dxa"/>
            <w:vAlign w:val="bottom"/>
            <w:tcBorders>
              <w:bottom w:val="single" w:sz="8" w:color="148CD9"/>
            </w:tcBorders>
            <w:gridSpan w:val="3"/>
            <w:shd w:val="clear" w:color="auto" w:fill="148CD9"/>
          </w:tcPr>
          <w:p>
            <w:pPr>
              <w:ind w:left="340"/>
              <w:spacing w:after="0"/>
              <w:rPr>
                <w:sz w:val="20"/>
                <w:szCs w:val="20"/>
                <w:color w:val="auto"/>
              </w:rPr>
            </w:pPr>
            <w:r>
              <w:rPr>
                <w:rFonts w:ascii="Arial" w:cs="Arial" w:eastAsia="Arial" w:hAnsi="Arial"/>
                <w:sz w:val="13"/>
                <w:szCs w:val="13"/>
                <w:b w:val="1"/>
                <w:bCs w:val="1"/>
                <w:color w:val="FFFFFF"/>
              </w:rPr>
              <w:t>OPTION AWARDS</w:t>
            </w:r>
          </w:p>
        </w:tc>
        <w:tc>
          <w:tcPr>
            <w:tcW w:w="160" w:type="dxa"/>
            <w:vAlign w:val="bottom"/>
            <w:tcBorders>
              <w:bottom w:val="single" w:sz="8" w:color="148CD9"/>
            </w:tcBorders>
            <w:shd w:val="clear" w:color="auto" w:fill="148CD9"/>
          </w:tcPr>
          <w:p>
            <w:pPr>
              <w:spacing w:after="0"/>
              <w:rPr>
                <w:sz w:val="22"/>
                <w:szCs w:val="22"/>
                <w:color w:val="auto"/>
              </w:rPr>
            </w:pPr>
          </w:p>
        </w:tc>
        <w:tc>
          <w:tcPr>
            <w:tcW w:w="760" w:type="dxa"/>
            <w:vAlign w:val="bottom"/>
            <w:tcBorders>
              <w:bottom w:val="single" w:sz="8" w:color="148CD9"/>
            </w:tcBorders>
            <w:shd w:val="clear" w:color="auto" w:fill="148CD9"/>
          </w:tcPr>
          <w:p>
            <w:pPr>
              <w:spacing w:after="0"/>
              <w:rPr>
                <w:sz w:val="22"/>
                <w:szCs w:val="22"/>
                <w:color w:val="auto"/>
              </w:rPr>
            </w:pPr>
          </w:p>
        </w:tc>
        <w:tc>
          <w:tcPr>
            <w:tcW w:w="140" w:type="dxa"/>
            <w:vAlign w:val="bottom"/>
            <w:tcBorders>
              <w:bottom w:val="single" w:sz="8" w:color="148CD9"/>
            </w:tcBorders>
            <w:shd w:val="clear" w:color="auto" w:fill="148CD9"/>
          </w:tcPr>
          <w:p>
            <w:pPr>
              <w:ind w:left="20"/>
              <w:spacing w:after="0"/>
              <w:rPr>
                <w:sz w:val="20"/>
                <w:szCs w:val="20"/>
                <w:color w:val="auto"/>
              </w:rPr>
            </w:pPr>
            <w:r>
              <w:rPr>
                <w:rFonts w:ascii="Arial" w:cs="Arial" w:eastAsia="Arial" w:hAnsi="Arial"/>
                <w:sz w:val="13"/>
                <w:szCs w:val="13"/>
                <w:b w:val="1"/>
                <w:bCs w:val="1"/>
                <w:color w:val="FFFFFF"/>
              </w:rPr>
              <w:t>​ ​</w:t>
            </w:r>
          </w:p>
        </w:tc>
        <w:tc>
          <w:tcPr>
            <w:tcW w:w="2020" w:type="dxa"/>
            <w:vAlign w:val="bottom"/>
            <w:tcBorders>
              <w:bottom w:val="single" w:sz="8" w:color="148CD9"/>
            </w:tcBorders>
            <w:gridSpan w:val="3"/>
            <w:shd w:val="clear" w:color="auto" w:fill="148CD9"/>
          </w:tcPr>
          <w:p>
            <w:pPr>
              <w:ind w:left="500"/>
              <w:spacing w:after="0"/>
              <w:rPr>
                <w:sz w:val="20"/>
                <w:szCs w:val="20"/>
                <w:color w:val="auto"/>
              </w:rPr>
            </w:pPr>
            <w:r>
              <w:rPr>
                <w:rFonts w:ascii="Arial" w:cs="Arial" w:eastAsia="Arial" w:hAnsi="Arial"/>
                <w:sz w:val="13"/>
                <w:szCs w:val="13"/>
                <w:b w:val="1"/>
                <w:bCs w:val="1"/>
                <w:color w:val="FFFFFF"/>
              </w:rPr>
              <w:t>STOCK AWARDS</w:t>
            </w:r>
          </w:p>
        </w:tc>
        <w:tc>
          <w:tcPr>
            <w:tcW w:w="140" w:type="dxa"/>
            <w:vAlign w:val="bottom"/>
            <w:tcBorders>
              <w:bottom w:val="single" w:sz="8" w:color="148CD9"/>
              <w:right w:val="single" w:sz="8" w:color="auto"/>
            </w:tcBorders>
            <w:shd w:val="clear" w:color="auto" w:fill="148CD9"/>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51"/>
        </w:trPr>
        <w:tc>
          <w:tcPr>
            <w:tcW w:w="164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FFFFFF"/>
                <w:w w:val="93"/>
              </w:rPr>
              <w:t>NUMBER OF</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FFFFFF"/>
                <w:w w:val="93"/>
              </w:rPr>
              <w:t>NUMBER OF</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FFFFFF"/>
                <w:w w:val="96"/>
              </w:rPr>
              <w:t>NUMBER OF</w:t>
            </w: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FFFFFF"/>
                <w:w w:val="94"/>
              </w:rPr>
              <w:t>MARKET VALUE</w:t>
            </w:r>
          </w:p>
        </w:tc>
        <w:tc>
          <w:tcPr>
            <w:tcW w:w="1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5"/>
              </w:rPr>
              <w:t>SHARES OR</w:t>
            </w: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40" w:type="dxa"/>
            <w:vAlign w:val="bottom"/>
            <w:tcBorders>
              <w:lef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SECURITIES</w:t>
            </w:r>
          </w:p>
        </w:tc>
        <w:tc>
          <w:tcPr>
            <w:tcW w:w="120" w:type="dxa"/>
            <w:vAlign w:val="bottom"/>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SECURITIES</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OF SHARES OR</w:t>
            </w: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640" w:type="dxa"/>
            <w:vAlign w:val="bottom"/>
            <w:tcBorders>
              <w:left w:val="single" w:sz="8" w:color="auto"/>
            </w:tcBorders>
          </w:tcPr>
          <w:p>
            <w:pPr>
              <w:ind w:left="60"/>
              <w:spacing w:after="0" w:line="126" w:lineRule="exact"/>
              <w:rPr>
                <w:sz w:val="20"/>
                <w:szCs w:val="20"/>
                <w:color w:val="auto"/>
              </w:rPr>
            </w:pPr>
            <w:r>
              <w:rPr>
                <w:rFonts w:ascii="Arial" w:cs="Arial" w:eastAsia="Arial" w:hAnsi="Arial"/>
                <w:sz w:val="13"/>
                <w:szCs w:val="13"/>
                <w:b w:val="1"/>
                <w:bCs w:val="1"/>
                <w:color w:val="FFFFFF"/>
              </w:rPr>
              <w:t>​ NAME</w:t>
            </w:r>
          </w:p>
        </w:tc>
        <w:tc>
          <w:tcPr>
            <w:tcW w:w="1220" w:type="dxa"/>
            <w:vAlign w:val="bottom"/>
            <w:gridSpan w:val="3"/>
          </w:tcPr>
          <w:p>
            <w:pPr>
              <w:ind w:left="80"/>
              <w:spacing w:after="0" w:line="126" w:lineRule="exact"/>
              <w:rPr>
                <w:sz w:val="20"/>
                <w:szCs w:val="20"/>
                <w:color w:val="auto"/>
              </w:rPr>
            </w:pPr>
            <w:r>
              <w:rPr>
                <w:rFonts w:ascii="Arial" w:cs="Arial" w:eastAsia="Arial" w:hAnsi="Arial"/>
                <w:sz w:val="13"/>
                <w:szCs w:val="13"/>
                <w:b w:val="1"/>
                <w:bCs w:val="1"/>
                <w:color w:val="FFFFFF"/>
              </w:rPr>
              <w:t>​ ​ GRANT DATE  ​</w:t>
            </w:r>
          </w:p>
        </w:tc>
        <w:tc>
          <w:tcPr>
            <w:tcW w:w="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b w:val="1"/>
                <w:bCs w:val="1"/>
                <w:color w:val="FFFFFF"/>
              </w:rPr>
              <w:t>​ ​</w:t>
            </w:r>
          </w:p>
        </w:tc>
        <w:tc>
          <w:tcPr>
            <w:tcW w:w="1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Arial" w:cs="Arial" w:eastAsia="Arial" w:hAnsi="Arial"/>
                <w:sz w:val="13"/>
                <w:szCs w:val="13"/>
                <w:b w:val="1"/>
                <w:bCs w:val="1"/>
                <w:color w:val="FFFFFF"/>
              </w:rPr>
              <w:t>OPTION</w:t>
            </w:r>
          </w:p>
        </w:tc>
        <w:tc>
          <w:tcPr>
            <w:tcW w:w="160" w:type="dxa"/>
            <w:vAlign w:val="bottom"/>
          </w:tcPr>
          <w:p>
            <w:pPr>
              <w:spacing w:after="0"/>
              <w:rPr>
                <w:sz w:val="10"/>
                <w:szCs w:val="10"/>
                <w:color w:val="auto"/>
              </w:rPr>
            </w:pPr>
          </w:p>
        </w:tc>
        <w:tc>
          <w:tcPr>
            <w:tcW w:w="760" w:type="dxa"/>
            <w:vAlign w:val="bottom"/>
          </w:tcPr>
          <w:p>
            <w:pPr>
              <w:ind w:left="100"/>
              <w:spacing w:after="0" w:line="126" w:lineRule="exact"/>
              <w:rPr>
                <w:sz w:val="20"/>
                <w:szCs w:val="20"/>
                <w:color w:val="auto"/>
              </w:rPr>
            </w:pPr>
            <w:r>
              <w:rPr>
                <w:rFonts w:ascii="Arial" w:cs="Arial" w:eastAsia="Arial" w:hAnsi="Arial"/>
                <w:sz w:val="13"/>
                <w:szCs w:val="13"/>
                <w:b w:val="1"/>
                <w:bCs w:val="1"/>
                <w:color w:val="FFFFFF"/>
              </w:rPr>
              <w:t>OPTION</w:t>
            </w:r>
          </w:p>
        </w:tc>
        <w:tc>
          <w:tcPr>
            <w:tcW w:w="14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FFFFFF"/>
                <w:w w:val="95"/>
              </w:rPr>
              <w:t>UNITS OF</w:t>
            </w: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FFFFFF"/>
              </w:rPr>
              <w: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w w:val="95"/>
              </w:rPr>
              <w:t>UNDERLYING</w:t>
            </w:r>
          </w:p>
        </w:tc>
        <w:tc>
          <w:tcPr>
            <w:tcW w:w="120" w:type="dxa"/>
            <w:vAlign w:val="bottom"/>
            <w:vMerge w:val="continue"/>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w w:val="95"/>
              </w:rPr>
              <w:t>UNDERLYING</w:t>
            </w: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FFFFFF"/>
              </w:rPr>
              <w:t>​ ​EXERCISE</w:t>
            </w:r>
          </w:p>
        </w:tc>
        <w:tc>
          <w:tcPr>
            <w:tcW w:w="3080" w:type="dxa"/>
            <w:vAlign w:val="bottom"/>
            <w:gridSpan w:val="6"/>
          </w:tcPr>
          <w:p>
            <w:pPr>
              <w:ind w:left="20"/>
              <w:spacing w:after="0" w:line="135" w:lineRule="exact"/>
              <w:rPr>
                <w:sz w:val="20"/>
                <w:szCs w:val="20"/>
                <w:color w:val="auto"/>
              </w:rPr>
            </w:pPr>
            <w:r>
              <w:rPr>
                <w:rFonts w:ascii="Arial" w:cs="Arial" w:eastAsia="Arial" w:hAnsi="Arial"/>
                <w:sz w:val="9"/>
                <w:szCs w:val="9"/>
                <w:b w:val="1"/>
                <w:bCs w:val="1"/>
                <w:color w:val="FFFFFF"/>
              </w:rPr>
              <w:t>​ ​EXPIRATION ​ ​STOCK THAT ​ ​</w:t>
            </w:r>
            <w:r>
              <w:rPr>
                <w:rFonts w:ascii="Arial" w:cs="Arial" w:eastAsia="Arial" w:hAnsi="Arial"/>
                <w:sz w:val="15"/>
                <w:szCs w:val="15"/>
                <w:b w:val="1"/>
                <w:bCs w:val="1"/>
                <w:color w:val="FFFFFF"/>
                <w:vertAlign w:val="superscript"/>
              </w:rPr>
              <w:t>UNITS OF STOCK</w:t>
            </w:r>
          </w:p>
        </w:tc>
        <w:tc>
          <w:tcPr>
            <w:tcW w:w="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640" w:type="dxa"/>
            <w:vAlign w:val="bottom"/>
            <w:tcBorders>
              <w:lef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2"/>
          </w:tcPr>
          <w:p>
            <w:pPr>
              <w:jc w:val="center"/>
              <w:spacing w:after="0" w:line="90" w:lineRule="exact"/>
              <w:rPr>
                <w:sz w:val="20"/>
                <w:szCs w:val="20"/>
                <w:color w:val="auto"/>
              </w:rPr>
            </w:pPr>
            <w:r>
              <w:rPr>
                <w:rFonts w:ascii="Arial" w:cs="Arial" w:eastAsia="Arial" w:hAnsi="Arial"/>
                <w:sz w:val="10"/>
                <w:szCs w:val="10"/>
                <w:b w:val="1"/>
                <w:bCs w:val="1"/>
                <w:color w:val="FFFFFF"/>
              </w:rPr>
              <w:t>UNEXERCISED</w:t>
            </w:r>
          </w:p>
        </w:tc>
        <w:tc>
          <w:tcPr>
            <w:tcW w:w="120" w:type="dxa"/>
            <w:vAlign w:val="bottom"/>
          </w:tcPr>
          <w:p>
            <w:pPr>
              <w:spacing w:after="0"/>
              <w:rPr>
                <w:sz w:val="7"/>
                <w:szCs w:val="7"/>
                <w:color w:val="auto"/>
              </w:rPr>
            </w:pPr>
          </w:p>
        </w:tc>
        <w:tc>
          <w:tcPr>
            <w:tcW w:w="1080" w:type="dxa"/>
            <w:vAlign w:val="bottom"/>
          </w:tcPr>
          <w:p>
            <w:pPr>
              <w:jc w:val="center"/>
              <w:spacing w:after="0" w:line="90" w:lineRule="exact"/>
              <w:rPr>
                <w:sz w:val="20"/>
                <w:szCs w:val="20"/>
                <w:color w:val="auto"/>
              </w:rPr>
            </w:pPr>
            <w:r>
              <w:rPr>
                <w:rFonts w:ascii="Arial" w:cs="Arial" w:eastAsia="Arial" w:hAnsi="Arial"/>
                <w:sz w:val="10"/>
                <w:szCs w:val="10"/>
                <w:b w:val="1"/>
                <w:bCs w:val="1"/>
                <w:color w:val="FFFFFF"/>
              </w:rPr>
              <w:t>UNEXERCISED</w:t>
            </w:r>
          </w:p>
        </w:tc>
        <w:tc>
          <w:tcPr>
            <w:tcW w:w="14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PRICE ($)</w:t>
            </w:r>
          </w:p>
        </w:tc>
        <w:tc>
          <w:tcPr>
            <w:tcW w:w="160" w:type="dxa"/>
            <w:vAlign w:val="bottom"/>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0"/>
              </w:rPr>
              <w:t>DATE</w:t>
            </w:r>
          </w:p>
        </w:tc>
        <w:tc>
          <w:tcPr>
            <w:tcW w:w="1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160" w:type="dxa"/>
            <w:vAlign w:val="bottom"/>
          </w:tcPr>
          <w:p>
            <w:pPr>
              <w:spacing w:after="0"/>
              <w:rPr>
                <w:sz w:val="7"/>
                <w:szCs w:val="7"/>
                <w:color w:val="auto"/>
              </w:rPr>
            </w:pPr>
          </w:p>
        </w:tc>
        <w:tc>
          <w:tcPr>
            <w:tcW w:w="1060" w:type="dxa"/>
            <w:vAlign w:val="bottom"/>
          </w:tcPr>
          <w:p>
            <w:pPr>
              <w:jc w:val="center"/>
              <w:spacing w:after="0" w:line="90" w:lineRule="exact"/>
              <w:rPr>
                <w:sz w:val="20"/>
                <w:szCs w:val="20"/>
                <w:color w:val="auto"/>
              </w:rPr>
            </w:pPr>
            <w:r>
              <w:rPr>
                <w:rFonts w:ascii="Arial" w:cs="Arial" w:eastAsia="Arial" w:hAnsi="Arial"/>
                <w:sz w:val="10"/>
                <w:szCs w:val="10"/>
                <w:b w:val="1"/>
                <w:bCs w:val="1"/>
                <w:color w:val="FFFFFF"/>
              </w:rPr>
              <w:t>THAT HAVE NOT</w:t>
            </w: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FFFFFF"/>
                <w:w w:val="94"/>
              </w:rPr>
              <w:t>OPTIONS (#)</w:t>
            </w:r>
          </w:p>
        </w:tc>
        <w:tc>
          <w:tcPr>
            <w:tcW w:w="120" w:type="dxa"/>
            <w:vAlign w:val="bottom"/>
          </w:tcPr>
          <w:p>
            <w:pPr>
              <w:spacing w:after="0"/>
              <w:rPr>
                <w:sz w:val="5"/>
                <w:szCs w:val="5"/>
                <w:color w:val="auto"/>
              </w:rPr>
            </w:pPr>
          </w:p>
        </w:tc>
        <w:tc>
          <w:tcPr>
            <w:tcW w:w="10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FFFFFF"/>
                <w:w w:val="94"/>
              </w:rPr>
              <w:t>OPTIONS (#)</w:t>
            </w: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FFFFFF"/>
                <w:w w:val="96"/>
              </w:rPr>
              <w:t>VESTED</w:t>
            </w:r>
          </w:p>
        </w:tc>
        <w:tc>
          <w:tcPr>
            <w:tcW w:w="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6"/>
              </w:rPr>
              <w:t>VESTED</w:t>
            </w: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40" w:type="dxa"/>
            <w:vAlign w:val="bottom"/>
            <w:tcBorders>
              <w:lef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5"/>
              </w:rPr>
              <w:t>EXERCISABLE</w:t>
            </w:r>
          </w:p>
        </w:tc>
        <w:tc>
          <w:tcPr>
            <w:tcW w:w="120" w:type="dxa"/>
            <w:vAlign w:val="bottom"/>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5"/>
              </w:rPr>
              <w:t>UNEXERCISABLE</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($)(1)</w:t>
            </w: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40" w:type="dxa"/>
            <w:vAlign w:val="bottom"/>
            <w:tcBorders>
              <w:lef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FFFFF"/>
              </w:rPr>
              <w:t>(#)</w:t>
            </w:r>
          </w:p>
        </w:tc>
        <w:tc>
          <w:tcPr>
            <w:tcW w:w="1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40" w:type="dxa"/>
            <w:vAlign w:val="bottom"/>
            <w:tcBorders>
              <w:lef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64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640" w:type="dxa"/>
            <w:vAlign w:val="bottom"/>
            <w:tcBorders>
              <w:lef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Adrienne Farid, Ph.D.</w:t>
            </w:r>
          </w:p>
        </w:tc>
        <w:tc>
          <w:tcPr>
            <w:tcW w:w="2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rPr>
              <w:t>222,655</w:t>
            </w:r>
          </w:p>
        </w:tc>
        <w:tc>
          <w:tcPr>
            <w:tcW w:w="12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1080" w:type="dxa"/>
            <w:vAlign w:val="bottom"/>
          </w:tcPr>
          <w:p>
            <w:pPr>
              <w:ind w:left="52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rPr>
              <w:t>$1.03</w:t>
            </w:r>
          </w:p>
        </w:tc>
        <w:tc>
          <w:tcPr>
            <w:tcW w:w="16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760" w:type="dxa"/>
            <w:vAlign w:val="bottom"/>
          </w:tcPr>
          <w:p>
            <w:pPr>
              <w:jc w:val="center"/>
              <w:spacing w:after="0" w:line="142" w:lineRule="exact"/>
              <w:rPr>
                <w:sz w:val="20"/>
                <w:szCs w:val="20"/>
                <w:color w:val="auto"/>
              </w:rPr>
            </w:pPr>
            <w:r>
              <w:rPr>
                <w:rFonts w:ascii="Arial" w:cs="Arial" w:eastAsia="Arial" w:hAnsi="Arial"/>
                <w:sz w:val="14"/>
                <w:szCs w:val="14"/>
                <w:color w:val="auto"/>
              </w:rPr>
              <w:t>7/17/2029</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800" w:type="dxa"/>
            <w:vAlign w:val="bottom"/>
          </w:tcPr>
          <w:p>
            <w:pPr>
              <w:ind w:left="40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1060" w:type="dxa"/>
            <w:vAlign w:val="bottom"/>
          </w:tcPr>
          <w:p>
            <w:pPr>
              <w:ind w:left="5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1640" w:type="dxa"/>
            <w:vAlign w:val="bottom"/>
            <w:tcBorders>
              <w:left w:val="single" w:sz="8" w:color="auto"/>
            </w:tcBorders>
            <w:vMerge w:val="continue"/>
          </w:tcPr>
          <w:p>
            <w:pPr>
              <w:spacing w:after="0"/>
              <w:rPr>
                <w:sz w:val="7"/>
                <w:szCs w:val="7"/>
                <w:color w:val="auto"/>
              </w:rPr>
            </w:pPr>
          </w:p>
        </w:tc>
        <w:tc>
          <w:tcPr>
            <w:tcW w:w="28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880" w:type="dxa"/>
            <w:vAlign w:val="bottom"/>
          </w:tcPr>
          <w:p>
            <w:pPr>
              <w:jc w:val="right"/>
              <w:spacing w:after="0" w:line="85" w:lineRule="exact"/>
              <w:rPr>
                <w:sz w:val="20"/>
                <w:szCs w:val="20"/>
                <w:color w:val="auto"/>
              </w:rPr>
            </w:pPr>
            <w:r>
              <w:rPr>
                <w:rFonts w:ascii="Arial" w:cs="Arial" w:eastAsia="Arial" w:hAnsi="Arial"/>
                <w:sz w:val="9"/>
                <w:szCs w:val="9"/>
                <w:color w:val="auto"/>
              </w:rPr>
              <w:t>7/18/2019(6)</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640" w:type="dxa"/>
            <w:vAlign w:val="bottom"/>
            <w:tcBorders>
              <w:left w:val="single" w:sz="8" w:color="auto"/>
            </w:tcBorders>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​​10/01/2020(13)​​​</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$1.75</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 ​ 09/30/2030</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15,462</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60" w:type="dxa"/>
            <w:vAlign w:val="bottom"/>
          </w:tcPr>
          <w:p>
            <w:pPr>
              <w:jc w:val="center"/>
              <w:spacing w:after="0"/>
              <w:rPr>
                <w:sz w:val="20"/>
                <w:szCs w:val="20"/>
                <w:color w:val="auto"/>
              </w:rPr>
            </w:pPr>
            <w:r>
              <w:rPr>
                <w:rFonts w:ascii="Arial" w:cs="Arial" w:eastAsia="Arial" w:hAnsi="Arial"/>
                <w:sz w:val="14"/>
                <w:szCs w:val="14"/>
                <w:color w:val="auto"/>
              </w:rPr>
              <w:t>$51,334</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640" w:type="dxa"/>
            <w:vAlign w:val="bottom"/>
            <w:tcBorders>
              <w:left w:val="single" w:sz="8" w:color="auto"/>
            </w:tcBorders>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4/16/2021(3​​​)</w:t>
            </w:r>
          </w:p>
        </w:tc>
        <w:tc>
          <w:tcPr>
            <w:tcW w:w="920" w:type="dxa"/>
            <w:vAlign w:val="bottom"/>
          </w:tcPr>
          <w:p>
            <w:pPr>
              <w:jc w:val="center"/>
              <w:spacing w:after="0"/>
              <w:rPr>
                <w:sz w:val="20"/>
                <w:szCs w:val="20"/>
                <w:color w:val="auto"/>
              </w:rPr>
            </w:pPr>
            <w:r>
              <w:rPr>
                <w:rFonts w:ascii="Arial" w:cs="Arial" w:eastAsia="Arial" w:hAnsi="Arial"/>
                <w:sz w:val="14"/>
                <w:szCs w:val="14"/>
                <w:color w:val="auto"/>
              </w:rPr>
              <w:t>129,780</w:t>
            </w:r>
          </w:p>
        </w:tc>
        <w:tc>
          <w:tcPr>
            <w:tcW w:w="120" w:type="dxa"/>
            <w:vAlign w:val="bottom"/>
          </w:tcPr>
          <w:p>
            <w:pPr>
              <w:ind w:left="2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77,869</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$7.27</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 ​ 4/15/2031</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77,869</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60" w:type="dxa"/>
            <w:vAlign w:val="bottom"/>
          </w:tcPr>
          <w:p>
            <w:pPr>
              <w:jc w:val="center"/>
              <w:spacing w:after="0"/>
              <w:rPr>
                <w:sz w:val="20"/>
                <w:szCs w:val="20"/>
                <w:color w:val="auto"/>
              </w:rPr>
            </w:pPr>
            <w:r>
              <w:rPr>
                <w:rFonts w:ascii="Arial" w:cs="Arial" w:eastAsia="Arial" w:hAnsi="Arial"/>
                <w:sz w:val="14"/>
                <w:szCs w:val="14"/>
                <w:color w:val="auto"/>
              </w:rPr>
              <w:t>$258,525</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640" w:type="dxa"/>
            <w:vAlign w:val="bottom"/>
            <w:tcBorders>
              <w:left w:val="single" w:sz="8" w:color="auto"/>
            </w:tcBorders>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1/25/2022(4​​​)</w:t>
            </w:r>
          </w:p>
        </w:tc>
        <w:tc>
          <w:tcPr>
            <w:tcW w:w="920" w:type="dxa"/>
            <w:vAlign w:val="bottom"/>
          </w:tcPr>
          <w:p>
            <w:pPr>
              <w:jc w:val="center"/>
              <w:spacing w:after="0"/>
              <w:rPr>
                <w:sz w:val="20"/>
                <w:szCs w:val="20"/>
                <w:color w:val="auto"/>
              </w:rPr>
            </w:pPr>
            <w:r>
              <w:rPr>
                <w:rFonts w:ascii="Arial" w:cs="Arial" w:eastAsia="Arial" w:hAnsi="Arial"/>
                <w:sz w:val="14"/>
                <w:szCs w:val="14"/>
                <w:color w:val="auto"/>
              </w:rPr>
              <w:t>50,307</w:t>
            </w:r>
          </w:p>
        </w:tc>
        <w:tc>
          <w:tcPr>
            <w:tcW w:w="120" w:type="dxa"/>
            <w:vAlign w:val="bottom"/>
          </w:tcPr>
          <w:p>
            <w:pPr>
              <w:ind w:left="2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54,693</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$13.15</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 ​ 1/25/2032</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54,693</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60" w:type="dxa"/>
            <w:vAlign w:val="bottom"/>
          </w:tcPr>
          <w:p>
            <w:pPr>
              <w:jc w:val="center"/>
              <w:spacing w:after="0"/>
              <w:rPr>
                <w:sz w:val="20"/>
                <w:szCs w:val="20"/>
                <w:color w:val="auto"/>
              </w:rPr>
            </w:pPr>
            <w:r>
              <w:rPr>
                <w:rFonts w:ascii="Arial" w:cs="Arial" w:eastAsia="Arial" w:hAnsi="Arial"/>
                <w:sz w:val="14"/>
                <w:szCs w:val="14"/>
                <w:color w:val="auto"/>
              </w:rPr>
              <w:t>$181,581</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64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line="31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2/2/2023(10​​​)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131,250</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60" w:type="dxa"/>
            <w:vAlign w:val="bottom"/>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jc w:val="center"/>
              <w:spacing w:after="0"/>
              <w:rPr>
                <w:sz w:val="20"/>
                <w:szCs w:val="20"/>
                <w:color w:val="auto"/>
              </w:rPr>
            </w:pPr>
            <w:r>
              <w:rPr>
                <w:rFonts w:ascii="Arial" w:cs="Arial" w:eastAsia="Arial" w:hAnsi="Arial"/>
                <w:sz w:val="14"/>
                <w:szCs w:val="14"/>
                <w:color w:val="auto"/>
              </w:rPr>
              <w:t>2/2/2033</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131,250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60" w:type="dxa"/>
            <w:vAlign w:val="bottom"/>
          </w:tcPr>
          <w:p>
            <w:pPr>
              <w:jc w:val="center"/>
              <w:spacing w:after="0"/>
              <w:rPr>
                <w:sz w:val="20"/>
                <w:szCs w:val="20"/>
                <w:color w:val="auto"/>
              </w:rPr>
            </w:pPr>
            <w:r>
              <w:rPr>
                <w:rFonts w:ascii="Arial" w:cs="Arial" w:eastAsia="Arial" w:hAnsi="Arial"/>
                <w:sz w:val="14"/>
                <w:szCs w:val="14"/>
                <w:color w:val="auto"/>
              </w:rPr>
              <w:t>$435,750</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40" w:type="dxa"/>
            <w:vAlign w:val="bottom"/>
            <w:tcBorders>
              <w:lef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2/2/2023(10​​​)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131,250</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60" w:type="dxa"/>
            <w:vAlign w:val="bottom"/>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jc w:val="center"/>
              <w:spacing w:after="0"/>
              <w:rPr>
                <w:sz w:val="20"/>
                <w:szCs w:val="20"/>
                <w:color w:val="auto"/>
              </w:rPr>
            </w:pPr>
            <w:r>
              <w:rPr>
                <w:rFonts w:ascii="Arial" w:cs="Arial" w:eastAsia="Arial" w:hAnsi="Arial"/>
                <w:sz w:val="14"/>
                <w:szCs w:val="14"/>
                <w:color w:val="auto"/>
              </w:rPr>
              <w:t>2/2/2033</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131,250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60" w:type="dxa"/>
            <w:vAlign w:val="bottom"/>
          </w:tcPr>
          <w:p>
            <w:pPr>
              <w:jc w:val="center"/>
              <w:spacing w:after="0"/>
              <w:rPr>
                <w:sz w:val="20"/>
                <w:szCs w:val="20"/>
                <w:color w:val="auto"/>
              </w:rPr>
            </w:pPr>
            <w:r>
              <w:rPr>
                <w:rFonts w:ascii="Arial" w:cs="Arial" w:eastAsia="Arial" w:hAnsi="Arial"/>
                <w:sz w:val="14"/>
                <w:szCs w:val="14"/>
                <w:color w:val="auto"/>
              </w:rPr>
              <w:t>$435,750</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640" w:type="dxa"/>
            <w:vAlign w:val="bottom"/>
            <w:tcBorders>
              <w:left w:val="single" w:sz="8" w:color="auto"/>
            </w:tcBorders>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2/2/2023(11​​​)</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21,875</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60" w:type="dxa"/>
            <w:vAlign w:val="bottom"/>
          </w:tcPr>
          <w:p>
            <w:pPr>
              <w:jc w:val="center"/>
              <w:spacing w:after="0"/>
              <w:rPr>
                <w:sz w:val="20"/>
                <w:szCs w:val="20"/>
                <w:color w:val="auto"/>
              </w:rPr>
            </w:pPr>
            <w:r>
              <w:rPr>
                <w:rFonts w:ascii="Arial" w:cs="Arial" w:eastAsia="Arial" w:hAnsi="Arial"/>
                <w:sz w:val="14"/>
                <w:szCs w:val="14"/>
                <w:color w:val="auto"/>
              </w:rPr>
              <w:t>$72,625</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640" w:type="dxa"/>
            <w:vAlign w:val="bottom"/>
            <w:tcBorders>
              <w:lef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2/2/2023(11)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108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21,875</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$72,625</w:t>
            </w:r>
          </w:p>
        </w:tc>
        <w:tc>
          <w:tcPr>
            <w:tcW w:w="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3"/>
          </w:tcPr>
          <w:p>
            <w:pPr>
              <w:jc w:val="right"/>
              <w:spacing w:after="0" w:line="13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-2150745</wp:posOffset>
            </wp:positionV>
            <wp:extent cx="5683250" cy="8743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83250" cy="874395"/>
                    </a:xfrm>
                    <a:prstGeom prst="rect">
                      <a:avLst/>
                    </a:prstGeom>
                    <a:noFill/>
                  </pic:spPr>
                </pic:pic>
              </a:graphicData>
            </a:graphic>
          </wp:anchor>
        </w:drawing>
      </w:r>
    </w:p>
    <w:p>
      <w:pPr>
        <w:ind w:left="1240" w:right="39" w:hanging="370"/>
        <w:spacing w:after="0" w:line="26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market value is based on the closing stock price of $3.32 on December 29, 2023 (the last trading date in the 2023 fiscal year).</w:t>
      </w:r>
    </w:p>
    <w:p>
      <w:pPr>
        <w:spacing w:after="0" w:line="21" w:lineRule="exact"/>
        <w:rPr>
          <w:rFonts w:ascii="Arial" w:cs="Arial" w:eastAsia="Arial" w:hAnsi="Arial"/>
          <w:sz w:val="16"/>
          <w:szCs w:val="16"/>
          <w:color w:val="auto"/>
        </w:rPr>
      </w:pPr>
    </w:p>
    <w:p>
      <w:pPr>
        <w:jc w:val="both"/>
        <w:ind w:left="1240" w:right="39" w:hanging="370"/>
        <w:spacing w:after="0" w:line="24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option vests 25% on the first anniversary of the grant date and the remaining 75% in 36 equal monthly installments thereafter, subject generally to the NEO’s continued employment with us. This option vested in full upon completion of our initial public offering.</w:t>
      </w:r>
    </w:p>
    <w:p>
      <w:pPr>
        <w:spacing w:after="0" w:line="37"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option vests 25% on June 22, 2022, with the remaining 75% vesting in 36 equal monthly installments, subject generally to the NEO’s continued employment with us.</w:t>
      </w:r>
    </w:p>
    <w:p>
      <w:pPr>
        <w:spacing w:after="0" w:line="7" w:lineRule="exact"/>
        <w:rPr>
          <w:rFonts w:ascii="Arial" w:cs="Arial" w:eastAsia="Arial" w:hAnsi="Arial"/>
          <w:sz w:val="16"/>
          <w:szCs w:val="16"/>
          <w:color w:val="auto"/>
        </w:rPr>
      </w:pPr>
    </w:p>
    <w:p>
      <w:pPr>
        <w:ind w:left="1240" w:right="39" w:hanging="370"/>
        <w:spacing w:after="0" w:line="281"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option vests 25% on January 25, 2023, with the remaining 75% vesting in 36 equal monthly installments, subject generally to the NEO’s continued employment with us.</w:t>
      </w:r>
    </w:p>
    <w:p>
      <w:pPr>
        <w:spacing w:after="0" w:line="1" w:lineRule="exact"/>
        <w:rPr>
          <w:rFonts w:ascii="Arial" w:cs="Arial" w:eastAsia="Arial" w:hAnsi="Arial"/>
          <w:sz w:val="16"/>
          <w:szCs w:val="16"/>
          <w:color w:val="auto"/>
        </w:rPr>
      </w:pPr>
    </w:p>
    <w:p>
      <w:pPr>
        <w:jc w:val="both"/>
        <w:ind w:left="1240" w:right="19" w:hanging="370"/>
        <w:spacing w:after="0" w:line="24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option vests 25% on September 16, 2021 and the remaining 75% in 36 equal monthly installments thereafter, subject generally to the NEO’s continued employment with us. On February 24, 2021, Dr. Diem utilized the early exercise feature of his stock option to purchase 79,488 restricted shares of common stock subject to the same vesting schedule as the original option, leaving 291,604 options outstanding under this option award.</w:t>
      </w:r>
    </w:p>
    <w:p>
      <w:pPr>
        <w:spacing w:after="0" w:line="22" w:lineRule="exact"/>
        <w:rPr>
          <w:rFonts w:ascii="Arial" w:cs="Arial" w:eastAsia="Arial" w:hAnsi="Arial"/>
          <w:sz w:val="16"/>
          <w:szCs w:val="16"/>
          <w:color w:val="auto"/>
        </w:rPr>
      </w:pPr>
    </w:p>
    <w:p>
      <w:pPr>
        <w:jc w:val="both"/>
        <w:ind w:left="1240" w:right="19" w:hanging="370"/>
        <w:spacing w:after="0" w:line="24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option vests 25% on March 1, 2020, with the remaining 75% vesting in 36 equal monthly installments, subject generally to the NEO’s continued employment with us. The unexercisable options are subject to an “early exercise” feature that permits exercise prior to vesting. Upon such an early exercise, the NEO will acquire restricted shares subject to the same vesting schedule as the original option.</w:t>
      </w:r>
    </w:p>
    <w:p>
      <w:pPr>
        <w:spacing w:after="0" w:line="22" w:lineRule="exact"/>
        <w:rPr>
          <w:rFonts w:ascii="Arial" w:cs="Arial" w:eastAsia="Arial" w:hAnsi="Arial"/>
          <w:sz w:val="16"/>
          <w:szCs w:val="16"/>
          <w:color w:val="auto"/>
        </w:rPr>
      </w:pPr>
    </w:p>
    <w:p>
      <w:pPr>
        <w:ind w:left="1240" w:right="39" w:hanging="370"/>
        <w:spacing w:after="0" w:line="281"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restricted stock unit vests 100% on December 4, 2024, subject generally to the NEO’s continued employment with us.</w:t>
      </w:r>
    </w:p>
    <w:p>
      <w:pPr>
        <w:spacing w:after="0" w:line="1" w:lineRule="exact"/>
        <w:rPr>
          <w:rFonts w:ascii="Arial" w:cs="Arial" w:eastAsia="Arial" w:hAnsi="Arial"/>
          <w:sz w:val="16"/>
          <w:szCs w:val="16"/>
          <w:color w:val="auto"/>
        </w:rPr>
      </w:pPr>
    </w:p>
    <w:p>
      <w:pPr>
        <w:jc w:val="both"/>
        <w:ind w:left="1240" w:right="39" w:hanging="370"/>
        <w:spacing w:after="0" w:line="257"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restricted stock unit vests 25% on the first anniversary of the grant date and the remaining 75% in 12 equal quarterly installments every February 15, May 15, August 15, November 15 thereafter, subject generally to the NEO’s continued employment with us.</w:t>
      </w:r>
    </w:p>
    <w:p>
      <w:pPr>
        <w:spacing w:after="0" w:line="16"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option vests 25% on December 4, 2024 with the remaining 75% vesting in 36 equal monthly installments, subject generally to the NEO’s continued employment with us.</w:t>
      </w:r>
    </w:p>
    <w:p>
      <w:pPr>
        <w:spacing w:after="0" w:line="7" w:lineRule="exact"/>
        <w:rPr>
          <w:rFonts w:ascii="Arial" w:cs="Arial" w:eastAsia="Arial" w:hAnsi="Arial"/>
          <w:sz w:val="16"/>
          <w:szCs w:val="16"/>
          <w:color w:val="auto"/>
        </w:rPr>
      </w:pPr>
    </w:p>
    <w:p>
      <w:pPr>
        <w:ind w:left="1240" w:right="39" w:hanging="370"/>
        <w:spacing w:after="0" w:line="281"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option vests 25% on the first anniversary of the grant date and the remaining 75% in 36 equal monthly installments thereafter, subject generally to the NEO’s continued employment with us.</w:t>
      </w:r>
    </w:p>
    <w:p>
      <w:pPr>
        <w:spacing w:after="0" w:line="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restricted stock unit vests 25% on the first anniversary of the grant date and the remaining 75% in 12 equal quarterly installments thereafter, subject generally to the NEO’s continued employment with us.</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restricted stock unit vests 100% on November 1 2024, subject generally to the NEO’s continued employment with us.</w:t>
      </w:r>
    </w:p>
    <w:p>
      <w:pPr>
        <w:spacing w:after="0" w:line="7" w:lineRule="exact"/>
        <w:rPr>
          <w:rFonts w:ascii="Arial" w:cs="Arial" w:eastAsia="Arial" w:hAnsi="Arial"/>
          <w:sz w:val="16"/>
          <w:szCs w:val="16"/>
          <w:color w:val="auto"/>
        </w:rPr>
      </w:pPr>
    </w:p>
    <w:p>
      <w:pPr>
        <w:jc w:val="both"/>
        <w:ind w:left="1240" w:right="19" w:hanging="370"/>
        <w:spacing w:after="0" w:line="24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option vests 25% on October 1, 2021 and the remaining 75% in 36 equal monthly installments thereafter, subject generally to the NEO’s continued employment with us. On January 17, 2021, Dr. Farid utilized the early exercise feature of her stock option to purchase 74,218 restricted shares of common stock subject to the same vesting schedule as the original option, leaving 15,462 options outstanding under this option award.</w:t>
      </w:r>
    </w:p>
    <w:p>
      <w:pPr>
        <w:spacing w:after="0" w:line="22" w:lineRule="exact"/>
        <w:rPr>
          <w:rFonts w:ascii="Arial" w:cs="Arial" w:eastAsia="Arial" w:hAnsi="Arial"/>
          <w:sz w:val="16"/>
          <w:szCs w:val="16"/>
          <w:color w:val="auto"/>
        </w:rPr>
      </w:pPr>
    </w:p>
    <w:p>
      <w:pPr>
        <w:jc w:val="both"/>
        <w:ind w:left="1240" w:right="19" w:hanging="370"/>
        <w:spacing w:after="0" w:line="24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option vests 25% on January 1, 2021 and the remaining 75% in 36 equal monthly installments thereafter, subject generally to the NEO’s continued employment with us. On January 15, 2021, Dr. Russotti utilized the early exercise feature of her stock option to purchase all 371,092 shares subject to the option, subject to the same vesting schedule as the original option. As of December 31, 2023, 7,731 unvested shares of restricted stock remain outstanding.</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EMPLOYMENT AGREEMENTS</w:t>
      </w:r>
    </w:p>
    <w:p>
      <w:pPr>
        <w:spacing w:after="0" w:line="144"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We have entered into employment agreements with all of our named executive officers. The material terms of the employment agreements between us and our named executive officers are described in more detail below.</w:t>
      </w:r>
    </w:p>
    <w:p>
      <w:pPr>
        <w:spacing w:after="0" w:line="247"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Brent Pfeiffenberger, Pharm.D.</w:t>
      </w:r>
    </w:p>
    <w:p>
      <w:pPr>
        <w:spacing w:after="0" w:line="144" w:lineRule="exact"/>
        <w:rPr>
          <w:sz w:val="20"/>
          <w:szCs w:val="20"/>
          <w:color w:val="auto"/>
        </w:rPr>
      </w:pPr>
    </w:p>
    <w:p>
      <w:pPr>
        <w:jc w:val="both"/>
        <w:ind w:left="880" w:right="19"/>
        <w:spacing w:after="0" w:line="246" w:lineRule="auto"/>
        <w:rPr>
          <w:sz w:val="20"/>
          <w:szCs w:val="20"/>
          <w:color w:val="auto"/>
        </w:rPr>
      </w:pPr>
      <w:r>
        <w:rPr>
          <w:rFonts w:ascii="Arial" w:cs="Arial" w:eastAsia="Arial" w:hAnsi="Arial"/>
          <w:sz w:val="18"/>
          <w:szCs w:val="18"/>
          <w:color w:val="auto"/>
        </w:rPr>
        <w:t>In connection with Dr. Pfeiffenberger’s appointment to President and Chief Executive Officer, we entered into an executive employment agreement on November 7, 2023, or the Pfeiffenberger Agreement. Pursuant to the Pfeiffenberger Agreement, Dr. Pfeiffenberger is entitled to (i) an annual base salary of $625,000, (ii) an annual bonus opportunity with a target amount of 55% of his annual base salary, (iii) a one-time signing bonus of $200,000, (iv) a one-time retention bonus of $450,000 and (v) certain sign-on equity awards (as described above). In addition, the Company agreed to reimburse Dr. Pfeiffenberger up to $150,000 for reasonable expenses incurred in connection with Dr. Pfeiffenberger’s relocation to the Philadelphia, Pennsylvania.</w:t>
      </w:r>
    </w:p>
    <w:p>
      <w:pPr>
        <w:spacing w:after="0" w:line="108"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Upon a termination of Dr. Pfeiffenberger’s employment without “cause” (as​ defined in the Pfeiffenberger Agreement) by the Company or resignation for “good reason” (as​ defined in the Pfeiffenberger Agreement), Dr. Pfeiffenberger is entitled to receive (i) payment of all accrued and unpaid base salary and PTO, (ii) payment of any otherwise earned but unpaid annual bonus for the prior year, (iii) payment of pro-rata bonus for the year of termination, and (iv) continuation of his base salary and COBRA premiums paid by us for 12 months. In addition, if such termination without “cause” or for “good reason” occurs, in each case, within three months prior to or 12 months following a “change in control” ​(as defined in the Pfeiffenberger Agreement), then</w:t>
      </w:r>
    </w:p>
    <w:p>
      <w:pPr>
        <w:spacing w:after="0" w:line="3" w:lineRule="exact"/>
        <w:rPr>
          <w:sz w:val="20"/>
          <w:szCs w:val="20"/>
          <w:color w:val="auto"/>
        </w:rPr>
      </w:pPr>
    </w:p>
    <w:p>
      <w:pPr>
        <w:jc w:val="both"/>
        <w:ind w:left="880" w:right="19" w:hanging="10"/>
        <w:spacing w:after="0" w:line="242" w:lineRule="auto"/>
        <w:tabs>
          <w:tab w:leader="none" w:pos="11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 Pfeiffenberger’s salary and COBRA continuation period will be extended from 12 months to 18 months, (b)Dr, Pfeiffenberger will also receive a lump sum payment in an amount equal to his target annual bonus for the calendar year in which the termination occurs, and (c) all of Dr. Pfeiffenberger’s outstanding equity awards subject to vesting solely based on the passage of time and Dr. Pfeiffenberger’s continued employment will become vested on the later of Dr. Pfeiffenberger’s termination date and the change in control.</w:t>
      </w:r>
    </w:p>
    <w:p>
      <w:pPr>
        <w:spacing w:after="0" w:line="113"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Upon a termination of Dr. Pfeiffenberger’s employment for any reason other than without cause or resignation for good reason, including, but not limited to (i) termination for cause, (ii) resignation without good reason,</w:t>
      </w:r>
    </w:p>
    <w:p>
      <w:pPr>
        <w:jc w:val="both"/>
        <w:ind w:left="880" w:right="19" w:hanging="10"/>
        <w:spacing w:after="0" w:line="245" w:lineRule="auto"/>
        <w:tabs>
          <w:tab w:leader="none" w:pos="12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as a result of Dr. Pfeiffenberger’s “disability” (as​ defined in the Pfeiffenberger Agreement) or death, then the Company’s obligation to Dr. Pfeiffenberger will be limited solely to the payment of accrued and unpaid base salary through the date of such termination of employment. All other compensation and benefits will cease at the time of such termination, except as otherwise provided by COBRA.</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Osvaldo Flores, Ph.D.</w:t>
      </w:r>
    </w:p>
    <w:p>
      <w:pPr>
        <w:spacing w:after="0" w:line="158"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7"/>
          <w:szCs w:val="17"/>
          <w:color w:val="auto"/>
        </w:rPr>
        <w:t>In connection with our IPO, we entered into an executive employment agreement with Dr. Flores dated May 26, 2021, or the Flores Agreement. The Flores Agreement provided for an initial base salary of $557,000, an initial annual bonus opportunity equal to 50% of his base salary, and eligibility to participate generally in our employee benefit plans. The Flores Agreement provided for severance benefits upon a termination of Dr. Flores’ employment by us without “cause” ​(as defined in the Flores Agreement), or resignation by Dr. Flores for “good reason” (as​ defined in the Flores Agreement), subject to Dr. Flores’ execution of a general release of claims. The severance benefits included: (i) payment of any otherwise earned but unpaid annual bonus for the prior year, and</w:t>
      </w:r>
    </w:p>
    <w:p>
      <w:pPr>
        <w:spacing w:after="0" w:line="2" w:lineRule="exact"/>
        <w:rPr>
          <w:sz w:val="20"/>
          <w:szCs w:val="20"/>
          <w:color w:val="auto"/>
        </w:rPr>
      </w:pPr>
    </w:p>
    <w:p>
      <w:pPr>
        <w:ind w:left="1140" w:hanging="270"/>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continuation of Dr. Flores’ base salary and payment of Dr. Flores’ COBRA premiums by us for a period of</w:t>
      </w:r>
    </w:p>
    <w:p>
      <w:pPr>
        <w:spacing w:after="0" w:line="9" w:lineRule="exact"/>
        <w:rPr>
          <w:rFonts w:ascii="Arial" w:cs="Arial" w:eastAsia="Arial" w:hAnsi="Arial"/>
          <w:sz w:val="18"/>
          <w:szCs w:val="18"/>
          <w:color w:val="auto"/>
        </w:rPr>
      </w:pPr>
    </w:p>
    <w:p>
      <w:pPr>
        <w:jc w:val="both"/>
        <w:ind w:left="880" w:right="39"/>
        <w:spacing w:after="0" w:line="250" w:lineRule="auto"/>
        <w:rPr>
          <w:rFonts w:ascii="Arial" w:cs="Arial" w:eastAsia="Arial" w:hAnsi="Arial"/>
          <w:sz w:val="18"/>
          <w:szCs w:val="18"/>
          <w:color w:val="auto"/>
        </w:rPr>
      </w:pPr>
      <w:r>
        <w:rPr>
          <w:rFonts w:ascii="Arial" w:cs="Arial" w:eastAsia="Arial" w:hAnsi="Arial"/>
          <w:sz w:val="18"/>
          <w:szCs w:val="18"/>
          <w:color w:val="auto"/>
        </w:rPr>
        <w:t>12 months. In addition, if such termination without “cause” or resignation for “good reason” had occurred within three months prior to or 12 months following a “change in control” (as​ defined in the Flores Agreement), then</w:t>
      </w:r>
    </w:p>
    <w:p>
      <w:pPr>
        <w:ind w:left="1160" w:hanging="290"/>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 of Dr. Flores’ salary continuation and COBRA premium subsidy would have been extended from</w:t>
      </w:r>
    </w:p>
    <w:p>
      <w:pPr>
        <w:spacing w:after="0" w:line="9" w:lineRule="exact"/>
        <w:rPr>
          <w:rFonts w:ascii="Arial" w:cs="Arial" w:eastAsia="Arial" w:hAnsi="Arial"/>
          <w:sz w:val="18"/>
          <w:szCs w:val="18"/>
          <w:color w:val="auto"/>
        </w:rPr>
      </w:pPr>
    </w:p>
    <w:p>
      <w:pPr>
        <w:jc w:val="both"/>
        <w:ind w:left="880" w:right="19"/>
        <w:spacing w:after="0" w:line="254" w:lineRule="auto"/>
        <w:rPr>
          <w:rFonts w:ascii="Arial" w:cs="Arial" w:eastAsia="Arial" w:hAnsi="Arial"/>
          <w:sz w:val="18"/>
          <w:szCs w:val="18"/>
          <w:color w:val="auto"/>
        </w:rPr>
      </w:pPr>
      <w:r>
        <w:rPr>
          <w:rFonts w:ascii="Arial" w:cs="Arial" w:eastAsia="Arial" w:hAnsi="Arial"/>
          <w:sz w:val="18"/>
          <w:szCs w:val="18"/>
          <w:color w:val="auto"/>
        </w:rPr>
        <w:t>12 months to 18 months; (b) Dr. Flores would have received a lump sum payment in an amount equal to his target annual bonus for the calendar year in which the termination occurs, and (c) all of Dr. Flores’ outstanding equity awards subject to vesting solely based on the passage of time would vest in full on the later of Dr. Flores’ termination date and the change in control. In each case, the payment of severance benefits was conditioned on Dr. Flores’ execution of a release of claims.</w:t>
      </w:r>
    </w:p>
    <w:p>
      <w:pPr>
        <w:spacing w:after="0" w:line="102" w:lineRule="exact"/>
        <w:rPr>
          <w:sz w:val="20"/>
          <w:szCs w:val="20"/>
          <w:color w:val="auto"/>
        </w:rPr>
      </w:pPr>
    </w:p>
    <w:p>
      <w:pPr>
        <w:jc w:val="both"/>
        <w:ind w:left="880" w:right="39"/>
        <w:spacing w:after="0" w:line="255" w:lineRule="auto"/>
        <w:rPr>
          <w:sz w:val="20"/>
          <w:szCs w:val="20"/>
          <w:color w:val="auto"/>
        </w:rPr>
      </w:pPr>
      <w:r>
        <w:rPr>
          <w:rFonts w:ascii="Arial" w:cs="Arial" w:eastAsia="Arial" w:hAnsi="Arial"/>
          <w:sz w:val="18"/>
          <w:szCs w:val="18"/>
          <w:color w:val="auto"/>
        </w:rPr>
        <w:t>On April 11, 2023, Dr. Flores stepped down from his roles as President and Chief Executive Officer, as part of a termination without cause under the Flores Agreement. In connection with Dr. Flores’ departure, we entered into a separation agreement with Dr. Flores dated April 28, 2023, or the Flores Separation Agreement. The Flores Separation Agreement, in exchange for a release of claims and other agreements, acknowledgements and representations of Dr. Flores set forth therein, provided for the following severance benefits: (i) monthly severance payments equal to one-twelfth of Dr. Flores’ base salary for a period of 12 months, or the Flores Severance Period; (ii) if Dr. Flores timely elects to continue his group health insurance pursuant to COBRA, reimbursement of</w:t>
      </w:r>
    </w:p>
    <w:p>
      <w:pPr>
        <w:spacing w:after="0" w:line="29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46" w:lineRule="auto"/>
        <w:rPr>
          <w:sz w:val="20"/>
          <w:szCs w:val="20"/>
          <w:color w:val="auto"/>
        </w:rPr>
      </w:pPr>
      <w:r>
        <w:rPr>
          <w:rFonts w:ascii="Arial" w:cs="Arial" w:eastAsia="Arial" w:hAnsi="Arial"/>
          <w:sz w:val="18"/>
          <w:szCs w:val="18"/>
          <w:color w:val="auto"/>
        </w:rPr>
        <w:t>Dr. Flores’ health insurance COBRA premiums for continuing his health care coverage and the coverage of his dependents who were covered as of his departure date for the Flores Severance Period; (iii) all vested stock options held by Dr. Flores as of April 12, 2023 shall remain exercisable until the earlier of (a) the third year anniversary of April 12, 2023 and (b) the original expiration date for each applicable stock option; and (iv) all unvested shares of restricted stock held by Dr. Flores continued to vest pursuant to their terms during a six-month advisory period beginning on April 12, 2023, any remaining unvested shares of restricted stock shall accelerate and vest in full.</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Gregory Russotti, Ph.D.</w:t>
      </w:r>
    </w:p>
    <w:p>
      <w:pPr>
        <w:spacing w:after="0" w:line="158"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color w:val="auto"/>
        </w:rPr>
        <w:t>In connection with our IPO, we entered into an executive employment agreement with Dr. Russotti dated May 26, 2021, or the Russotti Agreement. The Russotti Agreement provides for an initial base salary, an initial annual bonus opportunity, and eligibility to participate generally in our employee benefit plans. The Russotti Agreement also provides for severance benefits upon a termination of Dr. Russotti’s employment by us without “cause” ​(as defined in the Russotti Agreement), or resignation by Dr. Russotti for “good reason” ​(as defined in the Russotti Agreement), subject to Dr. Russotti’s execution of a general release of claims. The severance benefits are:</w:t>
      </w:r>
    </w:p>
    <w:p>
      <w:pPr>
        <w:spacing w:after="0" w:line="3" w:lineRule="exact"/>
        <w:rPr>
          <w:sz w:val="20"/>
          <w:szCs w:val="20"/>
          <w:color w:val="auto"/>
        </w:rPr>
      </w:pPr>
    </w:p>
    <w:p>
      <w:pPr>
        <w:jc w:val="both"/>
        <w:ind w:left="880" w:right="19" w:hanging="10"/>
        <w:spacing w:after="0"/>
        <w:tabs>
          <w:tab w:leader="none" w:pos="10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 of all accrued and unpaid base salary, (ii) payment of any otherwise earned but unpaid annual bonus for the prior year, and (iii) continuation of Dr. Russotti’s base salary and payment of Dr. Russotti’s COBRA premiums by us for a period of nine months. In addition, if such termination without “cause” or resignation for “good reason” occurs within three months prior or 12 months following a “change in control” (as​ defined in the Russotti Agreement), then (i) the period of Dr. Russotti’s salary continuation and COBRA premium subsidy will be extended from nine months to 12 months; (ii) Dr. Russotti will receive a lump sum payment in an amount equal to his target annual bonus for the calendar year in which the termination occurs, and (iii) all of Dr. Russotti’s outstanding equity awards that are subject to vesting solely based on the passage of time will vest in full on the later of Dr. Russotti’s termination date and the change in control..</w:t>
      </w:r>
    </w:p>
    <w:p>
      <w:pPr>
        <w:spacing w:after="0" w:line="117" w:lineRule="exact"/>
        <w:rPr>
          <w:sz w:val="20"/>
          <w:szCs w:val="20"/>
          <w:color w:val="auto"/>
        </w:rPr>
      </w:pPr>
    </w:p>
    <w:p>
      <w:pPr>
        <w:jc w:val="both"/>
        <w:ind w:left="880" w:right="39"/>
        <w:spacing w:after="0" w:line="243" w:lineRule="auto"/>
        <w:rPr>
          <w:sz w:val="20"/>
          <w:szCs w:val="20"/>
          <w:color w:val="auto"/>
        </w:rPr>
      </w:pPr>
      <w:r>
        <w:rPr>
          <w:rFonts w:ascii="Arial" w:cs="Arial" w:eastAsia="Arial" w:hAnsi="Arial"/>
          <w:sz w:val="18"/>
          <w:szCs w:val="18"/>
          <w:color w:val="auto"/>
        </w:rPr>
        <w:t>In April 2023, Dr. Russotti was promoted to interim Chief Executive Officer upon Dr. Flores’ departure. In connection with such promotion, we entered into a side letter to his employment agreement with Dr. Russotti dated April 12, 2023, or the Russotti Side Letter. Pursuant to the terms of the Russotti Side Letter, the term of Dr. Russotti’s service as Interim Chief Executive Officer continued until the Company successfully hired a new Chief Executive Officer, provided however, that we could terminate Dr. Russotti as Interim Chief Executive Officer and restore Dr. Russotti to his position as Chief Technology Officer at any time upon (i) hiring of a new President and Chief Executive Officer, or (ii) otherwise upon ten days’ written notice. Pursuant to the Russotti Side Letter, Dr. Russotti’s target cash bonus percentage would be calculated as a sum of the following under terms of the Side Letter: (i) 40% of Dr. Russotti’s base salary in effect as of immediately prior to April 11, 2023, multiplied by a fraction the numerator of which is the number of days in such calendar year that are not part of the term he served as interim Chief Executive Officer, and the denominator of which is 365, and (ii) 55% of the Base Salary applicable during the term served as interim Chief Executive Officer multiplied by a fraction the numerator of which is the number of days during the term he served as interim Chief Executive Officer and the denominator of which is 365. The Russotti Side Letter terminated in December 2023 upon the appointment of Dr. Pfeiffenberger’s as President and Chief Executive Officer.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Michael Diem, M.D.</w:t>
      </w:r>
    </w:p>
    <w:p>
      <w:pPr>
        <w:spacing w:after="0" w:line="158" w:lineRule="exact"/>
        <w:rPr>
          <w:sz w:val="20"/>
          <w:szCs w:val="20"/>
          <w:color w:val="auto"/>
        </w:rPr>
      </w:pPr>
    </w:p>
    <w:p>
      <w:pPr>
        <w:jc w:val="both"/>
        <w:ind w:left="880" w:right="19"/>
        <w:spacing w:after="0" w:line="242" w:lineRule="auto"/>
        <w:rPr>
          <w:sz w:val="20"/>
          <w:szCs w:val="20"/>
          <w:color w:val="auto"/>
        </w:rPr>
      </w:pPr>
      <w:r>
        <w:rPr>
          <w:rFonts w:ascii="Arial" w:cs="Arial" w:eastAsia="Arial" w:hAnsi="Arial"/>
          <w:sz w:val="18"/>
          <w:szCs w:val="18"/>
          <w:color w:val="auto"/>
        </w:rPr>
        <w:t>In connection with our IPO, we entered into an executive employment agreement with Dr. Diem dated May 26, 2021, or the Diem Agreement. The Diem Agreement provided for an initial base, an initial annual bonus opportunity, and eligibility to participate generally in our employee benefit plans. The Diem Agreement also provided for severance benefits upon a termination of Dr. Diem’s employment by us without “cause” (as​ defined in the Diem Agreement), or resignation by Dr. Diem for “good reason” (as​ defined in the Diem Agreement), subject to Dr. Diem’s execution of a general release of claims. The severance benefits included: (i) payment of any otherwise earned but unpaid annual bonus for the prior year, and (ii) continuation of Dr. Diem’s base salary and payment of Dr. Diem’s COBRA premiums by us for a period of nine months. In addition, if such termination without “cause” or resignation for “good reason” had occurred within three months prior or 12 months following a “change in control” (as​ defined in the Diem Agreement), then (a) the period of Dr. Diem’s salary continuation and COBRA premium subsidy would have been extended from nine months to 12 months; (b) Dr. Diem would have received a lump sum payment in an amount equal to his target annual bonus for the calendar year in which the termination occurs, and (c) all of Dr. Diem’s outstanding equity awards subject to vesting solely based on the passage of time would vest in full on the later of Dr. Diem’s</w:t>
      </w:r>
    </w:p>
    <w:p>
      <w:pPr>
        <w:spacing w:after="0" w:line="30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termination date and the change in control. In each case, the payment of severance benefits was conditioned on Dr. Diem’s execution of a release of claims.</w:t>
      </w:r>
    </w:p>
    <w:p>
      <w:pPr>
        <w:spacing w:after="0" w:line="72"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8"/>
          <w:szCs w:val="18"/>
          <w:color w:val="auto"/>
        </w:rPr>
        <w:t>In April 2023, the Board promoted Dr. Diem to Chief Financial Officer and On May 1, 2023, in recognition of Dr. Diem’s promotion to Chief Financial Officer, the Board approved an increase to Dr. Diem’s base salary from $482,700 to $500,000, and a 2023 annual bonus opportunity targeted at 45% of base salary.</w:t>
      </w:r>
    </w:p>
    <w:p>
      <w:pPr>
        <w:spacing w:after="0" w:line="103"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On February 2, 2024, Dr. Diem resigned from his role Chief Financial Officer and on such date, we entered into a separation agreement with Dr. Diem, or the Diem Separation Agreement. The Diem Separation Agreement, in exchange for a release of claims and other agreements, acknowledgements and representations of Dr. Diem set forth therein, provided for the following severance benefits: (i) payment of Dr. Diem’s salary accrued to him through his last day of employment with us; (ii) reimbursement for any outstanding, reasonable business expenses that he incurred on our behalf through the termination of Dr. Diem’s employment; and (iii) all vested stock options held by Dr. Diem as of February 2, 2024 shall remain exercisable for nine months following February 2, 2024.</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Adrienne Farid, Ph.D.</w:t>
      </w:r>
    </w:p>
    <w:p>
      <w:pPr>
        <w:spacing w:after="0" w:line="158" w:lineRule="exact"/>
        <w:rPr>
          <w:sz w:val="20"/>
          <w:szCs w:val="20"/>
          <w:color w:val="auto"/>
        </w:rPr>
      </w:pPr>
    </w:p>
    <w:p>
      <w:pPr>
        <w:jc w:val="both"/>
        <w:ind w:left="880" w:right="39"/>
        <w:spacing w:after="0" w:line="253" w:lineRule="auto"/>
        <w:rPr>
          <w:sz w:val="20"/>
          <w:szCs w:val="20"/>
          <w:color w:val="auto"/>
        </w:rPr>
      </w:pPr>
      <w:r>
        <w:rPr>
          <w:rFonts w:ascii="Arial" w:cs="Arial" w:eastAsia="Arial" w:hAnsi="Arial"/>
          <w:sz w:val="18"/>
          <w:szCs w:val="18"/>
          <w:color w:val="auto"/>
        </w:rPr>
        <w:t>In connection with our IPO, we entered into an executive employment agreement with Dr. Farid dated May 26, 2021, or the Farid Agreement. The Farid Agreement provides for an initial base salary of $437,800, an initial annual bonus opportunity equal to 40% of her base salary, and eligibility to participate generally in our employee benefit plans. The Farid Agreement also provides for severance benefits upon a termination of Dr. Farid’s employment by us without “cause” (as​ defined in the Farid Agreement), or resignation by Dr. Russotti for “good reason” (as​ defined in the Farid Agreement), subject to Dr. Farid’s execution of a general release of claims. The severance benefits are: (i) payment of any otherwise earned but unpaid annual bonus for the prior year, and</w:t>
      </w:r>
    </w:p>
    <w:p>
      <w:pPr>
        <w:spacing w:after="0" w:line="3" w:lineRule="exact"/>
        <w:rPr>
          <w:sz w:val="20"/>
          <w:szCs w:val="20"/>
          <w:color w:val="auto"/>
        </w:rPr>
      </w:pPr>
    </w:p>
    <w:p>
      <w:pPr>
        <w:jc w:val="both"/>
        <w:ind w:left="880" w:right="19" w:hanging="10"/>
        <w:spacing w:after="0" w:line="252" w:lineRule="auto"/>
        <w:tabs>
          <w:tab w:leader="none" w:pos="11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continuation of Dr. Farid’s base salary and payment of Dr. Farid’s COBRA premiums by us for a period of nine months. In addition, if such termination without “cause” or resignation for “good reason” occurs within three months prior or 12 months following a “change in control” (as​ defined in the Farid Agreement), then (a) the period of Dr. Farid’s salary continuation and COBRA premium subsidy will be extended from nine months to 12 months; (b) Dr. Farid will receive a lump sum payment in an amount equal to her target annual bonus for the calendar year in which the termination occurs, and (c) all of Dr. Farid’s outstanding equity awards that are subject to vesting solely based on the passage of time will vest in full on the later of Dr. Farid’s termination date and the change in control.</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Proprietary Information and Assignment Agreements</w:t>
      </w:r>
    </w:p>
    <w:p>
      <w:pPr>
        <w:spacing w:after="0" w:line="144" w:lineRule="exact"/>
        <w:rPr>
          <w:sz w:val="20"/>
          <w:szCs w:val="20"/>
          <w:color w:val="auto"/>
        </w:rPr>
      </w:pPr>
    </w:p>
    <w:p>
      <w:pPr>
        <w:jc w:val="both"/>
        <w:ind w:left="880" w:right="39"/>
        <w:spacing w:after="0" w:line="256" w:lineRule="auto"/>
        <w:rPr>
          <w:sz w:val="20"/>
          <w:szCs w:val="20"/>
          <w:color w:val="auto"/>
        </w:rPr>
      </w:pPr>
      <w:r>
        <w:rPr>
          <w:rFonts w:ascii="Arial" w:cs="Arial" w:eastAsia="Arial" w:hAnsi="Arial"/>
          <w:sz w:val="18"/>
          <w:szCs w:val="18"/>
          <w:color w:val="auto"/>
        </w:rPr>
        <w:t>We have entered into proprietary information and assignment agreements, or the Information Agreements, with all of our NEOs, that include customary prohibitions against competition with us and solicitation of our customers and employees, both during employment and for one year following any cessation of employment (for Dr. Flores and Dr. Pfeiffenberger) or for nine months following cessation of employment (for each of Dr. Diem, Dr. Russotti and Dr. Farid). The Information Agreements are incorporated by reference into the employment agreements and payment of any severance benefits under each executive’s employment agreement is conditioned on continued compliance with his or her Information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152" w:lineRule="exact"/>
        <w:rPr>
          <w:sz w:val="20"/>
          <w:szCs w:val="20"/>
          <w:color w:val="auto"/>
        </w:rPr>
      </w:pPr>
    </w:p>
    <w:p>
      <w:pPr>
        <w:ind w:left="880" w:right="540" w:firstLine="108"/>
        <w:spacing w:after="0" w:line="315" w:lineRule="auto"/>
        <w:rPr>
          <w:sz w:val="20"/>
          <w:szCs w:val="20"/>
          <w:color w:val="auto"/>
        </w:rPr>
      </w:pPr>
      <w:r>
        <w:rPr>
          <w:rFonts w:ascii="Arial" w:cs="Arial" w:eastAsia="Arial" w:hAnsi="Arial"/>
          <w:sz w:val="32"/>
          <w:szCs w:val="32"/>
          <w:b w:val="1"/>
          <w:bCs w:val="1"/>
          <w:color w:val="FFFFFF"/>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-593725</wp:posOffset>
            </wp:positionV>
            <wp:extent cx="5700395" cy="4972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w:t>
      </w:r>
    </w:p>
    <w:p>
      <w:pPr>
        <w:spacing w:after="0" w:line="344" w:lineRule="exact"/>
        <w:rPr>
          <w:sz w:val="20"/>
          <w:szCs w:val="20"/>
          <w:color w:val="auto"/>
        </w:rPr>
      </w:pPr>
    </w:p>
    <w:p>
      <w:pPr>
        <w:sectPr>
          <w:pgSz w:w="11900" w:h="16838" w:orient="portrait"/>
          <w:cols w:equalWidth="0" w:num="2">
            <w:col w:w="9020" w:space="720"/>
            <w:col w:w="139"/>
          </w:cols>
          <w:pgMar w:left="580" w:top="97" w:right="1440" w:bottom="1440" w:gutter="0" w:footer="0" w:header="0"/>
          <w:type w:val="continuous"/>
        </w:sectPr>
      </w:pPr>
    </w:p>
    <w:p>
      <w:pPr>
        <w:jc w:val="both"/>
        <w:ind w:left="880" w:right="19"/>
        <w:spacing w:after="0" w:line="273" w:lineRule="auto"/>
        <w:rPr>
          <w:sz w:val="20"/>
          <w:szCs w:val="20"/>
          <w:color w:val="auto"/>
        </w:rPr>
      </w:pPr>
      <w:r>
        <w:rPr>
          <w:rFonts w:ascii="Arial" w:cs="Arial" w:eastAsia="Arial" w:hAnsi="Arial"/>
          <w:sz w:val="18"/>
          <w:szCs w:val="18"/>
          <w:color w:val="auto"/>
        </w:rPr>
        <w:t>Since January 1, 2022,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FUJIFILM Cellular Dynamics, Inc.</w:t>
      </w:r>
    </w:p>
    <w:p>
      <w:pPr>
        <w:spacing w:after="0" w:line="144" w:lineRule="exact"/>
        <w:rPr>
          <w:sz w:val="20"/>
          <w:szCs w:val="20"/>
          <w:color w:val="auto"/>
        </w:rPr>
      </w:pPr>
    </w:p>
    <w:p>
      <w:pPr>
        <w:jc w:val="both"/>
        <w:ind w:left="880" w:right="39"/>
        <w:spacing w:after="0" w:line="303" w:lineRule="auto"/>
        <w:rPr>
          <w:sz w:val="20"/>
          <w:szCs w:val="20"/>
          <w:color w:val="auto"/>
        </w:rPr>
      </w:pPr>
      <w:r>
        <w:rPr>
          <w:rFonts w:ascii="Arial" w:cs="Arial" w:eastAsia="Arial" w:hAnsi="Arial"/>
          <w:sz w:val="18"/>
          <w:szCs w:val="18"/>
          <w:color w:val="auto"/>
        </w:rPr>
        <w:t>FUJIFILM Cellular Dynamics, Inc., or FCDI, is a holder of greater than 5% of our securities. Below are the transactions entered into between FCDI and us since January 1, 2022.</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Master Collaboration Agreement</w:t>
      </w:r>
    </w:p>
    <w:p>
      <w:pPr>
        <w:spacing w:after="0" w:line="142" w:lineRule="exact"/>
        <w:rPr>
          <w:sz w:val="20"/>
          <w:szCs w:val="20"/>
          <w:color w:val="auto"/>
        </w:rPr>
      </w:pPr>
    </w:p>
    <w:p>
      <w:pPr>
        <w:jc w:val="both"/>
        <w:ind w:left="880" w:right="39"/>
        <w:spacing w:after="0" w:line="270" w:lineRule="auto"/>
        <w:rPr>
          <w:sz w:val="20"/>
          <w:szCs w:val="20"/>
          <w:color w:val="auto"/>
        </w:rPr>
      </w:pPr>
      <w:r>
        <w:rPr>
          <w:rFonts w:ascii="Arial" w:cs="Arial" w:eastAsia="Arial" w:hAnsi="Arial"/>
          <w:sz w:val="18"/>
          <w:szCs w:val="18"/>
          <w:color w:val="auto"/>
        </w:rPr>
        <w:t>In October 2019, we entered into a Master Collaboration Agreement with FCDI, or the MCA, whereby FCDI agreed to provide certain services for us to develop and manufacture iPSCs and immune cells derived therefrom and in consideration, we agreed to make payments of at least $2.5 million per year to FCDI. The initial research plan covered the period from October 2019 through March 2022 and in July 2022, we amended the MCA to extend the term through September 2025. In 2022 and 2023, the Company made payments of $5.1 million and $5.2 million respectively, to FCDI under the MCA.</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56"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In March 2021, we entered into a Manufacturing and Supply Agreement with FCDI, or the Manufacturing Agreement, pursuant to which FCDI will provide certain analytical testing, process and analytical development and manufacturing services to us with respect to clinical supply of our product candidates. In March 2021, in connection with our entry into the Manufacturing Agreement, we amended the Reprogramming License and Differentiation License, each of which are described in greater detail below. No payments were made under the Manufacturing Agreement in 2022 and we paid FCDI $67,756 under the Manufacturing Agreement in 2023.</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Differentiation License</w:t>
      </w:r>
    </w:p>
    <w:p>
      <w:pPr>
        <w:spacing w:after="0" w:line="156" w:lineRule="exact"/>
        <w:rPr>
          <w:sz w:val="20"/>
          <w:szCs w:val="20"/>
          <w:color w:val="auto"/>
        </w:rPr>
      </w:pPr>
    </w:p>
    <w:p>
      <w:pPr>
        <w:jc w:val="both"/>
        <w:ind w:left="880" w:right="19"/>
        <w:spacing w:after="0" w:line="263" w:lineRule="auto"/>
        <w:rPr>
          <w:sz w:val="20"/>
          <w:szCs w:val="20"/>
          <w:color w:val="auto"/>
        </w:rPr>
      </w:pPr>
      <w:r>
        <w:rPr>
          <w:rFonts w:ascii="Arial" w:cs="Arial" w:eastAsia="Arial" w:hAnsi="Arial"/>
          <w:sz w:val="18"/>
          <w:szCs w:val="18"/>
          <w:color w:val="auto"/>
        </w:rPr>
        <w:t>We are party to an exclusive license with FCDI, dated September 18, 2018, as amended, with respect to certain patents and know-how related to the differentiation of induced pluripotent stem cells, or IPSCs, into immune-effector cells in the field of cancer immunotherapeutics, or the Differentiation License. Under the Differentiation License, FCDI granted us an exclusive, fully paid-up, sublicensable, worldwide, excluding Japan, license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MCA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108"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In consideration for the Differentiation License, we issued 2,980,803 shares of common stock to FCDI, which were exchanged for 2,980,803 shares of common stock in connection with the our corporate reorganization in 2021. No payments were made under the Differentiation License in 2022 or 2023.</w:t>
      </w:r>
    </w:p>
    <w:p>
      <w:pPr>
        <w:spacing w:after="0" w:line="29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152" w:lineRule="exact"/>
        <w:rPr>
          <w:sz w:val="20"/>
          <w:szCs w:val="20"/>
          <w:color w:val="auto"/>
        </w:rPr>
      </w:pPr>
    </w:p>
    <w:p>
      <w:pPr>
        <w:ind w:left="880" w:right="540" w:firstLine="108"/>
        <w:spacing w:after="0" w:line="315" w:lineRule="auto"/>
        <w:rPr>
          <w:sz w:val="20"/>
          <w:szCs w:val="20"/>
          <w:color w:val="auto"/>
        </w:rPr>
      </w:pPr>
      <w:r>
        <w:rPr>
          <w:rFonts w:ascii="Arial" w:cs="Arial" w:eastAsia="Arial" w:hAnsi="Arial"/>
          <w:sz w:val="32"/>
          <w:szCs w:val="32"/>
          <w:b w:val="1"/>
          <w:bCs w:val="1"/>
          <w:color w:val="FFFFFF"/>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-593725</wp:posOffset>
            </wp:positionV>
            <wp:extent cx="5700395" cy="4972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w:t>
      </w:r>
    </w:p>
    <w:p>
      <w:pPr>
        <w:spacing w:after="0" w:line="346" w:lineRule="exact"/>
        <w:rPr>
          <w:sz w:val="20"/>
          <w:szCs w:val="20"/>
          <w:color w:val="auto"/>
        </w:rPr>
      </w:pPr>
    </w:p>
    <w:p>
      <w:pPr>
        <w:sectPr>
          <w:pgSz w:w="11900" w:h="16838" w:orient="portrait"/>
          <w:cols w:equalWidth="0" w:num="2">
            <w:col w:w="9020" w:space="720"/>
            <w:col w:w="139"/>
          </w:cols>
          <w:pgMar w:left="580" w:top="97" w:right="1440" w:bottom="1440" w:gutter="0" w:footer="0" w:header="0"/>
          <w:type w:val="continuous"/>
        </w:sectPr>
      </w:pPr>
    </w:p>
    <w:p>
      <w:pPr>
        <w:ind w:left="1240"/>
        <w:spacing w:after="0"/>
        <w:rPr>
          <w:sz w:val="20"/>
          <w:szCs w:val="20"/>
          <w:color w:val="auto"/>
        </w:rPr>
      </w:pPr>
      <w:r>
        <w:rPr>
          <w:rFonts w:ascii="Arial" w:cs="Arial" w:eastAsia="Arial" w:hAnsi="Arial"/>
          <w:sz w:val="18"/>
          <w:szCs w:val="18"/>
          <w:i w:val="1"/>
          <w:iCs w:val="1"/>
          <w:color w:val="auto"/>
        </w:rPr>
        <w:t>Reprogramming License</w:t>
      </w:r>
    </w:p>
    <w:p>
      <w:pPr>
        <w:spacing w:after="0" w:line="156" w:lineRule="exact"/>
        <w:rPr>
          <w:sz w:val="20"/>
          <w:szCs w:val="20"/>
          <w:color w:val="auto"/>
        </w:rPr>
      </w:pPr>
    </w:p>
    <w:p>
      <w:pPr>
        <w:jc w:val="both"/>
        <w:ind w:left="880" w:right="19"/>
        <w:spacing w:after="0" w:line="241" w:lineRule="auto"/>
        <w:rPr>
          <w:sz w:val="20"/>
          <w:szCs w:val="20"/>
          <w:color w:val="auto"/>
        </w:rPr>
      </w:pPr>
      <w:r>
        <w:rPr>
          <w:rFonts w:ascii="Arial" w:cs="Arial" w:eastAsia="Arial" w:hAnsi="Arial"/>
          <w:sz w:val="18"/>
          <w:szCs w:val="18"/>
          <w:color w:val="auto"/>
        </w:rPr>
        <w:t>We are party to a non-exclusive license with FCDI, also dated September 18, 2018, as amended, with respect to certain patents and know-how related to the reprogramming of human somatic cells to iPSCs in the field of cancer immunotherapeutics or the Reprogramming License. Under the Reprogramming License, FCDI granted us a non-exclusive, worldwide, excluding Japan, license under certain patent rights and know-how related to cell reprogramming of human cells to iPSCs to exploit FCDI Licensed Products within the field of cancer immunotherapeutics.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122" w:lineRule="exact"/>
        <w:rPr>
          <w:sz w:val="20"/>
          <w:szCs w:val="20"/>
          <w:color w:val="auto"/>
        </w:rPr>
      </w:pPr>
    </w:p>
    <w:p>
      <w:pPr>
        <w:jc w:val="both"/>
        <w:ind w:left="880" w:right="39"/>
        <w:spacing w:after="0" w:line="248" w:lineRule="auto"/>
        <w:rPr>
          <w:sz w:val="20"/>
          <w:szCs w:val="20"/>
          <w:color w:val="auto"/>
        </w:rPr>
      </w:pPr>
      <w:r>
        <w:rPr>
          <w:rFonts w:ascii="Arial" w:cs="Arial" w:eastAsia="Arial" w:hAnsi="Arial"/>
          <w:sz w:val="18"/>
          <w:szCs w:val="18"/>
          <w:color w:val="auto"/>
        </w:rPr>
        <w:t>Under the Reprogramming License, we agreed to pay FCDI low single-digit percentage royalty payments on net sales of FCDI Licensed Products, as required by the WARF License, until the expiration of the last-to-expire patent licensed thereunder, which is currently March 28, 2028. We also agreed to pay certain milestone payments to FCDI as required by the WARF License upon the achievement of certain development and commercial milestones up to an aggregate of $6 million per FCDI Licensed Product. No payments were made under the Reprogramming License in 2022 or 2023.</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Autoimmune License</w:t>
      </w:r>
    </w:p>
    <w:p>
      <w:pPr>
        <w:spacing w:after="0" w:line="156"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color w:val="auto"/>
        </w:rPr>
        <w:t>In September 2023, we and FCDI entered into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or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 In consideration of entering into the Autoimmune License and amending each of the Reprogramming License and Differentiation License, we made an upfront payment to FCDI in the amount of $4.0 million. In addition, we paid FCDI a $1 million milestone fee pursuant to the Autoimmune License for filing of the IND for SLE for CNTY-101.</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Letter Agreement</w:t>
      </w:r>
    </w:p>
    <w:p>
      <w:pPr>
        <w:spacing w:after="0" w:line="156"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On January 7, 2022, we and FCDI entered into a letter agreement, or the Letter Agreement, which amends the Reprogramming License and the Differentiation License such that (i) the definition of Territory under each of the Reprogramming License and the Differentiation License, for purposes of the sublicenses under the Reprogramming License and the Differentiation License pursuant to the Company’s Research Collaboration and License Agreement with Bristol-Myers Squibb Company, or BMS, dated January 7, 2022, or the Collaboration Agreement, includes Japan, (ii) the licenses granted to us and our affiliates under the Reprogramming License and the Differentiation License are sublicensable to BMS, including with respect to Japan and (iii) BMS is not subject to grant-back and option provisions under the Reprogramming License.</w:t>
      </w:r>
    </w:p>
    <w:p>
      <w:pPr>
        <w:spacing w:after="0" w:line="104" w:lineRule="exact"/>
        <w:rPr>
          <w:sz w:val="20"/>
          <w:szCs w:val="20"/>
          <w:color w:val="auto"/>
        </w:rPr>
      </w:pPr>
    </w:p>
    <w:p>
      <w:pPr>
        <w:jc w:val="both"/>
        <w:ind w:left="880" w:right="19"/>
        <w:spacing w:after="0" w:line="259" w:lineRule="auto"/>
        <w:rPr>
          <w:sz w:val="20"/>
          <w:szCs w:val="20"/>
          <w:color w:val="auto"/>
        </w:rPr>
      </w:pPr>
      <w:r>
        <w:rPr>
          <w:rFonts w:ascii="Arial" w:cs="Arial" w:eastAsia="Arial" w:hAnsi="Arial"/>
          <w:sz w:val="18"/>
          <w:szCs w:val="18"/>
          <w:color w:val="auto"/>
        </w:rPr>
        <w:t>Pursuant to the Letter Agreement, and in consideration for amending the Reprogramming License and the Differentiation License, we (i) paid to FCDI an upfront payment of $10 million, (ii) will pay to FCDI a percentage of any milestone payments received by us under the Collaboration Agreement in respect of achievement of development or regulatory milestones specific to Japan, and (iii) will pay to FCDI a percentage of all royalties received by the Company under the Collaboration Agreement in respect of sales of products in Japan.</w:t>
      </w:r>
    </w:p>
    <w:p>
      <w:pPr>
        <w:spacing w:after="0" w:line="287"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FFFFFF"/>
        </w:rPr>
        <w:t>CERTAIN RELATIONSHIPS AND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4972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38"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​TRANSACTIONS</w:t>
      </w:r>
      <w:r>
        <w:rPr>
          <w:sz w:val="20"/>
          <w:szCs w:val="20"/>
          <w:color w:val="auto"/>
        </w:rPr>
        <w:tab/>
      </w:r>
      <w:r>
        <w:rPr>
          <w:rFonts w:ascii="Arial" w:cs="Arial" w:eastAsia="Arial" w:hAnsi="Arial"/>
          <w:sz w:val="32"/>
          <w:szCs w:val="32"/>
          <w:b w:val="1"/>
          <w:bCs w:val="1"/>
          <w:color w:val="FFFFFF"/>
        </w:rPr>
        <w:t>​</w:t>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8"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Please see “Executive Compensation” and “Director Compensation” for information regarding the compensation of our directors and executive officers.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Employment Agreements</w:t>
      </w:r>
    </w:p>
    <w:p>
      <w:pPr>
        <w:spacing w:after="0" w:line="144"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that, among other things, provide for certain compensatory and change in control benefits, as well as severance benefits. For a description of these agreements with our NEOs, see the Section titled “Executive Compensation”-”Employment Agreements.”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Proprietary Information and Assignment Agreements</w:t>
      </w:r>
    </w:p>
    <w:p>
      <w:pPr>
        <w:spacing w:after="0" w:line="158"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We have entered into the Information Agreements with all of our executive officers. For a description of these agreements with our NEOs, see the Section titled “Executive Compensation”-”Employment Agreements.”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Indemnification Agreements</w:t>
      </w:r>
    </w:p>
    <w:p>
      <w:pPr>
        <w:spacing w:after="0" w:line="158" w:lineRule="exact"/>
        <w:rPr>
          <w:sz w:val="20"/>
          <w:szCs w:val="20"/>
          <w:color w:val="auto"/>
        </w:rPr>
      </w:pPr>
    </w:p>
    <w:p>
      <w:pPr>
        <w:jc w:val="both"/>
        <w:ind w:left="880" w:right="39"/>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44"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Our Board has adopted a written Related Party Transaction Policy that governs the review and approval of related party transactions. This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its stockholders.</w:t>
      </w:r>
    </w:p>
    <w:p>
      <w:pPr>
        <w:spacing w:after="0" w:line="116" w:lineRule="exact"/>
        <w:rPr>
          <w:sz w:val="20"/>
          <w:szCs w:val="20"/>
          <w:color w:val="auto"/>
        </w:rPr>
      </w:pPr>
    </w:p>
    <w:p>
      <w:pPr>
        <w:jc w:val="both"/>
        <w:ind w:left="880" w:right="19"/>
        <w:spacing w:after="0" w:line="259" w:lineRule="auto"/>
        <w:rPr>
          <w:sz w:val="20"/>
          <w:szCs w:val="20"/>
          <w:color w:val="auto"/>
        </w:rPr>
      </w:pPr>
      <w:r>
        <w:rPr>
          <w:rFonts w:ascii="Arial" w:cs="Arial" w:eastAsia="Arial" w:hAnsi="Arial"/>
          <w:sz w:val="18"/>
          <w:szCs w:val="18"/>
          <w:color w:val="auto"/>
        </w:rPr>
        <w:t>Other than entry into the Letter Agreement, all of the transactions described under “Certain Relationships and Related Party Transactions” in this Proxy Statement occurred prior to or concurrently with the adoption of the Related Party Transaction Policy and as such, these transactions were not subject to the approval and review procedures set forth in the policy. However, these transactions were reviewed and approved by our Board, and the Letter Agreement was reviewed and approved in accordance with our Related Party Transaction Policy.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​EQUITY COMPENSATION PLAN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The following table sets forth certain information regarding our equity compensation plans as of December 31, 2023:</w:t>
      </w:r>
    </w:p>
    <w:p>
      <w:pPr>
        <w:spacing w:after="0" w:line="111" w:lineRule="exact"/>
        <w:rPr>
          <w:sz w:val="20"/>
          <w:szCs w:val="20"/>
          <w:color w:val="auto"/>
        </w:rPr>
      </w:pPr>
    </w:p>
    <w:tbl>
      <w:tblPr>
        <w:tblLayout w:type="fixed"/>
        <w:tblInd w:w="870" w:type="dxa"/>
        <w:tblCellMar>
          <w:top w:w="0" w:type="dxa"/>
          <w:left w:w="0" w:type="dxa"/>
          <w:bottom w:w="0" w:type="dxa"/>
          <w:right w:w="0" w:type="dxa"/>
        </w:tblCellMar>
      </w:tblPr>
      <w:tr>
        <w:trPr>
          <w:trHeight w:val="215"/>
        </w:trPr>
        <w:tc>
          <w:tcPr>
            <w:tcW w:w="4320" w:type="dxa"/>
            <w:vAlign w:val="bottom"/>
            <w:tcBorders>
              <w:top w:val="single" w:sz="8" w:color="auto"/>
              <w:left w:val="single" w:sz="8" w:color="auto"/>
            </w:tcBorders>
            <w:shd w:val="clear" w:color="auto" w:fill="148CD9"/>
          </w:tcPr>
          <w:p>
            <w:pPr>
              <w:spacing w:after="0"/>
              <w:rPr>
                <w:sz w:val="18"/>
                <w:szCs w:val="18"/>
                <w:color w:val="auto"/>
              </w:rPr>
            </w:pPr>
          </w:p>
        </w:tc>
        <w:tc>
          <w:tcPr>
            <w:tcW w:w="120" w:type="dxa"/>
            <w:vAlign w:val="bottom"/>
            <w:tcBorders>
              <w:top w:val="single" w:sz="8" w:color="auto"/>
              <w:right w:val="single" w:sz="8" w:color="148CD9"/>
            </w:tcBorders>
            <w:shd w:val="clear" w:color="auto" w:fill="148CD9"/>
          </w:tcPr>
          <w:p>
            <w:pPr>
              <w:spacing w:after="0"/>
              <w:rPr>
                <w:sz w:val="18"/>
                <w:szCs w:val="18"/>
                <w:color w:val="auto"/>
              </w:rPr>
            </w:pPr>
          </w:p>
        </w:tc>
        <w:tc>
          <w:tcPr>
            <w:tcW w:w="100" w:type="dxa"/>
            <w:vAlign w:val="bottom"/>
            <w:tcBorders>
              <w:top w:val="single" w:sz="8" w:color="auto"/>
            </w:tcBorders>
            <w:shd w:val="clear" w:color="auto" w:fill="148CD9"/>
          </w:tcPr>
          <w:p>
            <w:pPr>
              <w:spacing w:after="0"/>
              <w:rPr>
                <w:sz w:val="18"/>
                <w:szCs w:val="18"/>
                <w:color w:val="auto"/>
              </w:rPr>
            </w:pPr>
          </w:p>
        </w:tc>
        <w:tc>
          <w:tcPr>
            <w:tcW w:w="1160" w:type="dxa"/>
            <w:vAlign w:val="bottom"/>
            <w:tcBorders>
              <w:top w:val="single" w:sz="8" w:color="auto"/>
            </w:tcBorders>
            <w:shd w:val="clear" w:color="auto" w:fill="148CD9"/>
          </w:tcPr>
          <w:p>
            <w:pPr>
              <w:spacing w:after="0"/>
              <w:rPr>
                <w:sz w:val="18"/>
                <w:szCs w:val="18"/>
                <w:color w:val="auto"/>
              </w:rPr>
            </w:pPr>
          </w:p>
        </w:tc>
        <w:tc>
          <w:tcPr>
            <w:tcW w:w="120" w:type="dxa"/>
            <w:vAlign w:val="bottom"/>
            <w:tcBorders>
              <w:top w:val="single" w:sz="8" w:color="auto"/>
              <w:right w:val="single" w:sz="8" w:color="148CD9"/>
            </w:tcBorders>
            <w:shd w:val="clear" w:color="auto" w:fill="148CD9"/>
          </w:tcPr>
          <w:p>
            <w:pPr>
              <w:spacing w:after="0"/>
              <w:rPr>
                <w:sz w:val="18"/>
                <w:szCs w:val="18"/>
                <w:color w:val="auto"/>
              </w:rPr>
            </w:pPr>
          </w:p>
        </w:tc>
        <w:tc>
          <w:tcPr>
            <w:tcW w:w="120" w:type="dxa"/>
            <w:vAlign w:val="bottom"/>
            <w:tcBorders>
              <w:top w:val="single" w:sz="8" w:color="auto"/>
            </w:tcBorders>
            <w:shd w:val="clear" w:color="auto" w:fill="148CD9"/>
          </w:tcPr>
          <w:p>
            <w:pPr>
              <w:spacing w:after="0"/>
              <w:rPr>
                <w:sz w:val="18"/>
                <w:szCs w:val="18"/>
                <w:color w:val="auto"/>
              </w:rPr>
            </w:pPr>
          </w:p>
        </w:tc>
        <w:tc>
          <w:tcPr>
            <w:tcW w:w="1040" w:type="dxa"/>
            <w:vAlign w:val="bottom"/>
            <w:tcBorders>
              <w:top w:val="single" w:sz="8" w:color="auto"/>
            </w:tcBorders>
            <w:shd w:val="clear" w:color="auto" w:fill="148CD9"/>
          </w:tcPr>
          <w:p>
            <w:pPr>
              <w:spacing w:after="0"/>
              <w:rPr>
                <w:sz w:val="18"/>
                <w:szCs w:val="18"/>
                <w:color w:val="auto"/>
              </w:rPr>
            </w:pPr>
          </w:p>
        </w:tc>
        <w:tc>
          <w:tcPr>
            <w:tcW w:w="140" w:type="dxa"/>
            <w:vAlign w:val="bottom"/>
            <w:tcBorders>
              <w:top w:val="single" w:sz="8" w:color="auto"/>
              <w:right w:val="single" w:sz="8" w:color="148CD9"/>
            </w:tcBorders>
            <w:shd w:val="clear" w:color="auto" w:fill="148CD9"/>
          </w:tcPr>
          <w:p>
            <w:pPr>
              <w:spacing w:after="0"/>
              <w:rPr>
                <w:sz w:val="18"/>
                <w:szCs w:val="18"/>
                <w:color w:val="auto"/>
              </w:rPr>
            </w:pPr>
          </w:p>
        </w:tc>
        <w:tc>
          <w:tcPr>
            <w:tcW w:w="100" w:type="dxa"/>
            <w:vAlign w:val="bottom"/>
            <w:tcBorders>
              <w:top w:val="single" w:sz="8" w:color="auto"/>
            </w:tcBorders>
            <w:shd w:val="clear" w:color="auto" w:fill="148CD9"/>
          </w:tcPr>
          <w:p>
            <w:pPr>
              <w:spacing w:after="0"/>
              <w:rPr>
                <w:sz w:val="18"/>
                <w:szCs w:val="18"/>
                <w:color w:val="auto"/>
              </w:rPr>
            </w:pPr>
          </w:p>
        </w:tc>
        <w:tc>
          <w:tcPr>
            <w:tcW w:w="1640" w:type="dxa"/>
            <w:vAlign w:val="bottom"/>
            <w:tcBorders>
              <w:top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Number of securities</w:t>
            </w:r>
          </w:p>
        </w:tc>
        <w:tc>
          <w:tcPr>
            <w:tcW w:w="140" w:type="dxa"/>
            <w:vAlign w:val="bottom"/>
            <w:tcBorders>
              <w:top w:val="single" w:sz="8" w:color="auto"/>
              <w:right w:val="single" w:sz="8" w:color="148CD9"/>
            </w:tcBorders>
            <w:shd w:val="clear" w:color="auto" w:fill="148CD9"/>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20" w:type="dxa"/>
            <w:vAlign w:val="bottom"/>
            <w:tcBorders>
              <w:left w:val="single" w:sz="8" w:color="auto"/>
            </w:tcBorders>
            <w:shd w:val="clear" w:color="auto" w:fill="148CD9"/>
          </w:tcPr>
          <w:p>
            <w:pPr>
              <w:spacing w:after="0"/>
              <w:rPr>
                <w:sz w:val="15"/>
                <w:szCs w:val="15"/>
                <w:color w:val="auto"/>
              </w:rPr>
            </w:pPr>
          </w:p>
        </w:tc>
        <w:tc>
          <w:tcPr>
            <w:tcW w:w="12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1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w w:val="99"/>
              </w:rPr>
              <w:t>Number of</w:t>
            </w:r>
          </w:p>
        </w:tc>
        <w:tc>
          <w:tcPr>
            <w:tcW w:w="120" w:type="dxa"/>
            <w:vAlign w:val="bottom"/>
            <w:tcBorders>
              <w:right w:val="single" w:sz="8" w:color="148CD9"/>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10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Weighted-</w:t>
            </w:r>
          </w:p>
        </w:tc>
        <w:tc>
          <w:tcPr>
            <w:tcW w:w="14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6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remaining available</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20" w:type="dxa"/>
            <w:vAlign w:val="bottom"/>
            <w:tcBorders>
              <w:left w:val="single" w:sz="8" w:color="auto"/>
            </w:tcBorders>
            <w:shd w:val="clear" w:color="auto" w:fill="148CD9"/>
          </w:tcPr>
          <w:p>
            <w:pPr>
              <w:spacing w:after="0"/>
              <w:rPr>
                <w:sz w:val="16"/>
                <w:szCs w:val="16"/>
                <w:color w:val="auto"/>
              </w:rPr>
            </w:pPr>
          </w:p>
        </w:tc>
        <w:tc>
          <w:tcPr>
            <w:tcW w:w="120" w:type="dxa"/>
            <w:vAlign w:val="bottom"/>
            <w:tcBorders>
              <w:right w:val="single" w:sz="8" w:color="148CD9"/>
            </w:tcBorders>
            <w:shd w:val="clear" w:color="auto" w:fill="148CD9"/>
          </w:tcPr>
          <w:p>
            <w:pPr>
              <w:spacing w:after="0"/>
              <w:rPr>
                <w:sz w:val="16"/>
                <w:szCs w:val="16"/>
                <w:color w:val="auto"/>
              </w:rPr>
            </w:pPr>
          </w:p>
        </w:tc>
        <w:tc>
          <w:tcPr>
            <w:tcW w:w="100" w:type="dxa"/>
            <w:vAlign w:val="bottom"/>
            <w:shd w:val="clear" w:color="auto" w:fill="148CD9"/>
          </w:tcPr>
          <w:p>
            <w:pPr>
              <w:spacing w:after="0"/>
              <w:rPr>
                <w:sz w:val="16"/>
                <w:szCs w:val="16"/>
                <w:color w:val="auto"/>
              </w:rPr>
            </w:pPr>
          </w:p>
        </w:tc>
        <w:tc>
          <w:tcPr>
            <w:tcW w:w="11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securities to</w:t>
            </w:r>
          </w:p>
        </w:tc>
        <w:tc>
          <w:tcPr>
            <w:tcW w:w="120" w:type="dxa"/>
            <w:vAlign w:val="bottom"/>
            <w:tcBorders>
              <w:right w:val="single" w:sz="8" w:color="148CD9"/>
            </w:tcBorders>
            <w:shd w:val="clear" w:color="auto" w:fill="148CD9"/>
          </w:tcPr>
          <w:p>
            <w:pPr>
              <w:spacing w:after="0"/>
              <w:rPr>
                <w:sz w:val="16"/>
                <w:szCs w:val="16"/>
                <w:color w:val="auto"/>
              </w:rPr>
            </w:pPr>
          </w:p>
        </w:tc>
        <w:tc>
          <w:tcPr>
            <w:tcW w:w="120" w:type="dxa"/>
            <w:vAlign w:val="bottom"/>
            <w:shd w:val="clear" w:color="auto" w:fill="148CD9"/>
          </w:tcPr>
          <w:p>
            <w:pPr>
              <w:spacing w:after="0"/>
              <w:rPr>
                <w:sz w:val="16"/>
                <w:szCs w:val="16"/>
                <w:color w:val="auto"/>
              </w:rPr>
            </w:pPr>
          </w:p>
        </w:tc>
        <w:tc>
          <w:tcPr>
            <w:tcW w:w="104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average</w:t>
            </w:r>
          </w:p>
        </w:tc>
        <w:tc>
          <w:tcPr>
            <w:tcW w:w="140" w:type="dxa"/>
            <w:vAlign w:val="bottom"/>
            <w:tcBorders>
              <w:right w:val="single" w:sz="8" w:color="148CD9"/>
            </w:tcBorders>
            <w:shd w:val="clear" w:color="auto" w:fill="148CD9"/>
          </w:tcPr>
          <w:p>
            <w:pPr>
              <w:spacing w:after="0"/>
              <w:rPr>
                <w:sz w:val="16"/>
                <w:szCs w:val="16"/>
                <w:color w:val="auto"/>
              </w:rPr>
            </w:pPr>
          </w:p>
        </w:tc>
        <w:tc>
          <w:tcPr>
            <w:tcW w:w="100" w:type="dxa"/>
            <w:vAlign w:val="bottom"/>
            <w:shd w:val="clear" w:color="auto" w:fill="148CD9"/>
          </w:tcPr>
          <w:p>
            <w:pPr>
              <w:spacing w:after="0"/>
              <w:rPr>
                <w:sz w:val="16"/>
                <w:szCs w:val="16"/>
                <w:color w:val="auto"/>
              </w:rPr>
            </w:pPr>
          </w:p>
        </w:tc>
        <w:tc>
          <w:tcPr>
            <w:tcW w:w="164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for future issuance</w:t>
            </w:r>
          </w:p>
        </w:tc>
        <w:tc>
          <w:tcPr>
            <w:tcW w:w="140" w:type="dxa"/>
            <w:vAlign w:val="bottom"/>
            <w:tcBorders>
              <w:right w:val="single" w:sz="8" w:color="148CD9"/>
            </w:tcBorders>
            <w:shd w:val="clear" w:color="auto" w:fill="148CD9"/>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20" w:type="dxa"/>
            <w:vAlign w:val="bottom"/>
            <w:tcBorders>
              <w:left w:val="single" w:sz="8" w:color="auto"/>
            </w:tcBorders>
            <w:vMerge w:val="restart"/>
            <w:shd w:val="clear" w:color="auto" w:fill="148CD9"/>
          </w:tcPr>
          <w:p>
            <w:pPr>
              <w:ind w:left="1680"/>
              <w:spacing w:after="0"/>
              <w:rPr>
                <w:sz w:val="20"/>
                <w:szCs w:val="20"/>
                <w:color w:val="auto"/>
              </w:rPr>
            </w:pPr>
            <w:r>
              <w:rPr>
                <w:rFonts w:ascii="Arial" w:cs="Arial" w:eastAsia="Arial" w:hAnsi="Arial"/>
                <w:sz w:val="16"/>
                <w:szCs w:val="16"/>
                <w:b w:val="1"/>
                <w:bCs w:val="1"/>
                <w:color w:val="FFFFFF"/>
              </w:rPr>
              <w:t>Plan Category</w:t>
            </w:r>
          </w:p>
        </w:tc>
        <w:tc>
          <w:tcPr>
            <w:tcW w:w="12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1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be issued</w:t>
            </w:r>
          </w:p>
        </w:tc>
        <w:tc>
          <w:tcPr>
            <w:tcW w:w="120" w:type="dxa"/>
            <w:vAlign w:val="bottom"/>
            <w:tcBorders>
              <w:right w:val="single" w:sz="8" w:color="148CD9"/>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10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w w:val="99"/>
              </w:rPr>
              <w:t>exercise</w:t>
            </w:r>
          </w:p>
        </w:tc>
        <w:tc>
          <w:tcPr>
            <w:tcW w:w="14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6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under equity</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320" w:type="dxa"/>
            <w:vAlign w:val="bottom"/>
            <w:tcBorders>
              <w:left w:val="single" w:sz="8" w:color="auto"/>
            </w:tcBorders>
            <w:vMerge w:val="continue"/>
            <w:shd w:val="clear" w:color="auto" w:fill="148CD9"/>
          </w:tcPr>
          <w:p>
            <w:pPr>
              <w:spacing w:after="0"/>
              <w:rPr>
                <w:sz w:val="11"/>
                <w:szCs w:val="11"/>
                <w:color w:val="auto"/>
              </w:rPr>
            </w:pPr>
          </w:p>
        </w:tc>
        <w:tc>
          <w:tcPr>
            <w:tcW w:w="120" w:type="dxa"/>
            <w:vAlign w:val="bottom"/>
            <w:tcBorders>
              <w:right w:val="single" w:sz="8" w:color="148CD9"/>
            </w:tcBorders>
            <w:shd w:val="clear" w:color="auto" w:fill="148CD9"/>
          </w:tcPr>
          <w:p>
            <w:pPr>
              <w:spacing w:after="0"/>
              <w:rPr>
                <w:sz w:val="11"/>
                <w:szCs w:val="11"/>
                <w:color w:val="auto"/>
              </w:rPr>
            </w:pPr>
          </w:p>
        </w:tc>
        <w:tc>
          <w:tcPr>
            <w:tcW w:w="100" w:type="dxa"/>
            <w:vAlign w:val="bottom"/>
            <w:shd w:val="clear" w:color="auto" w:fill="148CD9"/>
          </w:tcPr>
          <w:p>
            <w:pPr>
              <w:spacing w:after="0"/>
              <w:rPr>
                <w:sz w:val="11"/>
                <w:szCs w:val="11"/>
                <w:color w:val="auto"/>
              </w:rPr>
            </w:pPr>
          </w:p>
        </w:tc>
        <w:tc>
          <w:tcPr>
            <w:tcW w:w="116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upon exercise</w:t>
            </w:r>
          </w:p>
        </w:tc>
        <w:tc>
          <w:tcPr>
            <w:tcW w:w="120" w:type="dxa"/>
            <w:vAlign w:val="bottom"/>
            <w:tcBorders>
              <w:right w:val="single" w:sz="8" w:color="148CD9"/>
            </w:tcBorders>
            <w:shd w:val="clear" w:color="auto" w:fill="148CD9"/>
          </w:tcPr>
          <w:p>
            <w:pPr>
              <w:spacing w:after="0"/>
              <w:rPr>
                <w:sz w:val="11"/>
                <w:szCs w:val="11"/>
                <w:color w:val="auto"/>
              </w:rPr>
            </w:pPr>
          </w:p>
        </w:tc>
        <w:tc>
          <w:tcPr>
            <w:tcW w:w="120" w:type="dxa"/>
            <w:vAlign w:val="bottom"/>
            <w:shd w:val="clear" w:color="auto" w:fill="148CD9"/>
          </w:tcPr>
          <w:p>
            <w:pPr>
              <w:spacing w:after="0"/>
              <w:rPr>
                <w:sz w:val="11"/>
                <w:szCs w:val="11"/>
                <w:color w:val="auto"/>
              </w:rPr>
            </w:pPr>
          </w:p>
        </w:tc>
        <w:tc>
          <w:tcPr>
            <w:tcW w:w="104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price of</w:t>
            </w:r>
          </w:p>
        </w:tc>
        <w:tc>
          <w:tcPr>
            <w:tcW w:w="140" w:type="dxa"/>
            <w:vAlign w:val="bottom"/>
            <w:tcBorders>
              <w:right w:val="single" w:sz="8" w:color="148CD9"/>
            </w:tcBorders>
            <w:shd w:val="clear" w:color="auto" w:fill="148CD9"/>
          </w:tcPr>
          <w:p>
            <w:pPr>
              <w:spacing w:after="0"/>
              <w:rPr>
                <w:sz w:val="11"/>
                <w:szCs w:val="11"/>
                <w:color w:val="auto"/>
              </w:rPr>
            </w:pPr>
          </w:p>
        </w:tc>
        <w:tc>
          <w:tcPr>
            <w:tcW w:w="100" w:type="dxa"/>
            <w:vAlign w:val="bottom"/>
            <w:shd w:val="clear" w:color="auto" w:fill="148CD9"/>
          </w:tcPr>
          <w:p>
            <w:pPr>
              <w:spacing w:after="0"/>
              <w:rPr>
                <w:sz w:val="11"/>
                <w:szCs w:val="11"/>
                <w:color w:val="auto"/>
              </w:rPr>
            </w:pPr>
          </w:p>
        </w:tc>
        <w:tc>
          <w:tcPr>
            <w:tcW w:w="164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compensation plans</w:t>
            </w:r>
          </w:p>
        </w:tc>
        <w:tc>
          <w:tcPr>
            <w:tcW w:w="140" w:type="dxa"/>
            <w:vAlign w:val="bottom"/>
            <w:tcBorders>
              <w:right w:val="single" w:sz="8" w:color="148CD9"/>
            </w:tcBorders>
            <w:shd w:val="clear" w:color="auto" w:fill="148CD9"/>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320" w:type="dxa"/>
            <w:vAlign w:val="bottom"/>
            <w:tcBorders>
              <w:left w:val="single" w:sz="8" w:color="auto"/>
            </w:tcBorders>
            <w:shd w:val="clear" w:color="auto" w:fill="148CD9"/>
          </w:tcPr>
          <w:p>
            <w:pPr>
              <w:spacing w:after="0"/>
              <w:rPr>
                <w:sz w:val="5"/>
                <w:szCs w:val="5"/>
                <w:color w:val="auto"/>
              </w:rPr>
            </w:pPr>
          </w:p>
        </w:tc>
        <w:tc>
          <w:tcPr>
            <w:tcW w:w="120" w:type="dxa"/>
            <w:vAlign w:val="bottom"/>
            <w:tcBorders>
              <w:right w:val="single" w:sz="8" w:color="148CD9"/>
            </w:tcBorders>
            <w:shd w:val="clear" w:color="auto" w:fill="148CD9"/>
          </w:tcPr>
          <w:p>
            <w:pPr>
              <w:spacing w:after="0"/>
              <w:rPr>
                <w:sz w:val="5"/>
                <w:szCs w:val="5"/>
                <w:color w:val="auto"/>
              </w:rPr>
            </w:pPr>
          </w:p>
        </w:tc>
        <w:tc>
          <w:tcPr>
            <w:tcW w:w="100" w:type="dxa"/>
            <w:vAlign w:val="bottom"/>
            <w:shd w:val="clear" w:color="auto" w:fill="148CD9"/>
          </w:tcPr>
          <w:p>
            <w:pPr>
              <w:spacing w:after="0"/>
              <w:rPr>
                <w:sz w:val="5"/>
                <w:szCs w:val="5"/>
                <w:color w:val="auto"/>
              </w:rPr>
            </w:pPr>
          </w:p>
        </w:tc>
        <w:tc>
          <w:tcPr>
            <w:tcW w:w="1160" w:type="dxa"/>
            <w:vAlign w:val="bottom"/>
            <w:vMerge w:val="continue"/>
            <w:shd w:val="clear" w:color="auto" w:fill="148CD9"/>
          </w:tcPr>
          <w:p>
            <w:pPr>
              <w:spacing w:after="0"/>
              <w:rPr>
                <w:sz w:val="5"/>
                <w:szCs w:val="5"/>
                <w:color w:val="auto"/>
              </w:rPr>
            </w:pPr>
          </w:p>
        </w:tc>
        <w:tc>
          <w:tcPr>
            <w:tcW w:w="120" w:type="dxa"/>
            <w:vAlign w:val="bottom"/>
            <w:tcBorders>
              <w:right w:val="single" w:sz="8" w:color="148CD9"/>
            </w:tcBorders>
            <w:shd w:val="clear" w:color="auto" w:fill="148CD9"/>
          </w:tcPr>
          <w:p>
            <w:pPr>
              <w:spacing w:after="0"/>
              <w:rPr>
                <w:sz w:val="5"/>
                <w:szCs w:val="5"/>
                <w:color w:val="auto"/>
              </w:rPr>
            </w:pPr>
          </w:p>
        </w:tc>
        <w:tc>
          <w:tcPr>
            <w:tcW w:w="120" w:type="dxa"/>
            <w:vAlign w:val="bottom"/>
            <w:shd w:val="clear" w:color="auto" w:fill="148CD9"/>
          </w:tcPr>
          <w:p>
            <w:pPr>
              <w:spacing w:after="0"/>
              <w:rPr>
                <w:sz w:val="5"/>
                <w:szCs w:val="5"/>
                <w:color w:val="auto"/>
              </w:rPr>
            </w:pPr>
          </w:p>
        </w:tc>
        <w:tc>
          <w:tcPr>
            <w:tcW w:w="1040" w:type="dxa"/>
            <w:vAlign w:val="bottom"/>
            <w:vMerge w:val="continue"/>
            <w:shd w:val="clear" w:color="auto" w:fill="148CD9"/>
          </w:tcPr>
          <w:p>
            <w:pPr>
              <w:spacing w:after="0"/>
              <w:rPr>
                <w:sz w:val="5"/>
                <w:szCs w:val="5"/>
                <w:color w:val="auto"/>
              </w:rPr>
            </w:pPr>
          </w:p>
        </w:tc>
        <w:tc>
          <w:tcPr>
            <w:tcW w:w="140" w:type="dxa"/>
            <w:vAlign w:val="bottom"/>
            <w:tcBorders>
              <w:right w:val="single" w:sz="8" w:color="148CD9"/>
            </w:tcBorders>
            <w:shd w:val="clear" w:color="auto" w:fill="148CD9"/>
          </w:tcPr>
          <w:p>
            <w:pPr>
              <w:spacing w:after="0"/>
              <w:rPr>
                <w:sz w:val="5"/>
                <w:szCs w:val="5"/>
                <w:color w:val="auto"/>
              </w:rPr>
            </w:pPr>
          </w:p>
        </w:tc>
        <w:tc>
          <w:tcPr>
            <w:tcW w:w="100" w:type="dxa"/>
            <w:vAlign w:val="bottom"/>
            <w:shd w:val="clear" w:color="auto" w:fill="148CD9"/>
          </w:tcPr>
          <w:p>
            <w:pPr>
              <w:spacing w:after="0"/>
              <w:rPr>
                <w:sz w:val="5"/>
                <w:szCs w:val="5"/>
                <w:color w:val="auto"/>
              </w:rPr>
            </w:pPr>
          </w:p>
        </w:tc>
        <w:tc>
          <w:tcPr>
            <w:tcW w:w="1640" w:type="dxa"/>
            <w:vAlign w:val="bottom"/>
            <w:vMerge w:val="continue"/>
            <w:shd w:val="clear" w:color="auto" w:fill="148CD9"/>
          </w:tcPr>
          <w:p>
            <w:pPr>
              <w:spacing w:after="0"/>
              <w:rPr>
                <w:sz w:val="5"/>
                <w:szCs w:val="5"/>
                <w:color w:val="auto"/>
              </w:rPr>
            </w:pPr>
          </w:p>
        </w:tc>
        <w:tc>
          <w:tcPr>
            <w:tcW w:w="140" w:type="dxa"/>
            <w:vAlign w:val="bottom"/>
            <w:tcBorders>
              <w:right w:val="single" w:sz="8" w:color="148CD9"/>
            </w:tcBorders>
            <w:shd w:val="clear" w:color="auto" w:fill="148CD9"/>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320" w:type="dxa"/>
            <w:vAlign w:val="bottom"/>
            <w:tcBorders>
              <w:left w:val="single" w:sz="8" w:color="auto"/>
            </w:tcBorders>
            <w:shd w:val="clear" w:color="auto" w:fill="148CD9"/>
          </w:tcPr>
          <w:p>
            <w:pPr>
              <w:spacing w:after="0"/>
              <w:rPr>
                <w:sz w:val="15"/>
                <w:szCs w:val="15"/>
                <w:color w:val="auto"/>
              </w:rPr>
            </w:pPr>
          </w:p>
        </w:tc>
        <w:tc>
          <w:tcPr>
            <w:tcW w:w="12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1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of outstanding</w:t>
            </w:r>
          </w:p>
        </w:tc>
        <w:tc>
          <w:tcPr>
            <w:tcW w:w="120" w:type="dxa"/>
            <w:vAlign w:val="bottom"/>
            <w:tcBorders>
              <w:right w:val="single" w:sz="8" w:color="148CD9"/>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10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outstanding</w:t>
            </w:r>
          </w:p>
        </w:tc>
        <w:tc>
          <w:tcPr>
            <w:tcW w:w="14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6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(excluding securities</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Borders>
              <w:left w:val="single" w:sz="8" w:color="auto"/>
            </w:tcBorders>
            <w:shd w:val="clear" w:color="auto" w:fill="148CD9"/>
          </w:tcPr>
          <w:p>
            <w:pPr>
              <w:spacing w:after="0"/>
              <w:rPr>
                <w:sz w:val="15"/>
                <w:szCs w:val="15"/>
                <w:color w:val="auto"/>
              </w:rPr>
            </w:pPr>
          </w:p>
        </w:tc>
        <w:tc>
          <w:tcPr>
            <w:tcW w:w="12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160" w:type="dxa"/>
            <w:vAlign w:val="bottom"/>
            <w:shd w:val="clear" w:color="auto" w:fill="148CD9"/>
          </w:tcPr>
          <w:p>
            <w:pPr>
              <w:jc w:val="center"/>
              <w:spacing w:after="0" w:line="176" w:lineRule="exact"/>
              <w:rPr>
                <w:sz w:val="20"/>
                <w:szCs w:val="20"/>
                <w:color w:val="auto"/>
              </w:rPr>
            </w:pPr>
            <w:r>
              <w:rPr>
                <w:rFonts w:ascii="Arial" w:cs="Arial" w:eastAsia="Arial" w:hAnsi="Arial"/>
                <w:sz w:val="16"/>
                <w:szCs w:val="16"/>
                <w:b w:val="1"/>
                <w:bCs w:val="1"/>
                <w:color w:val="FFFFFF"/>
              </w:rPr>
              <w:t>options and</w:t>
            </w:r>
          </w:p>
        </w:tc>
        <w:tc>
          <w:tcPr>
            <w:tcW w:w="120" w:type="dxa"/>
            <w:vAlign w:val="bottom"/>
            <w:tcBorders>
              <w:right w:val="single" w:sz="8" w:color="148CD9"/>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1040" w:type="dxa"/>
            <w:vAlign w:val="bottom"/>
            <w:shd w:val="clear" w:color="auto" w:fill="148CD9"/>
          </w:tcPr>
          <w:p>
            <w:pPr>
              <w:jc w:val="center"/>
              <w:spacing w:after="0" w:line="176" w:lineRule="exact"/>
              <w:rPr>
                <w:sz w:val="20"/>
                <w:szCs w:val="20"/>
                <w:color w:val="auto"/>
              </w:rPr>
            </w:pPr>
            <w:r>
              <w:rPr>
                <w:rFonts w:ascii="Arial" w:cs="Arial" w:eastAsia="Arial" w:hAnsi="Arial"/>
                <w:sz w:val="16"/>
                <w:szCs w:val="16"/>
                <w:b w:val="1"/>
                <w:bCs w:val="1"/>
                <w:color w:val="FFFFFF"/>
              </w:rPr>
              <w:t>options and</w:t>
            </w:r>
          </w:p>
        </w:tc>
        <w:tc>
          <w:tcPr>
            <w:tcW w:w="14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640" w:type="dxa"/>
            <w:vAlign w:val="bottom"/>
            <w:shd w:val="clear" w:color="auto" w:fill="148CD9"/>
          </w:tcPr>
          <w:p>
            <w:pPr>
              <w:jc w:val="center"/>
              <w:spacing w:after="0" w:line="176" w:lineRule="exact"/>
              <w:rPr>
                <w:sz w:val="20"/>
                <w:szCs w:val="20"/>
                <w:color w:val="auto"/>
              </w:rPr>
            </w:pPr>
            <w:r>
              <w:rPr>
                <w:rFonts w:ascii="Arial" w:cs="Arial" w:eastAsia="Arial" w:hAnsi="Arial"/>
                <w:sz w:val="16"/>
                <w:szCs w:val="16"/>
                <w:b w:val="1"/>
                <w:bCs w:val="1"/>
                <w:color w:val="FFFFFF"/>
              </w:rPr>
              <w:t>reflected in column</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320" w:type="dxa"/>
            <w:vAlign w:val="bottom"/>
            <w:tcBorders>
              <w:lef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20" w:type="dxa"/>
            <w:vAlign w:val="bottom"/>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1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8"/>
              </w:rPr>
              <w:t>other rights</w:t>
            </w:r>
          </w:p>
        </w:tc>
        <w:tc>
          <w:tcPr>
            <w:tcW w:w="1520" w:type="dxa"/>
            <w:vAlign w:val="bottom"/>
            <w:gridSpan w:val="5"/>
            <w:shd w:val="clear" w:color="auto" w:fill="148CD9"/>
          </w:tcPr>
          <w:p>
            <w:pPr>
              <w:ind w:left="60"/>
              <w:spacing w:after="0" w:line="256" w:lineRule="exact"/>
              <w:rPr>
                <w:sz w:val="20"/>
                <w:szCs w:val="20"/>
                <w:color w:val="auto"/>
              </w:rPr>
            </w:pPr>
            <w:r>
              <w:rPr>
                <w:rFonts w:ascii="Arial" w:cs="Arial" w:eastAsia="Arial" w:hAnsi="Arial"/>
                <w:sz w:val="29"/>
                <w:szCs w:val="29"/>
                <w:b w:val="1"/>
                <w:bCs w:val="1"/>
                <w:color w:val="FFFFFF"/>
                <w:vertAlign w:val="subscript"/>
              </w:rPr>
              <w:t>​ ​</w:t>
            </w:r>
            <w:r>
              <w:rPr>
                <w:rFonts w:ascii="Arial" w:cs="Arial" w:eastAsia="Arial" w:hAnsi="Arial"/>
                <w:sz w:val="15"/>
                <w:szCs w:val="15"/>
                <w:b w:val="1"/>
                <w:bCs w:val="1"/>
                <w:color w:val="FFFFFF"/>
              </w:rPr>
              <w:t xml:space="preserve">other rights(1) </w:t>
            </w:r>
            <w:r>
              <w:rPr>
                <w:rFonts w:ascii="Arial" w:cs="Arial" w:eastAsia="Arial" w:hAnsi="Arial"/>
                <w:sz w:val="29"/>
                <w:szCs w:val="29"/>
                <w:b w:val="1"/>
                <w:bCs w:val="1"/>
                <w:color w:val="FFFFFF"/>
                <w:vertAlign w:val="subscript"/>
              </w:rPr>
              <w:t>​ ​</w:t>
            </w:r>
          </w:p>
        </w:tc>
        <w:tc>
          <w:tcPr>
            <w:tcW w:w="164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6"/>
              </w:rPr>
              <w:t>(a))</w:t>
            </w:r>
          </w:p>
        </w:tc>
        <w:tc>
          <w:tcPr>
            <w:tcW w:w="140" w:type="dxa"/>
            <w:vAlign w:val="bottom"/>
            <w:tcBorders>
              <w:right w:val="single" w:sz="8" w:color="148CD9"/>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43"/>
        </w:trPr>
        <w:tc>
          <w:tcPr>
            <w:tcW w:w="4320" w:type="dxa"/>
            <w:vAlign w:val="bottom"/>
            <w:tcBorders>
              <w:lef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20" w:type="dxa"/>
            <w:vAlign w:val="bottom"/>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1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(a)</w:t>
            </w:r>
          </w:p>
        </w:tc>
        <w:tc>
          <w:tcPr>
            <w:tcW w:w="240" w:type="dxa"/>
            <w:vAlign w:val="bottom"/>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04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(b)</w:t>
            </w:r>
          </w:p>
        </w:tc>
        <w:tc>
          <w:tcPr>
            <w:tcW w:w="240" w:type="dxa"/>
            <w:vAlign w:val="bottom"/>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64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(c)</w:t>
            </w:r>
          </w:p>
        </w:tc>
        <w:tc>
          <w:tcPr>
            <w:tcW w:w="140" w:type="dxa"/>
            <w:vAlign w:val="bottom"/>
            <w:tcBorders>
              <w:right w:val="single" w:sz="8" w:color="148CD9"/>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97"/>
        </w:trPr>
        <w:tc>
          <w:tcPr>
            <w:tcW w:w="4320" w:type="dxa"/>
            <w:vAlign w:val="bottom"/>
            <w:tcBorders>
              <w:left w:val="single" w:sz="8" w:color="auto"/>
            </w:tcBorders>
          </w:tcPr>
          <w:p>
            <w:pPr>
              <w:ind w:left="8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Equity compensation plans approved by security</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8,714,660</w:t>
            </w:r>
            <w:r>
              <w:rPr>
                <w:rFonts w:ascii="Arial" w:cs="Arial" w:eastAsia="Arial" w:hAnsi="Arial"/>
                <w:sz w:val="23"/>
                <w:szCs w:val="23"/>
                <w:color w:val="auto"/>
                <w:w w:val="93"/>
                <w:vertAlign w:val="superscript"/>
              </w:rPr>
              <w:t>(3)</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$6.24</w:t>
            </w: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4,147,485</w:t>
            </w:r>
            <w:r>
              <w:rPr>
                <w:rFonts w:ascii="Arial" w:cs="Arial" w:eastAsia="Arial" w:hAnsi="Arial"/>
                <w:sz w:val="23"/>
                <w:szCs w:val="23"/>
                <w:color w:val="auto"/>
                <w:w w:val="95"/>
                <w:vertAlign w:val="superscript"/>
              </w:rPr>
              <w:t>(4)</w:t>
            </w:r>
          </w:p>
        </w:tc>
        <w:tc>
          <w:tcPr>
            <w:tcW w:w="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20" w:type="dxa"/>
            <w:vAlign w:val="bottom"/>
            <w:tcBorders>
              <w:left w:val="single" w:sz="8" w:color="auto"/>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holders(2)</w:t>
            </w:r>
          </w:p>
        </w:tc>
        <w:tc>
          <w:tcPr>
            <w:tcW w:w="1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20" w:type="dxa"/>
            <w:vAlign w:val="bottom"/>
            <w:tcBorders>
              <w:left w:val="single" w:sz="8" w:color="auto"/>
            </w:tcBorders>
          </w:tcPr>
          <w:p>
            <w:pPr>
              <w:ind w:left="120"/>
              <w:spacing w:after="0" w:line="182" w:lineRule="exact"/>
              <w:rPr>
                <w:sz w:val="20"/>
                <w:szCs w:val="20"/>
                <w:color w:val="auto"/>
              </w:rPr>
            </w:pPr>
            <w:r>
              <w:rPr>
                <w:rFonts w:ascii="Arial" w:cs="Arial" w:eastAsia="Arial" w:hAnsi="Arial"/>
                <w:sz w:val="18"/>
                <w:szCs w:val="18"/>
                <w:color w:val="auto"/>
              </w:rPr>
              <w:t>Equity compensation plans not approved by security</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320" w:type="dxa"/>
            <w:vAlign w:val="bottom"/>
            <w:tcBorders>
              <w:left w:val="single" w:sz="8" w:color="auto"/>
              <w:bottom w:val="single" w:sz="8" w:color="auto"/>
            </w:tcBorders>
          </w:tcPr>
          <w:p>
            <w:pPr>
              <w:ind w:left="80"/>
              <w:spacing w:after="0" w:line="297"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holders</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8,714,660</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$6.24</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4,147,485</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240" w:right="19" w:hanging="370"/>
        <w:spacing w:after="0" w:line="281" w:lineRule="auto"/>
        <w:tabs>
          <w:tab w:leader="none" w:pos="1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weighted-average exercise price of outstanding stock options. This weighted-average exercise price does not reflect shares subject to outstanding RSUs.</w:t>
      </w:r>
    </w:p>
    <w:p>
      <w:pPr>
        <w:spacing w:after="0" w:line="1" w:lineRule="exact"/>
        <w:rPr>
          <w:rFonts w:ascii="Arial" w:cs="Arial" w:eastAsia="Arial" w:hAnsi="Arial"/>
          <w:sz w:val="16"/>
          <w:szCs w:val="16"/>
          <w:color w:val="auto"/>
        </w:rPr>
      </w:pPr>
    </w:p>
    <w:p>
      <w:pPr>
        <w:jc w:val="both"/>
        <w:ind w:left="1240" w:right="19" w:hanging="370"/>
        <w:spacing w:after="0" w:line="239" w:lineRule="auto"/>
        <w:tabs>
          <w:tab w:leader="none" w:pos="1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shares available for future issues under the 2021 Plan and 2021 Employee Stock Purchase Plan, or the 2021 ESPP . No new grants will be made under our 2018 Equity Incentive Plan. The 2021 Plan contains an “evergreen” provision, pursuant to which, on or about January 1 each year, the maximum number of shares reserved for issuance under the 2021 Plan is increased by a number equal to the lesser of (i) 5% of the shares of common stock issued and outstanding on the last day of the immediately preceding fiscal year and (ii) such smaller number of shares of common stock as determined by the Board. The 2021 ESPP provides that the number of shares reserved and available for issuance will automatically increase each January 1, beginning on January 1, 2022, by the lesser (a) 1,128,42 shares of common stock, (b) 1% of the shares of common stock outstanding on the final day of the immediately preceding calendar year, and (c) such smaller number of shares as determined by the Board. The number in the table does not include the increases from January 1, 2024.</w:t>
      </w:r>
    </w:p>
    <w:p>
      <w:pPr>
        <w:spacing w:after="0" w:line="44" w:lineRule="exact"/>
        <w:rPr>
          <w:rFonts w:ascii="Arial" w:cs="Arial" w:eastAsia="Arial" w:hAnsi="Arial"/>
          <w:sz w:val="16"/>
          <w:szCs w:val="16"/>
          <w:color w:val="auto"/>
        </w:rPr>
      </w:pPr>
    </w:p>
    <w:p>
      <w:pPr>
        <w:jc w:val="both"/>
        <w:ind w:left="1240" w:right="19" w:hanging="370"/>
        <w:spacing w:after="0" w:line="243" w:lineRule="auto"/>
        <w:tabs>
          <w:tab w:leader="none" w:pos="1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Does not include purchase rights accruing under the 2021 ESPP as of December 31, 2023, because the purchase rights (and, therefore, the number of shares to be purchased) will not be determined until the end of the purchase period on June 30, 2024. Subject to the number of shares remaining in the share reserve, the maximum number of shares purchasable by any participant in the 2021 ESPP during the purchase period beginning January 1, 2024 and ending on June 30, 2024 is 5,000.</w:t>
      </w:r>
    </w:p>
    <w:p>
      <w:pPr>
        <w:spacing w:after="0" w:line="40" w:lineRule="exact"/>
        <w:rPr>
          <w:rFonts w:ascii="Arial" w:cs="Arial" w:eastAsia="Arial" w:hAnsi="Arial"/>
          <w:sz w:val="16"/>
          <w:szCs w:val="16"/>
          <w:color w:val="auto"/>
        </w:rPr>
      </w:pPr>
    </w:p>
    <w:p>
      <w:pPr>
        <w:jc w:val="both"/>
        <w:ind w:left="1240" w:right="39" w:hanging="370"/>
        <w:spacing w:after="0" w:line="257" w:lineRule="auto"/>
        <w:tabs>
          <w:tab w:leader="none" w:pos="1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shares available for future issues under the 2021 ESPP and 2021 Plan. As of December 31, 2023, 1,019,241 shares of common stock were available for issuance under the 2021 ESPP and 3,128,244 shares of common stock were available for issuance under the 2021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FFFFFF"/>
        </w:rPr>
        <w:t>SECURITY OWNERSHIP OF CERTAIN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4972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38"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​OWNERS AND MANAGEMENT</w:t>
      </w:r>
      <w:r>
        <w:rPr>
          <w:sz w:val="20"/>
          <w:szCs w:val="20"/>
          <w:color w:val="auto"/>
        </w:rPr>
        <w:tab/>
      </w:r>
      <w:r>
        <w:rPr>
          <w:rFonts w:ascii="Arial" w:cs="Arial" w:eastAsia="Arial" w:hAnsi="Arial"/>
          <w:sz w:val="32"/>
          <w:szCs w:val="32"/>
          <w:b w:val="1"/>
          <w:bCs w:val="1"/>
          <w:color w:val="FFFFFF"/>
        </w:rPr>
        <w:t>​</w:t>
      </w:r>
    </w:p>
    <w:p>
      <w:pPr>
        <w:spacing w:after="0" w:line="325"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The following table sets forth certain information regarding the beneficial ownership of common stock as of March 31, 2024 by (a) each person known by us to be the beneficial owner of more than 5% of the outstanding shares of common stock, (b) each NEO identified in the “Summary Compensation Table” above, (c) each director and nominee for director, and (d) all executive officers and directors as a group.</w:t>
      </w:r>
    </w:p>
    <w:p>
      <w:pPr>
        <w:spacing w:after="0" w:line="103"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The percentage of common stock outstanding is based on 64,924,616 shares of our common stock outstanding as of March 31, 2024. For purposes of the table below, and in accordance with the rules of the SEC, we deem shares of common stock subject to options that are currently exercisable or exercisable within sixty days of March 31, 2024 to be outstanding and to be beneficially owned by the person holding the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Century Therapeutics, Inc., 25 North 38th Street, 11th Floor, Philadelphia, PA 19104.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107315</wp:posOffset>
            </wp:positionV>
            <wp:extent cx="5683250" cy="342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83250" cy="342900"/>
                    </a:xfrm>
                    <a:prstGeom prst="rect">
                      <a:avLst/>
                    </a:prstGeom>
                    <a:noFill/>
                  </pic:spPr>
                </pic:pic>
              </a:graphicData>
            </a:graphic>
          </wp:anchor>
        </w:drawing>
      </w:r>
    </w:p>
    <w:p>
      <w:pPr>
        <w:spacing w:after="0" w:line="129" w:lineRule="exact"/>
        <w:rPr>
          <w:sz w:val="20"/>
          <w:szCs w:val="20"/>
          <w:color w:val="auto"/>
        </w:rPr>
      </w:pPr>
    </w:p>
    <w:tbl>
      <w:tblPr>
        <w:tblLayout w:type="fixed"/>
        <w:tblInd w:w="870" w:type="dxa"/>
        <w:tblCellMar>
          <w:top w:w="0" w:type="dxa"/>
          <w:left w:w="0" w:type="dxa"/>
          <w:bottom w:w="0" w:type="dxa"/>
          <w:right w:w="0" w:type="dxa"/>
        </w:tblCellMar>
      </w:tblPr>
      <w:tr>
        <w:trPr>
          <w:trHeight w:val="249"/>
        </w:trPr>
        <w:tc>
          <w:tcPr>
            <w:tcW w:w="1780" w:type="dxa"/>
            <w:vAlign w:val="bottom"/>
            <w:tcBorders>
              <w:top w:val="single" w:sz="8" w:color="auto"/>
              <w:left w:val="single" w:sz="8" w:color="auto"/>
            </w:tcBorders>
            <w:vMerge w:val="restart"/>
          </w:tcPr>
          <w:p>
            <w:pPr>
              <w:ind w:left="80"/>
              <w:spacing w:after="0"/>
              <w:rPr>
                <w:sz w:val="20"/>
                <w:szCs w:val="20"/>
                <w:color w:val="auto"/>
              </w:rPr>
            </w:pPr>
            <w:r>
              <w:rPr>
                <w:rFonts w:ascii="Arial" w:cs="Arial" w:eastAsia="Arial" w:hAnsi="Arial"/>
                <w:sz w:val="16"/>
                <w:szCs w:val="16"/>
                <w:b w:val="1"/>
                <w:bCs w:val="1"/>
                <w:color w:val="FFFFFF"/>
              </w:rPr>
              <w:t>​</w:t>
            </w:r>
          </w:p>
        </w:tc>
        <w:tc>
          <w:tcPr>
            <w:tcW w:w="39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FFFFFF"/>
              </w:rPr>
              <w:t>NAME OF BENEFICIAL OWNER</w:t>
            </w:r>
          </w:p>
        </w:tc>
        <w:tc>
          <w:tcPr>
            <w:tcW w:w="340" w:type="dxa"/>
            <w:vAlign w:val="bottom"/>
            <w:tcBorders>
              <w:top w:val="single" w:sz="8" w:color="auto"/>
            </w:tcBorders>
            <w:vMerge w:val="restart"/>
          </w:tcPr>
          <w:p>
            <w:pPr>
              <w:ind w:left="140"/>
              <w:spacing w:after="0" w:line="310"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32"/>
                <w:szCs w:val="32"/>
                <w:b w:val="1"/>
                <w:bCs w:val="1"/>
                <w:color w:val="FFFFFF"/>
                <w:vertAlign w:val="superscript"/>
              </w:rPr>
              <w:t>​</w:t>
            </w:r>
          </w:p>
        </w:tc>
        <w:tc>
          <w:tcPr>
            <w:tcW w:w="272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FFFFFF"/>
              </w:rPr>
              <w:t>SHARES BENEFICIALLY OWNED</w:t>
            </w:r>
          </w:p>
        </w:tc>
        <w:tc>
          <w:tcPr>
            <w:tcW w:w="2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61"/>
        </w:trPr>
        <w:tc>
          <w:tcPr>
            <w:tcW w:w="1780" w:type="dxa"/>
            <w:vAlign w:val="bottom"/>
            <w:tcBorders>
              <w:left w:val="single" w:sz="8" w:color="auto"/>
            </w:tcBorders>
            <w:vMerge w:val="continue"/>
          </w:tcPr>
          <w:p>
            <w:pPr>
              <w:spacing w:after="0"/>
              <w:rPr>
                <w:sz w:val="5"/>
                <w:szCs w:val="5"/>
                <w:color w:val="auto"/>
              </w:rPr>
            </w:pPr>
          </w:p>
        </w:tc>
        <w:tc>
          <w:tcPr>
            <w:tcW w:w="39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780" w:type="dxa"/>
            <w:vAlign w:val="bottom"/>
            <w:tcBorders>
              <w:left w:val="single" w:sz="8" w:color="auto"/>
            </w:tcBorders>
          </w:tcPr>
          <w:p>
            <w:pPr>
              <w:spacing w:after="0"/>
              <w:rPr>
                <w:sz w:val="19"/>
                <w:szCs w:val="19"/>
                <w:color w:val="auto"/>
              </w:rPr>
            </w:pPr>
          </w:p>
        </w:tc>
        <w:tc>
          <w:tcPr>
            <w:tcW w:w="3960" w:type="dxa"/>
            <w:vAlign w:val="bottom"/>
          </w:tcPr>
          <w:p>
            <w:pPr>
              <w:spacing w:after="0"/>
              <w:rPr>
                <w:sz w:val="19"/>
                <w:szCs w:val="19"/>
                <w:color w:val="auto"/>
              </w:rPr>
            </w:pPr>
          </w:p>
        </w:tc>
        <w:tc>
          <w:tcPr>
            <w:tcW w:w="3260" w:type="dxa"/>
            <w:vAlign w:val="bottom"/>
            <w:tcBorders>
              <w:right w:val="single" w:sz="8" w:color="auto"/>
            </w:tcBorders>
            <w:gridSpan w:val="5"/>
          </w:tcPr>
          <w:p>
            <w:pPr>
              <w:jc w:val="right"/>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4"/>
                <w:szCs w:val="14"/>
                <w:b w:val="1"/>
                <w:bCs w:val="1"/>
                <w:color w:val="FFFFFF"/>
                <w:shd w:val="clear" w:color="auto" w:fill="148CD9"/>
              </w:rPr>
              <w:t xml:space="preserve">NUMBER OF SHARES </w:t>
            </w:r>
            <w:r>
              <w:rPr>
                <w:rFonts w:ascii="Arial" w:cs="Arial" w:eastAsia="Arial" w:hAnsi="Arial"/>
                <w:sz w:val="26"/>
                <w:szCs w:val="26"/>
                <w:b w:val="1"/>
                <w:bCs w:val="1"/>
                <w:color w:val="FFFFFF"/>
                <w:vertAlign w:val="subscript"/>
                <w:shd w:val="clear" w:color="auto" w:fill="148CD9"/>
              </w:rPr>
              <w:t>​​</w:t>
            </w:r>
            <w:r>
              <w:rPr>
                <w:rFonts w:ascii="Arial" w:cs="Arial" w:eastAsia="Arial" w:hAnsi="Arial"/>
                <w:sz w:val="14"/>
                <w:szCs w:val="14"/>
                <w:b w:val="1"/>
                <w:bCs w:val="1"/>
                <w:color w:val="FFFFFF"/>
                <w:shd w:val="clear" w:color="auto" w:fill="148CD9"/>
              </w:rPr>
              <w:t xml:space="preserve">PERCENTAGE </w:t>
            </w:r>
            <w:r>
              <w:rPr>
                <w:rFonts w:ascii="Arial" w:cs="Arial" w:eastAsia="Arial" w:hAnsi="Arial"/>
                <w:sz w:val="26"/>
                <w:szCs w:val="26"/>
                <w:b w:val="1"/>
                <w:bCs w:val="1"/>
                <w:color w:val="FFFFFF"/>
                <w:vertAlign w:val="subscript"/>
                <w:shd w:val="clear" w:color="auto" w:fill="148CD9"/>
              </w:rPr>
              <w:t>​</w:t>
            </w:r>
          </w:p>
        </w:tc>
        <w:tc>
          <w:tcPr>
            <w:tcW w:w="0" w:type="dxa"/>
            <w:vAlign w:val="bottom"/>
          </w:tcPr>
          <w:p>
            <w:pPr>
              <w:spacing w:after="0"/>
              <w:rPr>
                <w:sz w:val="1"/>
                <w:szCs w:val="1"/>
                <w:color w:val="auto"/>
              </w:rPr>
            </w:pPr>
          </w:p>
        </w:tc>
      </w:tr>
      <w:tr>
        <w:trPr>
          <w:trHeight w:val="257"/>
        </w:trPr>
        <w:tc>
          <w:tcPr>
            <w:tcW w:w="5740" w:type="dxa"/>
            <w:vAlign w:val="bottom"/>
            <w:tcBorders>
              <w:left w:val="single" w:sz="8" w:color="auto"/>
              <w:bottom w:val="single" w:sz="8" w:color="auto"/>
            </w:tcBorders>
            <w:gridSpan w:val="2"/>
          </w:tcPr>
          <w:p>
            <w:pPr>
              <w:ind w:left="80"/>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6"/>
                <w:szCs w:val="16"/>
                <w:b w:val="1"/>
                <w:bCs w:val="1"/>
                <w:color w:val="auto"/>
              </w:rPr>
              <w:t>Greater than 5% Stockholders</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Versant Entities (1)</w:t>
            </w:r>
          </w:p>
        </w:tc>
        <w:tc>
          <w:tcPr>
            <w:tcW w:w="39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12,166,109</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18.7%</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FUJIFILM Cellular Dynamics, Inc. (2)</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6,955,207</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10.7%</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Bayer World Investments B.V. (3)</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12,675,838</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19.5%</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Entities Affiliated with Venrock Healthcare Capital Partners III, L.P. (4)</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3,405,133</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FMR LLC (5)</w:t>
            </w:r>
          </w:p>
        </w:tc>
        <w:tc>
          <w:tcPr>
            <w:tcW w:w="39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3,612,551</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Named Executive Officers and Directors</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Brent Pfeiffenberger, Pharm.D.</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Gregory Russotti, Ph.D. (6)</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729,387</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Osvaldo Flores, Ph.D. (7)</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1,967,336</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Michael Diem (8)</w:t>
            </w:r>
          </w:p>
        </w:tc>
        <w:tc>
          <w:tcPr>
            <w:tcW w:w="39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469,114</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Adrienne Farid, Ph.D (9)</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547,412</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Kimberly Blackwell, M.D. (10)</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114,356</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Cynthia Butitta (11)</w:t>
            </w:r>
          </w:p>
        </w:tc>
        <w:tc>
          <w:tcPr>
            <w:tcW w:w="39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138,680</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Daphne Quimi (12)</w:t>
            </w:r>
          </w:p>
        </w:tc>
        <w:tc>
          <w:tcPr>
            <w:tcW w:w="39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22,080</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Joseph Jimenez (13)</w:t>
            </w:r>
          </w:p>
        </w:tc>
        <w:tc>
          <w:tcPr>
            <w:tcW w:w="39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534,089</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Timothy P. Walbert (14)</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22,080</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Alessandro Riva, M.D. (15)</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114,356</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Carlo Rizzuto, Ph.D. (16)</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58,512</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All executive officers and directors as a group (14 persons)</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5,582,467</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40" w:hanging="370"/>
        <w:spacing w:after="0"/>
        <w:tabs>
          <w:tab w:leader="none" w:pos="1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59" w:lineRule="exact"/>
        <w:rPr>
          <w:sz w:val="20"/>
          <w:szCs w:val="20"/>
          <w:color w:val="auto"/>
        </w:rPr>
      </w:pPr>
    </w:p>
    <w:p>
      <w:pPr>
        <w:jc w:val="both"/>
        <w:ind w:left="1240" w:right="19" w:hanging="370"/>
        <w:spacing w:after="0" w:line="239" w:lineRule="auto"/>
        <w:tabs>
          <w:tab w:leader="none" w:pos="1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13G/A filed on February 8, 2024. Consists of (i) 11,452,014 shares of common stock held by Versant Venture Capital VI, L.P., or Versant VI, and (ii) 714,095 shares of common stock held by Versant Vantage II GP-GP, LLC,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or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w:t>
      </w:r>
    </w:p>
    <w:p>
      <w:pPr>
        <w:sectPr>
          <w:pgSz w:w="11900" w:h="16838" w:orient="portrait"/>
          <w:cols w:equalWidth="0" w:num="1">
            <w:col w:w="9879"/>
          </w:cols>
          <w:pgMar w:left="580" w:top="97" w:right="1440" w:bottom="1440" w:gutter="0" w:footer="0" w:header="0"/>
        </w:sectPr>
      </w:pPr>
    </w:p>
    <w:p>
      <w:pPr>
        <w:spacing w:after="0" w:line="29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FFFFFF"/>
        </w:rPr>
        <w:t>SECURITY OWNERSHIP OF CERTAIN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4972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38"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​OWNERS AND MANAGEMENT</w:t>
      </w:r>
      <w:r>
        <w:rPr>
          <w:sz w:val="20"/>
          <w:szCs w:val="20"/>
          <w:color w:val="auto"/>
        </w:rPr>
        <w:tab/>
      </w:r>
      <w:r>
        <w:rPr>
          <w:rFonts w:ascii="Arial" w:cs="Arial" w:eastAsia="Arial" w:hAnsi="Arial"/>
          <w:sz w:val="32"/>
          <w:szCs w:val="32"/>
          <w:b w:val="1"/>
          <w:bCs w:val="1"/>
          <w:color w:val="FFFFFF"/>
        </w:rPr>
        <w:t>​</w:t>
      </w:r>
    </w:p>
    <w:p>
      <w:pPr>
        <w:spacing w:after="0" w:line="316" w:lineRule="exact"/>
        <w:rPr>
          <w:sz w:val="20"/>
          <w:szCs w:val="20"/>
          <w:color w:val="auto"/>
        </w:rPr>
      </w:pPr>
    </w:p>
    <w:p>
      <w:pPr>
        <w:jc w:val="both"/>
        <w:ind w:left="1240" w:right="39"/>
        <w:spacing w:after="0" w:line="243" w:lineRule="auto"/>
        <w:rPr>
          <w:sz w:val="20"/>
          <w:szCs w:val="20"/>
          <w:color w:val="auto"/>
        </w:rPr>
      </w:pPr>
      <w:r>
        <w:rPr>
          <w:rFonts w:ascii="Arial" w:cs="Arial" w:eastAsia="Arial" w:hAnsi="Arial"/>
          <w:sz w:val="16"/>
          <w:szCs w:val="16"/>
          <w:color w:val="auto"/>
        </w:rPr>
        <w:t>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p>
    <w:p>
      <w:pPr>
        <w:spacing w:after="0" w:line="41" w:lineRule="exact"/>
        <w:rPr>
          <w:sz w:val="20"/>
          <w:szCs w:val="20"/>
          <w:color w:val="auto"/>
        </w:rPr>
      </w:pPr>
    </w:p>
    <w:p>
      <w:pPr>
        <w:jc w:val="both"/>
        <w:ind w:left="1240" w:right="19" w:hanging="370"/>
        <w:spacing w:after="0" w:line="257"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February 11, 2022. FCDI is an indirect, wholly owned subsidiary of FUJIFILM Holdings Corporation, which has sole voting and investment power over the Century shares held by FCDI. The address for FUJIFILM Holdings Corporation is 7-3, Akasaka 9-chome, Minato-ku, Tokyo 107-0052, Japan.</w:t>
      </w:r>
    </w:p>
    <w:p>
      <w:pPr>
        <w:spacing w:after="0" w:line="16" w:lineRule="exact"/>
        <w:rPr>
          <w:rFonts w:ascii="Arial" w:cs="Arial" w:eastAsia="Arial" w:hAnsi="Arial"/>
          <w:sz w:val="16"/>
          <w:szCs w:val="16"/>
          <w:color w:val="auto"/>
        </w:rPr>
      </w:pPr>
    </w:p>
    <w:p>
      <w:pPr>
        <w:jc w:val="both"/>
        <w:ind w:left="1240" w:right="19" w:hanging="370"/>
        <w:spacing w:after="0" w:line="243"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February 11, 2022. 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p>
    <w:p>
      <w:pPr>
        <w:spacing w:after="0" w:line="43" w:lineRule="exact"/>
        <w:rPr>
          <w:rFonts w:ascii="Arial" w:cs="Arial" w:eastAsia="Arial" w:hAnsi="Arial"/>
          <w:sz w:val="16"/>
          <w:szCs w:val="16"/>
          <w:color w:val="auto"/>
        </w:rPr>
      </w:pPr>
    </w:p>
    <w:p>
      <w:pPr>
        <w:jc w:val="both"/>
        <w:ind w:left="1240" w:right="39" w:hanging="370"/>
        <w:spacing w:after="0" w:line="241"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March 4, 2024. Consists of (i) 745,209 shares held by Venrock Healthcare Capital Partners III, L.P., or VHCP III; (ii) 74,555 shares held by VHCP Co-Investment Holdings III, LLC, or VHCP Co-Invest; and (iii) 2,585,369 shares held by Venrock Healthcare Capital Partners EG, L.P., or VHCP EG. VHCP Management III, LLC or VHCPM, is the sole general partner of VHCP III and the sole manager of VHCP Co-Invest. VHCPM EG is the sole general partner of VHC PEG. Dr. Bong Koh and Nimish Shah are the voting members of VHCPM and VHCPM EG. The address of each of these persons and entities is 7 Bryant Park, 23rd Floor, New York, NY 10018.</w:t>
      </w:r>
    </w:p>
    <w:p>
      <w:pPr>
        <w:spacing w:after="0" w:line="29" w:lineRule="exact"/>
        <w:rPr>
          <w:rFonts w:ascii="Arial" w:cs="Arial" w:eastAsia="Arial" w:hAnsi="Arial"/>
          <w:sz w:val="16"/>
          <w:szCs w:val="16"/>
          <w:color w:val="auto"/>
        </w:rPr>
      </w:pPr>
    </w:p>
    <w:p>
      <w:pPr>
        <w:jc w:val="both"/>
        <w:ind w:left="1240" w:right="19"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13G/A filed on February 9, 2024.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Massachusetts 02210.</w:t>
      </w:r>
    </w:p>
    <w:p>
      <w:pPr>
        <w:spacing w:after="0" w:line="45" w:lineRule="exact"/>
        <w:rPr>
          <w:rFonts w:ascii="Arial" w:cs="Arial" w:eastAsia="Arial" w:hAnsi="Arial"/>
          <w:sz w:val="16"/>
          <w:szCs w:val="16"/>
          <w:color w:val="auto"/>
        </w:rPr>
      </w:pPr>
    </w:p>
    <w:p>
      <w:pPr>
        <w:jc w:val="both"/>
        <w:ind w:left="1240" w:right="39" w:hanging="370"/>
        <w:spacing w:after="0" w:line="248"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(i) 277,721 shares of common stock and (ii) 358,295 shares of common stock issuable pursuant to options that are exercisable within 60 days of March 31, 2024, (iii) 93,371 shares of common stock held by the Gregory Russotti 2021 Family Trust. Christine Russotti and Mary Jane Laurer are trustees.</w:t>
      </w:r>
    </w:p>
    <w:p>
      <w:pPr>
        <w:spacing w:after="0" w:line="37" w:lineRule="exact"/>
        <w:rPr>
          <w:rFonts w:ascii="Arial" w:cs="Arial" w:eastAsia="Arial" w:hAnsi="Arial"/>
          <w:sz w:val="16"/>
          <w:szCs w:val="16"/>
          <w:color w:val="auto"/>
        </w:rPr>
      </w:pPr>
    </w:p>
    <w:p>
      <w:pPr>
        <w:jc w:val="both"/>
        <w:ind w:left="1240" w:right="39" w:hanging="370"/>
        <w:spacing w:after="0" w:line="243"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(i) 526,919 shares of common stock, (ii) 645,617 shares of common stock issuable pursuant to options that are exercisable within 60 days of March 31, 2024, (iii) 397,400 shares of common stock held by the NS Irrevocable Trust for Gabriel O. Flores dated April 30, 2021, or the NS Trust, and (iv) 397,400 shares of common stock held by the Flores Family Trust for Gabriel O. Flores dated October 27, 2016, or the Flores Trust. Dr. Flores is trustee of the NS Trust and Nancy Stone, Dr. Flores’ wife, is trustee of the Flores Trust. Dr. Flores disclaims beneficial ownership of the shares held by each of the NS Trust and the Flores Trust.</w:t>
      </w:r>
    </w:p>
    <w:p>
      <w:pPr>
        <w:spacing w:after="0" w:line="29"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(i) 140,860 shares of common stock and (ii) 328,254 shares of common stock issuable pursuant to options that are exercisable within 60 days of March 31, 2024.</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(i) 84,071 shares of common stock and (ii) 463,341 shares of common stock issuable pursuant to options that are exercisable within 60 days of March 31, 2024.</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114,356 shares of common stock issuable pursuant to options that are exercisable within 60 days of March 31, 2024.</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(i) 98,936 shares of common stock and (ii) 39,744 shares of common stock issuable pursuant to options that are exercisable within 60 days of March 31, 2024.</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22,080 shares of common stock issuable pursuant to options that are exercisable within 60 days of March 31, 2024.</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(i) 494,345 shares of common stock and (ii) 39,744 shares of common stock issuable pursuant to options that are exercisable within 60 days of March 31, 2024.</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22,080 shares of common stock issuable pursuant to options that are exercisable within 60 days of March 31, 2024.</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114,356 shares of common stock issuable pursuant to options that are exercisable within 60 days of March 31, 2024.</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58,512 shares of common stock issuable pursuant to options that are exercisable within 60 days of March 31,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PROPOSAL 1: ELECTION OF CLASS III DIRECTORS FOR A THREE-YEAR TERM EXPIRING IN 2027</w:t>
      </w:r>
    </w:p>
    <w:p>
      <w:pPr>
        <w:spacing w:after="0" w:line="144"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At the Annual Meeting, our stockholders will vote on the election of three Class III director nominees named in this Proxy Statement as directors, each to serve until our 2027 Annual Meeting of Stockholders and until their respective successors are elected and qualified. Our Board has unanimously nominated Kimberly Blackwell, M.D., Joseph Jimenez and Brent Pfeiffenberger, Pharm.D. for election to our Board at the Annual Meeting.</w:t>
      </w:r>
    </w:p>
    <w:p>
      <w:pPr>
        <w:spacing w:after="0" w:line="109"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3" w:lineRule="exact"/>
        <w:rPr>
          <w:sz w:val="20"/>
          <w:szCs w:val="20"/>
          <w:color w:val="auto"/>
        </w:rPr>
      </w:pPr>
    </w:p>
    <w:p>
      <w:pPr>
        <w:ind w:left="1000" w:right="119" w:hanging="93"/>
        <w:spacing w:after="0" w:line="39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OUR BOARD UNANIMOUSLY RECOMMENDS STOCKHOLDERS VOTE </w:t>
      </w:r>
      <w:r>
        <w:rPr>
          <w:rFonts w:ascii="Arial" w:cs="Arial" w:eastAsia="Arial" w:hAnsi="Arial"/>
          <w:sz w:val="18"/>
          <w:szCs w:val="18"/>
          <w:b w:val="1"/>
          <w:bCs w:val="1"/>
          <w:color w:val="1DA46F"/>
        </w:rPr>
        <w:t>FOR</w:t>
      </w:r>
      <w:r>
        <w:rPr>
          <w:rFonts w:ascii="Arial" w:cs="Arial" w:eastAsia="Arial" w:hAnsi="Arial"/>
          <w:sz w:val="18"/>
          <w:szCs w:val="18"/>
          <w:color w:val="auto"/>
        </w:rPr>
        <w:t xml:space="preserve"> THE ELECTION OF</w:t>
      </w:r>
      <w:r>
        <w:rPr>
          <w:rFonts w:ascii="Arial" w:cs="Arial" w:eastAsia="Arial" w:hAnsi="Arial"/>
          <w:sz w:val="35"/>
          <w:szCs w:val="35"/>
          <w:color w:val="auto"/>
          <w:vertAlign w:val="subscript"/>
        </w:rPr>
        <w:t>​ ​</w:t>
      </w:r>
      <w:r>
        <w:rPr>
          <w:rFonts w:ascii="Arial" w:cs="Arial" w:eastAsia="Arial" w:hAnsi="Arial"/>
          <w:sz w:val="18"/>
          <w:szCs w:val="18"/>
          <w:color w:val="auto"/>
        </w:rPr>
        <w:t xml:space="preserve"> </w:t>
      </w:r>
      <w:r>
        <w:rPr>
          <w:rFonts w:ascii="MS PGothic" w:cs="MS PGothic" w:eastAsia="MS PGothic" w:hAnsi="MS PGothic"/>
          <w:sz w:val="57"/>
          <w:szCs w:val="57"/>
          <w:color w:val="1DA46F"/>
        </w:rPr>
        <w:t>✓</w:t>
      </w:r>
      <w:r>
        <w:rPr>
          <w:rFonts w:ascii="Arial" w:cs="Arial" w:eastAsia="Arial" w:hAnsi="Arial"/>
          <w:sz w:val="35"/>
          <w:szCs w:val="35"/>
          <w:color w:val="auto"/>
          <w:vertAlign w:val="subscript"/>
        </w:rPr>
        <w:t>​</w:t>
      </w:r>
      <w:r>
        <w:rPr>
          <w:rFonts w:ascii="Arial" w:cs="Arial" w:eastAsia="Arial" w:hAnsi="Arial"/>
          <w:sz w:val="18"/>
          <w:szCs w:val="18"/>
          <w:color w:val="auto"/>
        </w:rPr>
        <w:t xml:space="preserve"> KIMBERLY BLACKWELL, M.D., JOSEPH JIMENEZ AND BRENT PFEIFFENBERGER,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-398780</wp:posOffset>
            </wp:positionV>
            <wp:extent cx="5700395" cy="419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00395" cy="41973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96" w:lineRule="auto"/>
        <w:rPr>
          <w:sz w:val="20"/>
          <w:szCs w:val="20"/>
          <w:color w:val="auto"/>
        </w:rPr>
      </w:pPr>
      <w:r>
        <w:rPr>
          <w:rFonts w:ascii="Arial" w:cs="Arial" w:eastAsia="Arial" w:hAnsi="Arial"/>
          <w:sz w:val="18"/>
          <w:szCs w:val="18"/>
          <w:b w:val="1"/>
          <w:bCs w:val="1"/>
          <w:color w:val="auto"/>
        </w:rPr>
        <w:t>PROPOSAL 2: RATIFICATION OF APPOINTMENT OF ERNST &amp; YOUNG LLP AS OUR INDEPENDENT REGISTERED PUBLIC ACCOUNTING FIRM FOR 2024</w:t>
      </w:r>
    </w:p>
    <w:p>
      <w:pPr>
        <w:spacing w:after="0" w:line="56"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The Audit Committee of the Board has appointed and engaged EY to serve as our independent registered public accounting firm to audit the consolidated financial statements of the Company and our subsidiary for the 2024 fiscal year, and to perform audit-related services. EY has served as our independent registered public accounting firm since 2019.</w:t>
      </w:r>
    </w:p>
    <w:p>
      <w:pPr>
        <w:spacing w:after="0" w:line="109"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Stockholders are hereby asked to ratify the Audit Committee’s appointment of EY as our independent registered public accounting firm for the 2024 fiscal year.</w:t>
      </w:r>
    </w:p>
    <w:p>
      <w:pPr>
        <w:spacing w:after="0" w:line="85"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The Audit Committee is solely responsible for selecting our independent auditors. Although stockholder ratification of the appointment of EY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EY, the Audit Committee will reconsider its selection and whether to engage an alternative independent registered public accounting firm.</w:t>
      </w:r>
    </w:p>
    <w:p>
      <w:pPr>
        <w:spacing w:after="0" w:line="102"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Representatives of EY are expected to virtually attend the Annual Meeting where they will be available to respond to appropriate questions and, if they desire, to make a statement.</w:t>
      </w:r>
    </w:p>
    <w:p>
      <w:pPr>
        <w:spacing w:after="0" w:line="125" w:lineRule="exact"/>
        <w:rPr>
          <w:sz w:val="20"/>
          <w:szCs w:val="20"/>
          <w:color w:val="auto"/>
        </w:rPr>
      </w:pPr>
    </w:p>
    <w:tbl>
      <w:tblPr>
        <w:tblLayout w:type="fixed"/>
        <w:tblInd w:w="870" w:type="dxa"/>
        <w:tblCellMar>
          <w:top w:w="0" w:type="dxa"/>
          <w:left w:w="0" w:type="dxa"/>
          <w:bottom w:w="0" w:type="dxa"/>
          <w:right w:w="0" w:type="dxa"/>
        </w:tblCellMar>
      </w:tblPr>
      <w:tr>
        <w:trPr>
          <w:trHeight w:val="386"/>
        </w:trPr>
        <w:tc>
          <w:tcPr>
            <w:tcW w:w="8220" w:type="dxa"/>
            <w:vAlign w:val="bottom"/>
            <w:tcBorders>
              <w:top w:val="single" w:sz="8" w:color="148CD9"/>
              <w:left w:val="single" w:sz="8" w:color="148CD9"/>
            </w:tcBorders>
          </w:tcPr>
          <w:p>
            <w:pPr>
              <w:ind w:left="140"/>
              <w:spacing w:after="0"/>
              <w:rPr>
                <w:sz w:val="20"/>
                <w:szCs w:val="20"/>
                <w:color w:val="auto"/>
              </w:rPr>
            </w:pPr>
            <w:r>
              <w:rPr>
                <w:rFonts w:ascii="Arial" w:cs="Arial" w:eastAsia="Arial" w:hAnsi="Arial"/>
                <w:sz w:val="18"/>
                <w:szCs w:val="18"/>
                <w:color w:val="auto"/>
              </w:rPr>
              <w:t xml:space="preserve">THE BOARD UNANIMOUSLY RECOMMENDS A VOTE </w:t>
            </w:r>
            <w:r>
              <w:rPr>
                <w:rFonts w:ascii="Arial" w:cs="Arial" w:eastAsia="Arial" w:hAnsi="Arial"/>
                <w:sz w:val="18"/>
                <w:szCs w:val="18"/>
                <w:b w:val="1"/>
                <w:bCs w:val="1"/>
                <w:color w:val="1DA46F"/>
              </w:rPr>
              <w:t>FOR</w:t>
            </w:r>
            <w:r>
              <w:rPr>
                <w:rFonts w:ascii="Arial" w:cs="Arial" w:eastAsia="Arial" w:hAnsi="Arial"/>
                <w:sz w:val="18"/>
                <w:szCs w:val="18"/>
                <w:color w:val="auto"/>
              </w:rPr>
              <w:t xml:space="preserve"> THE RATIFICATION OF ERNST &amp;</w:t>
            </w:r>
          </w:p>
        </w:tc>
        <w:tc>
          <w:tcPr>
            <w:tcW w:w="760" w:type="dxa"/>
            <w:vAlign w:val="bottom"/>
            <w:tcBorders>
              <w:top w:val="single" w:sz="8" w:color="148CD9"/>
              <w:right w:val="single" w:sz="8" w:color="148CD9"/>
            </w:tcBorders>
          </w:tcPr>
          <w:p>
            <w:pPr>
              <w:spacing w:after="0"/>
              <w:rPr>
                <w:sz w:val="24"/>
                <w:szCs w:val="24"/>
                <w:color w:val="auto"/>
              </w:rPr>
            </w:pPr>
          </w:p>
        </w:tc>
      </w:tr>
      <w:tr>
        <w:trPr>
          <w:trHeight w:val="208"/>
        </w:trPr>
        <w:tc>
          <w:tcPr>
            <w:tcW w:w="8220" w:type="dxa"/>
            <w:vAlign w:val="bottom"/>
            <w:tcBorders>
              <w:left w:val="single" w:sz="8" w:color="148CD9"/>
            </w:tcBorders>
          </w:tcPr>
          <w:p>
            <w:pPr>
              <w:ind w:left="40"/>
              <w:spacing w:after="0"/>
              <w:rPr>
                <w:sz w:val="20"/>
                <w:szCs w:val="20"/>
                <w:color w:val="auto"/>
              </w:rPr>
            </w:pPr>
            <w:r>
              <w:rPr>
                <w:rFonts w:ascii="Arial" w:cs="Arial" w:eastAsia="Arial" w:hAnsi="Arial"/>
                <w:sz w:val="18"/>
                <w:szCs w:val="18"/>
                <w:color w:val="auto"/>
              </w:rPr>
              <w:t>​ YOUNG  LLP  AS  INDEPENDENT  REGISTERED  PUBLIC  ACCOUNTING  FIRM  FOR  THE​ ​</w:t>
            </w:r>
          </w:p>
        </w:tc>
        <w:tc>
          <w:tcPr>
            <w:tcW w:w="760" w:type="dxa"/>
            <w:vAlign w:val="bottom"/>
            <w:tcBorders>
              <w:right w:val="single" w:sz="8" w:color="148CD9"/>
            </w:tcBorders>
          </w:tcPr>
          <w:p>
            <w:pPr>
              <w:ind w:left="640"/>
              <w:spacing w:after="0"/>
              <w:rPr>
                <w:sz w:val="20"/>
                <w:szCs w:val="20"/>
                <w:color w:val="auto"/>
              </w:rPr>
            </w:pPr>
            <w:r>
              <w:rPr>
                <w:rFonts w:ascii="Arial" w:cs="Arial" w:eastAsia="Arial" w:hAnsi="Arial"/>
                <w:sz w:val="18"/>
                <w:szCs w:val="18"/>
                <w:color w:val="auto"/>
              </w:rPr>
              <w:t>​</w:t>
            </w:r>
          </w:p>
        </w:tc>
      </w:tr>
      <w:tr>
        <w:trPr>
          <w:trHeight w:val="331"/>
        </w:trPr>
        <w:tc>
          <w:tcPr>
            <w:tcW w:w="8220" w:type="dxa"/>
            <w:vAlign w:val="bottom"/>
            <w:tcBorders>
              <w:left w:val="single" w:sz="8" w:color="148CD9"/>
              <w:bottom w:val="single" w:sz="8" w:color="148CD9"/>
            </w:tcBorders>
          </w:tcPr>
          <w:p>
            <w:pPr>
              <w:ind w:left="140"/>
              <w:spacing w:after="0"/>
              <w:rPr>
                <w:sz w:val="20"/>
                <w:szCs w:val="20"/>
                <w:color w:val="auto"/>
              </w:rPr>
            </w:pPr>
            <w:r>
              <w:rPr>
                <w:rFonts w:ascii="Arial" w:cs="Arial" w:eastAsia="Arial" w:hAnsi="Arial"/>
                <w:sz w:val="18"/>
                <w:szCs w:val="18"/>
                <w:color w:val="auto"/>
              </w:rPr>
              <w:t>COMPANY FOR THE FISCAL YEAR ENDING DECEMBER 31, 2024.</w:t>
            </w:r>
          </w:p>
        </w:tc>
        <w:tc>
          <w:tcPr>
            <w:tcW w:w="760" w:type="dxa"/>
            <w:vAlign w:val="bottom"/>
            <w:tcBorders>
              <w:bottom w:val="single" w:sz="8" w:color="148CD9"/>
              <w:right w:val="single" w:sz="8" w:color="148CD9"/>
            </w:tcBorders>
          </w:tcPr>
          <w:p>
            <w:pPr>
              <w:ind w:left="40"/>
              <w:spacing w:after="0" w:line="323" w:lineRule="exact"/>
              <w:rPr>
                <w:sz w:val="20"/>
                <w:szCs w:val="20"/>
                <w:color w:val="auto"/>
              </w:rPr>
            </w:pPr>
            <w:r>
              <w:rPr>
                <w:rFonts w:ascii="MS PGothic" w:cs="MS PGothic" w:eastAsia="MS PGothic" w:hAnsi="MS PGothic"/>
                <w:sz w:val="43"/>
                <w:szCs w:val="43"/>
                <w:color w:val="1DA46F"/>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b w:val="1"/>
          <w:bCs w:val="1"/>
          <w:color w:val="auto"/>
        </w:rPr>
        <w:t>PROPOSAL 3: APPROVAL OF AN AMENDMENT TO OUR SECOND AMENDED AND RESTATED CERTIFICATE OF INCORPORATION TO LIMIT THE LIABILITY OF CERTAIN OFFICERS OF THE COMPANY AS PERMITTED BY RECENT AMENDMENTS TO DELAWARE LAW</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Background</w:t>
      </w:r>
    </w:p>
    <w:p>
      <w:pPr>
        <w:spacing w:after="0" w:line="142" w:lineRule="exact"/>
        <w:rPr>
          <w:sz w:val="20"/>
          <w:szCs w:val="20"/>
          <w:color w:val="auto"/>
        </w:rPr>
      </w:pPr>
    </w:p>
    <w:p>
      <w:pPr>
        <w:jc w:val="both"/>
        <w:ind w:left="880" w:right="19"/>
        <w:spacing w:after="0" w:line="245" w:lineRule="auto"/>
        <w:rPr>
          <w:sz w:val="20"/>
          <w:szCs w:val="20"/>
          <w:color w:val="auto"/>
        </w:rPr>
      </w:pPr>
      <w:r>
        <w:rPr>
          <w:rFonts w:ascii="Arial" w:cs="Arial" w:eastAsia="Arial" w:hAnsi="Arial"/>
          <w:sz w:val="18"/>
          <w:szCs w:val="18"/>
          <w:color w:val="auto"/>
        </w:rPr>
        <w:t>We are incorporated in the State of Delaware. Recently, Delaware enacted legislation, effective August 1, 2022, that enables Delaware companies to limit the liability of certain officers in limited circumstances under Section 102(b)(7) of the Delaware General Corporation Law, or the DGCL. Amended DGCL Section 102(b)(7) only permits exculpation for direct claims brought by stockholders for breach of an officer’s fiduciary duty of care, including class actions, but does not eliminate officers’ monetary liability for breach of fiduciary duty claims brought by the corporation itself or for derivative claims brought by stockholders in the name of the corporation. Furthermore, the limitation on liability does not apply to breaches of the duty of loyalty, acts or omissions not in good faith or that involve intentional misconduct or a knowing violation of law, or any transaction in which the officer derived an improper personal benefit.</w:t>
      </w:r>
    </w:p>
    <w:p>
      <w:pPr>
        <w:spacing w:after="0" w:line="110"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Our Board believes it is important to provide protection from certain liabilities and expenses that may discourage prospective or current directors from accepting or continuing membership on corporate boards and prospective or current officers from serving corporations. In the absence of such protection, qualified directors and officers might be deterred from serving as directors or officers due to exposure to personal liability and the risk that substantial expense will be incurred in defending lawsuits, regardless of merit. In particular, the Board took into account the narrow class and type of claims that such officers would be exculpated from liability pursuant to amended DGCL Section 102(b)(7), the limited number of our officers that would be impacted, and the benefits the Board believes we would accrue providing exculpation in accordance with DGCL Section 102(b)(7), including, without limitation, the ability to attract and retain key officers and the potential to reduce litigation costs associated with frivolous lawsuits.</w:t>
      </w:r>
    </w:p>
    <w:p>
      <w:pPr>
        <w:spacing w:after="0" w:line="110" w:lineRule="exact"/>
        <w:rPr>
          <w:sz w:val="20"/>
          <w:szCs w:val="20"/>
          <w:color w:val="auto"/>
        </w:rPr>
      </w:pPr>
    </w:p>
    <w:p>
      <w:pPr>
        <w:jc w:val="both"/>
        <w:ind w:left="880" w:right="19"/>
        <w:spacing w:after="0" w:line="247" w:lineRule="auto"/>
        <w:rPr>
          <w:sz w:val="20"/>
          <w:szCs w:val="20"/>
          <w:color w:val="auto"/>
        </w:rPr>
      </w:pPr>
      <w:r>
        <w:rPr>
          <w:rFonts w:ascii="Arial" w:cs="Arial" w:eastAsia="Arial" w:hAnsi="Arial"/>
          <w:sz w:val="18"/>
          <w:szCs w:val="18"/>
          <w:color w:val="auto"/>
        </w:rPr>
        <w:t>Our Board balanced these considerations with our corporate governance guidelines and practices and determined that it is advisable and in the best interests of us and our stockholders to amend our Certificate of Incorporation to adopt amended DGCL Section 102(b)(7) and extend exculpation protection to our officers in addition to our directors. We refer to this proposed amendment to our Certificate of Incorporation as the “Charter Amendment” herein.</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Text of Proposed Charter Amendment</w:t>
      </w:r>
    </w:p>
    <w:p>
      <w:pPr>
        <w:spacing w:after="0" w:line="142"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Our Certificate of Incorporation currently provides for the exculpation of directors, but does not include a provision that allows for the exculpation of officers. To ensure we are able to attract and retain key officers and in an effort to reduce litigation costs associated with frivolous lawsuits, we propose to amend our Certificate of Incorporation to add new Article XI, which would state: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“Article XI — </w:t>
      </w:r>
      <w:r>
        <w:rPr>
          <w:rFonts w:ascii="Arial" w:cs="Arial" w:eastAsia="Arial" w:hAnsi="Arial"/>
          <w:sz w:val="18"/>
          <w:szCs w:val="18"/>
          <w:u w:val="single" w:color="auto"/>
          <w:color w:val="auto"/>
        </w:rPr>
        <w:t>Limitation of Liability</w:t>
      </w:r>
    </w:p>
    <w:p>
      <w:pPr>
        <w:spacing w:after="0" w:line="158"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color w:val="auto"/>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amendment, repeal or modification of this Article XI by either of (i) the stockholders of the Corporation or</w:t>
      </w:r>
    </w:p>
    <w:p>
      <w:pPr>
        <w:spacing w:after="0" w:line="14" w:lineRule="exact"/>
        <w:rPr>
          <w:sz w:val="20"/>
          <w:szCs w:val="20"/>
          <w:color w:val="auto"/>
        </w:rPr>
      </w:pPr>
    </w:p>
    <w:p>
      <w:pPr>
        <w:jc w:val="both"/>
        <w:ind w:left="880" w:right="39" w:hanging="10"/>
        <w:spacing w:after="0" w:line="250" w:lineRule="auto"/>
        <w:tabs>
          <w:tab w:leader="none" w:pos="11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28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 xml:space="preserve">The proposed Certificate of Amendment to the Certificate of Incorporation, or the Certificate of Amendment, reflecting the foregoing Charter Amendment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Proxy Statement.</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Reasons for the Proposed Charter Amendment</w:t>
      </w:r>
    </w:p>
    <w:p>
      <w:pPr>
        <w:spacing w:after="0" w:line="142" w:lineRule="exact"/>
        <w:rPr>
          <w:sz w:val="20"/>
          <w:szCs w:val="20"/>
          <w:color w:val="auto"/>
        </w:rPr>
      </w:pPr>
    </w:p>
    <w:p>
      <w:pPr>
        <w:jc w:val="both"/>
        <w:ind w:left="880" w:right="39"/>
        <w:spacing w:after="0" w:line="254" w:lineRule="auto"/>
        <w:rPr>
          <w:sz w:val="20"/>
          <w:szCs w:val="20"/>
          <w:color w:val="auto"/>
        </w:rPr>
      </w:pPr>
      <w:r>
        <w:rPr>
          <w:rFonts w:ascii="Arial" w:cs="Arial" w:eastAsia="Arial" w:hAnsi="Arial"/>
          <w:sz w:val="18"/>
          <w:szCs w:val="18"/>
          <w:color w:val="auto"/>
        </w:rPr>
        <w:t>The Board believes it is appropriate for public companies in states that allow exculpation of officers to have exculpation clauses in their certificates of incorporation.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We expect our peers to adopt exculpation clauses that limit the personal liability of officers in their certificates of incorporation, and failing to adopt the proposed Charter Amendment could impact our recruitment and retention of exceptional officer candidates that conclude that the potential exposure to liabilities, costs of defense and other risks of proceedings exceeds the benefits of serving as an officer to us.</w:t>
      </w:r>
    </w:p>
    <w:p>
      <w:pPr>
        <w:spacing w:after="0" w:line="115"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For the reasons stated above, on March 13, 2024, the Board determined that the proposed Charter Amendment is advisable and in the best interest of us and our stockholders and authorized and approved the proposed Charter Amendment and directed that it be considered at the Annual Meeting. The Board believes the proposed Charter Amendment would better position us to attract top officer candidates and retain our current officers and enable the officers to exercise their business judgment in furtherance of the interests of the stockholders without the potential for distraction posed by the risk of personal liability.</w:t>
      </w:r>
    </w:p>
    <w:p>
      <w:pPr>
        <w:spacing w:after="0" w:line="115"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Additionally, the Charter Amendment would align the protections for our officers with those protections currently afforded to our directors.</w:t>
      </w:r>
    </w:p>
    <w:p>
      <w:pPr>
        <w:spacing w:after="0" w:line="72"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The proposed Charter Amendment is not being proposed in response to any specific resignation, threat of resignation or refusal to serve by any officer.</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Timing and Effect of the Charter Amendment</w:t>
      </w:r>
    </w:p>
    <w:p>
      <w:pPr>
        <w:spacing w:after="0" w:line="156"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If the proposed Charter Amendment is approved by our stockholders, it will become effective immediately upon the filing of the Certificate of Amendment with the Secretary of State of the State of Delaware, which we expect to file promptly after the Annual Meeting. Other than the proposed addition of Article XI, the remainder of our Certificate of Incorporation will remain unchanged after effectiveness of the Charter Amendment. If the proposed Charter Amendment is not approved by our stockholders, our Certificate of Incorporation will remain unchanged. In accordance with the DGCL, the Board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w:t>
      </w:r>
    </w:p>
    <w:p>
      <w:pPr>
        <w:spacing w:after="0" w:line="113"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If a quorum is present, the affirmative vote of a majority of all of our issued and outstanding shares of common stock entitled to vote is required for approval of the proposed Charter Amendment. Abstentions and broker non-votes will have the effect of voting against this proposal.</w:t>
      </w:r>
    </w:p>
    <w:p>
      <w:pPr>
        <w:spacing w:after="0" w:line="129" w:lineRule="exact"/>
        <w:rPr>
          <w:sz w:val="20"/>
          <w:szCs w:val="20"/>
          <w:color w:val="auto"/>
        </w:rPr>
      </w:pPr>
    </w:p>
    <w:tbl>
      <w:tblPr>
        <w:tblLayout w:type="fixed"/>
        <w:tblInd w:w="870" w:type="dxa"/>
        <w:tblCellMar>
          <w:top w:w="0" w:type="dxa"/>
          <w:left w:w="0" w:type="dxa"/>
          <w:bottom w:w="0" w:type="dxa"/>
          <w:right w:w="0" w:type="dxa"/>
        </w:tblCellMar>
      </w:tblPr>
      <w:tr>
        <w:trPr>
          <w:trHeight w:val="413"/>
        </w:trPr>
        <w:tc>
          <w:tcPr>
            <w:tcW w:w="8220" w:type="dxa"/>
            <w:vAlign w:val="bottom"/>
            <w:tcBorders>
              <w:top w:val="single" w:sz="8" w:color="148CD9"/>
              <w:left w:val="single" w:sz="8" w:color="148CD9"/>
            </w:tcBorders>
          </w:tcPr>
          <w:p>
            <w:pPr>
              <w:ind w:left="140"/>
              <w:spacing w:after="0"/>
              <w:rPr>
                <w:sz w:val="20"/>
                <w:szCs w:val="20"/>
                <w:color w:val="auto"/>
              </w:rPr>
            </w:pPr>
            <w:r>
              <w:rPr>
                <w:rFonts w:ascii="Arial" w:cs="Arial" w:eastAsia="Arial" w:hAnsi="Arial"/>
                <w:sz w:val="18"/>
                <w:szCs w:val="18"/>
                <w:color w:val="auto"/>
              </w:rPr>
              <w:t xml:space="preserve">THE BOARD UNANIMOUSLY RECOMMENDS A VOTE </w:t>
            </w:r>
            <w:r>
              <w:rPr>
                <w:rFonts w:ascii="Arial" w:cs="Arial" w:eastAsia="Arial" w:hAnsi="Arial"/>
                <w:sz w:val="18"/>
                <w:szCs w:val="18"/>
                <w:b w:val="1"/>
                <w:bCs w:val="1"/>
                <w:color w:val="1DA46F"/>
              </w:rPr>
              <w:t>FOR</w:t>
            </w:r>
            <w:r>
              <w:rPr>
                <w:rFonts w:ascii="Arial" w:cs="Arial" w:eastAsia="Arial" w:hAnsi="Arial"/>
                <w:sz w:val="18"/>
                <w:szCs w:val="18"/>
                <w:color w:val="auto"/>
              </w:rPr>
              <w:t xml:space="preserve"> THE AMENDMENT TO OUR</w:t>
            </w:r>
          </w:p>
        </w:tc>
        <w:tc>
          <w:tcPr>
            <w:tcW w:w="760" w:type="dxa"/>
            <w:vAlign w:val="bottom"/>
            <w:tcBorders>
              <w:top w:val="single" w:sz="8" w:color="148CD9"/>
              <w:right w:val="single" w:sz="8" w:color="148CD9"/>
            </w:tcBorders>
          </w:tcPr>
          <w:p>
            <w:pPr>
              <w:spacing w:after="0"/>
              <w:rPr>
                <w:sz w:val="24"/>
                <w:szCs w:val="24"/>
                <w:color w:val="auto"/>
              </w:rPr>
            </w:pPr>
          </w:p>
        </w:tc>
      </w:tr>
      <w:tr>
        <w:trPr>
          <w:trHeight w:val="189"/>
        </w:trPr>
        <w:tc>
          <w:tcPr>
            <w:tcW w:w="8220" w:type="dxa"/>
            <w:vAlign w:val="bottom"/>
            <w:tcBorders>
              <w:left w:val="single" w:sz="8" w:color="148CD9"/>
            </w:tcBorders>
          </w:tcPr>
          <w:p>
            <w:pPr>
              <w:ind w:left="140"/>
              <w:spacing w:after="0" w:line="189" w:lineRule="exact"/>
              <w:rPr>
                <w:sz w:val="20"/>
                <w:szCs w:val="20"/>
                <w:color w:val="auto"/>
              </w:rPr>
            </w:pPr>
            <w:r>
              <w:rPr>
                <w:rFonts w:ascii="Arial" w:cs="Arial" w:eastAsia="Arial" w:hAnsi="Arial"/>
                <w:sz w:val="18"/>
                <w:szCs w:val="18"/>
                <w:color w:val="auto"/>
              </w:rPr>
              <w:t>SECOND AMENDED AND RESTATED CERTIFICATE OF INCORPORATION TO LIMIT THE</w:t>
            </w:r>
          </w:p>
        </w:tc>
        <w:tc>
          <w:tcPr>
            <w:tcW w:w="760" w:type="dxa"/>
            <w:vAlign w:val="bottom"/>
            <w:tcBorders>
              <w:right w:val="single" w:sz="8" w:color="148CD9"/>
            </w:tcBorders>
          </w:tcPr>
          <w:p>
            <w:pPr>
              <w:spacing w:after="0"/>
              <w:rPr>
                <w:sz w:val="16"/>
                <w:szCs w:val="16"/>
                <w:color w:val="auto"/>
              </w:rPr>
            </w:pPr>
          </w:p>
        </w:tc>
      </w:tr>
      <w:tr>
        <w:trPr>
          <w:trHeight w:val="208"/>
        </w:trPr>
        <w:tc>
          <w:tcPr>
            <w:tcW w:w="8220" w:type="dxa"/>
            <w:vAlign w:val="bottom"/>
            <w:tcBorders>
              <w:left w:val="single" w:sz="8" w:color="148CD9"/>
            </w:tcBorders>
          </w:tcPr>
          <w:p>
            <w:pPr>
              <w:ind w:left="40"/>
              <w:spacing w:after="0"/>
              <w:rPr>
                <w:sz w:val="20"/>
                <w:szCs w:val="20"/>
                <w:color w:val="auto"/>
              </w:rPr>
            </w:pPr>
            <w:r>
              <w:rPr>
                <w:rFonts w:ascii="Arial" w:cs="Arial" w:eastAsia="Arial" w:hAnsi="Arial"/>
                <w:sz w:val="18"/>
                <w:szCs w:val="18"/>
                <w:color w:val="auto"/>
              </w:rPr>
              <w:t>​ LIABILITY  OF  CERTAIN  OFFICERS  OF  THE  COMPANY  AS  PERMITTED  BY  RECENT​ ​</w:t>
            </w:r>
          </w:p>
        </w:tc>
        <w:tc>
          <w:tcPr>
            <w:tcW w:w="760" w:type="dxa"/>
            <w:vAlign w:val="bottom"/>
            <w:tcBorders>
              <w:right w:val="single" w:sz="8" w:color="148CD9"/>
            </w:tcBorders>
          </w:tcPr>
          <w:p>
            <w:pPr>
              <w:ind w:left="640"/>
              <w:spacing w:after="0"/>
              <w:rPr>
                <w:sz w:val="20"/>
                <w:szCs w:val="20"/>
                <w:color w:val="auto"/>
              </w:rPr>
            </w:pPr>
            <w:r>
              <w:rPr>
                <w:rFonts w:ascii="Arial" w:cs="Arial" w:eastAsia="Arial" w:hAnsi="Arial"/>
                <w:sz w:val="18"/>
                <w:szCs w:val="18"/>
                <w:color w:val="auto"/>
              </w:rPr>
              <w:t>​</w:t>
            </w:r>
          </w:p>
        </w:tc>
      </w:tr>
      <w:tr>
        <w:trPr>
          <w:trHeight w:val="331"/>
        </w:trPr>
        <w:tc>
          <w:tcPr>
            <w:tcW w:w="8220" w:type="dxa"/>
            <w:vAlign w:val="bottom"/>
            <w:tcBorders>
              <w:left w:val="single" w:sz="8" w:color="148CD9"/>
              <w:bottom w:val="single" w:sz="8" w:color="148CD9"/>
            </w:tcBorders>
          </w:tcPr>
          <w:p>
            <w:pPr>
              <w:ind w:left="140"/>
              <w:spacing w:after="0"/>
              <w:rPr>
                <w:sz w:val="20"/>
                <w:szCs w:val="20"/>
                <w:color w:val="auto"/>
              </w:rPr>
            </w:pPr>
            <w:r>
              <w:rPr>
                <w:rFonts w:ascii="Arial" w:cs="Arial" w:eastAsia="Arial" w:hAnsi="Arial"/>
                <w:sz w:val="18"/>
                <w:szCs w:val="18"/>
                <w:color w:val="auto"/>
              </w:rPr>
              <w:t>AMENDMENTS TO DELAWARE LAW</w:t>
            </w:r>
          </w:p>
        </w:tc>
        <w:tc>
          <w:tcPr>
            <w:tcW w:w="760" w:type="dxa"/>
            <w:vAlign w:val="bottom"/>
            <w:tcBorders>
              <w:bottom w:val="single" w:sz="8" w:color="148CD9"/>
              <w:right w:val="single" w:sz="8" w:color="148CD9"/>
            </w:tcBorders>
          </w:tcPr>
          <w:p>
            <w:pPr>
              <w:ind w:left="40"/>
              <w:spacing w:after="0" w:line="323" w:lineRule="exact"/>
              <w:rPr>
                <w:sz w:val="20"/>
                <w:szCs w:val="20"/>
                <w:color w:val="auto"/>
              </w:rPr>
            </w:pPr>
            <w:r>
              <w:rPr>
                <w:rFonts w:ascii="MS PGothic" w:cs="MS PGothic" w:eastAsia="MS PGothic" w:hAnsi="MS PGothic"/>
                <w:sz w:val="43"/>
                <w:szCs w:val="43"/>
                <w:color w:val="1DA46F"/>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96" w:lineRule="auto"/>
        <w:rPr>
          <w:sz w:val="20"/>
          <w:szCs w:val="20"/>
          <w:color w:val="auto"/>
        </w:rPr>
      </w:pPr>
      <w:r>
        <w:rPr>
          <w:rFonts w:ascii="Arial" w:cs="Arial" w:eastAsia="Arial" w:hAnsi="Arial"/>
          <w:sz w:val="18"/>
          <w:szCs w:val="18"/>
          <w:b w:val="1"/>
          <w:bCs w:val="1"/>
          <w:color w:val="auto"/>
        </w:rPr>
        <w:t>PROPOSAL 4: ADJOURNMENT OF THE ANNUAL MEETING TO THE EXTENT THERE ARE INSUFFICIENT VOTES AT THE ANNUAL MEETING TO APPROVE THE IMMEDIATELY PRECEDING PROPOSAL.</w:t>
      </w:r>
    </w:p>
    <w:p>
      <w:pPr>
        <w:spacing w:after="0" w:line="56" w:lineRule="exact"/>
        <w:rPr>
          <w:sz w:val="20"/>
          <w:szCs w:val="20"/>
          <w:color w:val="auto"/>
        </w:rPr>
      </w:pPr>
    </w:p>
    <w:p>
      <w:pPr>
        <w:jc w:val="both"/>
        <w:ind w:left="880" w:right="39"/>
        <w:spacing w:after="0" w:line="259" w:lineRule="auto"/>
        <w:rPr>
          <w:sz w:val="20"/>
          <w:szCs w:val="20"/>
          <w:color w:val="auto"/>
        </w:rPr>
      </w:pPr>
      <w:r>
        <w:rPr>
          <w:rFonts w:ascii="Arial" w:cs="Arial" w:eastAsia="Arial" w:hAnsi="Arial"/>
          <w:sz w:val="18"/>
          <w:szCs w:val="18"/>
          <w:color w:val="auto"/>
        </w:rPr>
        <w:t>In the event that the number of shares of common stock present virtually or represented by proxy at the Annual Meeting and voting “FOR” the adoption of the Certificate of Amendment in Proposal 3 are insufficient to approve such proposal, we may move to adjourn the Annual Meeting in order to enable us to solicit additional proxies in favor of the adoption of such proposal. If the adjournment is for more than thirty days, a notice of the adjourned meeting shall be given to each shareholder of record entitled to vote at the Annual Meeting.</w:t>
      </w:r>
    </w:p>
    <w:p>
      <w:pPr>
        <w:spacing w:after="0" w:line="112"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8"/>
          <w:szCs w:val="18"/>
          <w:color w:val="auto"/>
        </w:rPr>
        <w:t>For the avoidance of doubt, any proxy authorizing the adjournment of the Annual Meeting shall also authorize successive adjournments thereof, at any meeting so adjourned, to the extent necessary for us to solicit additional proxies in favor of the adoption of any such proposal.</w:t>
      </w:r>
    </w:p>
    <w:p>
      <w:pPr>
        <w:spacing w:after="0" w:line="129" w:lineRule="exact"/>
        <w:rPr>
          <w:sz w:val="20"/>
          <w:szCs w:val="20"/>
          <w:color w:val="auto"/>
        </w:rPr>
      </w:pPr>
    </w:p>
    <w:tbl>
      <w:tblPr>
        <w:tblLayout w:type="fixed"/>
        <w:tblInd w:w="870" w:type="dxa"/>
        <w:tblCellMar>
          <w:top w:w="0" w:type="dxa"/>
          <w:left w:w="0" w:type="dxa"/>
          <w:bottom w:w="0" w:type="dxa"/>
          <w:right w:w="0" w:type="dxa"/>
        </w:tblCellMar>
      </w:tblPr>
      <w:tr>
        <w:trPr>
          <w:trHeight w:val="305"/>
        </w:trPr>
        <w:tc>
          <w:tcPr>
            <w:tcW w:w="8220" w:type="dxa"/>
            <w:vAlign w:val="bottom"/>
            <w:tcBorders>
              <w:top w:val="single" w:sz="8" w:color="148CD9"/>
              <w:left w:val="single" w:sz="8" w:color="148CD9"/>
            </w:tcBorders>
          </w:tcPr>
          <w:p>
            <w:pPr>
              <w:ind w:left="140"/>
              <w:spacing w:after="0"/>
              <w:rPr>
                <w:sz w:val="20"/>
                <w:szCs w:val="20"/>
                <w:color w:val="auto"/>
              </w:rPr>
            </w:pPr>
            <w:r>
              <w:rPr>
                <w:rFonts w:ascii="Arial" w:cs="Arial" w:eastAsia="Arial" w:hAnsi="Arial"/>
                <w:sz w:val="18"/>
                <w:szCs w:val="18"/>
                <w:color w:val="auto"/>
              </w:rPr>
              <w:t xml:space="preserve">THE  BOARD  UNANIMOUSLY  RECOMMENDS  A  VOTE  </w:t>
            </w:r>
            <w:r>
              <w:rPr>
                <w:rFonts w:ascii="Arial" w:cs="Arial" w:eastAsia="Arial" w:hAnsi="Arial"/>
                <w:sz w:val="18"/>
                <w:szCs w:val="18"/>
                <w:b w:val="1"/>
                <w:bCs w:val="1"/>
                <w:color w:val="1DA46F"/>
              </w:rPr>
              <w:t>FOR</w:t>
            </w:r>
            <w:r>
              <w:rPr>
                <w:rFonts w:ascii="Arial" w:cs="Arial" w:eastAsia="Arial" w:hAnsi="Arial"/>
                <w:sz w:val="18"/>
                <w:szCs w:val="18"/>
                <w:color w:val="auto"/>
              </w:rPr>
              <w:t xml:space="preserve">  THE  APPROVAL  OF</w:t>
            </w:r>
          </w:p>
        </w:tc>
        <w:tc>
          <w:tcPr>
            <w:tcW w:w="760" w:type="dxa"/>
            <w:vAlign w:val="bottom"/>
            <w:tcBorders>
              <w:top w:val="single" w:sz="8" w:color="148CD9"/>
              <w:right w:val="single" w:sz="8" w:color="148CD9"/>
            </w:tcBorders>
          </w:tcPr>
          <w:p>
            <w:pPr>
              <w:spacing w:after="0"/>
              <w:rPr>
                <w:sz w:val="24"/>
                <w:szCs w:val="24"/>
                <w:color w:val="auto"/>
              </w:rPr>
            </w:pPr>
          </w:p>
        </w:tc>
      </w:tr>
      <w:tr>
        <w:trPr>
          <w:trHeight w:val="189"/>
        </w:trPr>
        <w:tc>
          <w:tcPr>
            <w:tcW w:w="8220" w:type="dxa"/>
            <w:vAlign w:val="bottom"/>
            <w:tcBorders>
              <w:left w:val="single" w:sz="8" w:color="148CD9"/>
            </w:tcBorders>
          </w:tcPr>
          <w:p>
            <w:pPr>
              <w:ind w:left="140"/>
              <w:spacing w:after="0" w:line="189" w:lineRule="exact"/>
              <w:rPr>
                <w:sz w:val="20"/>
                <w:szCs w:val="20"/>
                <w:color w:val="auto"/>
              </w:rPr>
            </w:pPr>
            <w:r>
              <w:rPr>
                <w:rFonts w:ascii="Arial" w:cs="Arial" w:eastAsia="Arial" w:hAnsi="Arial"/>
                <w:sz w:val="18"/>
                <w:szCs w:val="18"/>
                <w:color w:val="auto"/>
              </w:rPr>
              <w:t>ADJOURNMENT OF THE ANNUAL MEETING TO THE EXTENT THERE ARE INSUFFICIENT</w:t>
            </w:r>
          </w:p>
        </w:tc>
        <w:tc>
          <w:tcPr>
            <w:tcW w:w="760" w:type="dxa"/>
            <w:vAlign w:val="bottom"/>
            <w:tcBorders>
              <w:right w:val="single" w:sz="8" w:color="148CD9"/>
            </w:tcBorders>
          </w:tcPr>
          <w:p>
            <w:pPr>
              <w:spacing w:after="0"/>
              <w:rPr>
                <w:sz w:val="16"/>
                <w:szCs w:val="16"/>
                <w:color w:val="auto"/>
              </w:rPr>
            </w:pPr>
          </w:p>
        </w:tc>
      </w:tr>
      <w:tr>
        <w:trPr>
          <w:trHeight w:val="208"/>
        </w:trPr>
        <w:tc>
          <w:tcPr>
            <w:tcW w:w="8220" w:type="dxa"/>
            <w:vAlign w:val="bottom"/>
            <w:tcBorders>
              <w:left w:val="single" w:sz="8" w:color="148CD9"/>
            </w:tcBorders>
          </w:tcPr>
          <w:p>
            <w:pPr>
              <w:ind w:left="40"/>
              <w:spacing w:after="0"/>
              <w:rPr>
                <w:sz w:val="20"/>
                <w:szCs w:val="20"/>
                <w:color w:val="auto"/>
              </w:rPr>
            </w:pPr>
            <w:r>
              <w:rPr>
                <w:rFonts w:ascii="Arial" w:cs="Arial" w:eastAsia="Arial" w:hAnsi="Arial"/>
                <w:sz w:val="18"/>
                <w:szCs w:val="18"/>
                <w:color w:val="auto"/>
              </w:rPr>
              <w:t>​ VOTES  AT  THE  ANNUAL  MEETING  TO  APPROVE  THE  IMMEDIATELY  PRECEDING​ ​</w:t>
            </w:r>
          </w:p>
        </w:tc>
        <w:tc>
          <w:tcPr>
            <w:tcW w:w="760" w:type="dxa"/>
            <w:vAlign w:val="bottom"/>
            <w:tcBorders>
              <w:right w:val="single" w:sz="8" w:color="148CD9"/>
            </w:tcBorders>
          </w:tcPr>
          <w:p>
            <w:pPr>
              <w:ind w:left="640"/>
              <w:spacing w:after="0"/>
              <w:rPr>
                <w:sz w:val="20"/>
                <w:szCs w:val="20"/>
                <w:color w:val="auto"/>
              </w:rPr>
            </w:pPr>
            <w:r>
              <w:rPr>
                <w:rFonts w:ascii="Arial" w:cs="Arial" w:eastAsia="Arial" w:hAnsi="Arial"/>
                <w:sz w:val="18"/>
                <w:szCs w:val="18"/>
                <w:color w:val="auto"/>
              </w:rPr>
              <w:t>​</w:t>
            </w:r>
          </w:p>
        </w:tc>
      </w:tr>
      <w:tr>
        <w:trPr>
          <w:trHeight w:val="331"/>
        </w:trPr>
        <w:tc>
          <w:tcPr>
            <w:tcW w:w="8220" w:type="dxa"/>
            <w:vAlign w:val="bottom"/>
            <w:tcBorders>
              <w:left w:val="single" w:sz="8" w:color="148CD9"/>
              <w:bottom w:val="single" w:sz="8" w:color="148CD9"/>
            </w:tcBorders>
          </w:tcPr>
          <w:p>
            <w:pPr>
              <w:ind w:left="140"/>
              <w:spacing w:after="0"/>
              <w:rPr>
                <w:sz w:val="20"/>
                <w:szCs w:val="20"/>
                <w:color w:val="auto"/>
              </w:rPr>
            </w:pPr>
            <w:r>
              <w:rPr>
                <w:rFonts w:ascii="Arial" w:cs="Arial" w:eastAsia="Arial" w:hAnsi="Arial"/>
                <w:sz w:val="18"/>
                <w:szCs w:val="18"/>
                <w:color w:val="auto"/>
              </w:rPr>
              <w:t>PROPOSAL.</w:t>
            </w:r>
          </w:p>
        </w:tc>
        <w:tc>
          <w:tcPr>
            <w:tcW w:w="760" w:type="dxa"/>
            <w:vAlign w:val="bottom"/>
            <w:tcBorders>
              <w:bottom w:val="single" w:sz="8" w:color="148CD9"/>
              <w:right w:val="single" w:sz="8" w:color="148CD9"/>
            </w:tcBorders>
          </w:tcPr>
          <w:p>
            <w:pPr>
              <w:ind w:left="40"/>
              <w:spacing w:after="0" w:line="323" w:lineRule="exact"/>
              <w:rPr>
                <w:sz w:val="20"/>
                <w:szCs w:val="20"/>
                <w:color w:val="auto"/>
              </w:rPr>
            </w:pPr>
            <w:r>
              <w:rPr>
                <w:rFonts w:ascii="MS PGothic" w:cs="MS PGothic" w:eastAsia="MS PGothic" w:hAnsi="MS PGothic"/>
                <w:sz w:val="43"/>
                <w:szCs w:val="43"/>
                <w:color w:val="1DA46F"/>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​OTHER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OTHER MATTERS</w:t>
      </w:r>
    </w:p>
    <w:p>
      <w:pPr>
        <w:spacing w:after="0" w:line="144" w:lineRule="exact"/>
        <w:rPr>
          <w:sz w:val="20"/>
          <w:szCs w:val="20"/>
          <w:color w:val="auto"/>
        </w:rPr>
      </w:pPr>
    </w:p>
    <w:p>
      <w:pPr>
        <w:jc w:val="both"/>
        <w:ind w:left="880" w:right="39"/>
        <w:spacing w:after="0" w:line="257" w:lineRule="auto"/>
        <w:rPr>
          <w:sz w:val="20"/>
          <w:szCs w:val="20"/>
          <w:color w:val="auto"/>
        </w:rPr>
      </w:pPr>
      <w:r>
        <w:rPr>
          <w:rFonts w:ascii="Arial" w:cs="Arial" w:eastAsia="Arial" w:hAnsi="Arial"/>
          <w:sz w:val="18"/>
          <w:szCs w:val="18"/>
          <w:color w:val="auto"/>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182" w:lineRule="exact"/>
        <w:rPr>
          <w:sz w:val="20"/>
          <w:szCs w:val="20"/>
          <w:color w:val="auto"/>
        </w:rPr>
      </w:pPr>
    </w:p>
    <w:p>
      <w:pPr>
        <w:jc w:val="both"/>
        <w:ind w:left="880" w:right="19"/>
        <w:spacing w:after="0" w:line="296" w:lineRule="auto"/>
        <w:rPr>
          <w:sz w:val="20"/>
          <w:szCs w:val="20"/>
          <w:color w:val="auto"/>
        </w:rPr>
      </w:pPr>
      <w:r>
        <w:rPr>
          <w:rFonts w:ascii="Arial" w:cs="Arial" w:eastAsia="Arial" w:hAnsi="Arial"/>
          <w:sz w:val="18"/>
          <w:szCs w:val="18"/>
          <w:b w:val="1"/>
          <w:bCs w:val="1"/>
          <w:color w:val="auto"/>
        </w:rPr>
        <w:t>REQUIREMENTS FOR SUBMISSION OF STOCKHOLDER PROPOSALS FOR NEXT YEAR’S ANNUAL MEETING</w:t>
      </w:r>
    </w:p>
    <w:p>
      <w:pPr>
        <w:spacing w:after="0" w:line="70" w:lineRule="exact"/>
        <w:rPr>
          <w:sz w:val="20"/>
          <w:szCs w:val="20"/>
          <w:color w:val="auto"/>
        </w:rPr>
      </w:pPr>
    </w:p>
    <w:p>
      <w:pPr>
        <w:jc w:val="both"/>
        <w:ind w:left="880" w:right="39"/>
        <w:spacing w:after="0" w:line="255" w:lineRule="auto"/>
        <w:rPr>
          <w:sz w:val="20"/>
          <w:szCs w:val="20"/>
          <w:color w:val="auto"/>
        </w:rPr>
      </w:pPr>
      <w:r>
        <w:rPr>
          <w:rFonts w:ascii="Arial" w:cs="Arial" w:eastAsia="Arial" w:hAnsi="Arial"/>
          <w:sz w:val="18"/>
          <w:szCs w:val="18"/>
          <w:color w:val="auto"/>
        </w:rPr>
        <w:t>Stockholders intending to present a proposal to be considered for inclusion in the proxy statement for our 2025 Annual Meeting of Stockholders must submit a proposal that is received at our principal executive offices no later than December 26, 2024, which is the 120th day prior to the first anniversary we released this Proxy Statement to our stockholders for the 2024 Annual Meeting of Stockholders. Proposals must be sent via registered, certified, or express mail (or other means that allows the stockholder to determine when the proposal was received by the Secretary) to our Secretary at Century Therapeutics, Inc., 25 North 38th Street, 11th Floor, Philadelphia, PA 19104. Proposals must contain the information required under our Bylaws, a copy of which is available upon request to our Secretary, and also must comply with the SEC’s regulations regarding the inclusion of stockholder proposals in Company-sponsored proxy materials.</w:t>
      </w:r>
    </w:p>
    <w:p>
      <w:pPr>
        <w:spacing w:after="0" w:line="113"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Stockholders intending to present a proposal or nominate a director for election at our 2025 Annual Meeting of Stockholders without having the proposal or nomination included in our Proxy Statement must comply with the requirements set forth in our Bylaws. Our Bylaws require, among other things, that the Secretary of the Company receive the proposal or nomination no earlier than the close of business on the 120th day, and no later than the close of business on the 90th day, prior to the first anniversary of the preceding year’s annual meeting. Accordingly, for our 2025 Annual Meeting of Stockholders, our Secretary must receive the proposal or nomination no earlier than February 20, 2025 and no later than the close of business on March 22, 2025. However, if we change the date of the 2025 Annual Meeting of Stockholders by more than 30 days before or 60 days after the anniversary of this year’s Annual Meeting, stockholder proposals must be received no later than the close of business on the later of the 90th day prior to the scheduled date of the meeting and the tenth day following the day on which public notice of the meeting was first made. Proposals must contain the information required under our Bylaws, a copy of which is available upon request to our Secretary. If the stockholder does not meet the applicable deadlines or comply with the requirements of SEC Rule 14a-4, we may exercise discretionary voting authority under proxies we solicit to vote, in accordance with our best judgment, on any such proposal. In addition,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April 25, 2025.</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STOCKHOLDER COMMUNICATIONS TO THE BOARD</w:t>
      </w:r>
    </w:p>
    <w:p>
      <w:pPr>
        <w:spacing w:after="0" w:line="144"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Stockholders and other interested parties may communicate with the Board by writing to the Secretary, Century Therapeutics, Inc., 25 North 38th Street, 11th Floor, Philadelphia, PA 19104.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​OTHER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AVAILABILITY OF MATERIALS</w:t>
      </w:r>
    </w:p>
    <w:p>
      <w:pPr>
        <w:spacing w:after="0" w:line="144"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Our 2023 Annual Report, including the financial statements and financial statement schedules, has been filed with the SEC and provides additional information about us, which is incorporated by reference herein. It is available on the Internet at www.centurytx.com and is available in paper form (other than exhibits thereto) by first class mail or other equally prompt means to beneficial owners of our common stock, without charge, upon written request to Chief Financial Officer, Century Therapeutics, Inc., 25 North 38th Street, 11th Floor, Philadelphia, PA 19104. In addition, it is available to beneficial and record holders of our common stock at www.astproxyportal.com/ast/24419.</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​Exhibit A</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CENTURY THERAPEUTICS, INC.</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Century Therapeutics,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the provisions of the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hereby certifies that:</w:t>
      </w:r>
    </w:p>
    <w:p>
      <w:pPr>
        <w:spacing w:after="0" w:line="140" w:lineRule="exact"/>
        <w:rPr>
          <w:sz w:val="20"/>
          <w:szCs w:val="20"/>
          <w:color w:val="auto"/>
        </w:rPr>
      </w:pPr>
    </w:p>
    <w:p>
      <w:pPr>
        <w:jc w:val="both"/>
        <w:ind w:left="1600" w:right="39" w:hanging="370"/>
        <w:spacing w:after="0" w:line="282" w:lineRule="auto"/>
        <w:tabs>
          <w:tab w:leader="none" w:pos="1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name of this corporation is Century Therapeutics, Inc. The Corporation’s original Certificate of Incorporation was filed with the Secretary of State of the State of Delaware on February 25, 2021. Pursuant to Section 242 of the DGCL, this Certificate of Amendment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certain provisions of the Company’s Second Amended and Restated Certificate of Incorporation (the “</w:t>
      </w:r>
      <w:r>
        <w:rPr>
          <w:rFonts w:ascii="Arial" w:cs="Arial" w:eastAsia="Arial" w:hAnsi="Arial"/>
          <w:sz w:val="17"/>
          <w:szCs w:val="17"/>
          <w:u w:val="single" w:color="auto"/>
          <w:color w:val="auto"/>
        </w:rPr>
        <w:t>Charter</w:t>
      </w:r>
      <w:r>
        <w:rPr>
          <w:rFonts w:ascii="Arial" w:cs="Arial" w:eastAsia="Arial" w:hAnsi="Arial"/>
          <w:sz w:val="17"/>
          <w:szCs w:val="17"/>
          <w:color w:val="auto"/>
        </w:rPr>
        <w:t>”).</w:t>
      </w:r>
    </w:p>
    <w:p>
      <w:pPr>
        <w:spacing w:after="0" w:line="93" w:lineRule="exact"/>
        <w:rPr>
          <w:rFonts w:ascii="Arial" w:cs="Arial" w:eastAsia="Arial" w:hAnsi="Arial"/>
          <w:sz w:val="17"/>
          <w:szCs w:val="17"/>
          <w:color w:val="auto"/>
        </w:rPr>
      </w:pPr>
    </w:p>
    <w:p>
      <w:pPr>
        <w:ind w:left="1600" w:right="39" w:hanging="370"/>
        <w:spacing w:after="0" w:line="287" w:lineRule="auto"/>
        <w:tabs>
          <w:tab w:leader="none" w:pos="1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Amendment has been approved and duly adopted by the Corporation’s Board of Directors and stockholders in accordance with the provisions of Section 242 of the DGCL.</w:t>
      </w:r>
    </w:p>
    <w:p>
      <w:pPr>
        <w:spacing w:after="0" w:line="71" w:lineRule="exact"/>
        <w:rPr>
          <w:rFonts w:ascii="Arial" w:cs="Arial" w:eastAsia="Arial" w:hAnsi="Arial"/>
          <w:sz w:val="18"/>
          <w:szCs w:val="18"/>
          <w:color w:val="auto"/>
        </w:rPr>
      </w:pPr>
    </w:p>
    <w:p>
      <w:pPr>
        <w:ind w:left="1600" w:hanging="370"/>
        <w:spacing w:after="0"/>
        <w:tabs>
          <w:tab w:leader="none" w:pos="1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Charter is hereby amended by adding a new Article XI, which would state:</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Article XI</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u w:val="single" w:color="auto"/>
          <w:color w:val="auto"/>
        </w:rPr>
        <w:t>Limitation of Liability</w:t>
      </w:r>
    </w:p>
    <w:p>
      <w:pPr>
        <w:spacing w:after="0" w:line="140" w:lineRule="exact"/>
        <w:rPr>
          <w:sz w:val="20"/>
          <w:szCs w:val="20"/>
          <w:color w:val="auto"/>
        </w:rPr>
      </w:pPr>
    </w:p>
    <w:p>
      <w:pPr>
        <w:jc w:val="both"/>
        <w:ind w:left="1600" w:right="19"/>
        <w:spacing w:after="0" w:line="253" w:lineRule="auto"/>
        <w:rPr>
          <w:sz w:val="20"/>
          <w:szCs w:val="20"/>
          <w:color w:val="auto"/>
        </w:rPr>
      </w:pPr>
      <w:r>
        <w:rPr>
          <w:rFonts w:ascii="Arial" w:cs="Arial" w:eastAsia="Arial" w:hAnsi="Arial"/>
          <w:sz w:val="18"/>
          <w:szCs w:val="18"/>
          <w:color w:val="auto"/>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spacing w:after="0" w:line="106" w:lineRule="exact"/>
        <w:rPr>
          <w:sz w:val="20"/>
          <w:szCs w:val="20"/>
          <w:color w:val="auto"/>
        </w:rPr>
      </w:pPr>
    </w:p>
    <w:p>
      <w:pPr>
        <w:jc w:val="both"/>
        <w:ind w:left="1600" w:right="19"/>
        <w:spacing w:after="0" w:line="259" w:lineRule="auto"/>
        <w:rPr>
          <w:sz w:val="20"/>
          <w:szCs w:val="20"/>
          <w:color w:val="auto"/>
        </w:rPr>
      </w:pPr>
      <w:r>
        <w:rPr>
          <w:rFonts w:ascii="Arial" w:cs="Arial" w:eastAsia="Arial" w:hAnsi="Arial"/>
          <w:sz w:val="18"/>
          <w:szCs w:val="18"/>
          <w:color w:val="auto"/>
        </w:rPr>
        <w:t>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112" w:lineRule="exact"/>
        <w:rPr>
          <w:sz w:val="20"/>
          <w:szCs w:val="20"/>
          <w:color w:val="auto"/>
        </w:rPr>
      </w:pPr>
    </w:p>
    <w:p>
      <w:pPr>
        <w:jc w:val="right"/>
        <w:ind w:left="3600" w:right="2759" w:hanging="2370"/>
        <w:spacing w:after="0" w:line="459" w:lineRule="auto"/>
        <w:tabs>
          <w:tab w:leader="none" w:pos="158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provisions of the Charter shall remain in full force and effect. [</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​Exhibit A</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IN WITNESS WHEREOF, this Certificate of Amendment to the Certificate of Incorporation has been executed by a duly authorized officer of this Corporation on this [      ] day of [                     ], 2024.</w:t>
      </w:r>
    </w:p>
    <w:p>
      <w:pPr>
        <w:spacing w:after="0" w:line="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CENTURY THERAPEUTICS, INC.</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52070</wp:posOffset>
            </wp:positionV>
            <wp:extent cx="27260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Brent Pfeiffenberger, Pharm.D.</w:t>
      </w:r>
    </w:p>
    <w:p>
      <w:pPr>
        <w:spacing w:after="0" w:line="27"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2024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396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83966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3280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832802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lowerRoman"/>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Roman"/>
      <w:start w:val="3"/>
    </w:lvl>
  </w:abstractNum>
  <w:abstractNum w:abstractNumId="21">
    <w:nsid w:val="54E49EB4"/>
    <w:multiLevelType w:val="hybridMultilevel"/>
    <w:lvl w:ilvl="0">
      <w:lvlJc w:val="left"/>
      <w:lvlText w:val="(%1)"/>
      <w:numFmt w:val="lowerLetter"/>
      <w:start w:val="35"/>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Roman"/>
      <w:start w:val="1"/>
    </w:lvl>
  </w:abstractNum>
  <w:abstractNum w:abstractNumId="24">
    <w:nsid w:val="836C40E"/>
    <w:multiLevelType w:val="hybridMultilevel"/>
    <w:lvl w:ilvl="0">
      <w:lvlJc w:val="left"/>
      <w:lvlText w:val="(%1)"/>
      <w:numFmt w:val="lowerRoman"/>
      <w:start w:val="2"/>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2"/>
    </w:lvl>
  </w:abstractNum>
  <w:abstractNum w:abstractNumId="29">
    <w:nsid w:val="7C3DBD3D"/>
    <w:multiLevelType w:val="hybridMultilevel"/>
    <w:lvl w:ilvl="0">
      <w:lvlJc w:val="left"/>
      <w:lvlText w:val="(%1)"/>
      <w:numFmt w:val="lowerRoman"/>
      <w:start w:val="2"/>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2024-04-16T15:42:21Z</dcterms:created>
  <dcterms:modified xsi:type="dcterms:W3CDTF">2024-04-16T15:42:21Z</dcterms:modified>
</cp:coreProperties>
</file>