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25 North 38th Street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11th Floor</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IPSC</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u w:val="single" w:color="auto"/>
          <w:color w:val="auto"/>
        </w:rPr>
        <w:t>Termination of a Material Definitive Agreement</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January 7, 2022, Century Therapeutics, Inc. (the “Company”) entered into a Research, Collaboration and License Agreement (the “Collaboration Agreement”) with Bristol-Myers Squibb Company (“BMS”) to collaborate on the research, development and commercialization of induced pluripotent stem cell derived, engineered natural killer cell and/or gamma delta T cell programs for hematologic malignancies.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Following an internal corporate portfolio prioritization process, BMS notified the Company on December 12, 2024 that it would be terminating the Collaboration Agreement in its entirety without cause. The termination will be effective on March 12, 2025. The Company is encouraged by the scientific progress on the programs and will evaluate opportunities in acute myeloid leukemia and multiple myeloma in the context of the ongoing strategic review of Century’s pre-clinical pipeline. Both parties will work together in accordance with the termination provisions of the 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Brent Pfeiffenberger, Pharm.D.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Brent Pfeiffenberger, Pharm.D.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2024-12-13T16:06:11Z</dcterms:created>
  <dcterms:modified xsi:type="dcterms:W3CDTF">2024-12-13T16:06:11Z</dcterms:modified>
</cp:coreProperties>
</file>