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tm2314832d2_8k.htm"/>
      <w:bookmarkStart w:id="1" w:name="kstm2314832d2_8k"/>
      <w:bookmarkEnd w:id="0"/>
      <w:bookmarkEnd w:id="1"/>
      <w:r>
        <w:rPr>
          <w:caps w:val="false"/>
          <w:smallCaps w:val="false"/>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30501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1, 2023</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3"/>
      <w:bookmarkEnd w:id="4"/>
      <w:r>
        <w:rPr>
          <w:rFonts w:ascii="Times New Roman;Times;Serif" w:hAnsi="Times New Roman;Times;Serif"/>
          <w:b/>
          <w:i w:val="false"/>
          <w:caps w:val="false"/>
          <w:smallCaps w:val="false"/>
          <w:sz w:val="36"/>
        </w:rPr>
        <w:t>Century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tbl>
      <w:tblPr>
        <w:tblW w:w="6360" w:type="dxa"/>
        <w:jc w:val="left"/>
        <w:tblInd w:w="0" w:type="dxa"/>
        <w:tblCellMar>
          <w:top w:w="0" w:type="dxa"/>
          <w:left w:w="0" w:type="dxa"/>
          <w:bottom w:w="0" w:type="dxa"/>
          <w:right w:w="0" w:type="dxa"/>
        </w:tblCellMar>
      </w:tblPr>
      <w:tblGrid>
        <w:gridCol w:w="2495"/>
        <w:gridCol w:w="60"/>
        <w:gridCol w:w="2210"/>
        <w:gridCol w:w="60"/>
        <w:gridCol w:w="1535"/>
      </w:tblGrid>
      <w:tr>
        <w:trPr/>
        <w:tc>
          <w:tcPr>
            <w:tcW w:w="2495" w:type="dxa"/>
            <w:tcBorders/>
            <w:shd w:fill="auto" w:val="clear"/>
            <w:vAlign w:val="center"/>
          </w:tcPr>
          <w:p>
            <w:pPr>
              <w:pStyle w:val="TableContents"/>
              <w:spacing w:before="0" w:after="283"/>
              <w:jc w:val="center"/>
              <w:rPr>
                <w:b/>
                <w:sz w:val="20"/>
              </w:rPr>
            </w:pPr>
            <w:bookmarkStart w:id="5" w:name="xdx_907_edei--EntityIncorporationStateCo"/>
            <w:bookmarkEnd w:id="5"/>
            <w:r>
              <w:rPr>
                <w:b/>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b/>
                <w:sz w:val="20"/>
              </w:rPr>
            </w:pPr>
            <w:bookmarkStart w:id="6" w:name="xdx_90D_edei--EntityFileNumber_c20230501"/>
            <w:bookmarkEnd w:id="6"/>
            <w:r>
              <w:rPr>
                <w:b/>
                <w:sz w:val="20"/>
              </w:rPr>
              <w:t>001-40498</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b/>
                <w:sz w:val="20"/>
              </w:rPr>
            </w:pPr>
            <w:bookmarkStart w:id="7" w:name="xdx_900_edei--EntityTaxIdentificationNum"/>
            <w:bookmarkEnd w:id="7"/>
            <w:r>
              <w:rPr>
                <w:b/>
                <w:sz w:val="20"/>
              </w:rPr>
              <w:t>84-2040295</w:t>
            </w:r>
          </w:p>
        </w:tc>
      </w:tr>
      <w:tr>
        <w:trPr/>
        <w:tc>
          <w:tcPr>
            <w:tcW w:w="2495" w:type="dxa"/>
            <w:tcBorders/>
            <w:shd w:fill="auto" w:val="clear"/>
            <w:vAlign w:val="center"/>
          </w:tcPr>
          <w:p>
            <w:pPr>
              <w:pStyle w:val="TableContents"/>
              <w:spacing w:before="0" w:after="283"/>
              <w:jc w:val="center"/>
              <w:rPr>
                <w:sz w:val="20"/>
              </w:rPr>
            </w:pPr>
            <w:r>
              <w:rPr>
                <w:sz w:val="20"/>
              </w:rPr>
              <w:t>(State or other jurisdiction of</w:t>
              <w:br/>
              <w:t>incorporation or organization)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sz w:val="20"/>
              </w:rPr>
            </w:pPr>
            <w:r>
              <w:rPr>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3675 Market Street</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Philadelphia, </w:t>
            </w:r>
            <w:bookmarkStart w:id="10" w:name="xdx_90E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b/>
                <w:sz w:val="20"/>
              </w:rPr>
            </w:pPr>
            <w:bookmarkStart w:id="11" w:name="xdx_90F_edei--EntityAddressPostalZipCode"/>
            <w:bookmarkEnd w:id="11"/>
            <w:r>
              <w:rPr>
                <w:b/>
                <w:sz w:val="20"/>
              </w:rPr>
              <w:t>19104</w:t>
            </w:r>
          </w:p>
        </w:tc>
      </w:tr>
      <w:tr>
        <w:trPr/>
        <w:tc>
          <w:tcPr>
            <w:tcW w:w="3215" w:type="dxa"/>
            <w:tcBorders/>
            <w:shd w:fill="auto" w:val="clear"/>
            <w:vAlign w:val="center"/>
          </w:tcPr>
          <w:p>
            <w:pPr>
              <w:pStyle w:val="TableContents"/>
              <w:spacing w:before="0" w:after="283"/>
              <w:jc w:val="center"/>
              <w:rPr>
                <w:sz w:val="20"/>
              </w:rPr>
            </w:pPr>
            <w:r>
              <w:rPr>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30501__20"/>
      <w:bookmarkEnd w:id="12"/>
      <w:r>
        <w:rPr>
          <w:rFonts w:ascii="Times New Roman;Times;Serif" w:hAnsi="Times New Roman;Times;Serif"/>
          <w:b/>
          <w:i w:val="false"/>
          <w:caps w:val="false"/>
          <w:smallCaps w:val="false"/>
          <w:sz w:val="20"/>
        </w:rPr>
        <w:t xml:space="preserve">267) </w:t>
      </w:r>
      <w:bookmarkStart w:id="13" w:name="xdx_902_edei--LocalPhoneNumber_c20230501"/>
      <w:bookmarkEnd w:id="13"/>
      <w:r>
        <w:rPr>
          <w:rFonts w:ascii="Times New Roman;Times;Serif" w:hAnsi="Times New Roman;Times;Serif"/>
          <w:b/>
          <w:i w:val="false"/>
          <w:caps w:val="false"/>
          <w:smallCaps w:val="false"/>
          <w:sz w:val="20"/>
        </w:rPr>
        <w:t>817-5790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14" w:name="xdx_90E_edei--WrittenCommunications_c202"/>
            <w:bookmarkEnd w:id="14"/>
            <w:r>
              <w:rPr>
                <w:caps w:val="false"/>
                <w:smallCaps w:val="false"/>
              </w:rPr>
              <w:t>☐</w:t>
            </w:r>
          </w:p>
        </w:tc>
        <w:tc>
          <w:tcPr>
            <w:tcW w:w="9065" w:type="dxa"/>
            <w:tcBorders/>
            <w:shd w:fill="auto" w:val="clear"/>
            <w:vAlign w:val="center"/>
          </w:tcPr>
          <w:p>
            <w:pPr>
              <w:pStyle w:val="TableContents"/>
              <w:spacing w:before="0" w:after="283"/>
              <w:rPr>
                <w:sz w:val="20"/>
              </w:rPr>
            </w:pPr>
            <w:r>
              <w:rPr>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bookmarkStart w:id="15" w:name="xdx_90D_edei--SolicitingMaterial_c202305"/>
            <w:bookmarkEnd w:id="15"/>
            <w:r>
              <w:rPr>
                <w:caps w:val="false"/>
                <w:smallCaps w:val="false"/>
              </w:rPr>
              <w:t>☐</w:t>
            </w:r>
          </w:p>
        </w:tc>
        <w:tc>
          <w:tcPr>
            <w:tcW w:w="906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bookmarkStart w:id="16" w:name="xdx_900_edei--PreCommencementTenderOffer"/>
            <w:bookmarkEnd w:id="16"/>
            <w:r>
              <w:rPr>
                <w:caps w:val="false"/>
                <w:smallCaps w:val="false"/>
              </w:rPr>
              <w:t>☐</w:t>
            </w:r>
          </w:p>
        </w:tc>
        <w:tc>
          <w:tcPr>
            <w:tcW w:w="9065" w:type="dxa"/>
            <w:tcBorders/>
            <w:shd w:fill="auto" w:val="clear"/>
            <w:vAlign w:val="center"/>
          </w:tcPr>
          <w:p>
            <w:pPr>
              <w:pStyle w:val="TableContents"/>
              <w:spacing w:before="0" w:after="283"/>
              <w:rPr>
                <w:sz w:val="20"/>
              </w:rPr>
            </w:pPr>
            <w:r>
              <w:rPr>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bookmarkStart w:id="17" w:name="xdx_90F_edei--PreCommencementIssuerTende"/>
            <w:bookmarkEnd w:id="17"/>
            <w:r>
              <w:rPr>
                <w:caps w:val="false"/>
                <w:smallCaps w:val="false"/>
              </w:rPr>
              <w:t>☐</w:t>
            </w:r>
          </w:p>
        </w:tc>
        <w:tc>
          <w:tcPr>
            <w:tcW w:w="9065" w:type="dxa"/>
            <w:tcBorders/>
            <w:shd w:fill="auto" w:val="clear"/>
            <w:vAlign w:val="center"/>
          </w:tcPr>
          <w:p>
            <w:pPr>
              <w:pStyle w:val="TableContents"/>
              <w:spacing w:before="0" w:after="283"/>
              <w:rPr>
                <w:sz w:val="20"/>
              </w:rPr>
            </w:pPr>
            <w:r>
              <w:rPr>
                <w:sz w:val="20"/>
              </w:rPr>
              <w:t>Pre-commencement communications pursuant to Rule 13e-4(c) under the Exchange Act (17 CFR 240.13e-4(c))</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745" w:type="dxa"/>
        <w:jc w:val="left"/>
        <w:tblInd w:w="0" w:type="dxa"/>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415" w:type="dxa"/>
            <w:tcBorders>
              <w:bottom w:val="single" w:sz="8" w:space="0" w:color="000000"/>
            </w:tcBorders>
            <w:shd w:fill="auto" w:val="clear"/>
            <w:vAlign w:val="center"/>
          </w:tcPr>
          <w:p>
            <w:pPr>
              <w:pStyle w:val="TableContents"/>
              <w:spacing w:before="0" w:after="283"/>
              <w:jc w:val="center"/>
              <w:rPr>
                <w:b/>
                <w:sz w:val="20"/>
              </w:rPr>
            </w:pPr>
            <w:r>
              <w:rPr>
                <w:b/>
                <w:sz w:val="20"/>
              </w:rPr>
              <w:t>Trading Symbol</w:t>
            </w:r>
          </w:p>
        </w:tc>
        <w:tc>
          <w:tcPr>
            <w:tcW w:w="60" w:type="dxa"/>
            <w:tcBorders/>
            <w:shd w:fill="auto" w:val="clear"/>
            <w:tcMar>
              <w:bottom w:w="0" w:type="dxa"/>
            </w:tcMar>
            <w:vAlign w:val="center"/>
          </w:tcPr>
          <w:p>
            <w:pPr>
              <w:pStyle w:val="TableContents"/>
              <w:spacing w:before="0" w:after="283"/>
              <w:rPr/>
            </w:pPr>
            <w:r>
              <w:rPr/>
              <w:t> </w:t>
            </w:r>
          </w:p>
        </w:tc>
        <w:tc>
          <w:tcPr>
            <w:tcW w:w="3425" w:type="dxa"/>
            <w:tcBorders>
              <w:bottom w:val="single" w:sz="8" w:space="0" w:color="000000"/>
            </w:tcBorders>
            <w:shd w:fill="auto" w:val="clear"/>
            <w:vAlign w:val="center"/>
          </w:tcPr>
          <w:p>
            <w:pPr>
              <w:pStyle w:val="TableContents"/>
              <w:spacing w:before="0" w:after="283"/>
              <w:jc w:val="center"/>
              <w:rPr>
                <w:b/>
                <w:sz w:val="20"/>
              </w:rPr>
            </w:pPr>
            <w:r>
              <w:rPr>
                <w:b/>
                <w:sz w:val="20"/>
              </w:rPr>
              <w:t>Name of Exchange on Which Registered</w:t>
            </w:r>
          </w:p>
        </w:tc>
      </w:tr>
      <w:tr>
        <w:trPr/>
        <w:tc>
          <w:tcPr>
            <w:tcW w:w="3785" w:type="dxa"/>
            <w:tcBorders/>
            <w:shd w:fill="auto" w:val="clear"/>
            <w:tcMar>
              <w:bottom w:w="0" w:type="dxa"/>
            </w:tcMar>
            <w:vAlign w:val="center"/>
          </w:tcPr>
          <w:p>
            <w:pPr>
              <w:pStyle w:val="TableContents"/>
              <w:spacing w:before="0" w:after="283"/>
              <w:jc w:val="center"/>
              <w:rPr>
                <w:b/>
                <w:sz w:val="20"/>
              </w:rPr>
            </w:pPr>
            <w:bookmarkStart w:id="18" w:name="xdx_900_edei--Security12bTitle_c20230501"/>
            <w:bookmarkEnd w:id="18"/>
            <w:r>
              <w:rPr>
                <w:b/>
                <w:sz w:val="20"/>
              </w:rPr>
              <w:t>Common Stock, par value $0.0001 per share</w:t>
            </w:r>
          </w:p>
        </w:tc>
        <w:tc>
          <w:tcPr>
            <w:tcW w:w="60" w:type="dxa"/>
            <w:tcBorders/>
            <w:shd w:fill="auto" w:val="clear"/>
            <w:tcMar>
              <w:bottom w:w="0" w:type="dxa"/>
            </w:tcMar>
            <w:vAlign w:val="center"/>
          </w:tcPr>
          <w:p>
            <w:pPr>
              <w:pStyle w:val="TableContents"/>
              <w:spacing w:before="0" w:after="283"/>
              <w:rPr/>
            </w:pPr>
            <w:r>
              <w:rPr/>
              <w:t> </w:t>
            </w:r>
          </w:p>
        </w:tc>
        <w:tc>
          <w:tcPr>
            <w:tcW w:w="1415" w:type="dxa"/>
            <w:tcBorders/>
            <w:shd w:fill="auto" w:val="clear"/>
            <w:tcMar>
              <w:bottom w:w="0" w:type="dxa"/>
            </w:tcMar>
            <w:vAlign w:val="center"/>
          </w:tcPr>
          <w:p>
            <w:pPr>
              <w:pStyle w:val="TableContents"/>
              <w:spacing w:before="0" w:after="283"/>
              <w:jc w:val="center"/>
              <w:rPr>
                <w:b/>
                <w:sz w:val="20"/>
              </w:rPr>
            </w:pPr>
            <w:bookmarkStart w:id="19" w:name="xdx_90D_edei--TradingSymbol_c20230501__2"/>
            <w:bookmarkEnd w:id="19"/>
            <w:r>
              <w:rPr>
                <w:b/>
                <w:sz w:val="20"/>
              </w:rPr>
              <w:t>IPSC</w:t>
            </w:r>
          </w:p>
        </w:tc>
        <w:tc>
          <w:tcPr>
            <w:tcW w:w="60" w:type="dxa"/>
            <w:tcBorders/>
            <w:shd w:fill="auto" w:val="clear"/>
            <w:tcMar>
              <w:bottom w:w="0" w:type="dxa"/>
            </w:tcMar>
            <w:vAlign w:val="center"/>
          </w:tcPr>
          <w:p>
            <w:pPr>
              <w:pStyle w:val="TableContents"/>
              <w:spacing w:before="0" w:after="283"/>
              <w:rPr/>
            </w:pPr>
            <w:r>
              <w:rPr/>
              <w:t> </w:t>
            </w:r>
          </w:p>
        </w:tc>
        <w:tc>
          <w:tcPr>
            <w:tcW w:w="3425" w:type="dxa"/>
            <w:tcBorders/>
            <w:shd w:fill="auto" w:val="clear"/>
            <w:tcMar>
              <w:bottom w:w="0" w:type="dxa"/>
            </w:tcMar>
            <w:vAlign w:val="center"/>
          </w:tcPr>
          <w:p>
            <w:pPr>
              <w:pStyle w:val="TableContents"/>
              <w:spacing w:before="0" w:after="283"/>
              <w:jc w:val="center"/>
              <w:rPr>
                <w:b/>
                <w:sz w:val="20"/>
              </w:rPr>
            </w:pPr>
            <w:bookmarkStart w:id="20" w:name="xdx_905_edei--SecurityExchangeName_c2023"/>
            <w:bookmarkEnd w:id="20"/>
            <w:r>
              <w:rPr>
                <w:b/>
                <w:sz w:val="20"/>
              </w:rPr>
              <w:t>Nasdaq Global Select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9_edei--EntityExTransitionPeriod_c"/>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945" w:type="dxa"/>
        <w:jc w:val="left"/>
        <w:tblInd w:w="0" w:type="dxa"/>
        <w:tblCellMar>
          <w:top w:w="0" w:type="dxa"/>
          <w:left w:w="0" w:type="dxa"/>
          <w:bottom w:w="0" w:type="dxa"/>
          <w:right w:w="0" w:type="dxa"/>
        </w:tblCellMar>
      </w:tblPr>
      <w:tblGrid>
        <w:gridCol w:w="830"/>
        <w:gridCol w:w="4115"/>
      </w:tblGrid>
      <w:tr>
        <w:trPr/>
        <w:tc>
          <w:tcPr>
            <w:tcW w:w="830" w:type="dxa"/>
            <w:tcBorders/>
            <w:shd w:fill="auto" w:val="clear"/>
            <w:vAlign w:val="center"/>
          </w:tcPr>
          <w:p>
            <w:pPr>
              <w:pStyle w:val="TableContents"/>
              <w:spacing w:before="0" w:after="283"/>
              <w:rPr>
                <w:b/>
                <w:sz w:val="20"/>
              </w:rPr>
            </w:pPr>
            <w:r>
              <w:rPr>
                <w:b/>
                <w:sz w:val="20"/>
              </w:rPr>
              <w:t>Item 1.02</w:t>
            </w:r>
          </w:p>
        </w:tc>
        <w:tc>
          <w:tcPr>
            <w:tcW w:w="4115" w:type="dxa"/>
            <w:tcBorders/>
            <w:shd w:fill="auto" w:val="clear"/>
            <w:vAlign w:val="center"/>
          </w:tcPr>
          <w:p>
            <w:pPr>
              <w:pStyle w:val="TableContents"/>
              <w:spacing w:before="0" w:after="283"/>
              <w:jc w:val="both"/>
              <w:rPr>
                <w:b/>
                <w:sz w:val="20"/>
                <w:u w:val="single"/>
              </w:rPr>
            </w:pPr>
            <w:r>
              <w:rPr>
                <w:b/>
                <w:sz w:val="20"/>
                <w:u w:val="single"/>
              </w:rPr>
              <w:t>Termination of a Material Definitive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Century Therapeutics, Inc. (the “Company”) completed a voluntary prepayment of all outstanding principal, accrued and unpaid interest, fees, costs and expenses, equal to $10.6 million in the aggregate (the “Payoff Amount”), under the Loan and Security Agreement (as amended, the “Loan Agreement”), dated as of September 14, 2020 between the Company and Hercules Capital, Inc. (“Hercules”). The Payoff Amount includes a prepayment charge of $100,000 equal to 1.0% of the outstanding principal, and an exit fee of $395,000. Upon receipt by Hercules of the Payoff Amount on May 1, 2023, all obligations, covenants, debts and liabilities of the Company under the Loan Agreement were satisfied and discharged in full, and the Loan Agreement and all other documents entered into in connection with the Loan Agreement were terminated.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Loan Agreement provided for a term loan with aggregate maximum borrowings of up to $30.0 million (the “Term Loan”). Under the Loan Agreement, the Company borrowed $10.0 million. The Term Loan bore interest at a variable annual rate equal to the greater of either (i) the sum of (a) 6.30% plus (b) the prime rate (as reported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on the last business day of the month that immediately precedes the month in which the interest will accrue) or (ii) 9.55%. Interest-only payments on the borrowings under the Loan Agreement were due through May 1, 2023. After the interest-only payment period, borrowings under the Loan Agreement were due in equal monthly payments of principal and accrued interest until the maturity date of April 1, 2024.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rPr>
          <w:caps w:val="false"/>
          <w:smallCaps w:val="false"/>
        </w:rPr>
      </w:pPr>
      <w:r>
        <w:rPr>
          <w:caps w:val="false"/>
          <w:smallCaps w:val="false"/>
        </w:rPr>
        <w:t> </w:t>
      </w:r>
    </w:p>
    <w:tbl>
      <w:tblPr>
        <w:tblW w:w="8460" w:type="dxa"/>
        <w:jc w:val="left"/>
        <w:tblInd w:w="0" w:type="dxa"/>
        <w:tblCellMar>
          <w:top w:w="0" w:type="dxa"/>
          <w:left w:w="0" w:type="dxa"/>
          <w:bottom w:w="0" w:type="dxa"/>
          <w:right w:w="0" w:type="dxa"/>
        </w:tblCellMar>
      </w:tblPr>
      <w:tblGrid>
        <w:gridCol w:w="1820"/>
        <w:gridCol w:w="545"/>
        <w:gridCol w:w="6095"/>
      </w:tblGrid>
      <w:tr>
        <w:trPr/>
        <w:tc>
          <w:tcPr>
            <w:tcW w:w="1820" w:type="dxa"/>
            <w:tcBorders/>
            <w:shd w:fill="auto" w:val="clear"/>
            <w:vAlign w:val="center"/>
          </w:tcPr>
          <w:p>
            <w:pPr>
              <w:pStyle w:val="TableContents"/>
              <w:spacing w:before="0" w:after="283"/>
              <w:rPr/>
            </w:pPr>
            <w:r>
              <w:rPr/>
              <w:t> </w:t>
            </w:r>
          </w:p>
        </w:tc>
        <w:tc>
          <w:tcPr>
            <w:tcW w:w="6640" w:type="dxa"/>
            <w:gridSpan w:val="2"/>
            <w:tcBorders/>
            <w:shd w:fill="auto" w:val="clear"/>
            <w:vAlign w:val="center"/>
          </w:tcPr>
          <w:p>
            <w:pPr>
              <w:pStyle w:val="TableContents"/>
              <w:spacing w:before="0" w:after="283"/>
              <w:rPr>
                <w:b/>
                <w:sz w:val="20"/>
              </w:rPr>
            </w:pPr>
            <w:r>
              <w:rPr>
                <w:b/>
                <w:sz w:val="20"/>
              </w:rPr>
              <w:t>CENTURY THERAPEUTICS, INC.</w:t>
            </w:r>
          </w:p>
        </w:tc>
      </w:tr>
      <w:tr>
        <w:trPr/>
        <w:tc>
          <w:tcPr>
            <w:tcW w:w="18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095"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609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Greg Russotti, Ph.D.</w:t>
            </w:r>
          </w:p>
        </w:tc>
      </w:tr>
      <w:tr>
        <w:trPr/>
        <w:tc>
          <w:tcPr>
            <w:tcW w:w="18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6095" w:type="dxa"/>
            <w:tcBorders/>
            <w:shd w:fill="auto" w:val="clear"/>
            <w:vAlign w:val="center"/>
          </w:tcPr>
          <w:p>
            <w:pPr>
              <w:pStyle w:val="TableContents"/>
              <w:spacing w:before="0" w:after="283"/>
              <w:rPr>
                <w:sz w:val="20"/>
              </w:rPr>
            </w:pPr>
            <w:r>
              <w:rPr>
                <w:sz w:val="20"/>
              </w:rPr>
              <w:t>Greg Russotti, Ph.D.</w:t>
            </w:r>
          </w:p>
        </w:tc>
      </w:tr>
      <w:tr>
        <w:trPr/>
        <w:tc>
          <w:tcPr>
            <w:tcW w:w="1820" w:type="dxa"/>
            <w:tcBorders/>
            <w:shd w:fill="auto" w:val="clear"/>
            <w:vAlign w:val="center"/>
          </w:tcPr>
          <w:p>
            <w:pPr>
              <w:pStyle w:val="TableContents"/>
              <w:spacing w:before="0" w:after="283"/>
              <w:jc w:val="left"/>
              <w:rPr/>
            </w:pPr>
            <w:r>
              <w:rPr/>
              <w:t>Date: May 5, 2023</w:t>
            </w:r>
          </w:p>
        </w:tc>
        <w:tc>
          <w:tcPr>
            <w:tcW w:w="545" w:type="dxa"/>
            <w:tcBorders/>
            <w:shd w:fill="auto" w:val="clear"/>
            <w:vAlign w:val="center"/>
          </w:tcPr>
          <w:p>
            <w:pPr>
              <w:pStyle w:val="TableContents"/>
              <w:spacing w:before="0" w:after="283"/>
              <w:rPr>
                <w:sz w:val="20"/>
              </w:rPr>
            </w:pPr>
            <w:r>
              <w:rPr>
                <w:sz w:val="20"/>
              </w:rPr>
              <w:t>Title:</w:t>
            </w:r>
          </w:p>
        </w:tc>
        <w:tc>
          <w:tcPr>
            <w:tcW w:w="6095" w:type="dxa"/>
            <w:tcBorders/>
            <w:shd w:fill="auto" w:val="clear"/>
            <w:vAlign w:val="center"/>
          </w:tcPr>
          <w:p>
            <w:pPr>
              <w:pStyle w:val="TableContents"/>
              <w:spacing w:before="0" w:after="283"/>
              <w:rPr>
                <w:sz w:val="20"/>
              </w:rPr>
            </w:pPr>
            <w:r>
              <w:rPr>
                <w:sz w:val="20"/>
              </w:rPr>
              <w:t>Interim President and Chief Executive Officer (Principal Executive Officer)</w:t>
            </w:r>
          </w:p>
        </w:tc>
      </w:tr>
    </w:tbl>
    <w:p>
      <w:pPr>
        <w:pStyle w:val="TextBody"/>
        <w:spacing w:before="0" w:after="0"/>
        <w:ind w:left="0" w:right="0" w:hanging="0"/>
        <w:jc w:val="center"/>
        <w:rPr>
          <w:caps w:val="false"/>
          <w:smallCaps w:val="false"/>
          <w:color w:val="FF0000"/>
        </w:rPr>
      </w:pPr>
      <w:r>
        <w:rPr>
          <w:caps w:val="false"/>
          <w:smallCaps w:val="false"/>
          <w:color w:val="FF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color w:val="FF0000"/>
        </w:rPr>
      </w:pPr>
      <w:r>
        <w:rPr>
          <w:caps w:val="false"/>
          <w:smallCaps w:val="false"/>
          <w:color w:val="FF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632</Words>
  <CharactersWithSpaces>4080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