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Farid Adrienne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83"/>
        <w:spacing w:after="0"/>
        <w:rPr>
          <w:sz w:val="20"/>
          <w:szCs w:val="20"/>
          <w:color w:val="auto"/>
        </w:rPr>
      </w:pPr>
      <w:r>
        <w:rPr>
          <w:rFonts w:ascii="Arial" w:cs="Arial" w:eastAsia="Arial" w:hAnsi="Arial"/>
          <w:sz w:val="20"/>
          <w:szCs w:val="20"/>
          <w:color w:val="0000FF"/>
        </w:rPr>
        <w:t>Chief Operations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700"/>
              <w:spacing w:after="0"/>
              <w:rPr>
                <w:sz w:val="20"/>
                <w:szCs w:val="20"/>
                <w:color w:val="auto"/>
              </w:rPr>
            </w:pPr>
            <w:r>
              <w:rPr>
                <w:rFonts w:ascii="Arial" w:cs="Arial" w:eastAsia="Arial" w:hAnsi="Arial"/>
                <w:sz w:val="20"/>
                <w:szCs w:val="20"/>
                <w:color w:val="0000FF"/>
              </w:rPr>
              <w:t>74,218</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07/17/2029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222,655</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1.03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04/15/2031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207,649</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7.27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option vests 25% on March 1, 2020, with the remaining 75% vesting in 36 equal monthly installments, subject to the Reporting Person's continued service with the Issuer.</w:t>
      </w:r>
    </w:p>
    <w:p>
      <w:pPr>
        <w:spacing w:after="0" w:line="75" w:lineRule="exact"/>
        <w:rPr>
          <w:rFonts w:ascii="Arial" w:cs="Arial" w:eastAsia="Arial" w:hAnsi="Arial"/>
          <w:sz w:val="13"/>
          <w:szCs w:val="13"/>
          <w:color w:val="008000"/>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26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April, 2021.</w:t>
      </w:r>
    </w:p>
    <w:p>
      <w:pPr>
        <w:spacing w:after="0" w:line="2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Adrienne Farid, Ph.D.</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Adrienne Farid,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7310"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2021-06-17T16:05:06Z</dcterms:created>
  <dcterms:modified xsi:type="dcterms:W3CDTF">2021-06-17T16:05:06Z</dcterms:modified>
</cp:coreProperties>
</file>