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Carlo Rizzuto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20, 2025, or (b) the next annual meeting of stockholders, in each case subject to the Reporting Person's continued service through the applicable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06/21/2024</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ind w:right="3159" w:firstLine="808"/>
        <w:spacing w:after="0" w:line="241" w:lineRule="auto"/>
        <w:tabs>
          <w:tab w:leader="none" w:pos="110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ind w:left="1100" w:hanging="292"/>
        <w:spacing w:after="0"/>
        <w:tabs>
          <w:tab w:leader="none" w:pos="11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1"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ind w:right="3059" w:firstLine="808"/>
        <w:spacing w:after="0" w:line="241" w:lineRule="auto"/>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ind w:right="33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ind w:right="35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this 20th day of June, 2024.</w:t>
      </w:r>
    </w:p>
    <w:p>
      <w:pPr>
        <w:spacing w:after="0" w:line="358"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Carlo Rizzuto</w:t>
      </w:r>
    </w:p>
    <w:p>
      <w:pPr>
        <w:spacing w:after="0" w:line="3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Carlo Rizzuto</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7033"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2024-06-21T16:05:43Z</dcterms:created>
  <dcterms:modified xsi:type="dcterms:W3CDTF">2024-06-21T16:05:43Z</dcterms:modified>
</cp:coreProperties>
</file>