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No. 1)*</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Issuer)</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300" w:right="8620" w:firstLine="4"/>
        <w:spacing w:after="0" w:line="500" w:lineRule="auto"/>
        <w:tabs>
          <w:tab w:leader="none" w:pos="159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13d-1(b) [ ] Rule 13d-1(c) [_] Rule 13d-1(d)</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4"/>
          <w:szCs w:val="24"/>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15673T100</w:t>
            </w:r>
          </w:p>
        </w:tc>
      </w:tr>
    </w:tbl>
    <w:p>
      <w:pPr>
        <w:spacing w:after="0" w:line="198" w:lineRule="exact"/>
        <w:rPr>
          <w:sz w:val="20"/>
          <w:szCs w:val="20"/>
          <w:color w:val="auto"/>
        </w:rPr>
      </w:pPr>
    </w:p>
    <w:p>
      <w:pPr>
        <w:ind w:left="1140" w:right="6800" w:hanging="1135"/>
        <w:spacing w:after="0" w:line="500" w:lineRule="auto"/>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Casdin Capital, LLC</w:t>
      </w:r>
    </w:p>
    <w:p>
      <w:pPr>
        <w:spacing w:after="0" w:line="1" w:lineRule="exact"/>
        <w:rPr>
          <w:rFonts w:ascii="Times New Roman" w:cs="Times New Roman" w:eastAsia="Times New Roman" w:hAnsi="Times New Roman"/>
          <w:sz w:val="18"/>
          <w:szCs w:val="18"/>
          <w:color w:val="auto"/>
        </w:rPr>
      </w:pPr>
    </w:p>
    <w:p>
      <w:pPr>
        <w:ind w:left="1140" w:hanging="1135"/>
        <w:spacing w:after="0"/>
        <w:tabs>
          <w:tab w:leader="none" w:pos="11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1140" w:hanging="1135"/>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right="5820" w:hanging="1135"/>
        <w:spacing w:after="0" w:line="53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p>
      <w:pPr>
        <w:spacing w:after="0" w:line="378" w:lineRule="exact"/>
        <w:rPr>
          <w:sz w:val="20"/>
          <w:szCs w:val="20"/>
          <w:color w:val="auto"/>
        </w:rPr>
      </w:pPr>
    </w:p>
    <w:p>
      <w:pPr>
        <w:ind w:left="1140" w:right="762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36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3,212,316</w:t>
      </w:r>
    </w:p>
    <w:p>
      <w:pPr>
        <w:spacing w:after="0" w:line="1" w:lineRule="exact"/>
        <w:rPr>
          <w:rFonts w:ascii="Times New Roman" w:cs="Times New Roman" w:eastAsia="Times New Roman" w:hAnsi="Times New Roman"/>
          <w:sz w:val="18"/>
          <w:szCs w:val="18"/>
          <w:color w:val="auto"/>
        </w:rPr>
      </w:pPr>
    </w:p>
    <w:p>
      <w:pPr>
        <w:ind w:left="1140" w:right="722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696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3,212,316</w:t>
      </w:r>
    </w:p>
    <w:p>
      <w:pPr>
        <w:spacing w:after="0" w:line="1" w:lineRule="exact"/>
        <w:rPr>
          <w:rFonts w:ascii="Times New Roman" w:cs="Times New Roman" w:eastAsia="Times New Roman" w:hAnsi="Times New Roman"/>
          <w:sz w:val="18"/>
          <w:szCs w:val="18"/>
          <w:color w:val="auto"/>
        </w:rPr>
      </w:pPr>
    </w:p>
    <w:p>
      <w:pPr>
        <w:ind w:left="1140" w:right="2920" w:hanging="1135"/>
        <w:spacing w:after="0" w:line="500"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3,212,316</w:t>
      </w:r>
    </w:p>
    <w:p>
      <w:pPr>
        <w:spacing w:after="0" w:line="1" w:lineRule="exact"/>
        <w:rPr>
          <w:rFonts w:ascii="Times New Roman" w:cs="Times New Roman" w:eastAsia="Times New Roman" w:hAnsi="Times New Roman"/>
          <w:sz w:val="18"/>
          <w:szCs w:val="18"/>
          <w:color w:val="auto"/>
        </w:rPr>
      </w:pPr>
    </w:p>
    <w:p>
      <w:pPr>
        <w:ind w:left="1140" w:right="1980" w:hanging="1135"/>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1140" w:right="4420" w:hanging="1135"/>
        <w:spacing w:after="0" w:line="500"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3.8%</w:t>
      </w:r>
    </w:p>
    <w:p>
      <w:pPr>
        <w:spacing w:after="0" w:line="1" w:lineRule="exact"/>
        <w:rPr>
          <w:rFonts w:ascii="Times New Roman" w:cs="Times New Roman" w:eastAsia="Times New Roman" w:hAnsi="Times New Roman"/>
          <w:sz w:val="18"/>
          <w:szCs w:val="18"/>
          <w:color w:val="auto"/>
        </w:rPr>
      </w:pPr>
    </w:p>
    <w:p>
      <w:pPr>
        <w:ind w:left="1140" w:right="5140" w:hanging="1135"/>
        <w:spacing w:after="0" w:line="532" w:lineRule="auto"/>
        <w:tabs>
          <w:tab w:leader="none" w:pos="11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420" w:top="688" w:right="8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CUSIP No</w:t>
            </w:r>
          </w:p>
        </w:tc>
        <w:tc>
          <w:tcPr>
            <w:tcW w:w="22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15673T100</w:t>
            </w:r>
          </w:p>
        </w:tc>
      </w:tr>
    </w:tbl>
    <w:p>
      <w:pPr>
        <w:spacing w:after="0" w:line="198" w:lineRule="exact"/>
        <w:rPr>
          <w:sz w:val="20"/>
          <w:szCs w:val="20"/>
          <w:color w:val="auto"/>
        </w:rPr>
      </w:pPr>
    </w:p>
    <w:p>
      <w:pPr>
        <w:ind w:left="1140" w:right="6800" w:hanging="1135"/>
        <w:spacing w:after="0" w:line="500"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 Eli Casdin</w:t>
      </w:r>
    </w:p>
    <w:p>
      <w:pPr>
        <w:spacing w:after="0" w:line="1" w:lineRule="exact"/>
        <w:rPr>
          <w:rFonts w:ascii="Times New Roman" w:cs="Times New Roman" w:eastAsia="Times New Roman" w:hAnsi="Times New Roman"/>
          <w:sz w:val="18"/>
          <w:szCs w:val="18"/>
          <w:color w:val="auto"/>
        </w:rPr>
      </w:pPr>
    </w:p>
    <w:p>
      <w:pPr>
        <w:ind w:left="1140" w:hanging="1135"/>
        <w:spacing w:after="0"/>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7"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 [_]</w:t>
      </w:r>
    </w:p>
    <w:p>
      <w:pPr>
        <w:spacing w:after="0" w:line="207" w:lineRule="exact"/>
        <w:rPr>
          <w:sz w:val="20"/>
          <w:szCs w:val="20"/>
          <w:color w:val="auto"/>
        </w:rPr>
      </w:pPr>
    </w:p>
    <w:p>
      <w:pPr>
        <w:ind w:left="1140" w:hanging="1135"/>
        <w:spacing w:after="0"/>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1140" w:right="5820" w:hanging="1135"/>
        <w:spacing w:after="0" w:line="532" w:lineRule="auto"/>
        <w:tabs>
          <w:tab w:leader="none" w:pos="11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 of America</w:t>
      </w:r>
    </w:p>
    <w:p>
      <w:pPr>
        <w:spacing w:after="0" w:line="378" w:lineRule="exact"/>
        <w:rPr>
          <w:sz w:val="20"/>
          <w:szCs w:val="20"/>
          <w:color w:val="auto"/>
        </w:rPr>
      </w:pPr>
    </w:p>
    <w:p>
      <w:pPr>
        <w:ind w:left="1140" w:right="762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 0</w:t>
      </w:r>
    </w:p>
    <w:p>
      <w:pPr>
        <w:spacing w:after="0" w:line="1" w:lineRule="exact"/>
        <w:rPr>
          <w:rFonts w:ascii="Times New Roman" w:cs="Times New Roman" w:eastAsia="Times New Roman" w:hAnsi="Times New Roman"/>
          <w:sz w:val="18"/>
          <w:szCs w:val="18"/>
          <w:color w:val="auto"/>
        </w:rPr>
      </w:pPr>
    </w:p>
    <w:p>
      <w:pPr>
        <w:ind w:left="1140" w:right="736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VOTING POWER 3,212,316</w:t>
      </w:r>
    </w:p>
    <w:p>
      <w:pPr>
        <w:spacing w:after="0" w:line="1" w:lineRule="exact"/>
        <w:rPr>
          <w:rFonts w:ascii="Times New Roman" w:cs="Times New Roman" w:eastAsia="Times New Roman" w:hAnsi="Times New Roman"/>
          <w:sz w:val="18"/>
          <w:szCs w:val="18"/>
          <w:color w:val="auto"/>
        </w:rPr>
      </w:pPr>
    </w:p>
    <w:p>
      <w:pPr>
        <w:ind w:left="1140" w:right="722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DISPOSITIVE POWER 0</w:t>
      </w:r>
    </w:p>
    <w:p>
      <w:pPr>
        <w:spacing w:after="0" w:line="1" w:lineRule="exact"/>
        <w:rPr>
          <w:rFonts w:ascii="Times New Roman" w:cs="Times New Roman" w:eastAsia="Times New Roman" w:hAnsi="Times New Roman"/>
          <w:sz w:val="18"/>
          <w:szCs w:val="18"/>
          <w:color w:val="auto"/>
        </w:rPr>
      </w:pPr>
    </w:p>
    <w:p>
      <w:pPr>
        <w:ind w:left="1140" w:right="696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3,212,316</w:t>
      </w:r>
    </w:p>
    <w:p>
      <w:pPr>
        <w:spacing w:after="0" w:line="1" w:lineRule="exact"/>
        <w:rPr>
          <w:rFonts w:ascii="Times New Roman" w:cs="Times New Roman" w:eastAsia="Times New Roman" w:hAnsi="Times New Roman"/>
          <w:sz w:val="18"/>
          <w:szCs w:val="18"/>
          <w:color w:val="auto"/>
        </w:rPr>
      </w:pPr>
    </w:p>
    <w:p>
      <w:pPr>
        <w:ind w:left="1140" w:right="2920" w:hanging="1135"/>
        <w:spacing w:after="0" w:line="500"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3,212,316</w:t>
      </w:r>
    </w:p>
    <w:p>
      <w:pPr>
        <w:spacing w:after="0" w:line="1" w:lineRule="exact"/>
        <w:rPr>
          <w:rFonts w:ascii="Times New Roman" w:cs="Times New Roman" w:eastAsia="Times New Roman" w:hAnsi="Times New Roman"/>
          <w:sz w:val="18"/>
          <w:szCs w:val="18"/>
          <w:color w:val="auto"/>
        </w:rPr>
      </w:pPr>
    </w:p>
    <w:p>
      <w:pPr>
        <w:ind w:left="1140" w:right="1980" w:hanging="1135"/>
        <w:spacing w:after="0" w:line="261" w:lineRule="auto"/>
        <w:tabs>
          <w:tab w:leader="none" w:pos="1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THE AGGREGATE AMOUNT IN ROW (9) EXCLUDES CERTAIN SHARES (SEE INSTRUCTIONS)</w:t>
      </w:r>
    </w:p>
    <w:p>
      <w:pPr>
        <w:ind w:left="10340"/>
        <w:spacing w:after="0"/>
        <w:rPr>
          <w:sz w:val="20"/>
          <w:szCs w:val="20"/>
          <w:color w:val="auto"/>
        </w:rPr>
      </w:pPr>
      <w:r>
        <w:rPr>
          <w:rFonts w:ascii="Times New Roman" w:cs="Times New Roman" w:eastAsia="Times New Roman" w:hAnsi="Times New Roman"/>
          <w:sz w:val="18"/>
          <w:szCs w:val="18"/>
          <w:color w:val="auto"/>
        </w:rPr>
        <w:t>[_]</w:t>
      </w:r>
    </w:p>
    <w:p>
      <w:pPr>
        <w:spacing w:after="0" w:line="207" w:lineRule="exact"/>
        <w:rPr>
          <w:sz w:val="20"/>
          <w:szCs w:val="20"/>
          <w:color w:val="auto"/>
        </w:rPr>
      </w:pPr>
    </w:p>
    <w:p>
      <w:pPr>
        <w:ind w:left="1140" w:right="4420" w:hanging="1135"/>
        <w:spacing w:after="0" w:line="500"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(9) 3.8%</w:t>
      </w:r>
    </w:p>
    <w:p>
      <w:pPr>
        <w:spacing w:after="0" w:line="1" w:lineRule="exact"/>
        <w:rPr>
          <w:rFonts w:ascii="Times New Roman" w:cs="Times New Roman" w:eastAsia="Times New Roman" w:hAnsi="Times New Roman"/>
          <w:sz w:val="18"/>
          <w:szCs w:val="18"/>
          <w:color w:val="auto"/>
        </w:rPr>
      </w:pPr>
    </w:p>
    <w:p>
      <w:pPr>
        <w:ind w:left="1140" w:right="5140" w:hanging="1135"/>
        <w:spacing w:after="0" w:line="532"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140335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420" w:top="688" w:right="8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CUSIP No</w:t>
            </w:r>
          </w:p>
        </w:tc>
        <w:tc>
          <w:tcPr>
            <w:tcW w:w="640" w:type="dxa"/>
            <w:vAlign w:val="bottom"/>
          </w:tcPr>
          <w:p>
            <w:pPr>
              <w:spacing w:after="0"/>
              <w:rPr>
                <w:sz w:val="20"/>
                <w:szCs w:val="20"/>
                <w:color w:val="auto"/>
              </w:rPr>
            </w:pPr>
          </w:p>
        </w:tc>
        <w:tc>
          <w:tcPr>
            <w:tcW w:w="2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15673T100</w:t>
            </w:r>
          </w:p>
        </w:tc>
        <w:tc>
          <w:tcPr>
            <w:tcW w:w="6840" w:type="dxa"/>
            <w:vAlign w:val="bottom"/>
            <w:gridSpan w:val="2"/>
          </w:tcPr>
          <w:p>
            <w:pPr>
              <w:spacing w:after="0"/>
              <w:rPr>
                <w:sz w:val="20"/>
                <w:szCs w:val="20"/>
                <w:color w:val="auto"/>
              </w:rPr>
            </w:pPr>
          </w:p>
        </w:tc>
      </w:tr>
      <w:tr>
        <w:trPr>
          <w:trHeight w:val="42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Issuer:</w:t>
            </w:r>
          </w:p>
        </w:tc>
      </w:tr>
      <w:tr>
        <w:trPr>
          <w:trHeight w:val="432"/>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Century Therapeutics, Inc.</w:t>
            </w:r>
          </w:p>
        </w:tc>
        <w:tc>
          <w:tcPr>
            <w:tcW w:w="1120" w:type="dxa"/>
            <w:vAlign w:val="bottom"/>
          </w:tcPr>
          <w:p>
            <w:pPr>
              <w:spacing w:after="0"/>
              <w:rPr>
                <w:sz w:val="24"/>
                <w:szCs w:val="24"/>
                <w:color w:val="auto"/>
              </w:rPr>
            </w:pPr>
          </w:p>
        </w:tc>
      </w:tr>
      <w:tr>
        <w:trPr>
          <w:trHeight w:val="426"/>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r>
      <w:tr>
        <w:trPr>
          <w:trHeight w:val="454"/>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25 North 38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Street, 11</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Philadelphia, Pennsylvania 19104</w:t>
            </w:r>
          </w:p>
        </w:tc>
        <w:tc>
          <w:tcPr>
            <w:tcW w:w="1120" w:type="dxa"/>
            <w:vAlign w:val="bottom"/>
          </w:tcPr>
          <w:p>
            <w:pPr>
              <w:spacing w:after="0"/>
              <w:rPr>
                <w:sz w:val="20"/>
                <w:szCs w:val="20"/>
                <w:color w:val="auto"/>
              </w:rPr>
            </w:pPr>
          </w:p>
        </w:tc>
      </w:tr>
      <w:tr>
        <w:trPr>
          <w:trHeight w:val="425"/>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Name of Person Filing:</w:t>
            </w:r>
          </w:p>
        </w:tc>
      </w:tr>
      <w:tr>
        <w:trPr>
          <w:trHeight w:val="414"/>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Casdin Capital, LLC</w:t>
            </w: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Eli Casdin</w:t>
            </w:r>
          </w:p>
        </w:tc>
        <w:tc>
          <w:tcPr>
            <w:tcW w:w="1120" w:type="dxa"/>
            <w:vAlign w:val="bottom"/>
          </w:tcPr>
          <w:p>
            <w:pPr>
              <w:spacing w:after="0"/>
              <w:rPr>
                <w:sz w:val="20"/>
                <w:szCs w:val="20"/>
                <w:color w:val="auto"/>
              </w:rPr>
            </w:pPr>
          </w:p>
        </w:tc>
      </w:tr>
      <w:tr>
        <w:trPr>
          <w:trHeight w:val="425"/>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Address of Principal Business Office, or if None, Residence:</w:t>
            </w:r>
          </w:p>
        </w:tc>
      </w:tr>
      <w:tr>
        <w:trPr>
          <w:trHeight w:val="414"/>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Casdin Capital, LLC</w:t>
            </w: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1350 Avenue of the Americas, Suite 2600</w:t>
            </w: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New York, New York 10019</w:t>
            </w:r>
          </w:p>
        </w:tc>
      </w:tr>
      <w:tr>
        <w:trPr>
          <w:trHeight w:val="414"/>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Eli Casdin</w:t>
            </w:r>
          </w:p>
        </w:tc>
      </w:tr>
      <w:tr>
        <w:trPr>
          <w:trHeight w:val="216"/>
        </w:trPr>
        <w:tc>
          <w:tcPr>
            <w:tcW w:w="10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1350 Avenue of the Americas, Suite 2600</w:t>
            </w: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New York, New York 10019</w:t>
            </w:r>
          </w:p>
        </w:tc>
        <w:tc>
          <w:tcPr>
            <w:tcW w:w="1120" w:type="dxa"/>
            <w:vAlign w:val="bottom"/>
          </w:tcPr>
          <w:p>
            <w:pPr>
              <w:spacing w:after="0"/>
              <w:rPr>
                <w:sz w:val="20"/>
                <w:szCs w:val="20"/>
                <w:color w:val="auto"/>
              </w:rPr>
            </w:pPr>
          </w:p>
        </w:tc>
      </w:tr>
      <w:tr>
        <w:trPr>
          <w:trHeight w:val="425"/>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Citizenship:</w:t>
            </w:r>
          </w:p>
        </w:tc>
      </w:tr>
      <w:tr>
        <w:trPr>
          <w:trHeight w:val="414"/>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Casdin Capital, LLC - Delaware</w:t>
            </w: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Eli Casdin– United States of America</w:t>
            </w:r>
          </w:p>
        </w:tc>
        <w:tc>
          <w:tcPr>
            <w:tcW w:w="1120" w:type="dxa"/>
            <w:vAlign w:val="bottom"/>
          </w:tcPr>
          <w:p>
            <w:pPr>
              <w:spacing w:after="0"/>
              <w:rPr>
                <w:sz w:val="20"/>
                <w:szCs w:val="20"/>
                <w:color w:val="auto"/>
              </w:rPr>
            </w:pPr>
          </w:p>
        </w:tc>
      </w:tr>
      <w:tr>
        <w:trPr>
          <w:trHeight w:val="426"/>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Title of Class of Securities:</w:t>
            </w:r>
          </w:p>
        </w:tc>
      </w:tr>
      <w:tr>
        <w:trPr>
          <w:trHeight w:val="432"/>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1120" w:type="dxa"/>
            <w:vAlign w:val="bottom"/>
          </w:tcPr>
          <w:p>
            <w:pPr>
              <w:spacing w:after="0"/>
              <w:rPr>
                <w:sz w:val="24"/>
                <w:szCs w:val="24"/>
                <w:color w:val="auto"/>
              </w:rPr>
            </w:pPr>
          </w:p>
        </w:tc>
      </w:tr>
      <w:tr>
        <w:trPr>
          <w:trHeight w:val="426"/>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20" w:type="dxa"/>
            <w:vAlign w:val="bottom"/>
          </w:tcPr>
          <w:p>
            <w:pPr>
              <w:spacing w:after="0"/>
              <w:rPr>
                <w:sz w:val="24"/>
                <w:szCs w:val="24"/>
                <w:color w:val="auto"/>
              </w:rPr>
            </w:pPr>
          </w:p>
        </w:tc>
        <w:tc>
          <w:tcPr>
            <w:tcW w:w="94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CUSIP Number:</w:t>
            </w:r>
          </w:p>
        </w:tc>
      </w:tr>
      <w:tr>
        <w:trPr>
          <w:trHeight w:val="432"/>
        </w:trPr>
        <w:tc>
          <w:tcPr>
            <w:tcW w:w="10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3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15673T100</w:t>
            </w:r>
          </w:p>
        </w:tc>
        <w:tc>
          <w:tcPr>
            <w:tcW w:w="1120" w:type="dxa"/>
            <w:vAlign w:val="bottom"/>
          </w:tcPr>
          <w:p>
            <w:pPr>
              <w:spacing w:after="0"/>
              <w:rPr>
                <w:sz w:val="24"/>
                <w:szCs w:val="24"/>
                <w:color w:val="auto"/>
              </w:rPr>
            </w:pPr>
          </w:p>
        </w:tc>
      </w:tr>
      <w:tr>
        <w:trPr>
          <w:trHeight w:val="42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101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If This Statement is filed pursuant to ss.240.13d-1(b) or 240.13d-2(b), or (c), check whether the person filing is a</w:t>
            </w:r>
          </w:p>
        </w:tc>
      </w:tr>
      <w:tr>
        <w:trPr>
          <w:trHeight w:val="432"/>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Broker or dealer registered under Section 15 of the Exchange Act (15 U.S.C. 78c).</w:t>
            </w:r>
          </w:p>
        </w:tc>
      </w:tr>
      <w:tr>
        <w:trPr>
          <w:trHeight w:val="432"/>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Bank as defined in Section 3(a)(6) of the Exchange Act (15 U.S.C. 78c).</w:t>
            </w:r>
          </w:p>
        </w:tc>
      </w:tr>
      <w:tr>
        <w:trPr>
          <w:trHeight w:val="432"/>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Insurance company as defined in Section 3(a)(19) of the Exchange Act (15 U.S.C. 78c).</w:t>
            </w:r>
          </w:p>
        </w:tc>
      </w:tr>
      <w:tr>
        <w:trPr>
          <w:trHeight w:val="432"/>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Investment company registered under Section 8 of the Investment Company Act of 1940 (15 U.S.C. 80a-8).</w:t>
            </w:r>
          </w:p>
        </w:tc>
      </w:tr>
      <w:tr>
        <w:trPr>
          <w:trHeight w:val="432"/>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12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 investment adviser in accordance with § 240.13d-1(b)(1)(ii)(E);</w:t>
            </w:r>
          </w:p>
        </w:tc>
      </w:tr>
      <w:tr>
        <w:trPr>
          <w:trHeight w:val="432"/>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An employee benefit plan or endowment fund in accordance with § 240.13d-1(b)(1)(ii)(F);</w:t>
            </w:r>
          </w:p>
        </w:tc>
      </w:tr>
      <w:tr>
        <w:trPr>
          <w:trHeight w:val="432"/>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tcPr>
          <w:p>
            <w:pPr>
              <w:spacing w:after="0"/>
              <w:rPr>
                <w:sz w:val="24"/>
                <w:szCs w:val="24"/>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parent holding company or control person in accordance with Rule 13d-1(b)(1)(ii)(G);</w:t>
            </w:r>
          </w:p>
        </w:tc>
      </w:tr>
      <w:tr>
        <w:trPr>
          <w:trHeight w:val="432"/>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savings association as defined in Section 3(b) of the Federal Deposit Insurance Act (12 U.S.C.1813);</w:t>
            </w:r>
          </w:p>
        </w:tc>
      </w:tr>
      <w:tr>
        <w:trPr>
          <w:trHeight w:val="414"/>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 church plan that is excluded from the definition of an investment company under Section 3(c)(14) of the Investment</w:t>
            </w:r>
          </w:p>
        </w:tc>
      </w:tr>
      <w:tr>
        <w:trPr>
          <w:trHeight w:val="234"/>
        </w:trPr>
        <w:tc>
          <w:tcPr>
            <w:tcW w:w="10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Company Act of 1940 (15 U.S.C. 80a-3);</w:t>
            </w:r>
          </w:p>
        </w:tc>
      </w:tr>
      <w:tr>
        <w:trPr>
          <w:trHeight w:val="432"/>
        </w:trPr>
        <w:tc>
          <w:tcPr>
            <w:tcW w:w="1060" w:type="dxa"/>
            <w:vAlign w:val="bottom"/>
          </w:tcPr>
          <w:p>
            <w:pPr>
              <w:spacing w:after="0"/>
              <w:rPr>
                <w:sz w:val="24"/>
                <w:szCs w:val="24"/>
                <w:color w:val="auto"/>
              </w:rPr>
            </w:pPr>
          </w:p>
        </w:tc>
        <w:tc>
          <w:tcPr>
            <w:tcW w:w="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w:t>
            </w:r>
          </w:p>
        </w:tc>
        <w:tc>
          <w:tcPr>
            <w:tcW w:w="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[_]</w:t>
            </w:r>
          </w:p>
        </w:tc>
        <w:tc>
          <w:tcPr>
            <w:tcW w:w="88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Group, in accordance with s.240.13d-1(b)(1)(ii)(J).</w:t>
            </w:r>
          </w:p>
        </w:tc>
      </w:tr>
      <w:tr>
        <w:trPr>
          <w:trHeight w:val="480"/>
        </w:trPr>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4" w:name="page5"/>
    <w:bookmarkEnd w:id="4"/>
    <w:p>
      <w:pPr>
        <w:ind w:left="100"/>
        <w:spacing w:after="0"/>
        <w:tabs>
          <w:tab w:leader="none" w:pos="122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color w:val="auto"/>
        </w:rPr>
        <w:t>Ownership.</w:t>
      </w:r>
    </w:p>
    <w:p>
      <w:pPr>
        <w:spacing w:after="0" w:line="225" w:lineRule="exact"/>
        <w:rPr>
          <w:sz w:val="20"/>
          <w:szCs w:val="20"/>
          <w:color w:val="auto"/>
        </w:rPr>
      </w:pPr>
    </w:p>
    <w:p>
      <w:pPr>
        <w:ind w:left="1240" w:right="460"/>
        <w:spacing w:after="0" w:line="282" w:lineRule="auto"/>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162" w:lineRule="exact"/>
        <w:rPr>
          <w:sz w:val="20"/>
          <w:szCs w:val="20"/>
          <w:color w:val="auto"/>
        </w:rPr>
      </w:pPr>
    </w:p>
    <w:p>
      <w:pPr>
        <w:ind w:left="1920" w:hanging="681"/>
        <w:spacing w:after="0"/>
        <w:tabs>
          <w:tab w:leader="none" w:pos="1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w:t>
      </w:r>
    </w:p>
    <w:p>
      <w:pPr>
        <w:spacing w:after="0" w:line="225"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3,212,316 shares deemed beneficially owned by Casdin Capital, LLC</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3,212,316 shares deemed beneficially owned by Eli Casdin</w:t>
      </w:r>
    </w:p>
    <w:p>
      <w:pPr>
        <w:spacing w:after="0" w:line="220" w:lineRule="exact"/>
        <w:rPr>
          <w:rFonts w:ascii="Times New Roman" w:cs="Times New Roman" w:eastAsia="Times New Roman" w:hAnsi="Times New Roman"/>
          <w:sz w:val="18"/>
          <w:szCs w:val="18"/>
          <w:color w:val="auto"/>
        </w:rPr>
      </w:pPr>
    </w:p>
    <w:p>
      <w:pPr>
        <w:ind w:left="1920" w:hanging="681"/>
        <w:spacing w:after="0"/>
        <w:tabs>
          <w:tab w:leader="none" w:pos="1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25"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deemed beneficially owned by Casdin Capital, LLC</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deemed beneficially owned by Eli Casdin</w:t>
      </w:r>
    </w:p>
    <w:p>
      <w:pPr>
        <w:spacing w:after="0" w:line="220" w:lineRule="exact"/>
        <w:rPr>
          <w:rFonts w:ascii="Times New Roman" w:cs="Times New Roman" w:eastAsia="Times New Roman" w:hAnsi="Times New Roman"/>
          <w:sz w:val="18"/>
          <w:szCs w:val="18"/>
          <w:color w:val="auto"/>
        </w:rPr>
      </w:pPr>
    </w:p>
    <w:p>
      <w:pPr>
        <w:ind w:left="1920" w:hanging="681"/>
        <w:spacing w:after="0"/>
        <w:tabs>
          <w:tab w:leader="none" w:pos="19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Casdin Capital, LLC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-959485</wp:posOffset>
            </wp:positionV>
            <wp:extent cx="59836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1153795</wp:posOffset>
            </wp:positionH>
            <wp:positionV relativeFrom="paragraph">
              <wp:posOffset>-264795</wp:posOffset>
            </wp:positionV>
            <wp:extent cx="59836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8255"/>
                    </a:xfrm>
                    <a:prstGeom prst="rect">
                      <a:avLst/>
                    </a:prstGeom>
                    <a:noFill/>
                  </pic:spPr>
                </pic:pic>
              </a:graphicData>
            </a:graphic>
          </wp:anchor>
        </w:drawing>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11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(ii)</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3,212,316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11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(iii)</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11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(iv)</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3,212,316  .</w:t>
            </w:r>
          </w:p>
        </w:tc>
      </w:tr>
      <w:tr>
        <w:trPr>
          <w:trHeight w:val="426"/>
        </w:trPr>
        <w:tc>
          <w:tcPr>
            <w:tcW w:w="1140" w:type="dxa"/>
            <w:vAlign w:val="bottom"/>
          </w:tcPr>
          <w:p>
            <w:pPr>
              <w:spacing w:after="0"/>
              <w:rPr>
                <w:sz w:val="24"/>
                <w:szCs w:val="24"/>
                <w:color w:val="auto"/>
              </w:rPr>
            </w:pPr>
          </w:p>
        </w:tc>
        <w:tc>
          <w:tcPr>
            <w:tcW w:w="72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Number of shares as to which Eli Casdin has:</w:t>
            </w:r>
          </w:p>
        </w:tc>
        <w:tc>
          <w:tcPr>
            <w:tcW w:w="2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vote or to direct the vote</w:t>
            </w:r>
          </w:p>
        </w:tc>
        <w:tc>
          <w:tcPr>
            <w:tcW w:w="2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11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(ii)</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vote or to direct the vote</w:t>
            </w:r>
          </w:p>
        </w:tc>
        <w:tc>
          <w:tcPr>
            <w:tcW w:w="2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3,212,316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6"/>
        </w:trPr>
        <w:tc>
          <w:tcPr>
            <w:tcW w:w="11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(iii)</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power to dispose or to direct the disposition of</w:t>
            </w:r>
          </w:p>
        </w:tc>
        <w:tc>
          <w:tcPr>
            <w:tcW w:w="2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r>
      <w:tr>
        <w:trPr>
          <w:trHeight w:val="425"/>
        </w:trPr>
        <w:tc>
          <w:tcPr>
            <w:tcW w:w="1140" w:type="dxa"/>
            <w:vAlign w:val="bottom"/>
          </w:tcPr>
          <w:p>
            <w:pPr>
              <w:spacing w:after="0"/>
              <w:rPr>
                <w:sz w:val="24"/>
                <w:szCs w:val="24"/>
                <w:color w:val="auto"/>
              </w:rPr>
            </w:pPr>
          </w:p>
        </w:tc>
        <w:tc>
          <w:tcPr>
            <w:tcW w:w="12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(iv)</w:t>
            </w:r>
          </w:p>
        </w:tc>
        <w:tc>
          <w:tcPr>
            <w:tcW w:w="5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Shared power to dispose or to direct the disposition of</w:t>
            </w:r>
          </w:p>
        </w:tc>
        <w:tc>
          <w:tcPr>
            <w:tcW w:w="29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3,212,316  .</w:t>
            </w:r>
          </w:p>
        </w:tc>
      </w:tr>
      <w:tr>
        <w:trPr>
          <w:trHeight w:val="425"/>
        </w:trPr>
        <w:tc>
          <w:tcPr>
            <w:tcW w:w="1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7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Ownership of Five Percent or Less of a Class.</w:t>
            </w:r>
          </w:p>
        </w:tc>
        <w:tc>
          <w:tcPr>
            <w:tcW w:w="25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r>
      <w:tr>
        <w:trPr>
          <w:trHeight w:val="414"/>
        </w:trPr>
        <w:tc>
          <w:tcPr>
            <w:tcW w:w="1140" w:type="dxa"/>
            <w:vAlign w:val="bottom"/>
          </w:tcPr>
          <w:p>
            <w:pPr>
              <w:spacing w:after="0"/>
              <w:rPr>
                <w:sz w:val="24"/>
                <w:szCs w:val="24"/>
                <w:color w:val="auto"/>
              </w:rPr>
            </w:pPr>
          </w:p>
        </w:tc>
        <w:tc>
          <w:tcPr>
            <w:tcW w:w="97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c>
          <w:tcPr>
            <w:tcW w:w="32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7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more than five percent of the class of securities, check the following [X].</w:t>
            </w: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r>
        <w:trPr>
          <w:trHeight w:val="675"/>
        </w:trPr>
        <w:tc>
          <w:tcPr>
            <w:tcW w:w="1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color w:val="auto"/>
        </w:rPr>
        <w:t>Ownership of More Than Five Percent on Behalf of Another Person.</w:t>
      </w:r>
    </w:p>
    <w:p>
      <w:pPr>
        <w:spacing w:after="0" w:line="225" w:lineRule="exact"/>
        <w:rPr>
          <w:sz w:val="20"/>
          <w:szCs w:val="20"/>
          <w:color w:val="auto"/>
        </w:rPr>
      </w:pPr>
    </w:p>
    <w:p>
      <w:pPr>
        <w:ind w:left="1140" w:right="40"/>
        <w:spacing w:after="0" w:line="261" w:lineRule="auto"/>
        <w:rPr>
          <w:sz w:val="20"/>
          <w:szCs w:val="20"/>
          <w:color w:val="auto"/>
        </w:rPr>
      </w:pPr>
      <w:r>
        <w:rPr>
          <w:rFonts w:ascii="Times New Roman" w:cs="Times New Roman" w:eastAsia="Times New Roman" w:hAnsi="Times New Roman"/>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wp:posOffset>
            </wp:positionV>
            <wp:extent cx="64122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w:t>
      </w:r>
    </w:p>
    <w:p>
      <w:pPr>
        <w:spacing w:after="0" w:line="225"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If a parent holding company has filed this schedule, pursuant to Rule 13d-1(b)(1)(ii)(G),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wp:posOffset>
            </wp:positionV>
            <wp:extent cx="64122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8"/>
          <w:szCs w:val="18"/>
          <w:color w:val="auto"/>
        </w:rPr>
        <w:t>Identification and Classification of Members of the Group.</w:t>
      </w:r>
    </w:p>
    <w:p>
      <w:pPr>
        <w:spacing w:after="0" w:line="225" w:lineRule="exact"/>
        <w:rPr>
          <w:sz w:val="20"/>
          <w:szCs w:val="20"/>
          <w:color w:val="auto"/>
        </w:rPr>
      </w:pPr>
    </w:p>
    <w:p>
      <w:pPr>
        <w:ind w:left="1140" w:right="60"/>
        <w:spacing w:after="0" w:line="266" w:lineRule="auto"/>
        <w:rPr>
          <w:sz w:val="20"/>
          <w:szCs w:val="20"/>
          <w:color w:val="auto"/>
        </w:rPr>
      </w:pPr>
      <w:r>
        <w:rPr>
          <w:rFonts w:ascii="Times New Roman" w:cs="Times New Roman" w:eastAsia="Times New Roman" w:hAnsi="Times New Roman"/>
          <w:sz w:val="18"/>
          <w:szCs w:val="18"/>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17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wp:posOffset>
            </wp:positionV>
            <wp:extent cx="64122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8"/>
          <w:szCs w:val="18"/>
          <w:color w:val="auto"/>
        </w:rPr>
        <w:t>Notice of Dissolution of Group.</w:t>
      </w:r>
    </w:p>
    <w:p>
      <w:pPr>
        <w:spacing w:after="0" w:line="225" w:lineRule="exact"/>
        <w:rPr>
          <w:sz w:val="20"/>
          <w:szCs w:val="20"/>
          <w:color w:val="auto"/>
        </w:rPr>
      </w:pPr>
    </w:p>
    <w:p>
      <w:pPr>
        <w:ind w:left="1140" w:right="100"/>
        <w:spacing w:after="0" w:line="282" w:lineRule="auto"/>
        <w:rPr>
          <w:sz w:val="20"/>
          <w:szCs w:val="20"/>
          <w:color w:val="auto"/>
        </w:rPr>
      </w:pPr>
      <w:r>
        <w:rPr>
          <w:rFonts w:ascii="Times New Roman" w:cs="Times New Roman" w:eastAsia="Times New Roman" w:hAnsi="Times New Roman"/>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6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661670</wp:posOffset>
            </wp:positionH>
            <wp:positionV relativeFrom="paragraph">
              <wp:posOffset>17145</wp:posOffset>
            </wp:positionV>
            <wp:extent cx="64122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Item 10.</w:t>
      </w:r>
      <w:r>
        <w:rPr>
          <w:sz w:val="20"/>
          <w:szCs w:val="20"/>
          <w:color w:val="auto"/>
        </w:rPr>
        <w:tab/>
      </w:r>
      <w:r>
        <w:rPr>
          <w:rFonts w:ascii="Times New Roman" w:cs="Times New Roman" w:eastAsia="Times New Roman" w:hAnsi="Times New Roman"/>
          <w:sz w:val="18"/>
          <w:szCs w:val="18"/>
          <w:color w:val="auto"/>
        </w:rPr>
        <w:t>Certification.</w:t>
      </w:r>
    </w:p>
    <w:p>
      <w:pPr>
        <w:spacing w:after="0" w:line="225" w:lineRule="exact"/>
        <w:rPr>
          <w:sz w:val="20"/>
          <w:szCs w:val="20"/>
          <w:color w:val="auto"/>
        </w:rPr>
      </w:pPr>
    </w:p>
    <w:p>
      <w:pPr>
        <w:ind w:left="1140" w:right="14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305435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420" w:top="688" w:right="45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0" w:lineRule="exact"/>
        <w:rPr>
          <w:sz w:val="20"/>
          <w:szCs w:val="20"/>
          <w:color w:val="auto"/>
        </w:rPr>
      </w:pPr>
    </w:p>
    <w:p>
      <w:pPr>
        <w:spacing w:after="0" w:line="223"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November 14,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17830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7" w:lineRule="exact"/>
        <w:rPr>
          <w:sz w:val="20"/>
          <w:szCs w:val="20"/>
          <w:color w:val="auto"/>
        </w:rPr>
      </w:pPr>
    </w:p>
    <w:p>
      <w:pPr>
        <w:jc w:val="center"/>
        <w:ind w:left="2800"/>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Reporting Persons disclaim beneficial ownership in the Shares reported herein except to the extent of their pecuniary interest therein.</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s.240.13d-7 for other parties for whom copies are to be sent.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undersigned agree that this Schedule 13G amendment dated November 14, 2024 relating to the Common Stock, $0.0001 par value per share of Century Therapeutics, Inc., shall be filed on behalf of the undersigned.</w:t>
      </w:r>
    </w:p>
    <w:p>
      <w:pPr>
        <w:spacing w:after="0" w:line="27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Casdin Capital, LLC</w:t>
      </w:r>
    </w:p>
    <w:p>
      <w:pPr>
        <w:spacing w:after="0" w:line="2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color w:val="auto"/>
        </w:rPr>
        <w:t>(Signature)</w:t>
      </w:r>
    </w:p>
    <w:p>
      <w:pPr>
        <w:spacing w:after="0" w:line="220"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(Name/Title)</w:t>
      </w:r>
    </w:p>
    <w:p>
      <w:pPr>
        <w:spacing w:after="0" w:line="200" w:lineRule="exact"/>
        <w:rPr>
          <w:sz w:val="20"/>
          <w:szCs w:val="20"/>
          <w:color w:val="auto"/>
        </w:rPr>
      </w:pPr>
    </w:p>
    <w:p>
      <w:pPr>
        <w:spacing w:after="0" w:line="23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931545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3"/>
    </w:lvl>
  </w:abstractNum>
  <w:abstractNum w:abstractNumId="7">
    <w:nsid w:val="5BD062C2"/>
    <w:multiLevelType w:val="hybridMultilevel"/>
    <w:lvl w:ilvl="0">
      <w:lvlJc w:val="left"/>
      <w:lvlText w:val="%1."/>
      <w:numFmt w:val="decimal"/>
      <w:start w:val="5"/>
    </w:lvl>
  </w:abstractNum>
  <w:abstractNum w:abstractNumId="8">
    <w:nsid w:val="12200854"/>
    <w:multiLevelType w:val="hybridMultilevel"/>
    <w:lvl w:ilvl="0">
      <w:lvlJc w:val="left"/>
      <w:lvlText w:val="%1."/>
      <w:numFmt w:val="decimal"/>
      <w:start w:val="1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2024-11-14T15:23:28Z</dcterms:created>
  <dcterms:modified xsi:type="dcterms:W3CDTF">2024-11-14T15:23:28Z</dcterms:modified>
</cp:coreProperties>
</file>