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27940</wp:posOffset>
            </wp:positionV>
            <wp:extent cx="5709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19685</wp:posOffset>
            </wp:positionV>
            <wp:extent cx="5709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15673T100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19685</wp:posOffset>
            </wp:positionV>
            <wp:extent cx="5709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February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19685</wp:posOffset>
            </wp:positionV>
            <wp:extent cx="5709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340" w:right="9520" w:hanging="8"/>
        <w:spacing w:after="0" w:line="226" w:lineRule="exact"/>
        <w:tabs>
          <w:tab w:leader="none" w:pos="6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757555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25"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18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CUSIP No. 15673T100</w:t>
            </w:r>
          </w:p>
        </w:tc>
        <w:tc>
          <w:tcPr>
            <w:tcW w:w="9440" w:type="dxa"/>
            <w:vAlign w:val="bottom"/>
          </w:tcPr>
          <w:p>
            <w:pPr>
              <w:ind w:left="8040"/>
              <w:spacing w:after="0"/>
              <w:rPr>
                <w:sz w:val="20"/>
                <w:szCs w:val="20"/>
                <w:color w:val="auto"/>
              </w:rPr>
            </w:pPr>
            <w:r>
              <w:rPr>
                <w:rFonts w:ascii="Times New Roman" w:cs="Times New Roman" w:eastAsia="Times New Roman" w:hAnsi="Times New Roman"/>
                <w:sz w:val="18"/>
                <w:szCs w:val="18"/>
                <w:b w:val="1"/>
                <w:bCs w:val="1"/>
                <w:color w:val="auto"/>
                <w:w w:val="96"/>
              </w:rPr>
              <w:t>Page 2 of 17 Pages</w:t>
            </w:r>
          </w:p>
        </w:tc>
        <w:tc>
          <w:tcPr>
            <w:tcW w:w="0" w:type="dxa"/>
            <w:vAlign w:val="bottom"/>
          </w:tcPr>
          <w:p>
            <w:pPr>
              <w:spacing w:after="0"/>
              <w:rPr>
                <w:sz w:val="1"/>
                <w:szCs w:val="1"/>
                <w:color w:val="auto"/>
              </w:rPr>
            </w:pPr>
          </w:p>
        </w:tc>
      </w:tr>
      <w:tr>
        <w:trPr>
          <w:trHeight w:val="216"/>
        </w:trPr>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952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5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ind w:left="20"/>
              <w:spacing w:after="0" w:line="207" w:lineRule="exact"/>
              <w:rPr>
                <w:sz w:val="20"/>
                <w:szCs w:val="20"/>
                <w:color w:val="auto"/>
              </w:rPr>
            </w:pPr>
            <w:r>
              <w:rPr>
                <w:rFonts w:ascii="Times New Roman" w:cs="Times New Roman" w:eastAsia="Times New Roman" w:hAnsi="Times New Roman"/>
                <w:sz w:val="18"/>
                <w:szCs w:val="18"/>
                <w:color w:val="auto"/>
                <w:w w:val="94"/>
              </w:rPr>
              <w:t xml:space="preserve">(a) </w:t>
            </w: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(1) (b) </w:t>
            </w:r>
            <w:r>
              <w:rPr>
                <w:rFonts w:ascii="MS PGothic" w:cs="MS PGothic" w:eastAsia="MS PGothic" w:hAnsi="MS PGothic"/>
                <w:sz w:val="18"/>
                <w:szCs w:val="18"/>
                <w:color w:val="auto"/>
                <w:w w:val="94"/>
              </w:rPr>
              <w:t>☐</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9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952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16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2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160" w:type="dxa"/>
            <w:vAlign w:val="bottom"/>
            <w:tcBorders>
              <w:left w:val="single" w:sz="8" w:color="auto"/>
              <w:right w:val="single" w:sz="8" w:color="auto"/>
            </w:tcBorders>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160" w:type="dxa"/>
            <w:vAlign w:val="bottom"/>
            <w:tcBorders>
              <w:left w:val="single" w:sz="8" w:color="auto"/>
              <w:right w:val="single" w:sz="8" w:color="auto"/>
            </w:tcBorders>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1"/>
                <w:szCs w:val="11"/>
                <w:color w:val="auto"/>
              </w:rPr>
            </w:pPr>
          </w:p>
        </w:tc>
        <w:tc>
          <w:tcPr>
            <w:tcW w:w="9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6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50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660" w:type="dxa"/>
            <w:vAlign w:val="bottom"/>
            <w:tcBorders>
              <w:left w:val="single" w:sz="8" w:color="auto"/>
            </w:tcBorders>
            <w:gridSpan w:val="2"/>
            <w:vMerge w:val="continue"/>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Beneficially</w:t>
            </w:r>
          </w:p>
        </w:tc>
        <w:tc>
          <w:tcPr>
            <w:tcW w:w="2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3,405,133 (2)</w:t>
            </w:r>
          </w:p>
        </w:tc>
        <w:tc>
          <w:tcPr>
            <w:tcW w:w="0" w:type="dxa"/>
            <w:vAlign w:val="bottom"/>
          </w:tcPr>
          <w:p>
            <w:pPr>
              <w:spacing w:after="0"/>
              <w:rPr>
                <w:sz w:val="1"/>
                <w:szCs w:val="1"/>
                <w:color w:val="auto"/>
              </w:rPr>
            </w:pPr>
          </w:p>
        </w:tc>
      </w:tr>
      <w:tr>
        <w:trPr>
          <w:trHeight w:val="99"/>
        </w:trPr>
        <w:tc>
          <w:tcPr>
            <w:tcW w:w="116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26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160" w:type="dxa"/>
            <w:vAlign w:val="bottom"/>
            <w:tcBorders>
              <w:left w:val="single" w:sz="8" w:color="auto"/>
              <w:right w:val="single" w:sz="8" w:color="auto"/>
            </w:tcBorders>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160" w:type="dxa"/>
            <w:vAlign w:val="bottom"/>
            <w:tcBorders>
              <w:left w:val="single" w:sz="8" w:color="auto"/>
              <w:right w:val="single" w:sz="8" w:color="auto"/>
            </w:tcBorders>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6"/>
                <w:szCs w:val="6"/>
                <w:color w:val="auto"/>
              </w:rPr>
            </w:pPr>
          </w:p>
        </w:tc>
        <w:tc>
          <w:tcPr>
            <w:tcW w:w="9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6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4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660" w:type="dxa"/>
            <w:vAlign w:val="bottom"/>
            <w:tcBorders>
              <w:left w:val="single" w:sz="8" w:color="auto"/>
            </w:tcBorders>
            <w:gridSpan w:val="2"/>
            <w:vMerge w:val="continue"/>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2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160" w:type="dxa"/>
            <w:vAlign w:val="bottom"/>
            <w:tcBorders>
              <w:left w:val="single" w:sz="8" w:color="auto"/>
              <w:righ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 With</w:t>
            </w:r>
          </w:p>
        </w:tc>
        <w:tc>
          <w:tcPr>
            <w:tcW w:w="26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160" w:type="dxa"/>
            <w:vAlign w:val="bottom"/>
            <w:tcBorders>
              <w:left w:val="single" w:sz="8" w:color="auto"/>
              <w:right w:val="single" w:sz="8" w:color="auto"/>
            </w:tcBorders>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3,405,133 (2)</w:t>
            </w: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95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3,405,133 (2)</w:t>
            </w: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58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4"/>
                <w:szCs w:val="24"/>
                <w:color w:val="auto"/>
              </w:rPr>
            </w:pPr>
          </w:p>
        </w:tc>
        <w:tc>
          <w:tcPr>
            <w:tcW w:w="10580" w:type="dxa"/>
            <w:vAlign w:val="bottom"/>
            <w:tcBorders>
              <w:right w:val="single" w:sz="8" w:color="auto"/>
            </w:tcBorders>
            <w:gridSpan w:val="5"/>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0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580" w:type="dxa"/>
            <w:vAlign w:val="bottom"/>
            <w:tcBorders>
              <w:bottom w:val="single" w:sz="8" w:color="auto"/>
              <w:right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5.4% (3)</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58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hanging="398"/>
        <w:spacing w:after="0" w:line="282" w:lineRule="auto"/>
        <w:tabs>
          <w:tab w:leader="none" w:pos="4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 VHCP Management EG, LLC, Nimish Shah and Bong Koh are members of a group for the purposes of this Schedule 13G.</w:t>
      </w:r>
    </w:p>
    <w:p>
      <w:pPr>
        <w:spacing w:after="0" w:line="161" w:lineRule="exact"/>
        <w:rPr>
          <w:rFonts w:ascii="Times New Roman" w:cs="Times New Roman" w:eastAsia="Times New Roman" w:hAnsi="Times New Roman"/>
          <w:sz w:val="18"/>
          <w:szCs w:val="18"/>
          <w:color w:val="auto"/>
        </w:rPr>
      </w:pPr>
    </w:p>
    <w:p>
      <w:pPr>
        <w:ind w:left="460" w:hanging="398"/>
        <w:spacing w:after="0" w:line="282" w:lineRule="auto"/>
        <w:tabs>
          <w:tab w:leader="none" w:pos="4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745,209 shares held by Venrock Healthcare Capital Partners III, L.P.; (ii) 74,555 shares held by VHCP Co-Investment Holdings III, LLC; and (iii) 2,585,369 shares held by Venrock Healthcare Capital Partners EG, L.P.</w:t>
      </w:r>
    </w:p>
    <w:p>
      <w:pPr>
        <w:spacing w:after="0" w:line="161" w:lineRule="exact"/>
        <w:rPr>
          <w:rFonts w:ascii="Times New Roman" w:cs="Times New Roman" w:eastAsia="Times New Roman" w:hAnsi="Times New Roman"/>
          <w:sz w:val="18"/>
          <w:szCs w:val="18"/>
          <w:color w:val="auto"/>
        </w:rPr>
      </w:pPr>
    </w:p>
    <w:p>
      <w:pPr>
        <w:jc w:val="both"/>
        <w:ind w:left="420" w:hanging="412"/>
        <w:spacing w:after="0" w:line="261"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the sum of: (i) 59,834,968 shares of Common Stock outstanding as of November 1, 2023, as reported in the Issuer’s Quarterly Report on Form 10-Q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November 9, 2023; and (ii) 3,333,333 shares of Common Stock issued to the Reporting Persons by the Issuer pursuant to an at-the-market offering by the Issuer on February 21, 2024 (the “</w:t>
      </w:r>
      <w:r>
        <w:rPr>
          <w:rFonts w:ascii="Times New Roman" w:cs="Times New Roman" w:eastAsia="Times New Roman" w:hAnsi="Times New Roman"/>
          <w:sz w:val="18"/>
          <w:szCs w:val="18"/>
          <w:b w:val="1"/>
          <w:bCs w:val="1"/>
          <w:i w:val="1"/>
          <w:iCs w:val="1"/>
          <w:color w:val="auto"/>
        </w:rPr>
        <w:t>ATM Offering</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8"/>
        </w:trPr>
        <w:tc>
          <w:tcPr>
            <w:tcW w:w="18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CUSIP No. 15673T100</w:t>
            </w:r>
          </w:p>
        </w:tc>
        <w:tc>
          <w:tcPr>
            <w:tcW w:w="9440" w:type="dxa"/>
            <w:vAlign w:val="bottom"/>
          </w:tcPr>
          <w:p>
            <w:pPr>
              <w:ind w:left="8040"/>
              <w:spacing w:after="0"/>
              <w:rPr>
                <w:sz w:val="20"/>
                <w:szCs w:val="20"/>
                <w:color w:val="auto"/>
              </w:rPr>
            </w:pPr>
            <w:r>
              <w:rPr>
                <w:rFonts w:ascii="Times New Roman" w:cs="Times New Roman" w:eastAsia="Times New Roman" w:hAnsi="Times New Roman"/>
                <w:sz w:val="18"/>
                <w:szCs w:val="18"/>
                <w:b w:val="1"/>
                <w:bCs w:val="1"/>
                <w:color w:val="auto"/>
                <w:w w:val="96"/>
              </w:rPr>
              <w:t>Page 3 of 17 Pages</w:t>
            </w:r>
          </w:p>
        </w:tc>
        <w:tc>
          <w:tcPr>
            <w:tcW w:w="0" w:type="dxa"/>
            <w:vAlign w:val="bottom"/>
          </w:tcPr>
          <w:p>
            <w:pPr>
              <w:spacing w:after="0"/>
              <w:rPr>
                <w:sz w:val="1"/>
                <w:szCs w:val="1"/>
                <w:color w:val="auto"/>
              </w:rPr>
            </w:pPr>
          </w:p>
        </w:tc>
      </w:tr>
      <w:tr>
        <w:trPr>
          <w:trHeight w:val="243"/>
        </w:trPr>
        <w:tc>
          <w:tcPr>
            <w:tcW w:w="6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spacing w:after="0"/>
              <w:rPr>
                <w:sz w:val="21"/>
                <w:szCs w:val="21"/>
                <w:color w:val="auto"/>
              </w:rPr>
            </w:pPr>
          </w:p>
        </w:tc>
        <w:tc>
          <w:tcPr>
            <w:tcW w:w="952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5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ind w:left="20"/>
              <w:spacing w:after="0" w:line="207" w:lineRule="exact"/>
              <w:rPr>
                <w:sz w:val="20"/>
                <w:szCs w:val="20"/>
                <w:color w:val="auto"/>
              </w:rPr>
            </w:pPr>
            <w:r>
              <w:rPr>
                <w:rFonts w:ascii="Times New Roman" w:cs="Times New Roman" w:eastAsia="Times New Roman" w:hAnsi="Times New Roman"/>
                <w:sz w:val="18"/>
                <w:szCs w:val="18"/>
                <w:color w:val="auto"/>
                <w:w w:val="94"/>
              </w:rPr>
              <w:t xml:space="preserve">(a) </w:t>
            </w: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(1) (b) </w:t>
            </w:r>
            <w:r>
              <w:rPr>
                <w:rFonts w:ascii="MS PGothic" w:cs="MS PGothic" w:eastAsia="MS PGothic" w:hAnsi="MS PGothic"/>
                <w:sz w:val="18"/>
                <w:szCs w:val="18"/>
                <w:color w:val="auto"/>
                <w:w w:val="94"/>
              </w:rPr>
              <w:t>☐</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9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952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16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2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160" w:type="dxa"/>
            <w:vAlign w:val="bottom"/>
            <w:tcBorders>
              <w:left w:val="single" w:sz="8" w:color="auto"/>
              <w:right w:val="single" w:sz="8" w:color="auto"/>
            </w:tcBorders>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160" w:type="dxa"/>
            <w:vAlign w:val="bottom"/>
            <w:tcBorders>
              <w:left w:val="single" w:sz="8" w:color="auto"/>
              <w:right w:val="single" w:sz="8" w:color="auto"/>
            </w:tcBorders>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1"/>
                <w:szCs w:val="11"/>
                <w:color w:val="auto"/>
              </w:rPr>
            </w:pPr>
          </w:p>
        </w:tc>
        <w:tc>
          <w:tcPr>
            <w:tcW w:w="9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6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50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660" w:type="dxa"/>
            <w:vAlign w:val="bottom"/>
            <w:tcBorders>
              <w:left w:val="single" w:sz="8" w:color="auto"/>
            </w:tcBorders>
            <w:gridSpan w:val="2"/>
            <w:vMerge w:val="continue"/>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Beneficially</w:t>
            </w:r>
          </w:p>
        </w:tc>
        <w:tc>
          <w:tcPr>
            <w:tcW w:w="2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3,405,133 (2)</w:t>
            </w:r>
          </w:p>
        </w:tc>
        <w:tc>
          <w:tcPr>
            <w:tcW w:w="0" w:type="dxa"/>
            <w:vAlign w:val="bottom"/>
          </w:tcPr>
          <w:p>
            <w:pPr>
              <w:spacing w:after="0"/>
              <w:rPr>
                <w:sz w:val="1"/>
                <w:szCs w:val="1"/>
                <w:color w:val="auto"/>
              </w:rPr>
            </w:pPr>
          </w:p>
        </w:tc>
      </w:tr>
      <w:tr>
        <w:trPr>
          <w:trHeight w:val="99"/>
        </w:trPr>
        <w:tc>
          <w:tcPr>
            <w:tcW w:w="116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26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160" w:type="dxa"/>
            <w:vAlign w:val="bottom"/>
            <w:tcBorders>
              <w:left w:val="single" w:sz="8" w:color="auto"/>
              <w:right w:val="single" w:sz="8" w:color="auto"/>
            </w:tcBorders>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160" w:type="dxa"/>
            <w:vAlign w:val="bottom"/>
            <w:tcBorders>
              <w:left w:val="single" w:sz="8" w:color="auto"/>
              <w:right w:val="single" w:sz="8" w:color="auto"/>
            </w:tcBorders>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6"/>
                <w:szCs w:val="6"/>
                <w:color w:val="auto"/>
              </w:rPr>
            </w:pPr>
          </w:p>
        </w:tc>
        <w:tc>
          <w:tcPr>
            <w:tcW w:w="9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6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4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660" w:type="dxa"/>
            <w:vAlign w:val="bottom"/>
            <w:tcBorders>
              <w:left w:val="single" w:sz="8" w:color="auto"/>
            </w:tcBorders>
            <w:gridSpan w:val="2"/>
            <w:vMerge w:val="continue"/>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2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160" w:type="dxa"/>
            <w:vAlign w:val="bottom"/>
            <w:tcBorders>
              <w:left w:val="single" w:sz="8" w:color="auto"/>
              <w:righ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 With</w:t>
            </w:r>
          </w:p>
        </w:tc>
        <w:tc>
          <w:tcPr>
            <w:tcW w:w="26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160" w:type="dxa"/>
            <w:vAlign w:val="bottom"/>
            <w:tcBorders>
              <w:left w:val="single" w:sz="8" w:color="auto"/>
              <w:right w:val="single" w:sz="8" w:color="auto"/>
            </w:tcBorders>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3,405,133 (2)</w:t>
            </w: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95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3,405,133 (2)</w:t>
            </w: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58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4"/>
                <w:szCs w:val="24"/>
                <w:color w:val="auto"/>
              </w:rPr>
            </w:pPr>
          </w:p>
        </w:tc>
        <w:tc>
          <w:tcPr>
            <w:tcW w:w="10580" w:type="dxa"/>
            <w:vAlign w:val="bottom"/>
            <w:tcBorders>
              <w:right w:val="single" w:sz="8" w:color="auto"/>
            </w:tcBorders>
            <w:gridSpan w:val="5"/>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0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580" w:type="dxa"/>
            <w:vAlign w:val="bottom"/>
            <w:tcBorders>
              <w:bottom w:val="single" w:sz="8" w:color="auto"/>
              <w:right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5.4% (3)</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58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hanging="398"/>
        <w:spacing w:after="0" w:line="282" w:lineRule="auto"/>
        <w:tabs>
          <w:tab w:leader="none" w:pos="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 VHCP Management EG, LLC, Nimish Shah and Bong Koh are members of a group for the purposes of this Schedule 13G.</w:t>
      </w:r>
    </w:p>
    <w:p>
      <w:pPr>
        <w:spacing w:after="0" w:line="161" w:lineRule="exact"/>
        <w:rPr>
          <w:rFonts w:ascii="Times New Roman" w:cs="Times New Roman" w:eastAsia="Times New Roman" w:hAnsi="Times New Roman"/>
          <w:sz w:val="18"/>
          <w:szCs w:val="18"/>
          <w:color w:val="auto"/>
        </w:rPr>
      </w:pPr>
    </w:p>
    <w:p>
      <w:pPr>
        <w:ind w:left="460" w:hanging="398"/>
        <w:spacing w:after="0" w:line="282" w:lineRule="auto"/>
        <w:tabs>
          <w:tab w:leader="none" w:pos="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745,209 shares held by Venrock Healthcare Capital Partners III, L.P.; (ii) 74,555 shares held by VHCP Co-Investment Holdings III, LLC; and (iii) 2,585,369 shares held by Venrock Healthcare Capital Partners EG, L.P.</w:t>
      </w:r>
    </w:p>
    <w:p>
      <w:pPr>
        <w:spacing w:after="0" w:line="161" w:lineRule="exact"/>
        <w:rPr>
          <w:rFonts w:ascii="Times New Roman" w:cs="Times New Roman" w:eastAsia="Times New Roman" w:hAnsi="Times New Roman"/>
          <w:sz w:val="18"/>
          <w:szCs w:val="18"/>
          <w:color w:val="auto"/>
        </w:rPr>
      </w:pPr>
    </w:p>
    <w:p>
      <w:pPr>
        <w:jc w:val="both"/>
        <w:ind w:left="420" w:hanging="412"/>
        <w:spacing w:after="0" w:line="266"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the sum of: (i) 59,834,968 shares of Common Stock outstanding as of November 1, 2023, as reported in the Issuer’s Quarterly Report on Form 10-Q filed with the SEC on November 9, 2023; and (ii) 3,333,333 shares of Common Stock issued to the Reporting Persons by the Issuer pursuant to the ATM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586105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8"/>
        </w:trPr>
        <w:tc>
          <w:tcPr>
            <w:tcW w:w="18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CUSIP No. 15673T100</w:t>
            </w:r>
          </w:p>
        </w:tc>
        <w:tc>
          <w:tcPr>
            <w:tcW w:w="9440" w:type="dxa"/>
            <w:vAlign w:val="bottom"/>
          </w:tcPr>
          <w:p>
            <w:pPr>
              <w:ind w:left="8040"/>
              <w:spacing w:after="0"/>
              <w:rPr>
                <w:sz w:val="20"/>
                <w:szCs w:val="20"/>
                <w:color w:val="auto"/>
              </w:rPr>
            </w:pPr>
            <w:r>
              <w:rPr>
                <w:rFonts w:ascii="Times New Roman" w:cs="Times New Roman" w:eastAsia="Times New Roman" w:hAnsi="Times New Roman"/>
                <w:sz w:val="18"/>
                <w:szCs w:val="18"/>
                <w:b w:val="1"/>
                <w:bCs w:val="1"/>
                <w:color w:val="auto"/>
                <w:w w:val="96"/>
              </w:rPr>
              <w:t>Page 4 of 17 Pages</w:t>
            </w:r>
          </w:p>
        </w:tc>
        <w:tc>
          <w:tcPr>
            <w:tcW w:w="0" w:type="dxa"/>
            <w:vAlign w:val="bottom"/>
          </w:tcPr>
          <w:p>
            <w:pPr>
              <w:spacing w:after="0"/>
              <w:rPr>
                <w:sz w:val="1"/>
                <w:szCs w:val="1"/>
                <w:color w:val="auto"/>
              </w:rPr>
            </w:pPr>
          </w:p>
        </w:tc>
      </w:tr>
      <w:tr>
        <w:trPr>
          <w:trHeight w:val="243"/>
        </w:trPr>
        <w:tc>
          <w:tcPr>
            <w:tcW w:w="6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spacing w:after="0"/>
              <w:rPr>
                <w:sz w:val="21"/>
                <w:szCs w:val="21"/>
                <w:color w:val="auto"/>
              </w:rPr>
            </w:pPr>
          </w:p>
        </w:tc>
        <w:tc>
          <w:tcPr>
            <w:tcW w:w="952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5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ind w:left="20"/>
              <w:spacing w:after="0" w:line="207" w:lineRule="exact"/>
              <w:rPr>
                <w:sz w:val="20"/>
                <w:szCs w:val="20"/>
                <w:color w:val="auto"/>
              </w:rPr>
            </w:pPr>
            <w:r>
              <w:rPr>
                <w:rFonts w:ascii="Times New Roman" w:cs="Times New Roman" w:eastAsia="Times New Roman" w:hAnsi="Times New Roman"/>
                <w:sz w:val="18"/>
                <w:szCs w:val="18"/>
                <w:color w:val="auto"/>
                <w:w w:val="94"/>
              </w:rPr>
              <w:t xml:space="preserve">(a) </w:t>
            </w: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(1) (b) </w:t>
            </w:r>
            <w:r>
              <w:rPr>
                <w:rFonts w:ascii="MS PGothic" w:cs="MS PGothic" w:eastAsia="MS PGothic" w:hAnsi="MS PGothic"/>
                <w:sz w:val="18"/>
                <w:szCs w:val="18"/>
                <w:color w:val="auto"/>
                <w:w w:val="94"/>
              </w:rPr>
              <w:t>☐</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9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952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16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2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160" w:type="dxa"/>
            <w:vAlign w:val="bottom"/>
            <w:tcBorders>
              <w:left w:val="single" w:sz="8" w:color="auto"/>
              <w:right w:val="single" w:sz="8" w:color="auto"/>
            </w:tcBorders>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160" w:type="dxa"/>
            <w:vAlign w:val="bottom"/>
            <w:tcBorders>
              <w:left w:val="single" w:sz="8" w:color="auto"/>
              <w:right w:val="single" w:sz="8" w:color="auto"/>
            </w:tcBorders>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1"/>
                <w:szCs w:val="11"/>
                <w:color w:val="auto"/>
              </w:rPr>
            </w:pPr>
          </w:p>
        </w:tc>
        <w:tc>
          <w:tcPr>
            <w:tcW w:w="9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6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50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660" w:type="dxa"/>
            <w:vAlign w:val="bottom"/>
            <w:tcBorders>
              <w:left w:val="single" w:sz="8" w:color="auto"/>
            </w:tcBorders>
            <w:gridSpan w:val="2"/>
            <w:vMerge w:val="continue"/>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Beneficially</w:t>
            </w:r>
          </w:p>
        </w:tc>
        <w:tc>
          <w:tcPr>
            <w:tcW w:w="2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3,405,133 (2)</w:t>
            </w:r>
          </w:p>
        </w:tc>
        <w:tc>
          <w:tcPr>
            <w:tcW w:w="0" w:type="dxa"/>
            <w:vAlign w:val="bottom"/>
          </w:tcPr>
          <w:p>
            <w:pPr>
              <w:spacing w:after="0"/>
              <w:rPr>
                <w:sz w:val="1"/>
                <w:szCs w:val="1"/>
                <w:color w:val="auto"/>
              </w:rPr>
            </w:pPr>
          </w:p>
        </w:tc>
      </w:tr>
      <w:tr>
        <w:trPr>
          <w:trHeight w:val="99"/>
        </w:trPr>
        <w:tc>
          <w:tcPr>
            <w:tcW w:w="116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26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160" w:type="dxa"/>
            <w:vAlign w:val="bottom"/>
            <w:tcBorders>
              <w:left w:val="single" w:sz="8" w:color="auto"/>
              <w:right w:val="single" w:sz="8" w:color="auto"/>
            </w:tcBorders>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160" w:type="dxa"/>
            <w:vAlign w:val="bottom"/>
            <w:tcBorders>
              <w:left w:val="single" w:sz="8" w:color="auto"/>
              <w:right w:val="single" w:sz="8" w:color="auto"/>
            </w:tcBorders>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6"/>
                <w:szCs w:val="6"/>
                <w:color w:val="auto"/>
              </w:rPr>
            </w:pPr>
          </w:p>
        </w:tc>
        <w:tc>
          <w:tcPr>
            <w:tcW w:w="9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6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4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660" w:type="dxa"/>
            <w:vAlign w:val="bottom"/>
            <w:tcBorders>
              <w:left w:val="single" w:sz="8" w:color="auto"/>
            </w:tcBorders>
            <w:gridSpan w:val="2"/>
            <w:vMerge w:val="continue"/>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2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160" w:type="dxa"/>
            <w:vAlign w:val="bottom"/>
            <w:tcBorders>
              <w:left w:val="single" w:sz="8" w:color="auto"/>
              <w:righ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 With</w:t>
            </w:r>
          </w:p>
        </w:tc>
        <w:tc>
          <w:tcPr>
            <w:tcW w:w="26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160" w:type="dxa"/>
            <w:vAlign w:val="bottom"/>
            <w:tcBorders>
              <w:left w:val="single" w:sz="8" w:color="auto"/>
              <w:right w:val="single" w:sz="8" w:color="auto"/>
            </w:tcBorders>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3,405,133 (2)</w:t>
            </w: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95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3,405,133 (2)</w:t>
            </w: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58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4"/>
                <w:szCs w:val="24"/>
                <w:color w:val="auto"/>
              </w:rPr>
            </w:pPr>
          </w:p>
        </w:tc>
        <w:tc>
          <w:tcPr>
            <w:tcW w:w="10580" w:type="dxa"/>
            <w:vAlign w:val="bottom"/>
            <w:tcBorders>
              <w:right w:val="single" w:sz="8" w:color="auto"/>
            </w:tcBorders>
            <w:gridSpan w:val="5"/>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0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580" w:type="dxa"/>
            <w:vAlign w:val="bottom"/>
            <w:tcBorders>
              <w:bottom w:val="single" w:sz="8" w:color="auto"/>
              <w:right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5.4% (3)</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58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hanging="398"/>
        <w:spacing w:after="0" w:line="282" w:lineRule="auto"/>
        <w:tabs>
          <w:tab w:leader="none" w:pos="4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 VHCP Management EG, LLC, Nimish Shah and Bong Koh are members of a group for the purposes of this Schedule 13G.</w:t>
      </w:r>
    </w:p>
    <w:p>
      <w:pPr>
        <w:spacing w:after="0" w:line="161" w:lineRule="exact"/>
        <w:rPr>
          <w:rFonts w:ascii="Times New Roman" w:cs="Times New Roman" w:eastAsia="Times New Roman" w:hAnsi="Times New Roman"/>
          <w:sz w:val="18"/>
          <w:szCs w:val="18"/>
          <w:color w:val="auto"/>
        </w:rPr>
      </w:pPr>
    </w:p>
    <w:p>
      <w:pPr>
        <w:ind w:left="460" w:hanging="398"/>
        <w:spacing w:after="0" w:line="282" w:lineRule="auto"/>
        <w:tabs>
          <w:tab w:leader="none" w:pos="4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745,209 shares held by Venrock Healthcare Capital Partners III, L.P.; (ii) 74,555 shares held by VHCP Co-Investment Holdings III, LLC; and (iii) 2,585,369 shares held by Venrock Healthcare Capital Partners EG, L.P.</w:t>
      </w:r>
    </w:p>
    <w:p>
      <w:pPr>
        <w:spacing w:after="0" w:line="161" w:lineRule="exact"/>
        <w:rPr>
          <w:rFonts w:ascii="Times New Roman" w:cs="Times New Roman" w:eastAsia="Times New Roman" w:hAnsi="Times New Roman"/>
          <w:sz w:val="18"/>
          <w:szCs w:val="18"/>
          <w:color w:val="auto"/>
        </w:rPr>
      </w:pPr>
    </w:p>
    <w:p>
      <w:pPr>
        <w:jc w:val="both"/>
        <w:ind w:left="420" w:hanging="412"/>
        <w:spacing w:after="0" w:line="266" w:lineRule="auto"/>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the sum of: (i) 59,834,968 shares of Common Stock outstanding as of November 1, 2023, as reported in the Issuer’s Quarterly Report on Form 10-Q filed with the SEC on November 9, 2023; and (ii) 3,333,333 shares of Common Stock issued to the Reporting Persons by the Issuer pursuant to the ATM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586105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8"/>
        </w:trPr>
        <w:tc>
          <w:tcPr>
            <w:tcW w:w="18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CUSIP No. 15673T100</w:t>
            </w:r>
          </w:p>
        </w:tc>
        <w:tc>
          <w:tcPr>
            <w:tcW w:w="9440" w:type="dxa"/>
            <w:vAlign w:val="bottom"/>
          </w:tcPr>
          <w:p>
            <w:pPr>
              <w:ind w:left="8040"/>
              <w:spacing w:after="0"/>
              <w:rPr>
                <w:sz w:val="20"/>
                <w:szCs w:val="20"/>
                <w:color w:val="auto"/>
              </w:rPr>
            </w:pPr>
            <w:r>
              <w:rPr>
                <w:rFonts w:ascii="Times New Roman" w:cs="Times New Roman" w:eastAsia="Times New Roman" w:hAnsi="Times New Roman"/>
                <w:sz w:val="18"/>
                <w:szCs w:val="18"/>
                <w:b w:val="1"/>
                <w:bCs w:val="1"/>
                <w:color w:val="auto"/>
                <w:w w:val="96"/>
              </w:rPr>
              <w:t>Page 5 of 17 Pages</w:t>
            </w:r>
          </w:p>
        </w:tc>
        <w:tc>
          <w:tcPr>
            <w:tcW w:w="0" w:type="dxa"/>
            <w:vAlign w:val="bottom"/>
          </w:tcPr>
          <w:p>
            <w:pPr>
              <w:spacing w:after="0"/>
              <w:rPr>
                <w:sz w:val="1"/>
                <w:szCs w:val="1"/>
                <w:color w:val="auto"/>
              </w:rPr>
            </w:pPr>
          </w:p>
        </w:tc>
      </w:tr>
      <w:tr>
        <w:trPr>
          <w:trHeight w:val="243"/>
        </w:trPr>
        <w:tc>
          <w:tcPr>
            <w:tcW w:w="6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spacing w:after="0"/>
              <w:rPr>
                <w:sz w:val="21"/>
                <w:szCs w:val="21"/>
                <w:color w:val="auto"/>
              </w:rPr>
            </w:pPr>
          </w:p>
        </w:tc>
        <w:tc>
          <w:tcPr>
            <w:tcW w:w="952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VHCP Management III, LLC</w:t>
            </w: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5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ind w:left="20"/>
              <w:spacing w:after="0" w:line="207" w:lineRule="exact"/>
              <w:rPr>
                <w:sz w:val="20"/>
                <w:szCs w:val="20"/>
                <w:color w:val="auto"/>
              </w:rPr>
            </w:pPr>
            <w:r>
              <w:rPr>
                <w:rFonts w:ascii="Times New Roman" w:cs="Times New Roman" w:eastAsia="Times New Roman" w:hAnsi="Times New Roman"/>
                <w:sz w:val="18"/>
                <w:szCs w:val="18"/>
                <w:color w:val="auto"/>
                <w:w w:val="94"/>
              </w:rPr>
              <w:t xml:space="preserve">(a) </w:t>
            </w: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(1) (b) </w:t>
            </w:r>
            <w:r>
              <w:rPr>
                <w:rFonts w:ascii="MS PGothic" w:cs="MS PGothic" w:eastAsia="MS PGothic" w:hAnsi="MS PGothic"/>
                <w:sz w:val="18"/>
                <w:szCs w:val="18"/>
                <w:color w:val="auto"/>
                <w:w w:val="94"/>
              </w:rPr>
              <w:t>☐</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9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952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16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2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160" w:type="dxa"/>
            <w:vAlign w:val="bottom"/>
            <w:tcBorders>
              <w:left w:val="single" w:sz="8" w:color="auto"/>
              <w:right w:val="single" w:sz="8" w:color="auto"/>
            </w:tcBorders>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160" w:type="dxa"/>
            <w:vAlign w:val="bottom"/>
            <w:tcBorders>
              <w:left w:val="single" w:sz="8" w:color="auto"/>
              <w:right w:val="single" w:sz="8" w:color="auto"/>
            </w:tcBorders>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1"/>
                <w:szCs w:val="11"/>
                <w:color w:val="auto"/>
              </w:rPr>
            </w:pPr>
          </w:p>
        </w:tc>
        <w:tc>
          <w:tcPr>
            <w:tcW w:w="9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6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50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660" w:type="dxa"/>
            <w:vAlign w:val="bottom"/>
            <w:tcBorders>
              <w:left w:val="single" w:sz="8" w:color="auto"/>
            </w:tcBorders>
            <w:gridSpan w:val="2"/>
            <w:vMerge w:val="continue"/>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Beneficially</w:t>
            </w:r>
          </w:p>
        </w:tc>
        <w:tc>
          <w:tcPr>
            <w:tcW w:w="2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3,405,133 (2)</w:t>
            </w:r>
          </w:p>
        </w:tc>
        <w:tc>
          <w:tcPr>
            <w:tcW w:w="0" w:type="dxa"/>
            <w:vAlign w:val="bottom"/>
          </w:tcPr>
          <w:p>
            <w:pPr>
              <w:spacing w:after="0"/>
              <w:rPr>
                <w:sz w:val="1"/>
                <w:szCs w:val="1"/>
                <w:color w:val="auto"/>
              </w:rPr>
            </w:pPr>
          </w:p>
        </w:tc>
      </w:tr>
      <w:tr>
        <w:trPr>
          <w:trHeight w:val="99"/>
        </w:trPr>
        <w:tc>
          <w:tcPr>
            <w:tcW w:w="116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26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160" w:type="dxa"/>
            <w:vAlign w:val="bottom"/>
            <w:tcBorders>
              <w:left w:val="single" w:sz="8" w:color="auto"/>
              <w:right w:val="single" w:sz="8" w:color="auto"/>
            </w:tcBorders>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160" w:type="dxa"/>
            <w:vAlign w:val="bottom"/>
            <w:tcBorders>
              <w:left w:val="single" w:sz="8" w:color="auto"/>
              <w:right w:val="single" w:sz="8" w:color="auto"/>
            </w:tcBorders>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6"/>
                <w:szCs w:val="6"/>
                <w:color w:val="auto"/>
              </w:rPr>
            </w:pPr>
          </w:p>
        </w:tc>
        <w:tc>
          <w:tcPr>
            <w:tcW w:w="9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6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4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660" w:type="dxa"/>
            <w:vAlign w:val="bottom"/>
            <w:tcBorders>
              <w:left w:val="single" w:sz="8" w:color="auto"/>
            </w:tcBorders>
            <w:gridSpan w:val="2"/>
            <w:vMerge w:val="continue"/>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2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160" w:type="dxa"/>
            <w:vAlign w:val="bottom"/>
            <w:tcBorders>
              <w:left w:val="single" w:sz="8" w:color="auto"/>
              <w:righ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 With</w:t>
            </w:r>
          </w:p>
        </w:tc>
        <w:tc>
          <w:tcPr>
            <w:tcW w:w="26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160" w:type="dxa"/>
            <w:vAlign w:val="bottom"/>
            <w:tcBorders>
              <w:left w:val="single" w:sz="8" w:color="auto"/>
              <w:right w:val="single" w:sz="8" w:color="auto"/>
            </w:tcBorders>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3,405,133 (2)</w:t>
            </w: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95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3,405,133 (2)</w:t>
            </w: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58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4"/>
                <w:szCs w:val="24"/>
                <w:color w:val="auto"/>
              </w:rPr>
            </w:pPr>
          </w:p>
        </w:tc>
        <w:tc>
          <w:tcPr>
            <w:tcW w:w="10580" w:type="dxa"/>
            <w:vAlign w:val="bottom"/>
            <w:tcBorders>
              <w:right w:val="single" w:sz="8" w:color="auto"/>
            </w:tcBorders>
            <w:gridSpan w:val="5"/>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0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580" w:type="dxa"/>
            <w:vAlign w:val="bottom"/>
            <w:tcBorders>
              <w:bottom w:val="single" w:sz="8" w:color="auto"/>
              <w:right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5.4% (3)</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58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hanging="398"/>
        <w:spacing w:after="0" w:line="282" w:lineRule="auto"/>
        <w:tabs>
          <w:tab w:leader="none" w:pos="4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 VHCP Management EG, LLC, Nimish Shah and Bong Koh are members of a group for the purposes of this Schedule 13G.</w:t>
      </w:r>
    </w:p>
    <w:p>
      <w:pPr>
        <w:spacing w:after="0" w:line="161" w:lineRule="exact"/>
        <w:rPr>
          <w:rFonts w:ascii="Times New Roman" w:cs="Times New Roman" w:eastAsia="Times New Roman" w:hAnsi="Times New Roman"/>
          <w:sz w:val="18"/>
          <w:szCs w:val="18"/>
          <w:color w:val="auto"/>
        </w:rPr>
      </w:pPr>
    </w:p>
    <w:p>
      <w:pPr>
        <w:ind w:left="460" w:hanging="398"/>
        <w:spacing w:after="0" w:line="282" w:lineRule="auto"/>
        <w:tabs>
          <w:tab w:leader="none" w:pos="4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745,209 shares held by Venrock Healthcare Capital Partners III, L.P.; (ii) 74,555 shares held by VHCP Co-Investment Holdings III, LLC; and (iii) 2,585,369 shares held by Venrock Healthcare Capital Partners EG, L.P.</w:t>
      </w:r>
    </w:p>
    <w:p>
      <w:pPr>
        <w:spacing w:after="0" w:line="161" w:lineRule="exact"/>
        <w:rPr>
          <w:rFonts w:ascii="Times New Roman" w:cs="Times New Roman" w:eastAsia="Times New Roman" w:hAnsi="Times New Roman"/>
          <w:sz w:val="18"/>
          <w:szCs w:val="18"/>
          <w:color w:val="auto"/>
        </w:rPr>
      </w:pPr>
    </w:p>
    <w:p>
      <w:pPr>
        <w:jc w:val="both"/>
        <w:ind w:left="420" w:hanging="412"/>
        <w:spacing w:after="0" w:line="266"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the sum of: (i) 59,834,968 shares of Common Stock outstanding as of November 1, 2023, as reported in the Issuer’s Quarterly Report on Form 10-Q filed with the SEC on November 9, 2023; and (ii) 3,333,333 shares of Common Stock issued to the Reporting Persons by the Issuer pursuant to the ATM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586105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8"/>
        </w:trPr>
        <w:tc>
          <w:tcPr>
            <w:tcW w:w="18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CUSIP No. 15673T100</w:t>
            </w:r>
          </w:p>
        </w:tc>
        <w:tc>
          <w:tcPr>
            <w:tcW w:w="9440" w:type="dxa"/>
            <w:vAlign w:val="bottom"/>
          </w:tcPr>
          <w:p>
            <w:pPr>
              <w:ind w:left="8040"/>
              <w:spacing w:after="0"/>
              <w:rPr>
                <w:sz w:val="20"/>
                <w:szCs w:val="20"/>
                <w:color w:val="auto"/>
              </w:rPr>
            </w:pPr>
            <w:r>
              <w:rPr>
                <w:rFonts w:ascii="Times New Roman" w:cs="Times New Roman" w:eastAsia="Times New Roman" w:hAnsi="Times New Roman"/>
                <w:sz w:val="18"/>
                <w:szCs w:val="18"/>
                <w:b w:val="1"/>
                <w:bCs w:val="1"/>
                <w:color w:val="auto"/>
                <w:w w:val="96"/>
              </w:rPr>
              <w:t>Page 6 of 17 Pages</w:t>
            </w:r>
          </w:p>
        </w:tc>
        <w:tc>
          <w:tcPr>
            <w:tcW w:w="0" w:type="dxa"/>
            <w:vAlign w:val="bottom"/>
          </w:tcPr>
          <w:p>
            <w:pPr>
              <w:spacing w:after="0"/>
              <w:rPr>
                <w:sz w:val="1"/>
                <w:szCs w:val="1"/>
                <w:color w:val="auto"/>
              </w:rPr>
            </w:pPr>
          </w:p>
        </w:tc>
      </w:tr>
      <w:tr>
        <w:trPr>
          <w:trHeight w:val="243"/>
        </w:trPr>
        <w:tc>
          <w:tcPr>
            <w:tcW w:w="6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spacing w:after="0"/>
              <w:rPr>
                <w:sz w:val="21"/>
                <w:szCs w:val="21"/>
                <w:color w:val="auto"/>
              </w:rPr>
            </w:pPr>
          </w:p>
        </w:tc>
        <w:tc>
          <w:tcPr>
            <w:tcW w:w="952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VHCP Management EG, LLC</w:t>
            </w: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5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ind w:left="20"/>
              <w:spacing w:after="0" w:line="207" w:lineRule="exact"/>
              <w:rPr>
                <w:sz w:val="20"/>
                <w:szCs w:val="20"/>
                <w:color w:val="auto"/>
              </w:rPr>
            </w:pPr>
            <w:r>
              <w:rPr>
                <w:rFonts w:ascii="Times New Roman" w:cs="Times New Roman" w:eastAsia="Times New Roman" w:hAnsi="Times New Roman"/>
                <w:sz w:val="18"/>
                <w:szCs w:val="18"/>
                <w:color w:val="auto"/>
                <w:w w:val="94"/>
              </w:rPr>
              <w:t xml:space="preserve">(a) </w:t>
            </w: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(1) (b) </w:t>
            </w:r>
            <w:r>
              <w:rPr>
                <w:rFonts w:ascii="MS PGothic" w:cs="MS PGothic" w:eastAsia="MS PGothic" w:hAnsi="MS PGothic"/>
                <w:sz w:val="18"/>
                <w:szCs w:val="18"/>
                <w:color w:val="auto"/>
                <w:w w:val="94"/>
              </w:rPr>
              <w:t>☐</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9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952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16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2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160" w:type="dxa"/>
            <w:vAlign w:val="bottom"/>
            <w:tcBorders>
              <w:left w:val="single" w:sz="8" w:color="auto"/>
              <w:right w:val="single" w:sz="8" w:color="auto"/>
            </w:tcBorders>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160" w:type="dxa"/>
            <w:vAlign w:val="bottom"/>
            <w:tcBorders>
              <w:left w:val="single" w:sz="8" w:color="auto"/>
              <w:right w:val="single" w:sz="8" w:color="auto"/>
            </w:tcBorders>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1"/>
                <w:szCs w:val="11"/>
                <w:color w:val="auto"/>
              </w:rPr>
            </w:pPr>
          </w:p>
        </w:tc>
        <w:tc>
          <w:tcPr>
            <w:tcW w:w="9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6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50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660" w:type="dxa"/>
            <w:vAlign w:val="bottom"/>
            <w:tcBorders>
              <w:left w:val="single" w:sz="8" w:color="auto"/>
            </w:tcBorders>
            <w:gridSpan w:val="2"/>
            <w:vMerge w:val="continue"/>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Beneficially</w:t>
            </w:r>
          </w:p>
        </w:tc>
        <w:tc>
          <w:tcPr>
            <w:tcW w:w="2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3,405,133 (2)</w:t>
            </w:r>
          </w:p>
        </w:tc>
        <w:tc>
          <w:tcPr>
            <w:tcW w:w="0" w:type="dxa"/>
            <w:vAlign w:val="bottom"/>
          </w:tcPr>
          <w:p>
            <w:pPr>
              <w:spacing w:after="0"/>
              <w:rPr>
                <w:sz w:val="1"/>
                <w:szCs w:val="1"/>
                <w:color w:val="auto"/>
              </w:rPr>
            </w:pPr>
          </w:p>
        </w:tc>
      </w:tr>
      <w:tr>
        <w:trPr>
          <w:trHeight w:val="99"/>
        </w:trPr>
        <w:tc>
          <w:tcPr>
            <w:tcW w:w="116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26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160" w:type="dxa"/>
            <w:vAlign w:val="bottom"/>
            <w:tcBorders>
              <w:left w:val="single" w:sz="8" w:color="auto"/>
              <w:right w:val="single" w:sz="8" w:color="auto"/>
            </w:tcBorders>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160" w:type="dxa"/>
            <w:vAlign w:val="bottom"/>
            <w:tcBorders>
              <w:left w:val="single" w:sz="8" w:color="auto"/>
              <w:right w:val="single" w:sz="8" w:color="auto"/>
            </w:tcBorders>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6"/>
                <w:szCs w:val="6"/>
                <w:color w:val="auto"/>
              </w:rPr>
            </w:pPr>
          </w:p>
        </w:tc>
        <w:tc>
          <w:tcPr>
            <w:tcW w:w="9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6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4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660" w:type="dxa"/>
            <w:vAlign w:val="bottom"/>
            <w:tcBorders>
              <w:left w:val="single" w:sz="8" w:color="auto"/>
            </w:tcBorders>
            <w:gridSpan w:val="2"/>
            <w:vMerge w:val="continue"/>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2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160" w:type="dxa"/>
            <w:vAlign w:val="bottom"/>
            <w:tcBorders>
              <w:left w:val="single" w:sz="8" w:color="auto"/>
              <w:righ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 With</w:t>
            </w:r>
          </w:p>
        </w:tc>
        <w:tc>
          <w:tcPr>
            <w:tcW w:w="26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160" w:type="dxa"/>
            <w:vAlign w:val="bottom"/>
            <w:tcBorders>
              <w:left w:val="single" w:sz="8" w:color="auto"/>
              <w:right w:val="single" w:sz="8" w:color="auto"/>
            </w:tcBorders>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3,405,133 (2)</w:t>
            </w: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95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3,405,133 (2)</w:t>
            </w: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58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4"/>
                <w:szCs w:val="24"/>
                <w:color w:val="auto"/>
              </w:rPr>
            </w:pPr>
          </w:p>
        </w:tc>
        <w:tc>
          <w:tcPr>
            <w:tcW w:w="10580" w:type="dxa"/>
            <w:vAlign w:val="bottom"/>
            <w:tcBorders>
              <w:right w:val="single" w:sz="8" w:color="auto"/>
            </w:tcBorders>
            <w:gridSpan w:val="5"/>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0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580" w:type="dxa"/>
            <w:vAlign w:val="bottom"/>
            <w:tcBorders>
              <w:bottom w:val="single" w:sz="8" w:color="auto"/>
              <w:right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5.4% (3)</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58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hanging="398"/>
        <w:spacing w:after="0" w:line="282" w:lineRule="auto"/>
        <w:tabs>
          <w:tab w:leader="none" w:pos="4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 VHCP Management EG, LLC, Nimish Shah and Bong Koh are members of a group for the purposes of this Schedule 13G.</w:t>
      </w:r>
    </w:p>
    <w:p>
      <w:pPr>
        <w:spacing w:after="0" w:line="161" w:lineRule="exact"/>
        <w:rPr>
          <w:rFonts w:ascii="Times New Roman" w:cs="Times New Roman" w:eastAsia="Times New Roman" w:hAnsi="Times New Roman"/>
          <w:sz w:val="18"/>
          <w:szCs w:val="18"/>
          <w:color w:val="auto"/>
        </w:rPr>
      </w:pPr>
    </w:p>
    <w:p>
      <w:pPr>
        <w:ind w:left="460" w:hanging="398"/>
        <w:spacing w:after="0" w:line="282" w:lineRule="auto"/>
        <w:tabs>
          <w:tab w:leader="none" w:pos="4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745,209 shares held by Venrock Healthcare Capital Partners III, L.P.; (ii) 74,555 shares held by VHCP Co-Investment Holdings III, LLC; and (iii) 2,585,369 shares held by Venrock Healthcare Capital Partners EG, L.P.</w:t>
      </w:r>
    </w:p>
    <w:p>
      <w:pPr>
        <w:spacing w:after="0" w:line="161" w:lineRule="exact"/>
        <w:rPr>
          <w:rFonts w:ascii="Times New Roman" w:cs="Times New Roman" w:eastAsia="Times New Roman" w:hAnsi="Times New Roman"/>
          <w:sz w:val="18"/>
          <w:szCs w:val="18"/>
          <w:color w:val="auto"/>
        </w:rPr>
      </w:pPr>
    </w:p>
    <w:p>
      <w:pPr>
        <w:jc w:val="both"/>
        <w:ind w:left="420" w:hanging="412"/>
        <w:spacing w:after="0" w:line="266" w:lineRule="auto"/>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the sum of: (i) 59,834,968 shares of Common Stock outstanding as of November 1, 2023, as reported in the Issuer’s Quarterly Report on Form 10-Q filed with the SEC on November 9, 2023; and (ii) 3,333,333 shares of Common Stock issued to the Reporting Persons by the Issuer pursuant to the ATM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586105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8"/>
        </w:trPr>
        <w:tc>
          <w:tcPr>
            <w:tcW w:w="18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CUSIP No. 15673T100</w:t>
            </w:r>
          </w:p>
        </w:tc>
        <w:tc>
          <w:tcPr>
            <w:tcW w:w="9440" w:type="dxa"/>
            <w:vAlign w:val="bottom"/>
          </w:tcPr>
          <w:p>
            <w:pPr>
              <w:ind w:left="8040"/>
              <w:spacing w:after="0"/>
              <w:rPr>
                <w:sz w:val="20"/>
                <w:szCs w:val="20"/>
                <w:color w:val="auto"/>
              </w:rPr>
            </w:pPr>
            <w:r>
              <w:rPr>
                <w:rFonts w:ascii="Times New Roman" w:cs="Times New Roman" w:eastAsia="Times New Roman" w:hAnsi="Times New Roman"/>
                <w:sz w:val="18"/>
                <w:szCs w:val="18"/>
                <w:b w:val="1"/>
                <w:bCs w:val="1"/>
                <w:color w:val="auto"/>
                <w:w w:val="96"/>
              </w:rPr>
              <w:t>Page 7 of 17 Pages</w:t>
            </w:r>
          </w:p>
        </w:tc>
        <w:tc>
          <w:tcPr>
            <w:tcW w:w="0" w:type="dxa"/>
            <w:vAlign w:val="bottom"/>
          </w:tcPr>
          <w:p>
            <w:pPr>
              <w:spacing w:after="0"/>
              <w:rPr>
                <w:sz w:val="1"/>
                <w:szCs w:val="1"/>
                <w:color w:val="auto"/>
              </w:rPr>
            </w:pPr>
          </w:p>
        </w:tc>
      </w:tr>
      <w:tr>
        <w:trPr>
          <w:trHeight w:val="243"/>
        </w:trPr>
        <w:tc>
          <w:tcPr>
            <w:tcW w:w="6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spacing w:after="0"/>
              <w:rPr>
                <w:sz w:val="21"/>
                <w:szCs w:val="21"/>
                <w:color w:val="auto"/>
              </w:rPr>
            </w:pPr>
          </w:p>
        </w:tc>
        <w:tc>
          <w:tcPr>
            <w:tcW w:w="952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Shah, Nimish</w:t>
            </w: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5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ind w:left="20"/>
              <w:spacing w:after="0" w:line="207" w:lineRule="exact"/>
              <w:rPr>
                <w:sz w:val="20"/>
                <w:szCs w:val="20"/>
                <w:color w:val="auto"/>
              </w:rPr>
            </w:pPr>
            <w:r>
              <w:rPr>
                <w:rFonts w:ascii="Times New Roman" w:cs="Times New Roman" w:eastAsia="Times New Roman" w:hAnsi="Times New Roman"/>
                <w:sz w:val="18"/>
                <w:szCs w:val="18"/>
                <w:color w:val="auto"/>
                <w:w w:val="94"/>
              </w:rPr>
              <w:t xml:space="preserve">(a) </w:t>
            </w: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(1) (b) </w:t>
            </w:r>
            <w:r>
              <w:rPr>
                <w:rFonts w:ascii="MS PGothic" w:cs="MS PGothic" w:eastAsia="MS PGothic" w:hAnsi="MS PGothic"/>
                <w:sz w:val="18"/>
                <w:szCs w:val="18"/>
                <w:color w:val="auto"/>
                <w:w w:val="94"/>
              </w:rPr>
              <w:t>☐</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9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952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16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2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160" w:type="dxa"/>
            <w:vAlign w:val="bottom"/>
            <w:tcBorders>
              <w:left w:val="single" w:sz="8" w:color="auto"/>
              <w:right w:val="single" w:sz="8" w:color="auto"/>
            </w:tcBorders>
            <w:gridSpan w:val="3"/>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160" w:type="dxa"/>
            <w:vAlign w:val="bottom"/>
            <w:tcBorders>
              <w:left w:val="single" w:sz="8" w:color="auto"/>
              <w:right w:val="single" w:sz="8" w:color="auto"/>
            </w:tcBorders>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1"/>
                <w:szCs w:val="11"/>
                <w:color w:val="auto"/>
              </w:rPr>
            </w:pPr>
          </w:p>
        </w:tc>
        <w:tc>
          <w:tcPr>
            <w:tcW w:w="9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6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50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660" w:type="dxa"/>
            <w:vAlign w:val="bottom"/>
            <w:tcBorders>
              <w:left w:val="single" w:sz="8" w:color="auto"/>
            </w:tcBorders>
            <w:gridSpan w:val="2"/>
            <w:vMerge w:val="continue"/>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Beneficially</w:t>
            </w:r>
          </w:p>
        </w:tc>
        <w:tc>
          <w:tcPr>
            <w:tcW w:w="2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3,405,133 (2)</w:t>
            </w:r>
          </w:p>
        </w:tc>
        <w:tc>
          <w:tcPr>
            <w:tcW w:w="0" w:type="dxa"/>
            <w:vAlign w:val="bottom"/>
          </w:tcPr>
          <w:p>
            <w:pPr>
              <w:spacing w:after="0"/>
              <w:rPr>
                <w:sz w:val="1"/>
                <w:szCs w:val="1"/>
                <w:color w:val="auto"/>
              </w:rPr>
            </w:pPr>
          </w:p>
        </w:tc>
      </w:tr>
      <w:tr>
        <w:trPr>
          <w:trHeight w:val="99"/>
        </w:trPr>
        <w:tc>
          <w:tcPr>
            <w:tcW w:w="116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22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160" w:type="dxa"/>
            <w:vAlign w:val="bottom"/>
            <w:tcBorders>
              <w:left w:val="single" w:sz="8" w:color="auto"/>
              <w:right w:val="single" w:sz="8" w:color="auto"/>
            </w:tcBorders>
            <w:gridSpan w:val="3"/>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16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6"/>
                <w:szCs w:val="6"/>
                <w:color w:val="auto"/>
              </w:rPr>
            </w:pPr>
          </w:p>
        </w:tc>
        <w:tc>
          <w:tcPr>
            <w:tcW w:w="9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6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4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660" w:type="dxa"/>
            <w:vAlign w:val="bottom"/>
            <w:tcBorders>
              <w:left w:val="single" w:sz="8" w:color="auto"/>
            </w:tcBorders>
            <w:gridSpan w:val="2"/>
            <w:vMerge w:val="continue"/>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2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160" w:type="dxa"/>
            <w:vAlign w:val="bottom"/>
            <w:tcBorders>
              <w:left w:val="single" w:sz="8" w:color="auto"/>
              <w:righ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 With</w:t>
            </w:r>
          </w:p>
        </w:tc>
        <w:tc>
          <w:tcPr>
            <w:tcW w:w="22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160" w:type="dxa"/>
            <w:vAlign w:val="bottom"/>
            <w:tcBorders>
              <w:left w:val="single" w:sz="8" w:color="auto"/>
              <w:right w:val="single" w:sz="8" w:color="auto"/>
            </w:tcBorders>
            <w:gridSpan w:val="3"/>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3,405,133 (2)</w:t>
            </w: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95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3,405,133 (2)</w:t>
            </w: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58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4"/>
                <w:szCs w:val="24"/>
                <w:color w:val="auto"/>
              </w:rPr>
            </w:pPr>
          </w:p>
        </w:tc>
        <w:tc>
          <w:tcPr>
            <w:tcW w:w="10580" w:type="dxa"/>
            <w:vAlign w:val="bottom"/>
            <w:tcBorders>
              <w:right w:val="single" w:sz="8" w:color="auto"/>
            </w:tcBorders>
            <w:gridSpan w:val="5"/>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0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580" w:type="dxa"/>
            <w:vAlign w:val="bottom"/>
            <w:tcBorders>
              <w:bottom w:val="single" w:sz="8" w:color="auto"/>
              <w:right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5.4% (3)</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58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0" w:hanging="412"/>
        <w:spacing w:after="0" w:line="282" w:lineRule="auto"/>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 VHCP Management EG, LLC, Nimish Shah and Bong Koh are members of a group for the purposes of this Schedule 13G.</w:t>
      </w:r>
    </w:p>
    <w:p>
      <w:pPr>
        <w:spacing w:after="0" w:line="188"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745,209 shares held by Venrock Healthcare Capital Partners III, L.P.; (ii) 74,555 shares held by VHCP Co-Investment Holdings III, LLC; and (iii) 2,585,369 shares held by Venrock Healthcare Capital Partners EG, L.P.</w:t>
      </w:r>
    </w:p>
    <w:p>
      <w:pPr>
        <w:spacing w:after="0" w:line="188" w:lineRule="exact"/>
        <w:rPr>
          <w:rFonts w:ascii="Times New Roman" w:cs="Times New Roman" w:eastAsia="Times New Roman" w:hAnsi="Times New Roman"/>
          <w:sz w:val="18"/>
          <w:szCs w:val="18"/>
          <w:color w:val="auto"/>
        </w:rPr>
      </w:pPr>
    </w:p>
    <w:p>
      <w:pPr>
        <w:jc w:val="both"/>
        <w:ind w:left="420" w:hanging="412"/>
        <w:spacing w:after="0" w:line="266" w:lineRule="auto"/>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the sum of: (i) 59,834,968 shares of Common Stock outstanding as of November 1, 2023, as reported in the Issuer’s Quarterly Report on Form 10-Q filed with the SEC on November 9, 2023; and (ii) 3,333,333 shares of Common Stock issued to the Reporting Persons by the Issuer pursuant to the ATM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586105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8"/>
        </w:trPr>
        <w:tc>
          <w:tcPr>
            <w:tcW w:w="18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CUSIP No. 15673T100</w:t>
            </w:r>
          </w:p>
        </w:tc>
        <w:tc>
          <w:tcPr>
            <w:tcW w:w="9440" w:type="dxa"/>
            <w:vAlign w:val="bottom"/>
          </w:tcPr>
          <w:p>
            <w:pPr>
              <w:ind w:left="8040"/>
              <w:spacing w:after="0"/>
              <w:rPr>
                <w:sz w:val="20"/>
                <w:szCs w:val="20"/>
                <w:color w:val="auto"/>
              </w:rPr>
            </w:pPr>
            <w:r>
              <w:rPr>
                <w:rFonts w:ascii="Times New Roman" w:cs="Times New Roman" w:eastAsia="Times New Roman" w:hAnsi="Times New Roman"/>
                <w:sz w:val="18"/>
                <w:szCs w:val="18"/>
                <w:b w:val="1"/>
                <w:bCs w:val="1"/>
                <w:color w:val="auto"/>
                <w:w w:val="96"/>
              </w:rPr>
              <w:t>Page 8 of 17 Pages</w:t>
            </w:r>
          </w:p>
        </w:tc>
        <w:tc>
          <w:tcPr>
            <w:tcW w:w="0" w:type="dxa"/>
            <w:vAlign w:val="bottom"/>
          </w:tcPr>
          <w:p>
            <w:pPr>
              <w:spacing w:after="0"/>
              <w:rPr>
                <w:sz w:val="1"/>
                <w:szCs w:val="1"/>
                <w:color w:val="auto"/>
              </w:rPr>
            </w:pPr>
          </w:p>
        </w:tc>
      </w:tr>
      <w:tr>
        <w:trPr>
          <w:trHeight w:val="243"/>
        </w:trPr>
        <w:tc>
          <w:tcPr>
            <w:tcW w:w="6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spacing w:after="0"/>
              <w:rPr>
                <w:sz w:val="21"/>
                <w:szCs w:val="21"/>
                <w:color w:val="auto"/>
              </w:rPr>
            </w:pPr>
          </w:p>
        </w:tc>
        <w:tc>
          <w:tcPr>
            <w:tcW w:w="952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Koh, Bong</w:t>
            </w: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5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ind w:left="20"/>
              <w:spacing w:after="0" w:line="207" w:lineRule="exact"/>
              <w:rPr>
                <w:sz w:val="20"/>
                <w:szCs w:val="20"/>
                <w:color w:val="auto"/>
              </w:rPr>
            </w:pPr>
            <w:r>
              <w:rPr>
                <w:rFonts w:ascii="Times New Roman" w:cs="Times New Roman" w:eastAsia="Times New Roman" w:hAnsi="Times New Roman"/>
                <w:sz w:val="18"/>
                <w:szCs w:val="18"/>
                <w:color w:val="auto"/>
                <w:w w:val="94"/>
              </w:rPr>
              <w:t xml:space="preserve">(a) </w:t>
            </w: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(1) (b) </w:t>
            </w:r>
            <w:r>
              <w:rPr>
                <w:rFonts w:ascii="MS PGothic" w:cs="MS PGothic" w:eastAsia="MS PGothic" w:hAnsi="MS PGothic"/>
                <w:sz w:val="18"/>
                <w:szCs w:val="18"/>
                <w:color w:val="auto"/>
                <w:w w:val="94"/>
              </w:rPr>
              <w:t>☐</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9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952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16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2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160" w:type="dxa"/>
            <w:vAlign w:val="bottom"/>
            <w:tcBorders>
              <w:left w:val="single" w:sz="8" w:color="auto"/>
              <w:right w:val="single" w:sz="8" w:color="auto"/>
            </w:tcBorders>
            <w:gridSpan w:val="3"/>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160" w:type="dxa"/>
            <w:vAlign w:val="bottom"/>
            <w:tcBorders>
              <w:left w:val="single" w:sz="8" w:color="auto"/>
              <w:right w:val="single" w:sz="8" w:color="auto"/>
            </w:tcBorders>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1"/>
                <w:szCs w:val="11"/>
                <w:color w:val="auto"/>
              </w:rPr>
            </w:pPr>
          </w:p>
        </w:tc>
        <w:tc>
          <w:tcPr>
            <w:tcW w:w="9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6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50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660" w:type="dxa"/>
            <w:vAlign w:val="bottom"/>
            <w:tcBorders>
              <w:left w:val="single" w:sz="8" w:color="auto"/>
            </w:tcBorders>
            <w:gridSpan w:val="2"/>
            <w:vMerge w:val="continue"/>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Beneficially</w:t>
            </w:r>
          </w:p>
        </w:tc>
        <w:tc>
          <w:tcPr>
            <w:tcW w:w="2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3,405,133 (2)</w:t>
            </w:r>
          </w:p>
        </w:tc>
        <w:tc>
          <w:tcPr>
            <w:tcW w:w="0" w:type="dxa"/>
            <w:vAlign w:val="bottom"/>
          </w:tcPr>
          <w:p>
            <w:pPr>
              <w:spacing w:after="0"/>
              <w:rPr>
                <w:sz w:val="1"/>
                <w:szCs w:val="1"/>
                <w:color w:val="auto"/>
              </w:rPr>
            </w:pPr>
          </w:p>
        </w:tc>
      </w:tr>
      <w:tr>
        <w:trPr>
          <w:trHeight w:val="99"/>
        </w:trPr>
        <w:tc>
          <w:tcPr>
            <w:tcW w:w="116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22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160" w:type="dxa"/>
            <w:vAlign w:val="bottom"/>
            <w:tcBorders>
              <w:left w:val="single" w:sz="8" w:color="auto"/>
              <w:right w:val="single" w:sz="8" w:color="auto"/>
            </w:tcBorders>
            <w:gridSpan w:val="3"/>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16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6"/>
                <w:szCs w:val="6"/>
                <w:color w:val="auto"/>
              </w:rPr>
            </w:pPr>
          </w:p>
        </w:tc>
        <w:tc>
          <w:tcPr>
            <w:tcW w:w="9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6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4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660" w:type="dxa"/>
            <w:vAlign w:val="bottom"/>
            <w:tcBorders>
              <w:left w:val="single" w:sz="8" w:color="auto"/>
            </w:tcBorders>
            <w:gridSpan w:val="2"/>
            <w:vMerge w:val="continue"/>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2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160" w:type="dxa"/>
            <w:vAlign w:val="bottom"/>
            <w:tcBorders>
              <w:left w:val="single" w:sz="8" w:color="auto"/>
              <w:righ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 With</w:t>
            </w:r>
          </w:p>
        </w:tc>
        <w:tc>
          <w:tcPr>
            <w:tcW w:w="22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160" w:type="dxa"/>
            <w:vAlign w:val="bottom"/>
            <w:tcBorders>
              <w:left w:val="single" w:sz="8" w:color="auto"/>
              <w:right w:val="single" w:sz="8" w:color="auto"/>
            </w:tcBorders>
            <w:gridSpan w:val="3"/>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3,405,133 (2)</w:t>
            </w: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95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3,405,133 (2)</w:t>
            </w: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58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4"/>
                <w:szCs w:val="24"/>
                <w:color w:val="auto"/>
              </w:rPr>
            </w:pPr>
          </w:p>
        </w:tc>
        <w:tc>
          <w:tcPr>
            <w:tcW w:w="10580" w:type="dxa"/>
            <w:vAlign w:val="bottom"/>
            <w:tcBorders>
              <w:right w:val="single" w:sz="8" w:color="auto"/>
            </w:tcBorders>
            <w:gridSpan w:val="5"/>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0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580" w:type="dxa"/>
            <w:vAlign w:val="bottom"/>
            <w:tcBorders>
              <w:bottom w:val="single" w:sz="8" w:color="auto"/>
              <w:right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5.4% (3)</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58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0"/>
                <w:szCs w:val="20"/>
                <w:color w:val="auto"/>
              </w:rPr>
            </w:pPr>
          </w:p>
        </w:tc>
        <w:tc>
          <w:tcPr>
            <w:tcW w:w="105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0" w:hanging="412"/>
        <w:spacing w:after="0" w:line="282" w:lineRule="auto"/>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 VHCP Management EG, LLC, Nimish Shah and Bong Koh are members of a group for the purposes of this Schedule 13G.</w:t>
      </w:r>
    </w:p>
    <w:p>
      <w:pPr>
        <w:spacing w:after="0" w:line="188"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745,209 shares held by Venrock Healthcare Capital Partners III, L.P.; (ii) 74,555 shares held by VHCP Co-Investment Holdings III, LLC; and (iii) 2,585,369 shares held by Venrock Healthcare Capital Partners EG, L.P.</w:t>
      </w:r>
    </w:p>
    <w:p>
      <w:pPr>
        <w:spacing w:after="0" w:line="188" w:lineRule="exact"/>
        <w:rPr>
          <w:rFonts w:ascii="Times New Roman" w:cs="Times New Roman" w:eastAsia="Times New Roman" w:hAnsi="Times New Roman"/>
          <w:sz w:val="18"/>
          <w:szCs w:val="18"/>
          <w:color w:val="auto"/>
        </w:rPr>
      </w:pPr>
    </w:p>
    <w:p>
      <w:pPr>
        <w:jc w:val="both"/>
        <w:ind w:left="420" w:hanging="412"/>
        <w:spacing w:after="0" w:line="266" w:lineRule="auto"/>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the sum of: (i) 59,834,968 shares of Common Stock outstanding as of November 1, 2023, as reported in the Issuer’s Quarterly Report on Form 10-Q filed with the SEC on November 9, 2023; and (ii) 3,333,333 shares of Common Stock issued to the Reporting Persons by the Issuer pursuant to the ATM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568960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CUSIP No. 15673T100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9 of 17 Pages</w:t>
      </w:r>
    </w:p>
    <w:p>
      <w:pPr>
        <w:spacing w:after="0" w:line="510" w:lineRule="exact"/>
        <w:rPr>
          <w:sz w:val="20"/>
          <w:szCs w:val="20"/>
          <w:color w:val="auto"/>
        </w:rPr>
      </w:pPr>
    </w:p>
    <w:p>
      <w:pPr>
        <w:sectPr>
          <w:pgSz w:w="11900" w:h="16838" w:orient="portrait"/>
          <w:cols w:equalWidth="0" w:num="2">
            <w:col w:w="9120" w:space="720"/>
            <w:col w:w="1400"/>
          </w:cols>
          <w:pgMar w:left="320" w:top="900" w:right="339" w:bottom="1440" w:gutter="0" w:footer="0" w:header="0"/>
        </w:sectPr>
      </w:pPr>
    </w:p>
    <w:p>
      <w:pPr>
        <w:ind w:left="1260" w:hanging="577"/>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25"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Century Therapeutics, Inc.</w:t>
      </w:r>
    </w:p>
    <w:p>
      <w:pPr>
        <w:spacing w:after="0" w:line="306" w:lineRule="exact"/>
        <w:rPr>
          <w:rFonts w:ascii="Times New Roman" w:cs="Times New Roman" w:eastAsia="Times New Roman" w:hAnsi="Times New Roman"/>
          <w:sz w:val="18"/>
          <w:szCs w:val="18"/>
          <w:color w:val="auto"/>
        </w:rPr>
      </w:pPr>
    </w:p>
    <w:p>
      <w:pPr>
        <w:ind w:left="1260" w:hanging="577"/>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rFonts w:ascii="Times New Roman" w:cs="Times New Roman" w:eastAsia="Times New Roman" w:hAnsi="Times New Roman"/>
          <w:sz w:val="18"/>
          <w:szCs w:val="18"/>
          <w:color w:val="auto"/>
        </w:rPr>
      </w:pPr>
    </w:p>
    <w:p>
      <w:pPr>
        <w:ind w:left="1260" w:right="796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25 N 38th Street, 11th Floor Philadelphia, PA 19104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40" w:lineRule="exact"/>
        <w:rPr>
          <w:sz w:val="20"/>
          <w:szCs w:val="20"/>
          <w:color w:val="auto"/>
        </w:rPr>
      </w:pPr>
    </w:p>
    <w:p>
      <w:pPr>
        <w:ind w:left="1260" w:hanging="577"/>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25" w:lineRule="exact"/>
        <w:rPr>
          <w:rFonts w:ascii="Times New Roman" w:cs="Times New Roman" w:eastAsia="Times New Roman" w:hAnsi="Times New Roman"/>
          <w:sz w:val="18"/>
          <w:szCs w:val="18"/>
          <w:color w:val="auto"/>
        </w:rPr>
      </w:pPr>
    </w:p>
    <w:p>
      <w:pPr>
        <w:ind w:left="1260" w:right="67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w:t>
      </w:r>
    </w:p>
    <w:p>
      <w:pPr>
        <w:spacing w:after="0" w:line="2" w:lineRule="exact"/>
        <w:rPr>
          <w:rFonts w:ascii="Times New Roman" w:cs="Times New Roman" w:eastAsia="Times New Roman" w:hAnsi="Times New Roman"/>
          <w:sz w:val="18"/>
          <w:szCs w:val="18"/>
          <w:color w:val="auto"/>
        </w:rPr>
      </w:pPr>
    </w:p>
    <w:p>
      <w:pPr>
        <w:ind w:left="1260" w:right="78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VHCP Management EG, LLC Nimish Shah</w:t>
      </w: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Bong Koh</w:t>
      </w:r>
    </w:p>
    <w:p>
      <w:pPr>
        <w:spacing w:after="0" w:line="260" w:lineRule="exact"/>
        <w:rPr>
          <w:rFonts w:ascii="Times New Roman" w:cs="Times New Roman" w:eastAsia="Times New Roman" w:hAnsi="Times New Roman"/>
          <w:sz w:val="18"/>
          <w:szCs w:val="18"/>
          <w:color w:val="auto"/>
        </w:rPr>
      </w:pPr>
    </w:p>
    <w:p>
      <w:pPr>
        <w:ind w:left="1260" w:hanging="577"/>
        <w:spacing w:after="0"/>
        <w:tabs>
          <w:tab w:leader="none" w:pos="12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Principal Business Office or, if none, Residence</w:t>
      </w:r>
    </w:p>
    <w:p>
      <w:pPr>
        <w:sectPr>
          <w:pgSz w:w="11900" w:h="16838" w:orient="portrait"/>
          <w:cols w:equalWidth="0" w:num="1">
            <w:col w:w="11240"/>
          </w:cols>
          <w:pgMar w:left="320" w:top="900" w:right="339" w:bottom="1440" w:gutter="0" w:footer="0" w:header="0"/>
          <w:type w:val="continuous"/>
        </w:sect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New York Office: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Palo Alto Office:</w:t>
      </w:r>
    </w:p>
    <w:p>
      <w:pPr>
        <w:spacing w:after="0" w:line="200" w:lineRule="exact"/>
        <w:rPr>
          <w:sz w:val="20"/>
          <w:szCs w:val="20"/>
          <w:color w:val="auto"/>
        </w:rPr>
      </w:pPr>
    </w:p>
    <w:p>
      <w:pPr>
        <w:sectPr>
          <w:pgSz w:w="11900" w:h="16838" w:orient="portrait"/>
          <w:cols w:equalWidth="0" w:num="2">
            <w:col w:w="2780" w:space="720"/>
            <w:col w:w="7740"/>
          </w:cols>
          <w:pgMar w:left="320" w:top="900" w:right="339" w:bottom="1440" w:gutter="0" w:footer="0" w:header="0"/>
          <w:type w:val="continuous"/>
        </w:sectPr>
      </w:pPr>
    </w:p>
    <w:p>
      <w:pPr>
        <w:spacing w:after="0" w:line="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7 Bryant Park</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23rd Floor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New York, NY 10018</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3340 Hillview Avenue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404" w:lineRule="exact"/>
        <w:rPr>
          <w:sz w:val="20"/>
          <w:szCs w:val="20"/>
          <w:color w:val="auto"/>
        </w:rPr>
      </w:pPr>
    </w:p>
    <w:p>
      <w:pPr>
        <w:sectPr>
          <w:pgSz w:w="11900" w:h="16838" w:orient="portrait"/>
          <w:cols w:equalWidth="0" w:num="2">
            <w:col w:w="2840" w:space="660"/>
            <w:col w:w="7740"/>
          </w:cols>
          <w:pgMar w:left="320" w:top="900" w:right="339" w:bottom="1440" w:gutter="0" w:footer="0" w:header="0"/>
          <w:type w:val="continuous"/>
        </w:sectPr>
      </w:pPr>
    </w:p>
    <w:p>
      <w:pPr>
        <w:spacing w:after="0" w:line="72" w:lineRule="exact"/>
        <w:rPr>
          <w:sz w:val="20"/>
          <w:szCs w:val="20"/>
          <w:color w:val="auto"/>
        </w:rPr>
      </w:pPr>
    </w:p>
    <w:p>
      <w:pPr>
        <w:ind w:left="1260" w:hanging="577"/>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25"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Venrock Entities were organized in Delaware. The individuals are both United States citizens.</w:t>
      </w:r>
    </w:p>
    <w:p>
      <w:pPr>
        <w:spacing w:after="0" w:line="306" w:lineRule="exact"/>
        <w:rPr>
          <w:rFonts w:ascii="Times New Roman" w:cs="Times New Roman" w:eastAsia="Times New Roman" w:hAnsi="Times New Roman"/>
          <w:sz w:val="18"/>
          <w:szCs w:val="18"/>
          <w:color w:val="auto"/>
        </w:rPr>
      </w:pPr>
    </w:p>
    <w:p>
      <w:pPr>
        <w:ind w:left="1260" w:right="7480" w:hanging="577"/>
        <w:spacing w:after="0" w:line="578" w:lineRule="auto"/>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Title of Class of Securities Common Stock, $0.0001 par value</w:t>
      </w:r>
    </w:p>
    <w:p>
      <w:pPr>
        <w:spacing w:after="0" w:line="3" w:lineRule="exact"/>
        <w:rPr>
          <w:rFonts w:ascii="Times New Roman" w:cs="Times New Roman" w:eastAsia="Times New Roman" w:hAnsi="Times New Roman"/>
          <w:sz w:val="17"/>
          <w:szCs w:val="17"/>
          <w:color w:val="auto"/>
        </w:rPr>
      </w:pPr>
    </w:p>
    <w:p>
      <w:pPr>
        <w:ind w:left="1260" w:right="8840" w:hanging="577"/>
        <w:spacing w:after="0" w:line="577" w:lineRule="auto"/>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15673T100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9" w:name="page10"/>
    <w:bookmarkEnd w:id="9"/>
    <w:p>
      <w:pPr>
        <w:spacing w:after="0"/>
        <w:tabs>
          <w:tab w:leader="none" w:pos="9720" w:val="left"/>
        </w:tabs>
        <w:rPr>
          <w:sz w:val="20"/>
          <w:szCs w:val="20"/>
          <w:color w:val="auto"/>
        </w:rPr>
      </w:pPr>
      <w:r>
        <w:rPr>
          <w:rFonts w:ascii="Times New Roman" w:cs="Times New Roman" w:eastAsia="Times New Roman" w:hAnsi="Times New Roman"/>
          <w:sz w:val="18"/>
          <w:szCs w:val="18"/>
          <w:b w:val="1"/>
          <w:bCs w:val="1"/>
          <w:color w:val="auto"/>
        </w:rPr>
        <w:t>CUSIP No. 15673T100</w:t>
      </w:r>
      <w:r>
        <w:rPr>
          <w:sz w:val="20"/>
          <w:szCs w:val="20"/>
          <w:color w:val="auto"/>
        </w:rPr>
        <w:tab/>
      </w:r>
      <w:r>
        <w:rPr>
          <w:rFonts w:ascii="Times New Roman" w:cs="Times New Roman" w:eastAsia="Times New Roman" w:hAnsi="Times New Roman"/>
          <w:sz w:val="17"/>
          <w:szCs w:val="17"/>
          <w:b w:val="1"/>
          <w:bCs w:val="1"/>
          <w:color w:val="auto"/>
        </w:rPr>
        <w:t>Page 10 of 17 Pages</w:t>
      </w:r>
    </w:p>
    <w:p>
      <w:pPr>
        <w:sectPr>
          <w:pgSz w:w="11900" w:h="16838" w:orient="portrait"/>
          <w:cols w:equalWidth="0" w:num="1">
            <w:col w:w="11240"/>
          </w:cols>
          <w:pgMar w:left="320" w:top="900" w:right="339" w:bottom="1440" w:gutter="0" w:footer="0" w:header="0"/>
        </w:sect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2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 beneficially owned:</w:t>
            </w:r>
          </w:p>
        </w:tc>
        <w:tc>
          <w:tcPr>
            <w:tcW w:w="27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62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6"/>
        </w:trPr>
        <w:tc>
          <w:tcPr>
            <w:tcW w:w="1140" w:type="dxa"/>
            <w:vAlign w:val="bottom"/>
          </w:tcPr>
          <w:p>
            <w:pPr>
              <w:spacing w:after="0"/>
              <w:rPr>
                <w:sz w:val="18"/>
                <w:szCs w:val="18"/>
                <w:color w:val="auto"/>
              </w:rPr>
            </w:pPr>
          </w:p>
        </w:tc>
        <w:tc>
          <w:tcPr>
            <w:tcW w:w="62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3,405,133(1)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3,405,133(1)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3,405,133(1)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VHCP Management III, LLC</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3,405,133(1)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VHCP Management EG, LLC</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3,405,133(1)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Nimish Shah</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3,405,133(1)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Bong Koh</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3,405,133(1)</w:t>
            </w:r>
          </w:p>
        </w:tc>
        <w:tc>
          <w:tcPr>
            <w:tcW w:w="1120" w:type="dxa"/>
            <w:vAlign w:val="bottom"/>
          </w:tcPr>
          <w:p>
            <w:pPr>
              <w:spacing w:after="0"/>
              <w:rPr>
                <w:sz w:val="18"/>
                <w:szCs w:val="18"/>
                <w:color w:val="auto"/>
              </w:rPr>
            </w:pPr>
          </w:p>
        </w:tc>
      </w:tr>
      <w:tr>
        <w:trPr>
          <w:trHeight w:val="486"/>
        </w:trPr>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Percent of class:</w:t>
            </w:r>
          </w:p>
        </w:tc>
        <w:tc>
          <w:tcPr>
            <w:tcW w:w="2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1140" w:type="dxa"/>
            <w:vAlign w:val="bottom"/>
          </w:tcPr>
          <w:p>
            <w:pPr>
              <w:spacing w:after="0"/>
              <w:rPr>
                <w:sz w:val="21"/>
                <w:szCs w:val="21"/>
                <w:color w:val="auto"/>
              </w:rPr>
            </w:pPr>
          </w:p>
        </w:tc>
        <w:tc>
          <w:tcPr>
            <w:tcW w:w="62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6"/>
        </w:trPr>
        <w:tc>
          <w:tcPr>
            <w:tcW w:w="1140" w:type="dxa"/>
            <w:vAlign w:val="bottom"/>
          </w:tcPr>
          <w:p>
            <w:pPr>
              <w:spacing w:after="0"/>
              <w:rPr>
                <w:sz w:val="18"/>
                <w:szCs w:val="18"/>
                <w:color w:val="auto"/>
              </w:rPr>
            </w:pPr>
          </w:p>
        </w:tc>
        <w:tc>
          <w:tcPr>
            <w:tcW w:w="62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VHCP Management III, LLC</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VHCP Management EG, LLC</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Nimish Shah</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Bong Koh</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120" w:type="dxa"/>
            <w:vAlign w:val="bottom"/>
          </w:tcPr>
          <w:p>
            <w:pPr>
              <w:spacing w:after="0"/>
              <w:rPr>
                <w:sz w:val="18"/>
                <w:szCs w:val="18"/>
                <w:color w:val="auto"/>
              </w:rPr>
            </w:pPr>
          </w:p>
        </w:tc>
      </w:tr>
      <w:tr>
        <w:trPr>
          <w:trHeight w:val="486"/>
        </w:trPr>
        <w:tc>
          <w:tcPr>
            <w:tcW w:w="73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(c)   Number of shares as to which the person has:</w:t>
            </w:r>
          </w:p>
        </w:tc>
        <w:tc>
          <w:tcPr>
            <w:tcW w:w="2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86"/>
        </w:trPr>
        <w:tc>
          <w:tcPr>
            <w:tcW w:w="1140" w:type="dxa"/>
            <w:vAlign w:val="bottom"/>
          </w:tcPr>
          <w:p>
            <w:pPr>
              <w:spacing w:after="0"/>
              <w:rPr>
                <w:sz w:val="24"/>
                <w:szCs w:val="24"/>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     Sole power to vote or to direct the vote:</w:t>
            </w:r>
          </w:p>
        </w:tc>
        <w:tc>
          <w:tcPr>
            <w:tcW w:w="2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1140" w:type="dxa"/>
            <w:vAlign w:val="bottom"/>
          </w:tcPr>
          <w:p>
            <w:pPr>
              <w:spacing w:after="0"/>
              <w:rPr>
                <w:sz w:val="21"/>
                <w:szCs w:val="21"/>
                <w:color w:val="auto"/>
              </w:rPr>
            </w:pPr>
          </w:p>
        </w:tc>
        <w:tc>
          <w:tcPr>
            <w:tcW w:w="62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6"/>
        </w:trPr>
        <w:tc>
          <w:tcPr>
            <w:tcW w:w="1140" w:type="dxa"/>
            <w:vAlign w:val="bottom"/>
          </w:tcPr>
          <w:p>
            <w:pPr>
              <w:spacing w:after="0"/>
              <w:rPr>
                <w:sz w:val="18"/>
                <w:szCs w:val="18"/>
                <w:color w:val="auto"/>
              </w:rPr>
            </w:pPr>
          </w:p>
        </w:tc>
        <w:tc>
          <w:tcPr>
            <w:tcW w:w="62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VHCP Management III, LLC</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VHCP Management EG, LLC</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Nimish Shah</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Bong Koh</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486"/>
        </w:trPr>
        <w:tc>
          <w:tcPr>
            <w:tcW w:w="1140" w:type="dxa"/>
            <w:vAlign w:val="bottom"/>
          </w:tcPr>
          <w:p>
            <w:pPr>
              <w:spacing w:after="0"/>
              <w:rPr>
                <w:sz w:val="24"/>
                <w:szCs w:val="24"/>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(ii)     Shared power to vote or to direct the vote:</w:t>
            </w:r>
          </w:p>
        </w:tc>
        <w:tc>
          <w:tcPr>
            <w:tcW w:w="2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1140" w:type="dxa"/>
            <w:vAlign w:val="bottom"/>
          </w:tcPr>
          <w:p>
            <w:pPr>
              <w:spacing w:after="0"/>
              <w:rPr>
                <w:sz w:val="21"/>
                <w:szCs w:val="21"/>
                <w:color w:val="auto"/>
              </w:rPr>
            </w:pPr>
          </w:p>
        </w:tc>
        <w:tc>
          <w:tcPr>
            <w:tcW w:w="62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6"/>
        </w:trPr>
        <w:tc>
          <w:tcPr>
            <w:tcW w:w="1140" w:type="dxa"/>
            <w:vAlign w:val="bottom"/>
          </w:tcPr>
          <w:p>
            <w:pPr>
              <w:spacing w:after="0"/>
              <w:rPr>
                <w:sz w:val="18"/>
                <w:szCs w:val="18"/>
                <w:color w:val="auto"/>
              </w:rPr>
            </w:pPr>
          </w:p>
        </w:tc>
        <w:tc>
          <w:tcPr>
            <w:tcW w:w="62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3,405,133(1)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3,405,133(1)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3,405,133(1)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VHCP Management III, LLC</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3,405,133(1)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VHCP Management EG, LLC</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3,405,133(1)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Nimish Shah</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3,405,133(1)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Bong Koh</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3,405,133(1)</w:t>
            </w:r>
          </w:p>
        </w:tc>
        <w:tc>
          <w:tcPr>
            <w:tcW w:w="1120" w:type="dxa"/>
            <w:vAlign w:val="bottom"/>
          </w:tcPr>
          <w:p>
            <w:pPr>
              <w:spacing w:after="0"/>
              <w:rPr>
                <w:sz w:val="18"/>
                <w:szCs w:val="18"/>
                <w:color w:val="auto"/>
              </w:rPr>
            </w:pPr>
          </w:p>
        </w:tc>
      </w:tr>
      <w:tr>
        <w:trPr>
          <w:trHeight w:val="1188"/>
        </w:trPr>
        <w:tc>
          <w:tcPr>
            <w:tcW w:w="114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-6299835</wp:posOffset>
            </wp:positionV>
            <wp:extent cx="720090" cy="960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90" cy="96012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-4876800</wp:posOffset>
            </wp:positionV>
            <wp:extent cx="720090" cy="9601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90" cy="96012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-3145155</wp:posOffset>
            </wp:positionV>
            <wp:extent cx="745490" cy="9601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5490" cy="96012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-1722120</wp:posOffset>
            </wp:positionV>
            <wp:extent cx="720090" cy="9601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90" cy="96012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15673T100</w:t>
            </w:r>
          </w:p>
        </w:tc>
        <w:tc>
          <w:tcPr>
            <w:tcW w:w="384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w w:val="97"/>
              </w:rPr>
              <w:t>Page 11 of 17 Pages</w:t>
            </w:r>
          </w:p>
        </w:tc>
      </w:tr>
      <w:tr>
        <w:trPr>
          <w:trHeight w:val="432"/>
        </w:trPr>
        <w:tc>
          <w:tcPr>
            <w:tcW w:w="1140" w:type="dxa"/>
            <w:vAlign w:val="bottom"/>
          </w:tcPr>
          <w:p>
            <w:pPr>
              <w:spacing w:after="0"/>
              <w:rPr>
                <w:sz w:val="24"/>
                <w:szCs w:val="24"/>
                <w:color w:val="auto"/>
              </w:rPr>
            </w:pPr>
          </w:p>
        </w:tc>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w:t>
            </w:r>
          </w:p>
        </w:tc>
        <w:tc>
          <w:tcPr>
            <w:tcW w:w="2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114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6"/>
        </w:trPr>
        <w:tc>
          <w:tcPr>
            <w:tcW w:w="1140" w:type="dxa"/>
            <w:vAlign w:val="bottom"/>
          </w:tcPr>
          <w:p>
            <w:pPr>
              <w:spacing w:after="0"/>
              <w:rPr>
                <w:sz w:val="18"/>
                <w:szCs w:val="18"/>
                <w:color w:val="auto"/>
              </w:rPr>
            </w:pPr>
          </w:p>
        </w:tc>
        <w:tc>
          <w:tcPr>
            <w:tcW w:w="62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VHCP Management III, LLC</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VHCP Management EG, LLC</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Nimish Shah</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Bong Koh</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459"/>
        </w:trPr>
        <w:tc>
          <w:tcPr>
            <w:tcW w:w="1140" w:type="dxa"/>
            <w:vAlign w:val="bottom"/>
          </w:tcPr>
          <w:p>
            <w:pPr>
              <w:spacing w:after="0"/>
              <w:rPr>
                <w:sz w:val="24"/>
                <w:szCs w:val="24"/>
                <w:color w:val="auto"/>
              </w:rPr>
            </w:pPr>
          </w:p>
        </w:tc>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w:t>
            </w:r>
          </w:p>
        </w:tc>
        <w:tc>
          <w:tcPr>
            <w:tcW w:w="2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114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6"/>
        </w:trPr>
        <w:tc>
          <w:tcPr>
            <w:tcW w:w="1140" w:type="dxa"/>
            <w:vAlign w:val="bottom"/>
          </w:tcPr>
          <w:p>
            <w:pPr>
              <w:spacing w:after="0"/>
              <w:rPr>
                <w:sz w:val="18"/>
                <w:szCs w:val="18"/>
                <w:color w:val="auto"/>
              </w:rPr>
            </w:pPr>
          </w:p>
        </w:tc>
        <w:tc>
          <w:tcPr>
            <w:tcW w:w="62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3,405,133(1)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3,405,133(1)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3,405,133(1)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VHCP Management III, LLC</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3,405,133(1)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VHCP Management EG, LLC</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3,405,133(1)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Nimish Shah</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3,405,133(1)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Bong Koh</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3,405,133(1)</w:t>
            </w:r>
          </w:p>
        </w:tc>
        <w:tc>
          <w:tcPr>
            <w:tcW w:w="1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-2365375</wp:posOffset>
            </wp:positionV>
            <wp:extent cx="745490" cy="9601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45490" cy="96012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-959485</wp:posOffset>
            </wp:positionV>
            <wp:extent cx="720090" cy="960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90" cy="960120"/>
                    </a:xfrm>
                    <a:prstGeom prst="rect">
                      <a:avLst/>
                    </a:prstGeom>
                    <a:noFill/>
                  </pic:spPr>
                </pic:pic>
              </a:graphicData>
            </a:graphic>
          </wp:anchor>
        </w:drawing>
      </w:r>
    </w:p>
    <w:p>
      <w:pPr>
        <w:spacing w:after="0" w:line="205" w:lineRule="exact"/>
        <w:rPr>
          <w:sz w:val="20"/>
          <w:szCs w:val="20"/>
          <w:color w:val="auto"/>
        </w:rPr>
      </w:pPr>
    </w:p>
    <w:p>
      <w:pPr>
        <w:ind w:left="1360" w:hanging="556"/>
        <w:spacing w:after="0" w:line="282" w:lineRule="auto"/>
        <w:tabs>
          <w:tab w:leader="none" w:pos="1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745,209 shares held by Venrock Healthcare Capital Partners III, L.P.; (ii) 74,555 shares held by VHCP Co-Investment Holdings III, LLC; and (iii) 2,585,369 shares held by Venrock Healthcare Capital Partners EG, L.P.</w:t>
      </w:r>
    </w:p>
    <w:p>
      <w:pPr>
        <w:spacing w:after="0" w:line="161" w:lineRule="exact"/>
        <w:rPr>
          <w:rFonts w:ascii="Times New Roman" w:cs="Times New Roman" w:eastAsia="Times New Roman" w:hAnsi="Times New Roman"/>
          <w:sz w:val="18"/>
          <w:szCs w:val="18"/>
          <w:color w:val="auto"/>
        </w:rPr>
      </w:pPr>
    </w:p>
    <w:p>
      <w:pPr>
        <w:jc w:val="both"/>
        <w:ind w:left="1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VHCP Management III, LLC is the general partner of Venrock Healthcare Capital Partners III, L.P. and the manager of VHCP Co-Investment Holdings III, LLC. VHCP Management EG, LLC is the general partner of Venrock Healthcare Capital Partners EG, L.P. Messrs. Shah and Koh are the voting members of VHCP Management III, LLC and VHCP Management EG, LLC.</w:t>
      </w:r>
    </w:p>
    <w:p>
      <w:pPr>
        <w:spacing w:after="0" w:line="175" w:lineRule="exact"/>
        <w:rPr>
          <w:rFonts w:ascii="Times New Roman" w:cs="Times New Roman" w:eastAsia="Times New Roman" w:hAnsi="Times New Roman"/>
          <w:sz w:val="18"/>
          <w:szCs w:val="18"/>
          <w:color w:val="auto"/>
        </w:rPr>
      </w:pPr>
    </w:p>
    <w:p>
      <w:pPr>
        <w:jc w:val="both"/>
        <w:ind w:left="1360" w:hanging="556"/>
        <w:spacing w:after="0" w:line="266" w:lineRule="auto"/>
        <w:tabs>
          <w:tab w:leader="none" w:pos="1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the sum of: (i) 59,834,968 shares of Common Stock outstanding as of November 1, 2023, as reported in the Issuer’s Quarterly Report on Form 10-Q filed with the SEC on November 9, 2023; and (ii) 3,333,333 shares of Common Stock issued to the Reporting Persons by the Issuer pursuant to the ATM Offering.</w:t>
      </w:r>
    </w:p>
    <w:p>
      <w:pPr>
        <w:spacing w:after="0" w:line="17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31" w:lineRule="exact"/>
        <w:rPr>
          <w:sz w:val="20"/>
          <w:szCs w:val="20"/>
          <w:color w:val="auto"/>
        </w:rPr>
      </w:pPr>
    </w:p>
    <w:p>
      <w:pPr>
        <w:ind w:left="800" w:right="20"/>
        <w:spacing w:after="0" w:line="230"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6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3" w:lineRule="exact"/>
        <w:rPr>
          <w:sz w:val="20"/>
          <w:szCs w:val="20"/>
          <w:color w:val="auto"/>
        </w:rPr>
      </w:pPr>
    </w:p>
    <w:p>
      <w:pPr>
        <w:ind w:left="800" w:right="80" w:hanging="795"/>
        <w:spacing w:after="0" w:line="263" w:lineRule="auto"/>
        <w:tabs>
          <w:tab w:leader="none" w:pos="780" w:val="left"/>
        </w:tabs>
        <w:rPr>
          <w:sz w:val="20"/>
          <w:szCs w:val="20"/>
          <w:color w:val="auto"/>
        </w:rPr>
      </w:pPr>
      <w:r>
        <w:rPr>
          <w:rFonts w:ascii="Times New Roman" w:cs="Times New Roman" w:eastAsia="Times New Roman" w:hAnsi="Times New Roman"/>
          <w:sz w:val="18"/>
          <w:szCs w:val="18"/>
          <w:b w:val="1"/>
          <w:bCs w:val="1"/>
          <w:color w:val="auto"/>
        </w:rPr>
        <w:t>Item 7.</w:t>
        <w:tab/>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15673T100</w:t>
            </w:r>
          </w:p>
        </w:tc>
        <w:tc>
          <w:tcPr>
            <w:tcW w:w="296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w w:val="98"/>
              </w:rPr>
              <w:t>Page 12 of 17 Pages</w:t>
            </w:r>
          </w:p>
        </w:tc>
      </w:tr>
      <w:tr>
        <w:trPr>
          <w:trHeight w:val="414"/>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c>
          <w:tcPr>
            <w:tcW w:w="2960" w:type="dxa"/>
            <w:vAlign w:val="bottom"/>
          </w:tcPr>
          <w:p>
            <w:pPr>
              <w:spacing w:after="0"/>
              <w:rPr>
                <w:sz w:val="24"/>
                <w:szCs w:val="24"/>
                <w:color w:val="auto"/>
              </w:rPr>
            </w:pPr>
          </w:p>
        </w:tc>
      </w:tr>
      <w:tr>
        <w:trPr>
          <w:trHeight w:val="234"/>
        </w:trPr>
        <w:tc>
          <w:tcPr>
            <w:tcW w:w="720" w:type="dxa"/>
            <w:vAlign w:val="bottom"/>
          </w:tcPr>
          <w:p>
            <w:pPr>
              <w:spacing w:after="0"/>
              <w:rPr>
                <w:sz w:val="20"/>
                <w:szCs w:val="20"/>
                <w:color w:val="auto"/>
              </w:rPr>
            </w:pP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 applicable</w:t>
            </w:r>
          </w:p>
        </w:tc>
        <w:tc>
          <w:tcPr>
            <w:tcW w:w="2960" w:type="dxa"/>
            <w:vAlign w:val="bottom"/>
          </w:tcPr>
          <w:p>
            <w:pPr>
              <w:spacing w:after="0"/>
              <w:rPr>
                <w:sz w:val="20"/>
                <w:szCs w:val="20"/>
                <w:color w:val="auto"/>
              </w:rPr>
            </w:pPr>
          </w:p>
        </w:tc>
      </w:tr>
      <w:tr>
        <w:trPr>
          <w:trHeight w:val="414"/>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c>
          <w:tcPr>
            <w:tcW w:w="2960" w:type="dxa"/>
            <w:vAlign w:val="bottom"/>
          </w:tcPr>
          <w:p>
            <w:pPr>
              <w:spacing w:after="0"/>
              <w:rPr>
                <w:sz w:val="24"/>
                <w:szCs w:val="24"/>
                <w:color w:val="auto"/>
              </w:rPr>
            </w:pPr>
          </w:p>
        </w:tc>
      </w:tr>
      <w:tr>
        <w:trPr>
          <w:trHeight w:val="234"/>
        </w:trPr>
        <w:tc>
          <w:tcPr>
            <w:tcW w:w="720" w:type="dxa"/>
            <w:vAlign w:val="bottom"/>
          </w:tcPr>
          <w:p>
            <w:pPr>
              <w:spacing w:after="0"/>
              <w:rPr>
                <w:sz w:val="20"/>
                <w:szCs w:val="20"/>
                <w:color w:val="auto"/>
              </w:rPr>
            </w:pP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 applicable</w:t>
            </w:r>
          </w:p>
        </w:tc>
        <w:tc>
          <w:tcPr>
            <w:tcW w:w="2960" w:type="dxa"/>
            <w:vAlign w:val="bottom"/>
          </w:tcPr>
          <w:p>
            <w:pPr>
              <w:spacing w:after="0"/>
              <w:rPr>
                <w:sz w:val="20"/>
                <w:szCs w:val="20"/>
                <w:color w:val="auto"/>
              </w:rPr>
            </w:pPr>
          </w:p>
        </w:tc>
      </w:tr>
      <w:tr>
        <w:trPr>
          <w:trHeight w:val="414"/>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Certification</w:t>
            </w:r>
          </w:p>
        </w:tc>
        <w:tc>
          <w:tcPr>
            <w:tcW w:w="296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10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w:t>
            </w:r>
          </w:p>
        </w:tc>
      </w:tr>
      <w:tr>
        <w:trPr>
          <w:trHeight w:val="216"/>
        </w:trPr>
        <w:tc>
          <w:tcPr>
            <w:tcW w:w="720" w:type="dxa"/>
            <w:vAlign w:val="bottom"/>
          </w:tcPr>
          <w:p>
            <w:pPr>
              <w:spacing w:after="0"/>
              <w:rPr>
                <w:sz w:val="18"/>
                <w:szCs w:val="18"/>
                <w:color w:val="auto"/>
              </w:rPr>
            </w:pPr>
          </w:p>
        </w:tc>
        <w:tc>
          <w:tcPr>
            <w:tcW w:w="10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 purpose of or with the effect of changing or influencing the control of the issuer of the securities and were not acquired and are not held in</w:t>
            </w:r>
          </w:p>
        </w:tc>
      </w:tr>
      <w:tr>
        <w:trPr>
          <w:trHeight w:val="234"/>
        </w:trPr>
        <w:tc>
          <w:tcPr>
            <w:tcW w:w="720" w:type="dxa"/>
            <w:vAlign w:val="bottom"/>
          </w:tcPr>
          <w:p>
            <w:pPr>
              <w:spacing w:after="0"/>
              <w:rPr>
                <w:sz w:val="20"/>
                <w:szCs w:val="20"/>
                <w:color w:val="auto"/>
              </w:rPr>
            </w:pP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connection with or as a participant in any transaction having such purpose or effect.</w:t>
            </w:r>
          </w:p>
        </w:tc>
        <w:tc>
          <w:tcPr>
            <w:tcW w:w="2960" w:type="dxa"/>
            <w:vAlign w:val="bottom"/>
          </w:tcPr>
          <w:p>
            <w:pPr>
              <w:spacing w:after="0"/>
              <w:rPr>
                <w:sz w:val="20"/>
                <w:szCs w:val="20"/>
                <w:color w:val="auto"/>
              </w:rPr>
            </w:pPr>
          </w:p>
        </w:tc>
      </w:tr>
      <w:tr>
        <w:trPr>
          <w:trHeight w:val="918"/>
        </w:trPr>
        <w:tc>
          <w:tcPr>
            <w:tcW w:w="72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spacing w:after="0"/>
        <w:tabs>
          <w:tab w:leader="none" w:pos="9720" w:val="left"/>
        </w:tabs>
        <w:rPr>
          <w:sz w:val="20"/>
          <w:szCs w:val="20"/>
          <w:color w:val="auto"/>
        </w:rPr>
      </w:pPr>
      <w:r>
        <w:rPr>
          <w:rFonts w:ascii="Times New Roman" w:cs="Times New Roman" w:eastAsia="Times New Roman" w:hAnsi="Times New Roman"/>
          <w:sz w:val="18"/>
          <w:szCs w:val="18"/>
          <w:b w:val="1"/>
          <w:bCs w:val="1"/>
          <w:color w:val="auto"/>
        </w:rPr>
        <w:t>CUSIP No. 15673T100</w:t>
      </w:r>
      <w:r>
        <w:rPr>
          <w:sz w:val="20"/>
          <w:szCs w:val="20"/>
          <w:color w:val="auto"/>
        </w:rPr>
        <w:tab/>
      </w:r>
      <w:r>
        <w:rPr>
          <w:rFonts w:ascii="Times New Roman" w:cs="Times New Roman" w:eastAsia="Times New Roman" w:hAnsi="Times New Roman"/>
          <w:sz w:val="17"/>
          <w:szCs w:val="17"/>
          <w:b w:val="1"/>
          <w:bCs w:val="1"/>
          <w:color w:val="auto"/>
        </w:rPr>
        <w:t>Page 13 of 17 Pages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4,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Venrock Healthcare Capital Partners III, L.P.</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VHCP Management III,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VHCP Co-Investment Holdings III,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VHCP Management III,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4201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VHCP Management III,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Nimish Shah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Sherman G. Souther, Attorney-in-fact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Bong Koh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Sherman G. Souther, 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Venrock Healthcare Capital Partners EG, L.P.</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VHCP Management EG,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17145</wp:posOffset>
            </wp:positionV>
            <wp:extent cx="32746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VHCP Management EG,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17145</wp:posOffset>
            </wp:positionV>
            <wp:extent cx="32746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2251710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5020" w:space="720"/>
            <w:col w:w="5500"/>
          </w:cols>
          <w:pgMar w:left="320" w:top="900" w:right="339" w:bottom="1440" w:gutter="0" w:footer="0" w:header="0"/>
          <w:type w:val="continuous"/>
        </w:sectPr>
      </w:pPr>
    </w:p>
    <w:bookmarkStart w:id="13" w:name="page14"/>
    <w:bookmarkEnd w:id="13"/>
    <w:p>
      <w:pPr>
        <w:spacing w:after="0"/>
        <w:tabs>
          <w:tab w:leader="none" w:pos="9720" w:val="left"/>
        </w:tabs>
        <w:rPr>
          <w:sz w:val="20"/>
          <w:szCs w:val="20"/>
          <w:color w:val="auto"/>
        </w:rPr>
      </w:pPr>
      <w:r>
        <w:rPr>
          <w:rFonts w:ascii="Times New Roman" w:cs="Times New Roman" w:eastAsia="Times New Roman" w:hAnsi="Times New Roman"/>
          <w:sz w:val="18"/>
          <w:szCs w:val="18"/>
          <w:b w:val="1"/>
          <w:bCs w:val="1"/>
          <w:color w:val="auto"/>
        </w:rPr>
        <w:t>CUSIP No. 15673T100</w:t>
      </w:r>
      <w:r>
        <w:rPr>
          <w:sz w:val="20"/>
          <w:szCs w:val="20"/>
          <w:color w:val="auto"/>
        </w:rPr>
        <w:tab/>
      </w:r>
      <w:r>
        <w:rPr>
          <w:rFonts w:ascii="Times New Roman" w:cs="Times New Roman" w:eastAsia="Times New Roman" w:hAnsi="Times New Roman"/>
          <w:sz w:val="17"/>
          <w:szCs w:val="17"/>
          <w:b w:val="1"/>
          <w:bCs w:val="1"/>
          <w:color w:val="auto"/>
        </w:rPr>
        <w:t>Page 14 of 17 Pages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A:</w:t>
      </w:r>
      <w:r>
        <w:rPr>
          <w:rFonts w:ascii="Times New Roman" w:cs="Times New Roman" w:eastAsia="Times New Roman" w:hAnsi="Times New Roman"/>
          <w:sz w:val="18"/>
          <w:szCs w:val="18"/>
          <w:color w:val="0000EE"/>
        </w:rPr>
        <w:t> </w:t>
      </w:r>
      <w:r>
        <w:rPr>
          <w:sz w:val="20"/>
          <w:szCs w:val="20"/>
          <w:color w:val="auto"/>
        </w:rPr>
        <w:tab/>
      </w:r>
      <w:r>
        <w:rPr>
          <w:rFonts w:ascii="Times New Roman" w:cs="Times New Roman" w:eastAsia="Times New Roman" w:hAnsi="Times New Roman"/>
          <w:sz w:val="17"/>
          <w:szCs w:val="17"/>
          <w:u w:val="single" w:color="auto"/>
          <w:color w:val="0000EE"/>
        </w:rPr>
        <w:t>Joint Filing Agreement</w:t>
      </w:r>
    </w:p>
    <w:p>
      <w:pPr>
        <w:spacing w:after="0" w:line="225" w:lineRule="exact"/>
        <w:rPr>
          <w:sz w:val="20"/>
          <w:szCs w:val="20"/>
          <w:color w:val="auto"/>
        </w:rPr>
      </w:pPr>
    </w:p>
    <w:p>
      <w:pPr>
        <w:ind w:left="580" w:hanging="572"/>
        <w:spacing w:after="0"/>
        <w:tabs>
          <w:tab w:leader="none" w:pos="580" w:val="left"/>
        </w:tabs>
        <w:numPr>
          <w:ilvl w:val="0"/>
          <w:numId w:val="1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Power of Attorney for Nimish Shah</w:t>
      </w:r>
    </w:p>
    <w:p>
      <w:pPr>
        <w:spacing w:after="0" w:line="225" w:lineRule="exact"/>
        <w:rPr>
          <w:rFonts w:ascii="Times New Roman" w:cs="Times New Roman" w:eastAsia="Times New Roman" w:hAnsi="Times New Roman"/>
          <w:sz w:val="18"/>
          <w:szCs w:val="18"/>
          <w:u w:val="single" w:color="auto"/>
          <w:color w:val="0000EE"/>
        </w:rPr>
      </w:pPr>
    </w:p>
    <w:p>
      <w:pPr>
        <w:ind w:left="580" w:hanging="572"/>
        <w:spacing w:after="0"/>
        <w:tabs>
          <w:tab w:leader="none" w:pos="580" w:val="left"/>
        </w:tabs>
        <w:numPr>
          <w:ilvl w:val="0"/>
          <w:numId w:val="1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Power of Attorney for Bong Koh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tabs>
          <w:tab w:leader="none" w:pos="9720" w:val="left"/>
        </w:tabs>
        <w:rPr>
          <w:sz w:val="20"/>
          <w:szCs w:val="20"/>
          <w:color w:val="auto"/>
        </w:rPr>
      </w:pPr>
      <w:r>
        <w:rPr>
          <w:rFonts w:ascii="Times New Roman" w:cs="Times New Roman" w:eastAsia="Times New Roman" w:hAnsi="Times New Roman"/>
          <w:sz w:val="18"/>
          <w:szCs w:val="18"/>
          <w:b w:val="1"/>
          <w:bCs w:val="1"/>
          <w:color w:val="auto"/>
        </w:rPr>
        <w:t>CUSIP No. 15673T100</w:t>
      </w:r>
      <w:r>
        <w:rPr>
          <w:sz w:val="20"/>
          <w:szCs w:val="20"/>
          <w:color w:val="auto"/>
        </w:rPr>
        <w:tab/>
      </w:r>
      <w:r>
        <w:rPr>
          <w:rFonts w:ascii="Times New Roman" w:cs="Times New Roman" w:eastAsia="Times New Roman" w:hAnsi="Times New Roman"/>
          <w:sz w:val="17"/>
          <w:szCs w:val="17"/>
          <w:b w:val="1"/>
          <w:bCs w:val="1"/>
          <w:color w:val="auto"/>
        </w:rPr>
        <w:t>Page 15 of 17 Pages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undersigned agree to the joint filing on behalf of each of them of a statement on Schedule 13G (including amendments thereto) with respect to the Common Stock of Century Therapeutics, Inc.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evidence whereof, the undersigned have caused this Agreement to be executed on their behalf this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2024.</w:t>
      </w:r>
    </w:p>
    <w:p>
      <w:pPr>
        <w:sectPr>
          <w:pgSz w:w="11900" w:h="16838" w:orient="portrait"/>
          <w:cols w:equalWidth="0" w:num="1">
            <w:col w:w="11240"/>
          </w:cols>
          <w:pgMar w:left="320" w:top="900" w:right="339" w:bottom="144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Venrock Healthcare Capital Partners III, L.P.</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VHCP Management III,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VHCP Co-Investment Holdings III,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VHCP Management III,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4201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VHCP Management III,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Nimish Shah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Sherman G. Souther, Attorney-in-fact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Bong Koh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Sherman G. Souther, Attorney-in-fact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Venrock Healthcare Capital Partners EG, L.P.</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VHCP Management EG,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17145</wp:posOffset>
            </wp:positionV>
            <wp:extent cx="32746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VHCP Management EG,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17145</wp:posOffset>
            </wp:positionV>
            <wp:extent cx="32746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2251710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5020" w:space="720"/>
            <w:col w:w="5500"/>
          </w:cols>
          <w:pgMar w:left="320" w:top="900" w:right="339" w:bottom="1440" w:gutter="0" w:footer="0" w:header="0"/>
          <w:type w:val="continuous"/>
        </w:sectPr>
      </w:pPr>
    </w:p>
    <w:bookmarkStart w:id="15" w:name="page16"/>
    <w:bookmarkEnd w:id="15"/>
    <w:p>
      <w:pPr>
        <w:spacing w:after="0"/>
        <w:tabs>
          <w:tab w:leader="none" w:pos="9720" w:val="left"/>
        </w:tabs>
        <w:rPr>
          <w:sz w:val="20"/>
          <w:szCs w:val="20"/>
          <w:color w:val="auto"/>
        </w:rPr>
      </w:pPr>
      <w:r>
        <w:rPr>
          <w:rFonts w:ascii="Times New Roman" w:cs="Times New Roman" w:eastAsia="Times New Roman" w:hAnsi="Times New Roman"/>
          <w:sz w:val="18"/>
          <w:szCs w:val="18"/>
          <w:b w:val="1"/>
          <w:bCs w:val="1"/>
          <w:color w:val="auto"/>
        </w:rPr>
        <w:t>CUSIP No. 15673T100</w:t>
      </w:r>
      <w:r>
        <w:rPr>
          <w:sz w:val="20"/>
          <w:szCs w:val="20"/>
          <w:color w:val="auto"/>
        </w:rPr>
        <w:tab/>
      </w:r>
      <w:r>
        <w:rPr>
          <w:rFonts w:ascii="Times New Roman" w:cs="Times New Roman" w:eastAsia="Times New Roman" w:hAnsi="Times New Roman"/>
          <w:sz w:val="17"/>
          <w:szCs w:val="17"/>
          <w:b w:val="1"/>
          <w:bCs w:val="1"/>
          <w:color w:val="auto"/>
        </w:rPr>
        <w:t>Page 16 of 17 Pages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 FOR NIMISH SHAH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David L. Stepp, Sherman G. Souther and Lisa 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Harris signing individually, the undersigned’s true and lawful attorney-in fact and agent to:</w:t>
      </w:r>
    </w:p>
    <w:p>
      <w:pPr>
        <w:spacing w:after="0" w:line="207" w:lineRule="exact"/>
        <w:rPr>
          <w:sz w:val="20"/>
          <w:szCs w:val="20"/>
          <w:color w:val="auto"/>
        </w:rPr>
      </w:pPr>
    </w:p>
    <w:p>
      <w:pPr>
        <w:jc w:val="both"/>
        <w:ind w:left="1060" w:hanging="404"/>
        <w:spacing w:after="0" w:line="255"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 and any amendments thereto in accordance with Section 13 of the Exchange Act and the rules thereunder, and (b) Forms 3, 4 and 5 and any amendments thereto in accordance with Section 16(a) of the Exchange Act and the rules thereunder; and</w:t>
      </w:r>
    </w:p>
    <w:p>
      <w:pPr>
        <w:spacing w:after="0" w:line="188" w:lineRule="exact"/>
        <w:rPr>
          <w:rFonts w:ascii="Times New Roman" w:cs="Times New Roman" w:eastAsia="Times New Roman" w:hAnsi="Times New Roman"/>
          <w:sz w:val="18"/>
          <w:szCs w:val="18"/>
          <w:color w:val="auto"/>
        </w:rPr>
      </w:pPr>
    </w:p>
    <w:p>
      <w:pPr>
        <w:jc w:val="both"/>
        <w:ind w:left="1060" w:hanging="404"/>
        <w:spacing w:after="0" w:line="261"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undersigned, is not assuming, nor is Venrock assuming, any of the undersigned’s responsibilities to comply with the Exchange Act, including without limitation Sections 13 and 16 of the Exchange Act.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 shall no longer be employed by VR Management, LLC (or its successor).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4th day of March,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Nimish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tabs>
          <w:tab w:leader="none" w:pos="9720" w:val="left"/>
        </w:tabs>
        <w:rPr>
          <w:sz w:val="20"/>
          <w:szCs w:val="20"/>
          <w:color w:val="auto"/>
        </w:rPr>
      </w:pPr>
      <w:r>
        <w:rPr>
          <w:rFonts w:ascii="Times New Roman" w:cs="Times New Roman" w:eastAsia="Times New Roman" w:hAnsi="Times New Roman"/>
          <w:sz w:val="18"/>
          <w:szCs w:val="18"/>
          <w:b w:val="1"/>
          <w:bCs w:val="1"/>
          <w:color w:val="auto"/>
        </w:rPr>
        <w:t>CUSIP No. 15673T100</w:t>
      </w:r>
      <w:r>
        <w:rPr>
          <w:sz w:val="20"/>
          <w:szCs w:val="20"/>
          <w:color w:val="auto"/>
        </w:rPr>
        <w:tab/>
      </w:r>
      <w:r>
        <w:rPr>
          <w:rFonts w:ascii="Times New Roman" w:cs="Times New Roman" w:eastAsia="Times New Roman" w:hAnsi="Times New Roman"/>
          <w:sz w:val="17"/>
          <w:szCs w:val="17"/>
          <w:b w:val="1"/>
          <w:bCs w:val="1"/>
          <w:color w:val="auto"/>
        </w:rPr>
        <w:t>Page 17 of 17 Pages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 FOR BONG KOH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David L. Stepp, Sherman G. Souther and Lisa 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Harris signing individually, the undersigned’s true and lawful attorney-in fact and agent to:</w:t>
      </w:r>
    </w:p>
    <w:p>
      <w:pPr>
        <w:spacing w:after="0" w:line="207" w:lineRule="exact"/>
        <w:rPr>
          <w:sz w:val="20"/>
          <w:szCs w:val="20"/>
          <w:color w:val="auto"/>
        </w:rPr>
      </w:pPr>
    </w:p>
    <w:p>
      <w:pPr>
        <w:jc w:val="both"/>
        <w:ind w:left="1060" w:hanging="404"/>
        <w:spacing w:after="0" w:line="255" w:lineRule="auto"/>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 and any amendments thereto in accordance with Section 13 of the Exchange Act and the rules thereunder, and (b) Forms 3, 4 and 5 and any amendments thereto in accordance with Section 16(a) of the Exchange Act and the rules thereunder; and</w:t>
      </w:r>
    </w:p>
    <w:p>
      <w:pPr>
        <w:spacing w:after="0" w:line="188" w:lineRule="exact"/>
        <w:rPr>
          <w:rFonts w:ascii="Times New Roman" w:cs="Times New Roman" w:eastAsia="Times New Roman" w:hAnsi="Times New Roman"/>
          <w:sz w:val="18"/>
          <w:szCs w:val="18"/>
          <w:color w:val="auto"/>
        </w:rPr>
      </w:pPr>
    </w:p>
    <w:p>
      <w:pPr>
        <w:jc w:val="both"/>
        <w:ind w:left="1060" w:hanging="404"/>
        <w:spacing w:after="0" w:line="261" w:lineRule="auto"/>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undersigned, is not assuming, nor is Venrock assuming, any of the undersigned’s responsibilities to comply with the Exchange Act, including without limitation Sections 13 and 16 of the Exchange Act.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 shall no longer be employed by VR Management, LLC (or its successor).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2024.</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Bong Koh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lvl w:ilvl="1">
      <w:lvlJc w:val="left"/>
      <w:lvlText w:val="(%2)"/>
      <w:numFmt w:val="decimal"/>
      <w:start w:val="1"/>
    </w:lvl>
  </w:abstractNum>
  <w:abstractNum w:abstractNumId="2">
    <w:nsid w:val="1190CDE7"/>
    <w:multiLevelType w:val="hybridMultilevel"/>
    <w:lvl w:ilvl="0">
      <w:lvlJc w:val="left"/>
      <w:lvlText w:val="(%1)"/>
      <w:numFmt w:val="decimal"/>
      <w:start w:val="3"/>
    </w:lvl>
    <w:lvl w:ilvl="1">
      <w:lvlJc w:val="left"/>
      <w:lvlText w:val="%2"/>
      <w:numFmt w:val="decimal"/>
      <w:start w:val="1"/>
    </w:lvl>
  </w:abstractNum>
  <w:abstractNum w:abstractNumId="3">
    <w:nsid w:val="66EF438D"/>
    <w:multiLevelType w:val="hybridMultilevel"/>
    <w:lvl w:ilvl="0">
      <w:lvlJc w:val="left"/>
      <w:lvlText w:val="%1"/>
      <w:numFmt w:val="decimal"/>
      <w:start w:val="1"/>
    </w:lvl>
    <w:lvl w:ilvl="1">
      <w:lvlJc w:val="left"/>
      <w:lvlText w:val="(%2)"/>
      <w:numFmt w:val="decimal"/>
      <w:start w:val="1"/>
    </w:lvl>
  </w:abstractNum>
  <w:abstractNum w:abstractNumId="4">
    <w:nsid w:val="140E0F76"/>
    <w:multiLevelType w:val="hybridMultilevel"/>
    <w:lvl w:ilvl="0">
      <w:lvlJc w:val="left"/>
      <w:lvlText w:val="(%1)"/>
      <w:numFmt w:val="decimal"/>
      <w:start w:val="3"/>
    </w:lvl>
    <w:lvl w:ilvl="1">
      <w:lvlJc w:val="left"/>
      <w:lvlText w:val="%2"/>
      <w:numFmt w:val="decimal"/>
      <w:start w:val="1"/>
    </w:lvl>
  </w:abstractNum>
  <w:abstractNum w:abstractNumId="5">
    <w:nsid w:val="3352255A"/>
    <w:multiLevelType w:val="hybridMultilevel"/>
    <w:lvl w:ilvl="0">
      <w:lvlJc w:val="left"/>
      <w:lvlText w:val="%1"/>
      <w:numFmt w:val="decimal"/>
      <w:start w:val="1"/>
    </w:lvl>
    <w:lvl w:ilvl="1">
      <w:lvlJc w:val="left"/>
      <w:lvlText w:val="(%2)"/>
      <w:numFmt w:val="decimal"/>
      <w:start w:val="1"/>
    </w:lvl>
  </w:abstractNum>
  <w:abstractNum w:abstractNumId="6">
    <w:nsid w:val="109CF92E"/>
    <w:multiLevelType w:val="hybridMultilevel"/>
    <w:lvl w:ilvl="0">
      <w:lvlJc w:val="left"/>
      <w:lvlText w:val="(%1)"/>
      <w:numFmt w:val="decimal"/>
      <w:start w:val="3"/>
    </w:lvl>
    <w:lvl w:ilvl="1">
      <w:lvlJc w:val="left"/>
      <w:lvlText w:val="%2"/>
      <w:numFmt w:val="decimal"/>
      <w:start w:val="1"/>
    </w:lvl>
  </w:abstractNum>
  <w:abstractNum w:abstractNumId="7">
    <w:nsid w:val="DED7263"/>
    <w:multiLevelType w:val="hybridMultilevel"/>
    <w:lvl w:ilvl="0">
      <w:lvlJc w:val="left"/>
      <w:lvlText w:val="%1"/>
      <w:numFmt w:val="decimal"/>
      <w:start w:val="1"/>
    </w:lvl>
    <w:lvl w:ilvl="1">
      <w:lvlJc w:val="left"/>
      <w:lvlText w:val="(%2)"/>
      <w:numFmt w:val="decimal"/>
      <w:start w:val="1"/>
    </w:lvl>
  </w:abstractNum>
  <w:abstractNum w:abstractNumId="8">
    <w:nsid w:val="7FDCC233"/>
    <w:multiLevelType w:val="hybridMultilevel"/>
    <w:lvl w:ilvl="0">
      <w:lvlJc w:val="left"/>
      <w:lvlText w:val="(%1)"/>
      <w:numFmt w:val="decimal"/>
      <w:start w:val="3"/>
    </w:lvl>
    <w:lvl w:ilvl="1">
      <w:lvlJc w:val="left"/>
      <w:lvlText w:val="%2"/>
      <w:numFmt w:val="decimal"/>
      <w:start w:val="1"/>
    </w:lvl>
  </w:abstractNum>
  <w:abstractNum w:abstractNumId="9">
    <w:nsid w:val="1BEFD79F"/>
    <w:multiLevelType w:val="hybridMultilevel"/>
    <w:lvl w:ilvl="0">
      <w:lvlJc w:val="left"/>
      <w:lvlText w:val="%1"/>
      <w:numFmt w:val="decimal"/>
      <w:start w:val="1"/>
    </w:lvl>
    <w:lvl w:ilvl="1">
      <w:lvlJc w:val="left"/>
      <w:lvlText w:val="(%2)"/>
      <w:numFmt w:val="decimal"/>
      <w:start w:val="1"/>
    </w:lvl>
  </w:abstractNum>
  <w:abstractNum w:abstractNumId="10">
    <w:nsid w:val="41A7C4C9"/>
    <w:multiLevelType w:val="hybridMultilevel"/>
    <w:lvl w:ilvl="0">
      <w:lvlJc w:val="left"/>
      <w:lvlText w:val="(%1)"/>
      <w:numFmt w:val="decimal"/>
      <w:start w:val="3"/>
    </w:lvl>
    <w:lvl w:ilvl="1">
      <w:lvlJc w:val="left"/>
      <w:lvlText w:val="%2"/>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3"/>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upperLetter"/>
      <w:start w:val="2"/>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2024-03-04T15:27:42Z</dcterms:created>
  <dcterms:modified xsi:type="dcterms:W3CDTF">2024-03-04T15:27:42Z</dcterms:modified>
</cp:coreProperties>
</file>