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United States Securities and Exchange Commission on March 17, 2022</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CENTURY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84-2040295</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(I.R.S. Employer Identification No.)</w:t>
      </w:r>
    </w:p>
    <w:p>
      <w:pPr>
        <w:spacing w:after="0" w:line="438" w:lineRule="exact"/>
        <w:rPr>
          <w:sz w:val="24"/>
          <w:szCs w:val="24"/>
          <w:color w:val="auto"/>
        </w:rPr>
      </w:pPr>
    </w:p>
    <w:p>
      <w:pPr>
        <w:sectPr>
          <w:pgSz w:w="11900" w:h="16838" w:orient="portrait"/>
          <w:cols w:equalWidth="0" w:num="2">
            <w:col w:w="6480" w:space="720"/>
            <w:col w:w="4040"/>
          </w:cols>
          <w:pgMar w:left="320" w:top="472"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3675 Market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Philadelphia, Pennsylvania 19104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(267) 817-5790</w:t>
      </w:r>
    </w:p>
    <w:p>
      <w:pPr>
        <w:sectPr>
          <w:pgSz w:w="11900" w:h="16838" w:orient="portrait"/>
          <w:cols w:equalWidth="0" w:num="1">
            <w:col w:w="11240"/>
          </w:cols>
          <w:pgMar w:left="320" w:top="472"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 2021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 2021 EMPLOYEE STOCK PURCHASE PLAN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Osvaldo Flores, Ph.D.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3675 Market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(267) 817-5790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Rachael M. Bushey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Jennifer Porter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Pepper Hamilton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3000 Two Logan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(215) 981-4331</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51" w:lineRule="exact"/>
        <w:rPr>
          <w:sz w:val="24"/>
          <w:szCs w:val="24"/>
          <w:color w:val="auto"/>
        </w:rPr>
      </w:pPr>
    </w:p>
    <w:p>
      <w:pPr>
        <w:ind w:left="60"/>
        <w:spacing w:after="0" w:line="207" w:lineRule="exact"/>
        <w:tabs>
          <w:tab w:leader="none" w:pos="2060" w:val="left"/>
          <w:tab w:leader="none" w:pos="3640" w:val="left"/>
          <w:tab w:leader="none" w:pos="6460" w:val="left"/>
          <w:tab w:leader="none" w:pos="89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4"/>
          <w:szCs w:val="24"/>
          <w:color w:val="auto"/>
        </w:rPr>
      </w:pPr>
    </w:p>
    <w:p>
      <w:pPr>
        <w:ind w:left="60"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Registration Statement is being filed for the purpose of (i) registering an additional 2,750,276 shares of common stock, $0.0001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Century Therapeutics, Inc. (the “</w:t>
      </w:r>
      <w:r>
        <w:rPr>
          <w:rFonts w:ascii="Arial" w:cs="Arial" w:eastAsia="Arial" w:hAnsi="Arial"/>
          <w:sz w:val="18"/>
          <w:szCs w:val="18"/>
          <w:u w:val="single" w:color="auto"/>
          <w:color w:val="auto"/>
        </w:rPr>
        <w:t>Registrant</w:t>
      </w:r>
      <w:r>
        <w:rPr>
          <w:rFonts w:ascii="Arial" w:cs="Arial" w:eastAsia="Arial" w:hAnsi="Arial"/>
          <w:sz w:val="18"/>
          <w:szCs w:val="18"/>
          <w:color w:val="auto"/>
        </w:rPr>
        <w:t>”) that were added to the shares authorized for issuance under the Century Therapeutics, Inc. 2021 Equity Incentive Plan (the “</w:t>
      </w:r>
      <w:r>
        <w:rPr>
          <w:rFonts w:ascii="Arial" w:cs="Arial" w:eastAsia="Arial" w:hAnsi="Arial"/>
          <w:sz w:val="18"/>
          <w:szCs w:val="18"/>
          <w:u w:val="single" w:color="auto"/>
          <w:color w:val="auto"/>
        </w:rPr>
        <w:t>2021 Plan</w:t>
      </w:r>
      <w:r>
        <w:rPr>
          <w:rFonts w:ascii="Arial" w:cs="Arial" w:eastAsia="Arial" w:hAnsi="Arial"/>
          <w:sz w:val="18"/>
          <w:szCs w:val="18"/>
          <w:color w:val="auto"/>
        </w:rPr>
        <w:t>”) and (ii) registering an additional 550,055 shares of Common Stock that were added to the shares authorized for issuance under the Century Therapeutics, Inc. 2021 Employee Stock Purchase Plan (the “</w:t>
      </w:r>
      <w:r>
        <w:rPr>
          <w:rFonts w:ascii="Arial" w:cs="Arial" w:eastAsia="Arial" w:hAnsi="Arial"/>
          <w:sz w:val="18"/>
          <w:szCs w:val="18"/>
          <w:u w:val="single" w:color="auto"/>
          <w:color w:val="auto"/>
        </w:rPr>
        <w:t>2021 ESPP</w:t>
      </w:r>
      <w:r>
        <w:rPr>
          <w:rFonts w:ascii="Arial" w:cs="Arial" w:eastAsia="Arial" w:hAnsi="Arial"/>
          <w:sz w:val="18"/>
          <w:szCs w:val="18"/>
          <w:color w:val="auto"/>
        </w:rPr>
        <w:t>”), for which a Registration Statement on Form S-8 relating to the same employee benefit plans is effective.</w:t>
      </w:r>
    </w:p>
    <w:p>
      <w:pPr>
        <w:spacing w:after="0" w:line="188"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The Registrant previously filed a Registration Statement on Form S-8 (</w:t>
      </w:r>
      <w:hyperlink r:id="rId18">
        <w:r>
          <w:rPr>
            <w:rFonts w:ascii="Arial" w:cs="Arial" w:eastAsia="Arial" w:hAnsi="Arial"/>
            <w:sz w:val="17"/>
            <w:szCs w:val="17"/>
            <w:u w:val="single" w:color="auto"/>
            <w:color w:val="0000EE"/>
          </w:rPr>
          <w:t>File Nos. 333-257644</w:t>
        </w:r>
      </w:hyperlink>
      <w:r>
        <w:rPr>
          <w:rFonts w:ascii="Arial" w:cs="Arial" w:eastAsia="Arial" w:hAnsi="Arial"/>
          <w:sz w:val="17"/>
          <w:szCs w:val="17"/>
          <w:color w:val="auto"/>
        </w:rPr>
        <w:t>)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to register 5,640,711 shares of Common Stock and 564,071 shares of Common Stock that were authorized for issuance under the 2021 Plan and the 2021 ESPP, respectively. Upon the effectiveness of this Registration Statement, an aggregate of 8,390,987 shares of Common Stock and 1,114,126 shares of Common Stock will be registered for issuance from time to time under the 2021 Plan and 2021 ESPP, respectively. Pursuant to General Instruction E to Form S-8, the contents of the Registration Statement on Form S-8 (</w:t>
      </w:r>
      <w:hyperlink r:id="rId18">
        <w:r>
          <w:rPr>
            <w:rFonts w:ascii="Arial" w:cs="Arial" w:eastAsia="Arial" w:hAnsi="Arial"/>
            <w:sz w:val="17"/>
            <w:szCs w:val="17"/>
            <w:u w:val="single" w:color="auto"/>
            <w:color w:val="0000EE"/>
          </w:rPr>
          <w:t>File No. 333-257644</w:t>
        </w:r>
      </w:hyperlink>
      <w:r>
        <w:rPr>
          <w:rFonts w:ascii="Arial" w:cs="Arial" w:eastAsia="Arial" w:hAnsi="Arial"/>
          <w:sz w:val="17"/>
          <w:szCs w:val="17"/>
          <w:color w:val="auto"/>
        </w:rPr>
        <w:t>) filed with the Commission on July 2, 2021 are incorporated herein by reference except to the extent supplemented, amended or superseded by the information set forth herein. Only those items of Form S-8 containing new information not contained in the earlier registration statement are presented herein.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information specified in Part I of Form S-8 is omitted from this filing in accordance with the provisions of Rule 428 under the Securities Act and the introductory note to Part I of the Form S-8 instructions. The documents containing the information specified in Part I will be delivered to the participants in the 2021 Plan and the 2021 ESPP as required by Rule 428(b)(1) under the Securities Act.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documents of the Registrant, filed or to be filed with the Commission, are incorporated by reference in this Registration Statement as of their respective dates:</w:t>
      </w:r>
    </w:p>
    <w:p>
      <w:pPr>
        <w:spacing w:after="0" w:line="170" w:lineRule="exact"/>
        <w:rPr>
          <w:sz w:val="20"/>
          <w:szCs w:val="20"/>
          <w:color w:val="auto"/>
        </w:rPr>
      </w:pPr>
    </w:p>
    <w:p>
      <w:pPr>
        <w:ind w:left="1880" w:hanging="576"/>
        <w:spacing w:after="0"/>
        <w:tabs>
          <w:tab w:leader="none" w:pos="1880" w:val="left"/>
        </w:tabs>
        <w:numPr>
          <w:ilvl w:val="0"/>
          <w:numId w:val="1"/>
        </w:numPr>
        <w:rPr>
          <w:rFonts w:ascii="Arial" w:cs="Arial" w:eastAsia="Arial" w:hAnsi="Arial"/>
          <w:sz w:val="17"/>
          <w:szCs w:val="17"/>
          <w:color w:val="auto"/>
        </w:rPr>
      </w:pPr>
      <w:hyperlink r:id="rId19">
        <w:r>
          <w:rPr>
            <w:rFonts w:ascii="Arial" w:cs="Arial" w:eastAsia="Arial" w:hAnsi="Arial"/>
            <w:sz w:val="17"/>
            <w:szCs w:val="17"/>
            <w:color w:val="auto"/>
          </w:rPr>
          <w:t xml:space="preserve">The Registrant’s </w:t>
        </w:r>
        <w:r>
          <w:rPr>
            <w:rFonts w:ascii="Arial" w:cs="Arial" w:eastAsia="Arial" w:hAnsi="Arial"/>
            <w:sz w:val="17"/>
            <w:szCs w:val="17"/>
            <w:u w:val="single" w:color="auto"/>
            <w:color w:val="0000EE"/>
          </w:rPr>
          <w:t>Annual Report on Form 10-K for the fiscal year ended December 31, 2021, filed with the Commission on</w:t>
        </w:r>
      </w:hyperlink>
    </w:p>
    <w:p>
      <w:pPr>
        <w:spacing w:after="0" w:line="34" w:lineRule="exact"/>
        <w:rPr>
          <w:rFonts w:ascii="Arial" w:cs="Arial" w:eastAsia="Arial" w:hAnsi="Arial"/>
          <w:sz w:val="17"/>
          <w:szCs w:val="17"/>
          <w:color w:val="auto"/>
        </w:rPr>
      </w:pPr>
    </w:p>
    <w:p>
      <w:pPr>
        <w:ind w:left="660"/>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March 17, 2022;</w:t>
        </w:r>
      </w:hyperlink>
    </w:p>
    <w:p>
      <w:pPr>
        <w:spacing w:after="0" w:line="210" w:lineRule="exact"/>
        <w:rPr>
          <w:rFonts w:ascii="Arial" w:cs="Arial" w:eastAsia="Arial" w:hAnsi="Arial"/>
          <w:sz w:val="18"/>
          <w:szCs w:val="18"/>
          <w:u w:val="single" w:color="auto"/>
          <w:color w:val="0000EE"/>
        </w:rPr>
      </w:pPr>
    </w:p>
    <w:p>
      <w:pPr>
        <w:ind w:left="1900" w:hanging="596"/>
        <w:spacing w:after="0"/>
        <w:tabs>
          <w:tab w:leader="none" w:pos="1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with the Commission on </w:t>
      </w:r>
      <w:hyperlink r:id="rId20">
        <w:r>
          <w:rPr>
            <w:rFonts w:ascii="Arial" w:cs="Arial" w:eastAsia="Arial" w:hAnsi="Arial"/>
            <w:sz w:val="18"/>
            <w:szCs w:val="18"/>
            <w:u w:val="single" w:color="auto"/>
            <w:color w:val="0000EE"/>
          </w:rPr>
          <w:t>January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
        <w:r>
          <w:rPr>
            <w:rFonts w:ascii="Arial" w:cs="Arial" w:eastAsia="Arial" w:hAnsi="Arial"/>
            <w:sz w:val="18"/>
            <w:szCs w:val="18"/>
            <w:u w:val="single" w:color="auto"/>
            <w:color w:val="0000EE"/>
          </w:rPr>
          <w:t>January 13,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right="20" w:firstLine="644"/>
        <w:spacing w:after="0" w:line="263" w:lineRule="auto"/>
        <w:tabs>
          <w:tab w:leader="none" w:pos="1953" w:val="left"/>
        </w:tabs>
        <w:numPr>
          <w:ilvl w:val="0"/>
          <w:numId w:val="1"/>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the description of the Common Stock contained in the Company’s Registration Statement on Form 8-A filed with the</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Commission on June 14, 2021 (File No. 001-40498), together with any amendment thereto filed with the Commission for the purpose of updating</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such description;</w:t>
        </w:r>
      </w:hyperlink>
    </w:p>
    <w:p>
      <w:pPr>
        <w:spacing w:after="0" w:line="183" w:lineRule="exact"/>
        <w:rPr>
          <w:rFonts w:ascii="Arial" w:cs="Arial" w:eastAsia="Arial" w:hAnsi="Arial"/>
          <w:sz w:val="18"/>
          <w:szCs w:val="18"/>
          <w:u w:val="single" w:color="auto"/>
          <w:color w:val="0000EE"/>
        </w:rPr>
      </w:pPr>
    </w:p>
    <w:p>
      <w:pPr>
        <w:ind w:left="1900" w:hanging="596"/>
        <w:spacing w:after="0"/>
        <w:tabs>
          <w:tab w:leader="none" w:pos="1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Registrant’s Current Reports on Form 8-K filed with the Commission on </w:t>
      </w:r>
      <w:hyperlink r:id="rId20">
        <w:r>
          <w:rPr>
            <w:rFonts w:ascii="Arial" w:cs="Arial" w:eastAsia="Arial" w:hAnsi="Arial"/>
            <w:sz w:val="17"/>
            <w:szCs w:val="17"/>
            <w:u w:val="single" w:color="auto"/>
            <w:color w:val="0000EE"/>
          </w:rPr>
          <w:t>January 10,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21">
        <w:r>
          <w:rPr>
            <w:rFonts w:ascii="Arial" w:cs="Arial" w:eastAsia="Arial" w:hAnsi="Arial"/>
            <w:sz w:val="17"/>
            <w:szCs w:val="17"/>
            <w:u w:val="single" w:color="auto"/>
            <w:color w:val="0000EE"/>
          </w:rPr>
          <w:t>January 13, 2022</w:t>
        </w:r>
      </w:hyperlink>
      <w:r>
        <w:rPr>
          <w:rFonts w:ascii="Arial" w:cs="Arial" w:eastAsia="Arial" w:hAnsi="Arial"/>
          <w:sz w:val="17"/>
          <w:szCs w:val="17"/>
          <w:color w:val="auto"/>
        </w:rPr>
        <w:t>; and</w:t>
      </w:r>
    </w:p>
    <w:p>
      <w:pPr>
        <w:spacing w:after="0" w:line="236" w:lineRule="exact"/>
        <w:rPr>
          <w:rFonts w:ascii="Arial" w:cs="Arial" w:eastAsia="Arial" w:hAnsi="Arial"/>
          <w:sz w:val="17"/>
          <w:szCs w:val="17"/>
          <w:color w:val="auto"/>
        </w:rPr>
      </w:pPr>
    </w:p>
    <w:p>
      <w:pPr>
        <w:jc w:val="both"/>
        <w:ind w:left="660" w:firstLine="644"/>
        <w:spacing w:after="0" w:line="255" w:lineRule="auto"/>
        <w:tabs>
          <w:tab w:leader="none" w:pos="189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documents subsequently filed by the Registrant pursuant to Sections 13(a), 13(c), 14 and 15(d) of the Securities Exchange Act of 1934, as amended (the “Exchange Act”),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provided, however, that documents, reports and definitive proxy or information statements, or portions thereof, which are furnished and not filed in accordance with the rules of the Commission shall not be deemed incorporated by reference into this Registration Statement.</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79" w:lineRule="auto"/>
        <w:rPr>
          <w:sz w:val="20"/>
          <w:szCs w:val="20"/>
          <w:color w:val="auto"/>
        </w:rPr>
      </w:pPr>
      <w:r>
        <w:rPr>
          <w:rFonts w:ascii="Arial" w:cs="Arial" w:eastAsia="Arial" w:hAnsi="Arial"/>
          <w:sz w:val="17"/>
          <w:szCs w:val="17"/>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23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58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2340" w:type="dxa"/>
            <w:vAlign w:val="bottom"/>
          </w:tcPr>
          <w:p>
            <w:pPr>
              <w:spacing w:after="0"/>
              <w:rPr>
                <w:sz w:val="20"/>
                <w:szCs w:val="20"/>
                <w:color w:val="auto"/>
              </w:rPr>
            </w:pPr>
          </w:p>
        </w:tc>
        <w:tc>
          <w:tcPr>
            <w:tcW w:w="7320" w:type="dxa"/>
            <w:vAlign w:val="bottom"/>
            <w:gridSpan w:val="12"/>
          </w:tcPr>
          <w:p>
            <w:pPr>
              <w:ind w:left="1640"/>
              <w:spacing w:after="0"/>
              <w:rPr>
                <w:sz w:val="20"/>
                <w:szCs w:val="20"/>
                <w:color w:val="auto"/>
              </w:rPr>
            </w:pPr>
            <w:r>
              <w:rPr>
                <w:rFonts w:ascii="Arial" w:cs="Arial" w:eastAsia="Arial" w:hAnsi="Arial"/>
                <w:sz w:val="18"/>
                <w:szCs w:val="18"/>
                <w:b w:val="1"/>
                <w:bCs w:val="1"/>
                <w:color w:val="auto"/>
              </w:rPr>
              <w:t>Description of Exhibit</w:t>
            </w:r>
          </w:p>
        </w:tc>
      </w:tr>
      <w:tr>
        <w:trPr>
          <w:trHeight w:val="392"/>
        </w:trPr>
        <w:tc>
          <w:tcPr>
            <w:tcW w:w="320" w:type="dxa"/>
            <w:vAlign w:val="bottom"/>
            <w:gridSpan w:val="2"/>
          </w:tcPr>
          <w:p>
            <w:pPr>
              <w:spacing w:after="0"/>
              <w:rPr>
                <w:rFonts w:ascii="Arial" w:cs="Arial" w:eastAsia="Arial" w:hAnsi="Arial"/>
                <w:sz w:val="18"/>
                <w:szCs w:val="18"/>
                <w:color w:val="0000EE"/>
              </w:rPr>
            </w:pPr>
            <w:hyperlink r:id="rId2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Second Amended and Restated Certificate of Incorporation of Century Therapeutics, Inc. (incorporated herein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 No. 001-40498) filed on June 25, 2021)</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rPr>
            </w:pPr>
            <w:hyperlink r:id="rId25">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w w:val="95"/>
              </w:rPr>
            </w:pPr>
            <w:hyperlink r:id="rId25">
              <w:r>
                <w:rPr>
                  <w:rFonts w:ascii="Arial" w:cs="Arial" w:eastAsia="Arial" w:hAnsi="Arial"/>
                  <w:sz w:val="18"/>
                  <w:szCs w:val="18"/>
                  <w:color w:val="0000EE"/>
                  <w:w w:val="95"/>
                </w:rPr>
                <w:t>Amended and Restated Bylaws of Century Therapeutics, Inc. (incorporated herein by reference to Exhibit 3.2 to the Company’s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Current Report on Form 8-K (File No. 001-40498) filed on June 25, 2021)</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hyperlink>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Opinion of Troutman Pepper Hamilton Sanders LLP as to the legality of the securities being registered</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23.</w:t>
              </w:r>
              <w:r>
                <w:rPr>
                  <w:rFonts w:ascii="Arial" w:cs="Arial" w:eastAsia="Arial" w:hAnsi="Arial"/>
                  <w:sz w:val="18"/>
                  <w:szCs w:val="18"/>
                  <w:u w:val="single" w:color="auto"/>
                  <w:color w:val="0000EE"/>
                  <w:w w:val="90"/>
                </w:rPr>
                <w:t>1*</w:t>
              </w:r>
            </w:hyperlink>
          </w:p>
        </w:tc>
        <w:tc>
          <w:tcPr>
            <w:tcW w:w="116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Consent of Ernst &amp; Young LLP, independent registered public accounting firm for Century Therapeutics, Inc.</w:t>
              </w:r>
            </w:hyperlink>
          </w:p>
        </w:tc>
      </w:tr>
      <w:tr>
        <w:trPr>
          <w:trHeight w:val="412"/>
        </w:trPr>
        <w:tc>
          <w:tcPr>
            <w:tcW w:w="420" w:type="dxa"/>
            <w:vAlign w:val="bottom"/>
            <w:tcBorders>
              <w:top w:val="single" w:sz="8" w:color="0000EE"/>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23.</w:t>
              </w:r>
              <w:r>
                <w:rPr>
                  <w:rFonts w:ascii="Arial" w:cs="Arial" w:eastAsia="Arial" w:hAnsi="Arial"/>
                  <w:sz w:val="18"/>
                  <w:szCs w:val="18"/>
                  <w:u w:val="single" w:color="auto"/>
                  <w:color w:val="0000EE"/>
                  <w:w w:val="90"/>
                </w:rPr>
                <w:t>2*</w:t>
              </w:r>
            </w:hyperlink>
          </w:p>
        </w:tc>
        <w:tc>
          <w:tcPr>
            <w:tcW w:w="1160" w:type="dxa"/>
            <w:vAlign w:val="bottom"/>
          </w:tcPr>
          <w:p>
            <w:pPr>
              <w:spacing w:after="0"/>
              <w:rPr>
                <w:sz w:val="24"/>
                <w:szCs w:val="24"/>
                <w:color w:val="auto"/>
              </w:rPr>
            </w:pPr>
          </w:p>
        </w:tc>
        <w:tc>
          <w:tcPr>
            <w:tcW w:w="7880" w:type="dxa"/>
            <w:vAlign w:val="bottom"/>
            <w:tcBorders>
              <w:top w:val="single" w:sz="8" w:color="0000EE"/>
            </w:tcBorders>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Consent of Troutman Pepper Hamilton Sanders LLP (contained in Exhibit 5.1)</w:t>
              </w:r>
            </w:hyperlink>
          </w:p>
        </w:tc>
        <w:tc>
          <w:tcPr>
            <w:tcW w:w="1780" w:type="dxa"/>
            <w:vAlign w:val="bottom"/>
            <w:gridSpan w:val="2"/>
          </w:tcPr>
          <w:p>
            <w:pPr>
              <w:spacing w:after="0"/>
              <w:rPr>
                <w:sz w:val="24"/>
                <w:szCs w:val="2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24.</w:t>
              </w:r>
              <w:r>
                <w:rPr>
                  <w:rFonts w:ascii="Arial" w:cs="Arial" w:eastAsia="Arial" w:hAnsi="Arial"/>
                  <w:sz w:val="18"/>
                  <w:szCs w:val="18"/>
                  <w:u w:val="single" w:color="auto"/>
                  <w:color w:val="0000EE"/>
                  <w:w w:val="90"/>
                </w:rPr>
                <w:t>1*</w:t>
              </w:r>
            </w:hyperlink>
          </w:p>
        </w:tc>
        <w:tc>
          <w:tcPr>
            <w:tcW w:w="116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Powers of Attorney (included on the signature page of the Registration Statement)</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2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Arial" w:cs="Arial" w:eastAsia="Arial" w:hAnsi="Arial"/>
                <w:sz w:val="18"/>
                <w:szCs w:val="18"/>
                <w:color w:val="0000EE"/>
                <w:w w:val="99"/>
              </w:rPr>
            </w:pPr>
            <w:hyperlink r:id="rId26">
              <w:r>
                <w:rPr>
                  <w:rFonts w:ascii="Arial" w:cs="Arial" w:eastAsia="Arial" w:hAnsi="Arial"/>
                  <w:sz w:val="18"/>
                  <w:szCs w:val="18"/>
                  <w:color w:val="0000EE"/>
                  <w:w w:val="99"/>
                </w:rPr>
                <w:t>Century Therapeutics, Inc. 2021 Equity Incentive Plan (incorporated herein by reference to Exhibit 10.8 to the Company’s</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1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Registration Statement on Form S-1/A (File No. 333-256648) filed on June 14, 2021)</w:t>
              </w:r>
            </w:hyperlink>
          </w:p>
        </w:tc>
        <w:tc>
          <w:tcPr>
            <w:tcW w:w="3480" w:type="dxa"/>
            <w:vAlign w:val="bottom"/>
            <w:gridSpan w:val="7"/>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27">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Form of Stock Option Grant Notice and Award Agreement, under the 2021 Plan (incorporated herein by reference to Exhibit 10.13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1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the Company’s Registration Statement on Form S-1 (File No. 333-256648) filed on May 28, 2021)</w:t>
              </w:r>
            </w:hyperlink>
          </w:p>
        </w:tc>
        <w:tc>
          <w:tcPr>
            <w:tcW w:w="2540" w:type="dxa"/>
            <w:vAlign w:val="bottom"/>
            <w:gridSpan w:val="5"/>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2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60" w:type="dxa"/>
            <w:vAlign w:val="bottom"/>
            <w:tcBorders>
              <w:bottom w:val="single" w:sz="8" w:color="0000EE"/>
            </w:tcBorders>
            <w:gridSpan w:val="13"/>
          </w:tcPr>
          <w:p>
            <w:pPr>
              <w:spacing w:after="0"/>
              <w:rPr>
                <w:rFonts w:ascii="Arial" w:cs="Arial" w:eastAsia="Arial" w:hAnsi="Arial"/>
                <w:sz w:val="18"/>
                <w:szCs w:val="18"/>
                <w:color w:val="0000EE"/>
                <w:w w:val="92"/>
              </w:rPr>
            </w:pPr>
            <w:hyperlink r:id="rId28">
              <w:r>
                <w:rPr>
                  <w:rFonts w:ascii="Arial" w:cs="Arial" w:eastAsia="Arial" w:hAnsi="Arial"/>
                  <w:sz w:val="18"/>
                  <w:szCs w:val="18"/>
                  <w:color w:val="0000EE"/>
                  <w:w w:val="92"/>
                </w:rPr>
                <w:t>Form of Restricted Stock Unit Grant Notice and Award Agreement, under the 2021 Plan (incorporated herein by reference to Exhibit</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60" w:type="dxa"/>
            <w:vAlign w:val="bottom"/>
            <w:gridSpan w:val="13"/>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10.</w:t>
              </w:r>
              <w:r>
                <w:rPr>
                  <w:rFonts w:ascii="Arial" w:cs="Arial" w:eastAsia="Arial" w:hAnsi="Arial"/>
                  <w:sz w:val="18"/>
                  <w:szCs w:val="18"/>
                  <w:u w:val="single" w:color="auto"/>
                  <w:color w:val="0000EE"/>
                </w:rPr>
                <w:t>14</w:t>
              </w:r>
              <w:r>
                <w:rPr>
                  <w:rFonts w:ascii="Arial" w:cs="Arial" w:eastAsia="Arial" w:hAnsi="Arial"/>
                  <w:sz w:val="18"/>
                  <w:szCs w:val="18"/>
                  <w:color w:val="0000EE"/>
                </w:rPr>
                <w:t xml:space="preserve"> to the Company’s Registration Statement on Form S-1 (File No. 333-256648) filed on May 28, 2021)</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29">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4</w:t>
              </w:r>
            </w:hyperlink>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Century Therapeutics, Inc. 2021 Employee Stock Purchase Plan (incorporated herein by reference to Exhibit 10.9 to the Company’s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Registration Statement on Form S-1/A (File No. 333-256648) filed on May 28, 2021)</w:t>
              </w:r>
            </w:hyperlink>
          </w:p>
        </w:tc>
        <w:tc>
          <w:tcPr>
            <w:tcW w:w="20" w:type="dxa"/>
            <w:vAlign w:val="bottom"/>
          </w:tcPr>
          <w:p>
            <w:pPr>
              <w:spacing w:after="0"/>
              <w:rPr>
                <w:sz w:val="17"/>
                <w:szCs w:val="17"/>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107*</w:t>
              </w:r>
            </w:hyperlink>
          </w:p>
        </w:tc>
        <w:tc>
          <w:tcPr>
            <w:tcW w:w="1160" w:type="dxa"/>
            <w:vAlign w:val="bottom"/>
          </w:tcPr>
          <w:p>
            <w:pPr>
              <w:spacing w:after="0"/>
              <w:rPr>
                <w:sz w:val="24"/>
                <w:szCs w:val="24"/>
                <w:color w:val="auto"/>
              </w:rPr>
            </w:pPr>
          </w:p>
        </w:tc>
        <w:tc>
          <w:tcPr>
            <w:tcW w:w="6160" w:type="dxa"/>
            <w:vAlign w:val="bottom"/>
            <w:tcBorders>
              <w:top w:val="single" w:sz="8" w:color="0000EE"/>
            </w:tcBorders>
            <w:gridSpan w:val="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Calculation of Registration Fees</w:t>
              </w:r>
            </w:hyperlink>
          </w:p>
        </w:tc>
        <w:tc>
          <w:tcPr>
            <w:tcW w:w="3500" w:type="dxa"/>
            <w:vAlign w:val="bottom"/>
            <w:gridSpan w:val="8"/>
          </w:tcPr>
          <w:p>
            <w:pPr>
              <w:spacing w:after="0"/>
              <w:rPr>
                <w:sz w:val="24"/>
                <w:szCs w:val="24"/>
                <w:color w:val="auto"/>
              </w:rPr>
            </w:pPr>
          </w:p>
        </w:tc>
      </w:tr>
      <w:tr>
        <w:trPr>
          <w:trHeight w:val="236"/>
        </w:trPr>
        <w:tc>
          <w:tcPr>
            <w:tcW w:w="24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340" w:type="dxa"/>
            <w:vAlign w:val="bottom"/>
            <w:tcBorders>
              <w:top w:val="single" w:sz="8" w:color="0000EE"/>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580" w:type="dxa"/>
            <w:vAlign w:val="bottom"/>
            <w:gridSpan w:val="4"/>
          </w:tcPr>
          <w:p>
            <w:pPr>
              <w:spacing w:after="0"/>
              <w:rPr>
                <w:sz w:val="20"/>
                <w:szCs w:val="20"/>
                <w:color w:val="auto"/>
              </w:rPr>
            </w:pPr>
            <w:r>
              <w:rPr>
                <w:rFonts w:ascii="Arial" w:cs="Arial" w:eastAsia="Arial" w:hAnsi="Arial"/>
                <w:sz w:val="18"/>
                <w:szCs w:val="18"/>
                <w:color w:val="auto"/>
              </w:rPr>
              <w:t>* Filed herewith.</w:t>
            </w:r>
          </w:p>
        </w:tc>
        <w:tc>
          <w:tcPr>
            <w:tcW w:w="23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this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2022.</w:t>
      </w:r>
    </w:p>
    <w:p>
      <w:pPr>
        <w:spacing w:after="0" w:line="4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Osvaldo Flores, Ph.D.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KNOW ALL PERSONS BY THESE PRESENTS</w:t>
      </w:r>
      <w:r>
        <w:rPr>
          <w:rFonts w:ascii="Arial" w:cs="Arial" w:eastAsia="Arial" w:hAnsi="Arial"/>
          <w:sz w:val="16"/>
          <w:szCs w:val="16"/>
          <w:color w:val="auto"/>
        </w:rPr>
        <w:t>, that each person whose signature appears below hereby constitutes and appoints Osvaldo Flores,</w:t>
      </w:r>
      <w:r>
        <w:rPr>
          <w:rFonts w:ascii="Arial" w:cs="Arial" w:eastAsia="Arial" w:hAnsi="Arial"/>
          <w:sz w:val="16"/>
          <w:szCs w:val="16"/>
          <w:i w:val="1"/>
          <w:iCs w:val="1"/>
          <w:color w:val="auto"/>
        </w:rPr>
        <w:t xml:space="preserve"> </w:t>
      </w:r>
      <w:r>
        <w:rPr>
          <w:rFonts w:ascii="Arial" w:cs="Arial" w:eastAsia="Arial" w:hAnsi="Arial"/>
          <w:sz w:val="16"/>
          <w:szCs w:val="16"/>
          <w:color w:val="auto"/>
        </w:rPr>
        <w:t>Ph.D. and Michael Diem, M.D., and each of them, as his or her true and lawful attorney-in-fact and agent with full power of substitution, for him or her in any and all capacities, to sign any and all amendments to this Registration Statement (including post-effective amendments thereto) under the Securities Act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140" w:type="dxa"/>
            <w:vAlign w:val="bottom"/>
          </w:tcPr>
          <w:p>
            <w:pPr>
              <w:jc w:val="center"/>
              <w:ind w:left="250"/>
              <w:spacing w:after="0"/>
              <w:rPr>
                <w:sz w:val="20"/>
                <w:szCs w:val="20"/>
                <w:color w:val="auto"/>
              </w:rPr>
            </w:pPr>
            <w:r>
              <w:rPr>
                <w:rFonts w:ascii="Arial" w:cs="Arial" w:eastAsia="Arial" w:hAnsi="Arial"/>
                <w:sz w:val="18"/>
                <w:szCs w:val="18"/>
                <w:b w:val="1"/>
                <w:bCs w:val="1"/>
                <w:color w:val="auto"/>
                <w:w w:val="97"/>
              </w:rPr>
              <w:t>Title</w:t>
            </w:r>
          </w:p>
        </w:tc>
        <w:tc>
          <w:tcPr>
            <w:tcW w:w="216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2"/>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Osvaldo Flores, Ph.D.</w:t>
            </w:r>
          </w:p>
        </w:tc>
        <w:tc>
          <w:tcPr>
            <w:tcW w:w="5140" w:type="dxa"/>
            <w:vAlign w:val="bottom"/>
          </w:tcPr>
          <w:p>
            <w:pPr>
              <w:jc w:val="center"/>
              <w:ind w:left="290"/>
              <w:spacing w:after="0"/>
              <w:rPr>
                <w:sz w:val="20"/>
                <w:szCs w:val="20"/>
                <w:color w:val="auto"/>
              </w:rPr>
            </w:pPr>
            <w:r>
              <w:rPr>
                <w:rFonts w:ascii="Arial" w:cs="Arial" w:eastAsia="Arial" w:hAnsi="Arial"/>
                <w:sz w:val="18"/>
                <w:szCs w:val="18"/>
                <w:color w:val="auto"/>
                <w:w w:val="92"/>
              </w:rPr>
              <w:t>President, Chief Executive Officer and Director</w:t>
            </w:r>
          </w:p>
        </w:tc>
        <w:tc>
          <w:tcPr>
            <w:tcW w:w="2160" w:type="dxa"/>
            <w:vAlign w:val="bottom"/>
          </w:tcPr>
          <w:p>
            <w:pPr>
              <w:jc w:val="center"/>
              <w:ind w:left="29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0"/>
              </w:rPr>
              <w:t>Osvaldo Flores, Ph.D.</w:t>
            </w:r>
          </w:p>
        </w:tc>
        <w:tc>
          <w:tcPr>
            <w:tcW w:w="5140" w:type="dxa"/>
            <w:vAlign w:val="bottom"/>
          </w:tcPr>
          <w:p>
            <w:pPr>
              <w:jc w:val="center"/>
              <w:ind w:left="270"/>
              <w:spacing w:after="0"/>
              <w:rPr>
                <w:sz w:val="20"/>
                <w:szCs w:val="20"/>
                <w:color w:val="auto"/>
              </w:rPr>
            </w:pPr>
            <w:r>
              <w:rPr>
                <w:rFonts w:ascii="Arial" w:cs="Arial" w:eastAsia="Arial" w:hAnsi="Arial"/>
                <w:sz w:val="18"/>
                <w:szCs w:val="18"/>
                <w:color w:val="auto"/>
                <w:w w:val="94"/>
              </w:rPr>
              <w:t>(Principal Executive Officer)</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Diem, M.D.</w:t>
            </w:r>
          </w:p>
        </w:tc>
        <w:tc>
          <w:tcPr>
            <w:tcW w:w="5140" w:type="dxa"/>
            <w:vAlign w:val="bottom"/>
          </w:tcPr>
          <w:p>
            <w:pPr>
              <w:jc w:val="center"/>
              <w:ind w:left="290"/>
              <w:spacing w:after="0"/>
              <w:rPr>
                <w:sz w:val="20"/>
                <w:szCs w:val="20"/>
                <w:color w:val="auto"/>
              </w:rPr>
            </w:pPr>
            <w:r>
              <w:rPr>
                <w:rFonts w:ascii="Arial" w:cs="Arial" w:eastAsia="Arial" w:hAnsi="Arial"/>
                <w:sz w:val="18"/>
                <w:szCs w:val="18"/>
                <w:color w:val="auto"/>
                <w:w w:val="92"/>
              </w:rPr>
              <w:t>Chief Business Officer</w:t>
            </w:r>
          </w:p>
        </w:tc>
        <w:tc>
          <w:tcPr>
            <w:tcW w:w="2160" w:type="dxa"/>
            <w:vAlign w:val="bottom"/>
          </w:tcPr>
          <w:p>
            <w:pPr>
              <w:jc w:val="center"/>
              <w:ind w:left="230"/>
              <w:spacing w:after="0"/>
              <w:rPr>
                <w:sz w:val="20"/>
                <w:szCs w:val="20"/>
                <w:color w:val="auto"/>
              </w:rPr>
            </w:pPr>
            <w:r>
              <w:rPr>
                <w:rFonts w:ascii="Arial" w:cs="Arial" w:eastAsia="Arial" w:hAnsi="Arial"/>
                <w:sz w:val="18"/>
                <w:szCs w:val="18"/>
                <w:color w:val="auto"/>
                <w:w w:val="92"/>
              </w:rPr>
              <w:t>March 17, 2022</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6"/>
              </w:rPr>
              <w:t>Michael Diem, M.D.</w:t>
            </w:r>
          </w:p>
        </w:tc>
        <w:tc>
          <w:tcPr>
            <w:tcW w:w="5140" w:type="dxa"/>
            <w:vAlign w:val="bottom"/>
          </w:tcPr>
          <w:p>
            <w:pPr>
              <w:jc w:val="center"/>
              <w:ind w:left="290"/>
              <w:spacing w:after="0"/>
              <w:rPr>
                <w:sz w:val="20"/>
                <w:szCs w:val="20"/>
                <w:color w:val="auto"/>
              </w:rPr>
            </w:pPr>
            <w:r>
              <w:rPr>
                <w:rFonts w:ascii="Arial" w:cs="Arial" w:eastAsia="Arial" w:hAnsi="Arial"/>
                <w:sz w:val="18"/>
                <w:szCs w:val="18"/>
                <w:color w:val="auto"/>
                <w:w w:val="94"/>
              </w:rPr>
              <w:t>(Principal Financial Officer)</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Jimenez</w:t>
            </w:r>
          </w:p>
        </w:tc>
        <w:tc>
          <w:tcPr>
            <w:tcW w:w="5140" w:type="dxa"/>
            <w:vAlign w:val="bottom"/>
            <w:vMerge w:val="restart"/>
          </w:tcPr>
          <w:p>
            <w:pPr>
              <w:jc w:val="center"/>
              <w:ind w:left="290"/>
              <w:spacing w:after="0"/>
              <w:rPr>
                <w:sz w:val="20"/>
                <w:szCs w:val="20"/>
                <w:color w:val="auto"/>
              </w:rPr>
            </w:pPr>
            <w:r>
              <w:rPr>
                <w:rFonts w:ascii="Arial" w:cs="Arial" w:eastAsia="Arial" w:hAnsi="Arial"/>
                <w:sz w:val="18"/>
                <w:szCs w:val="18"/>
                <w:color w:val="auto"/>
                <w:w w:val="92"/>
              </w:rPr>
              <w:t>Chairman, Board of Directors</w:t>
            </w:r>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6"/>
              </w:rPr>
              <w:t>Joseph Jimenez</w:t>
            </w:r>
          </w:p>
        </w:tc>
        <w:tc>
          <w:tcPr>
            <w:tcW w:w="514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Kimberly Blackwell, M.D.</w:t>
            </w:r>
          </w:p>
        </w:tc>
        <w:tc>
          <w:tcPr>
            <w:tcW w:w="5140" w:type="dxa"/>
            <w:vAlign w:val="bottom"/>
            <w:vMerge w:val="restart"/>
          </w:tcPr>
          <w:p>
            <w:pPr>
              <w:jc w:val="center"/>
              <w:ind w:left="29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ind w:left="29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6"/>
              </w:rPr>
              <w:t>Kimberly Blackwell, M.D.</w:t>
            </w:r>
          </w:p>
        </w:tc>
        <w:tc>
          <w:tcPr>
            <w:tcW w:w="514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Cynthia Butitta</w:t>
            </w:r>
          </w:p>
        </w:tc>
        <w:tc>
          <w:tcPr>
            <w:tcW w:w="5140" w:type="dxa"/>
            <w:vAlign w:val="bottom"/>
            <w:vMerge w:val="restart"/>
          </w:tcPr>
          <w:p>
            <w:pPr>
              <w:jc w:val="center"/>
              <w:ind w:left="29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ind w:left="230"/>
              <w:spacing w:after="0"/>
              <w:rPr>
                <w:sz w:val="20"/>
                <w:szCs w:val="20"/>
                <w:color w:val="auto"/>
              </w:rPr>
            </w:pPr>
            <w:r>
              <w:rPr>
                <w:rFonts w:ascii="Arial" w:cs="Arial" w:eastAsia="Arial" w:hAnsi="Arial"/>
                <w:sz w:val="18"/>
                <w:szCs w:val="18"/>
                <w:color w:val="auto"/>
                <w:w w:val="92"/>
              </w:rPr>
              <w:t>March 17, 2022</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5"/>
              </w:rPr>
              <w:t>Cynthia Butitta</w:t>
            </w:r>
          </w:p>
        </w:tc>
        <w:tc>
          <w:tcPr>
            <w:tcW w:w="514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Eli Casdin</w:t>
            </w:r>
          </w:p>
        </w:tc>
        <w:tc>
          <w:tcPr>
            <w:tcW w:w="5140" w:type="dxa"/>
            <w:vAlign w:val="bottom"/>
            <w:vMerge w:val="restart"/>
          </w:tcPr>
          <w:p>
            <w:pPr>
              <w:jc w:val="center"/>
              <w:ind w:left="29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ind w:left="230"/>
              <w:spacing w:after="0"/>
              <w:rPr>
                <w:sz w:val="20"/>
                <w:szCs w:val="20"/>
                <w:color w:val="auto"/>
              </w:rPr>
            </w:pPr>
            <w:r>
              <w:rPr>
                <w:rFonts w:ascii="Arial" w:cs="Arial" w:eastAsia="Arial" w:hAnsi="Arial"/>
                <w:sz w:val="18"/>
                <w:szCs w:val="18"/>
                <w:color w:val="auto"/>
                <w:w w:val="92"/>
              </w:rPr>
              <w:t>March 17, 2022</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3"/>
              </w:rPr>
              <w:t>Eli Casdin</w:t>
            </w:r>
          </w:p>
        </w:tc>
        <w:tc>
          <w:tcPr>
            <w:tcW w:w="514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Alessandro Riva, M.D.</w:t>
            </w:r>
          </w:p>
        </w:tc>
        <w:tc>
          <w:tcPr>
            <w:tcW w:w="5140" w:type="dxa"/>
            <w:vAlign w:val="bottom"/>
            <w:vMerge w:val="restart"/>
          </w:tcPr>
          <w:p>
            <w:pPr>
              <w:jc w:val="center"/>
              <w:ind w:left="29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3"/>
              </w:rPr>
              <w:t>Alessandro Riva, M.D.</w:t>
            </w:r>
          </w:p>
        </w:tc>
        <w:tc>
          <w:tcPr>
            <w:tcW w:w="514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Carlo Rizzuto, Ph.D.</w:t>
            </w:r>
          </w:p>
        </w:tc>
        <w:tc>
          <w:tcPr>
            <w:tcW w:w="5140" w:type="dxa"/>
            <w:vAlign w:val="bottom"/>
            <w:vMerge w:val="restart"/>
          </w:tcPr>
          <w:p>
            <w:pPr>
              <w:jc w:val="center"/>
              <w:ind w:left="29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3"/>
              </w:rPr>
              <w:t>Carlo Rizzuto, Ph.D.</w:t>
            </w:r>
          </w:p>
        </w:tc>
        <w:tc>
          <w:tcPr>
            <w:tcW w:w="514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165100</wp:posOffset>
            </wp:positionV>
            <wp:extent cx="1594485" cy="745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59448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Troutman Pepper Hamilton Sanders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 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March 17,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Century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3675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acted as special counsel to Century Therapeutics,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preparation and filing of its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relating to the issuance of up to 2,750,276 shares of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all of which are issuable pursuant to the Century Therapeutics, Inc. 2021 Equity Incentive Plan (the “</w:t>
      </w:r>
      <w:r>
        <w:rPr>
          <w:rFonts w:ascii="Arial" w:cs="Arial" w:eastAsia="Arial" w:hAnsi="Arial"/>
          <w:sz w:val="16"/>
          <w:szCs w:val="16"/>
          <w:b w:val="1"/>
          <w:bCs w:val="1"/>
          <w:color w:val="auto"/>
        </w:rPr>
        <w:t>2021 Plan</w:t>
      </w:r>
      <w:r>
        <w:rPr>
          <w:rFonts w:ascii="Arial" w:cs="Arial" w:eastAsia="Arial" w:hAnsi="Arial"/>
          <w:sz w:val="16"/>
          <w:szCs w:val="16"/>
          <w:color w:val="auto"/>
        </w:rPr>
        <w:t>”), as well as 550,055 shares of Common Stock (together, the “</w:t>
      </w:r>
      <w:r>
        <w:rPr>
          <w:rFonts w:ascii="Arial" w:cs="Arial" w:eastAsia="Arial" w:hAnsi="Arial"/>
          <w:sz w:val="16"/>
          <w:szCs w:val="16"/>
          <w:b w:val="1"/>
          <w:bCs w:val="1"/>
          <w:color w:val="auto"/>
        </w:rPr>
        <w:t>Shares</w:t>
      </w:r>
      <w:r>
        <w:rPr>
          <w:rFonts w:ascii="Arial" w:cs="Arial" w:eastAsia="Arial" w:hAnsi="Arial"/>
          <w:sz w:val="16"/>
          <w:szCs w:val="16"/>
          <w:color w:val="auto"/>
        </w:rPr>
        <w:t>”), all of which are issuable pursuant to the Century Therapeutics, Inc. 2021 Employee Stock Purchase Plan (the “</w:t>
      </w:r>
      <w:r>
        <w:rPr>
          <w:rFonts w:ascii="Arial" w:cs="Arial" w:eastAsia="Arial" w:hAnsi="Arial"/>
          <w:sz w:val="16"/>
          <w:szCs w:val="16"/>
          <w:b w:val="1"/>
          <w:bCs w:val="1"/>
          <w:color w:val="auto"/>
        </w:rPr>
        <w:t>2021 ESPP</w:t>
      </w:r>
      <w:r>
        <w:rPr>
          <w:rFonts w:ascii="Arial" w:cs="Arial" w:eastAsia="Arial" w:hAnsi="Arial"/>
          <w:sz w:val="16"/>
          <w:szCs w:val="16"/>
          <w:color w:val="auto"/>
        </w:rPr>
        <w:t>”). This opinion letter is furnished to you at your request to enable you to fulfill the requirements of Item 601(b)(5) of Regulation S-K, 17 C.F.R. §229.601(b)(5), in connection with the Registration Statement, and no opinion is expressed herein as to any matter pertaining to the contents of the Registration Statement or related prospectus, other than as expressly stated herein with respect to the issuance of Shares.</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5720080</wp:posOffset>
            </wp:positionH>
            <wp:positionV relativeFrom="page">
              <wp:posOffset>448945</wp:posOffset>
            </wp:positionV>
            <wp:extent cx="1594485" cy="745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594485" cy="745490"/>
                    </a:xfrm>
                    <a:prstGeom prst="rect">
                      <a:avLst/>
                    </a:prstGeom>
                    <a:noFill/>
                  </pic:spPr>
                </pic:pic>
              </a:graphicData>
            </a:graphic>
          </wp:anchor>
        </w:drawing>
        <w:t>Century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upon, subject to and limited by the foregoing, we are of the opinion as of the date hereof, when the Shares shall have been duly registered on the books of the transfer agent and registrar therefor in the name or on behalf of the recipients, and have been issued by the Company for legal consideration in excess of par value in the circumstances contemplated by the 2021 Plan and the 2021 ESPP (together, the “</w:t>
      </w:r>
      <w:r>
        <w:rPr>
          <w:rFonts w:ascii="Arial" w:cs="Arial" w:eastAsia="Arial" w:hAnsi="Arial"/>
          <w:sz w:val="18"/>
          <w:szCs w:val="18"/>
          <w:b w:val="1"/>
          <w:bCs w:val="1"/>
          <w:color w:val="auto"/>
        </w:rPr>
        <w:t>Plans</w:t>
      </w:r>
      <w:r>
        <w:rPr>
          <w:rFonts w:ascii="Arial" w:cs="Arial" w:eastAsia="Arial" w:hAnsi="Arial"/>
          <w:sz w:val="18"/>
          <w:szCs w:val="18"/>
          <w:color w:val="auto"/>
        </w:rPr>
        <w:t>”), assuming in each case that the individual issuances, grants or awards under the Plans are duly authorized by all necessary corporate action and duly issued, granted or awarded and exercised in accordance with the requirements of law and the applicable Plan (and the agreements duly adopted thereunder and in accordance therewith), the issue and sale of the Shares will have been duly authorized by all necessary corporate action of the Company, and the Shares will be validly issued, fully paid, and nonassessable.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opinion letter has been prepared for use in connection with the Registration Statement. We assume no obligation to advise you of any changes in the foregoing subsequent to the effective date of the Registration Statement.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In giving this consent, we do not thereby admit that we are an “expert” within the meaning of the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TROUTMAN PEPPER HAMILTON SANDERS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TROUTMAN PEPPER HAMILTON SANDERS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2021 Equity Incentive Plan and 2021 Employee Stock Purchase Plan of Century Therapeutics, Inc. of our report dated March 17, 2022, with respect to the consolidated financial statements of Century Therapeutics, Inc., included in its Annual Report (Form 10-K) for the year ended December 31, 2021, filed with the Securities and Exchange Commission.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Newly Registered Securities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Proposed</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Maximum</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Security</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Fee</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Offering</w:t>
            </w:r>
          </w:p>
        </w:tc>
        <w:tc>
          <w:tcPr>
            <w:tcW w:w="16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Maximum</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 of</w:t>
            </w: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Class</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Calculation</w:t>
            </w:r>
          </w:p>
        </w:tc>
        <w:tc>
          <w:tcPr>
            <w:tcW w:w="14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Price per</w:t>
            </w:r>
          </w:p>
        </w:tc>
        <w:tc>
          <w:tcPr>
            <w:tcW w:w="160" w:type="dxa"/>
            <w:vAlign w:val="bottom"/>
          </w:tcPr>
          <w:p>
            <w:pPr>
              <w:spacing w:after="0"/>
              <w:rPr>
                <w:sz w:val="17"/>
                <w:szCs w:val="17"/>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5"/>
              </w:rPr>
              <w:t>Aggregate</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2"/>
              </w:rPr>
              <w:t>Registration</w:t>
            </w:r>
          </w:p>
        </w:tc>
      </w:tr>
      <w:tr>
        <w:trPr>
          <w:trHeight w:val="213"/>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Security Type</w:t>
            </w:r>
          </w:p>
        </w:tc>
        <w:tc>
          <w:tcPr>
            <w:tcW w:w="23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Title</w:t>
            </w:r>
          </w:p>
        </w:tc>
        <w:tc>
          <w:tcPr>
            <w:tcW w:w="12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Rule</w:t>
            </w:r>
          </w:p>
        </w:tc>
        <w:tc>
          <w:tcPr>
            <w:tcW w:w="14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7"/>
              </w:rPr>
              <w:t>Registered(1)</w:t>
            </w: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Unit(4)</w:t>
            </w:r>
          </w:p>
        </w:tc>
        <w:tc>
          <w:tcPr>
            <w:tcW w:w="1380" w:type="dxa"/>
            <w:vAlign w:val="bottom"/>
            <w:gridSpan w:val="3"/>
          </w:tcPr>
          <w:p>
            <w:pPr>
              <w:spacing w:after="0"/>
              <w:rPr>
                <w:sz w:val="20"/>
                <w:szCs w:val="20"/>
                <w:color w:val="auto"/>
              </w:rPr>
            </w:pPr>
            <w:r>
              <w:rPr>
                <w:rFonts w:ascii="Arial" w:cs="Arial" w:eastAsia="Arial" w:hAnsi="Arial"/>
                <w:sz w:val="16"/>
                <w:szCs w:val="16"/>
                <w:b w:val="1"/>
                <w:bCs w:val="1"/>
                <w:color w:val="auto"/>
              </w:rPr>
              <w:t>Offering Price(4)</w:t>
            </w:r>
          </w:p>
        </w:tc>
        <w:tc>
          <w:tcPr>
            <w:tcW w:w="13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Fee Rate</w:t>
            </w: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Fee</w:t>
            </w:r>
          </w:p>
        </w:tc>
      </w:tr>
      <w:tr>
        <w:trPr>
          <w:trHeight w:val="199"/>
        </w:trPr>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Equity</w:t>
            </w: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457(c) and 457(h)</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2,750,276(2)</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36,633,676.32</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0.0000927</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3,395.95</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118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Equity</w:t>
            </w: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Common Stock, par value $0.0001</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457(c) and 457(h)</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550,055(3)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13.32</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7,326,732.60</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0.0000927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679.19</w:t>
            </w:r>
          </w:p>
        </w:tc>
        <w:tc>
          <w:tcPr>
            <w:tcW w:w="40" w:type="dxa"/>
            <w:vAlign w:val="bottom"/>
          </w:tcPr>
          <w:p>
            <w:pPr>
              <w:spacing w:after="0"/>
              <w:rPr>
                <w:sz w:val="17"/>
                <w:szCs w:val="17"/>
                <w:color w:val="auto"/>
              </w:rPr>
            </w:pPr>
          </w:p>
        </w:tc>
      </w:tr>
      <w:tr>
        <w:trPr>
          <w:trHeight w:val="203"/>
        </w:trPr>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4"/>
              </w:rPr>
              <w:t>Total Offering Amounts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7"/>
              </w:rPr>
              <w:t>43,960,408.92</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4,075.14</w:t>
            </w:r>
          </w:p>
        </w:tc>
        <w:tc>
          <w:tcPr>
            <w:tcW w:w="40" w:type="dxa"/>
            <w:vAlign w:val="bottom"/>
            <w:shd w:val="clear" w:color="auto" w:fill="CCEEFF"/>
          </w:tcPr>
          <w:p>
            <w:pPr>
              <w:spacing w:after="0"/>
              <w:rPr>
                <w:sz w:val="17"/>
                <w:szCs w:val="17"/>
                <w:color w:val="auto"/>
              </w:rPr>
            </w:pPr>
          </w:p>
        </w:tc>
      </w:tr>
      <w:tr>
        <w:trPr>
          <w:trHeight w:val="196"/>
        </w:trPr>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1"/>
              </w:rPr>
              <w:t>Total Fee Offsets(5)</w:t>
            </w: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0"/>
              </w:rPr>
              <w:t>Net Fee Due</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4,075.14</w:t>
            </w:r>
          </w:p>
        </w:tc>
        <w:tc>
          <w:tcPr>
            <w:tcW w:w="4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80" w:hanging="372"/>
        <w:spacing w:after="0" w:line="268"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Pursuant to Rule 416(a) promulgated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this Registration Statement also covers an indeterminate number of additional shares of common stock, par value $0.0001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Century Therapeutics, Inc. (the “</w:t>
      </w:r>
      <w:r>
        <w:rPr>
          <w:rFonts w:ascii="Arial" w:cs="Arial" w:eastAsia="Arial" w:hAnsi="Arial"/>
          <w:sz w:val="17"/>
          <w:szCs w:val="17"/>
          <w:u w:val="single" w:color="auto"/>
          <w:color w:val="auto"/>
        </w:rPr>
        <w:t>Registrant</w:t>
      </w:r>
      <w:r>
        <w:rPr>
          <w:rFonts w:ascii="Arial" w:cs="Arial" w:eastAsia="Arial" w:hAnsi="Arial"/>
          <w:sz w:val="17"/>
          <w:szCs w:val="17"/>
          <w:color w:val="auto"/>
        </w:rPr>
        <w:t>”) issuable under the Century Therapeutics, Inc. 2021 Equity Incentive Plan (the “</w:t>
      </w:r>
      <w:r>
        <w:rPr>
          <w:rFonts w:ascii="Arial" w:cs="Arial" w:eastAsia="Arial" w:hAnsi="Arial"/>
          <w:sz w:val="17"/>
          <w:szCs w:val="17"/>
          <w:u w:val="single" w:color="auto"/>
          <w:color w:val="auto"/>
        </w:rPr>
        <w:t>2021 Plan</w:t>
      </w:r>
      <w:r>
        <w:rPr>
          <w:rFonts w:ascii="Arial" w:cs="Arial" w:eastAsia="Arial" w:hAnsi="Arial"/>
          <w:sz w:val="17"/>
          <w:szCs w:val="17"/>
          <w:color w:val="auto"/>
        </w:rPr>
        <w:t>”) and the Century Therapeutics, Inc. 2021 Employee Stock Purchase Plan (the “</w:t>
      </w:r>
      <w:r>
        <w:rPr>
          <w:rFonts w:ascii="Arial" w:cs="Arial" w:eastAsia="Arial" w:hAnsi="Arial"/>
          <w:sz w:val="17"/>
          <w:szCs w:val="17"/>
          <w:u w:val="single" w:color="auto"/>
          <w:color w:val="auto"/>
        </w:rPr>
        <w:t>2021 ESPP</w:t>
      </w:r>
      <w:r>
        <w:rPr>
          <w:rFonts w:ascii="Arial" w:cs="Arial" w:eastAsia="Arial" w:hAnsi="Arial"/>
          <w:sz w:val="17"/>
          <w:szCs w:val="17"/>
          <w:color w:val="auto"/>
        </w:rPr>
        <w:t>”) in the event the number of outstanding shares of the Registrant is increased by reason of any stock dividend, stock split, recapitalization, merger, consolidation or reorganization or similar transaction.</w:t>
      </w:r>
    </w:p>
    <w:p>
      <w:pPr>
        <w:spacing w:after="0" w:line="2" w:lineRule="exact"/>
        <w:rPr>
          <w:rFonts w:ascii="Arial" w:cs="Arial" w:eastAsia="Arial" w:hAnsi="Arial"/>
          <w:sz w:val="17"/>
          <w:szCs w:val="17"/>
          <w:color w:val="auto"/>
        </w:rPr>
      </w:pPr>
    </w:p>
    <w:p>
      <w:pPr>
        <w:ind w:left="38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2,750,276 shares of Common Stock that were added to the shares authorized for issuance under the 2021 Plan on January 1, 2022 pursuant to an “evergreen” provision contained in the 2021 Plan.</w:t>
      </w:r>
    </w:p>
    <w:p>
      <w:pPr>
        <w:ind w:left="38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550,055 shares of Common Stock that were added to the shares authorized for issuance under the 2021 ESPP on January 1, 2022 pursuant to an “evergreen” provision contained in the 2021 ESPP.</w:t>
      </w:r>
    </w:p>
    <w:p>
      <w:pPr>
        <w:ind w:left="38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estimate is made pursuant to Rule 457(h) and Rule 457(c) of the Securities Act. The price shown is based upon the average of the high and low prices reported for the Common Stock on the Nasdaq Global Select Market on March 15, 2022.</w:t>
      </w: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jpe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jpe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18" Type="http://schemas.openxmlformats.org/officeDocument/2006/relationships/hyperlink" Target="https://www.sec.gov/Archives/edgar/data/1850119/000110465921088864/tm2121116d1_s8.htm" TargetMode="External"/><Relationship Id="rId19" Type="http://schemas.openxmlformats.org/officeDocument/2006/relationships/hyperlink" Target="https://www.sec.gov/ix?doc=/Archives/edgar/data/0001850119/000155837022003867/ipsc-20211231x10k.htm" TargetMode="External"/><Relationship Id="rId20" Type="http://schemas.openxmlformats.org/officeDocument/2006/relationships/hyperlink" Target="https://www.sec.gov/ix?doc=/Archives/edgar/data/1850119/000110465922002486/tm222415d1_8k.htm" TargetMode="External"/><Relationship Id="rId21" Type="http://schemas.openxmlformats.org/officeDocument/2006/relationships/hyperlink" Target="https://www.sec.gov/ix?doc=/Archives/edgar/data/1850119/000110465922003803/tm222671d1_8k.htm" TargetMode="External"/><Relationship Id="rId22" Type="http://schemas.openxmlformats.org/officeDocument/2006/relationships/hyperlink" Target="https://www.sec.gov/Archives/edgar/data/1850119/000110465921080760/tm218551d12_8a12b.htm" TargetMode="External"/><Relationship Id="rId24" Type="http://schemas.openxmlformats.org/officeDocument/2006/relationships/hyperlink" Target="https://www.sec.gov/Archives/edgar/data/1850119/000110465921085744/tm2120666d1_ex3-1.htm" TargetMode="External"/><Relationship Id="rId25" Type="http://schemas.openxmlformats.org/officeDocument/2006/relationships/hyperlink" Target="https://www.sec.gov/Archives/edgar/data/1850119/000110465921085744/tm2120666d1_ex3-2.htm" TargetMode="External"/><Relationship Id="rId26" Type="http://schemas.openxmlformats.org/officeDocument/2006/relationships/hyperlink" Target="https://www.sec.gov/Archives/edgar/data/1850119/000110465921080429/tm218551d10_ex10-8.htm" TargetMode="External"/><Relationship Id="rId27" Type="http://schemas.openxmlformats.org/officeDocument/2006/relationships/hyperlink" Target="https://www.sec.gov/Archives/edgar/data/1850119/000110465921074278/tm218551d7_ex10-13.htm" TargetMode="External"/><Relationship Id="rId28" Type="http://schemas.openxmlformats.org/officeDocument/2006/relationships/hyperlink" Target="https://www.sec.gov/Archives/edgar/data/1850119/000110465921074278/tm218551d7_ex10-14.htm" TargetMode="External"/><Relationship Id="rId29" Type="http://schemas.openxmlformats.org/officeDocument/2006/relationships/hyperlink" Target="https://www.sec.gov/Archives/edgar/data/1850119/000110465921080429/tm218551d10_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2022-03-17T16:25:02Z</dcterms:created>
  <dcterms:modified xsi:type="dcterms:W3CDTF">2022-03-17T16:25:02Z</dcterms:modified>
</cp:coreProperties>
</file>