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040" w:space="720"/>
            <w:col w:w="3300" w:space="720"/>
            <w:col w:w="2460"/>
          </w:cols>
          <w:pgMar w:left="320" w:top="700" w:right="339" w:bottom="1440" w:gutter="0" w:footer="0" w:header="0"/>
          <w:type w:val="continuous"/>
        </w:sectPr>
      </w:pPr>
    </w:p>
    <w:p>
      <w:pPr>
        <w:spacing w:after="0" w:line="14"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3675 Market Street</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660" w:space="720"/>
            <w:col w:w="2860"/>
          </w:cols>
          <w:pgMar w:left="320" w:top="70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64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00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32"/>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IPSC</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u w:val="single" w:color="auto"/>
          <w:color w:val="auto"/>
        </w:rPr>
        <w:t>Results of Operations and Financial Condition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On May 16, 2022,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financial results for the quarter ended March 31, 2022. A copy of the press release is furnished as Exhibit 99.1 to this Current Report on Form 8-K and is incorporated herein by reference.</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is being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7460" w:type="dxa"/>
            <w:vAlign w:val="bottom"/>
            <w:tcBorders>
              <w:bottom w:val="single" w:sz="8" w:color="auto"/>
            </w:tcBorders>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69"/>
        </w:trPr>
        <w:tc>
          <w:tcPr>
            <w:tcW w:w="1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00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of Century Therapeutics, Inc., dated May 16, 2022</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56"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Osvaldo Flores, Ph.D.</w:t>
      </w:r>
    </w:p>
    <w:p>
      <w:pPr>
        <w:spacing w:after="0" w:line="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91135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113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Reports First Quarter 2022 Financial Results and Provides Business Updates</w:t>
      </w:r>
    </w:p>
    <w:p>
      <w:pPr>
        <w:spacing w:after="0" w:line="227" w:lineRule="exact"/>
        <w:rPr>
          <w:sz w:val="20"/>
          <w:szCs w:val="20"/>
          <w:color w:val="auto"/>
        </w:rPr>
      </w:pPr>
    </w:p>
    <w:p>
      <w:pPr>
        <w:ind w:left="140" w:hanging="112"/>
        <w:spacing w:after="0"/>
        <w:tabs>
          <w:tab w:leader="none" w:pos="140" w:val="left"/>
        </w:tabs>
        <w:numPr>
          <w:ilvl w:val="0"/>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Phase 1 ELiPSE-1 trial of CNTY-101 in relapsed/refractory lymphoma expected to commence in the second half of 2022 following IND submission in mid</w:t>
      </w:r>
    </w:p>
    <w:p>
      <w:pPr>
        <w:spacing w:after="0" w:line="40" w:lineRule="exact"/>
        <w:rPr>
          <w:rFonts w:ascii="Times New Roman" w:cs="Times New Roman" w:eastAsia="Times New Roman" w:hAnsi="Times New Roman"/>
          <w:sz w:val="17"/>
          <w:szCs w:val="17"/>
          <w:i w:val="1"/>
          <w:iCs w:val="1"/>
          <w:color w:val="auto"/>
        </w:rPr>
      </w:pPr>
    </w:p>
    <w:p>
      <w:pPr>
        <w:ind w:left="542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2022-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Ended first quarter 2022 with cash, cash equivalents, and investments of $466.4M; Cash runway into 2025 -</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PHILADELPHIA, May 16, 2022 (GLOBE NEWSWIRE) -- </w:t>
      </w:r>
      <w:r>
        <w:rPr>
          <w:rFonts w:ascii="Times New Roman" w:cs="Times New Roman" w:eastAsia="Times New Roman" w:hAnsi="Times New Roman"/>
          <w:sz w:val="18"/>
          <w:szCs w:val="18"/>
          <w:u w:val="single" w:color="auto"/>
          <w:color w:val="auto"/>
        </w:rPr>
        <w:t>Century Therapeutics, Inc.</w:t>
      </w:r>
      <w:r>
        <w:rPr>
          <w:rFonts w:ascii="Times New Roman" w:cs="Times New Roman" w:eastAsia="Times New Roman" w:hAnsi="Times New Roman"/>
          <w:sz w:val="18"/>
          <w:szCs w:val="18"/>
          <w:color w:val="auto"/>
        </w:rPr>
        <w:t>, (NASDAQ: IPSC), an innovative biotechnology company developing induced pluripotent stem cell (iPSC)-derived cell therapies in immuno-oncology, today reported financial results and business highlights for the first quarter ended March 31, 2022.</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off to a strong start in 2022, which we expect will be a transformational year for Century as we transition into a clinical-stage organization,” said Lalo Flores, Chief Executive Officer, Century Therapeutics. “Looking ahead, we remain on track to submit our first IND application for our lead program, CNTY-101, mid-year, with the Phase 1 ELiPSE-1 trial for CNTY-101 in relapsed/refractory lymphoma expected to commence in the second half of 2022. We are continuing to invest in our comprehensive, next-generation iPSC-based cell therapy platform, and believe we are well positioned to advance multiple product candidates into the clinic over the next several years. We look forward to providing updates at scientific congresses this year and our upcoming virtual R&amp;D Day next month”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 &amp; Upcoming Milestones</w:t>
      </w:r>
    </w:p>
    <w:p>
      <w:pPr>
        <w:spacing w:after="0" w:line="233" w:lineRule="exact"/>
        <w:rPr>
          <w:sz w:val="20"/>
          <w:szCs w:val="20"/>
          <w:color w:val="auto"/>
        </w:rPr>
      </w:pPr>
    </w:p>
    <w:p>
      <w:pPr>
        <w:ind w:left="660" w:right="48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Earlier this month, the Company presented preclinical data at the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PEGS Boston Conference &amp; Exposition, on the discovery and optimization of CD22 VHH antibodies for CAR T cell therapy.</w:t>
      </w:r>
    </w:p>
    <w:p>
      <w:pPr>
        <w:spacing w:after="0" w:line="198" w:lineRule="exact"/>
        <w:rPr>
          <w:rFonts w:ascii="Times New Roman" w:cs="Times New Roman" w:eastAsia="Times New Roman" w:hAnsi="Times New Roman"/>
          <w:sz w:val="36"/>
          <w:szCs w:val="36"/>
          <w:color w:val="auto"/>
          <w:vertAlign w:val="superscript"/>
        </w:rPr>
      </w:pPr>
    </w:p>
    <w:p>
      <w:pPr>
        <w:ind w:left="660" w:right="200" w:hanging="328"/>
        <w:spacing w:after="0" w:line="22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u w:val="single" w:color="auto"/>
          <w:color w:val="auto"/>
        </w:rPr>
        <w:t>plans to present</w:t>
      </w:r>
      <w:r>
        <w:rPr>
          <w:rFonts w:ascii="Times New Roman" w:cs="Times New Roman" w:eastAsia="Times New Roman" w:hAnsi="Times New Roman"/>
          <w:sz w:val="18"/>
          <w:szCs w:val="18"/>
          <w:color w:val="auto"/>
        </w:rPr>
        <w:t xml:space="preserve"> preclinical data on MAD7, a novel CRISPR nuclease used to enable the genetic engineering of iPSC-derived NK and T cell product candidates, during a poster presentation at the American Society of Gene and Cell Therapy (ASGCT)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Meeting being held May 16-19, 2022 in Washington, D.C. Full abstracts are currently available through the ASGCT conference website.</w:t>
      </w:r>
    </w:p>
    <w:p>
      <w:pPr>
        <w:spacing w:after="0" w:line="200" w:lineRule="exact"/>
        <w:rPr>
          <w:rFonts w:ascii="Times New Roman" w:cs="Times New Roman" w:eastAsia="Times New Roman" w:hAnsi="Times New Roman"/>
          <w:sz w:val="18"/>
          <w:szCs w:val="18"/>
          <w:color w:val="auto"/>
        </w:rPr>
      </w:pPr>
    </w:p>
    <w:p>
      <w:pPr>
        <w:ind w:left="660" w:right="3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research and development update to be held June 13, 2022, at 4:30 PM ET. Century’s management team will discuss CNTY-103 and progress on the next-generation platform. Dr Sheila Singh, Professor of Surgery and Biochemistry, Chief Pediatric Neurosurgeon at McMaster Children’s Hospital, the Division Head of Neurosurgery at Hamilton Health Sciences, and the inaugural Director of McMaster's new Cancer Research Centre will discuss the current treatment paradigm in GBM.</w:t>
      </w:r>
    </w:p>
    <w:p>
      <w:pPr>
        <w:spacing w:after="0" w:line="179"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remains on track to initiate ELiPSE-1, its Phase 1 clinical trial to assess CNTY-101 in patients with relapsed/refractory CD19 positive aggressive lymphoma or indolent lymphoma after at least two prior lines of therapy, including patients who have received prior CAR-T cell therapy, in the second half of 2022 subject to U.S. Food and Drug Administration acceptance of its Investigational New Drug (IND) application, which is expected to be submitted in mid-2022.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1135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r>
    </w:p>
    <w:p>
      <w:pPr>
        <w:spacing w:after="0" w:line="318" w:lineRule="exact"/>
        <w:rPr>
          <w:sz w:val="20"/>
          <w:szCs w:val="20"/>
          <w:color w:val="auto"/>
        </w:rPr>
      </w:pPr>
    </w:p>
    <w:p>
      <w:pPr>
        <w:ind w:left="660" w:right="1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Good Manufacturing Practice (cGMP) manufacturing facility in Branchburg, New Jersey is expected to be operational in 2022.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Century expects to submit an IND application for CNTY-103 in 2023. CNTY-103 is the Company’s first solid tumor candidate for glioblastoma.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2021 Financial Results</w:t>
      </w:r>
    </w:p>
    <w:p>
      <w:pPr>
        <w:spacing w:after="0" w:line="225" w:lineRule="exact"/>
        <w:rPr>
          <w:sz w:val="20"/>
          <w:szCs w:val="20"/>
          <w:color w:val="auto"/>
        </w:rPr>
      </w:pPr>
    </w:p>
    <w:p>
      <w:pPr>
        <w:ind w:left="660" w:right="20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investments were $466.4 million as of March 31, 2022, as compared to $358.8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2021. Net cash provided by operations was $86.8 million for the three months ended March 31, 2022 (which includes deferred revenue from the Bristol Myers Squibb (BMS) collaboration of $122.1M) compared to net cash used in operations of $22.2 million for the three months ended March 31, 2021.</w:t>
      </w:r>
    </w:p>
    <w:p>
      <w:pPr>
        <w:spacing w:after="0" w:line="176" w:lineRule="exact"/>
        <w:rPr>
          <w:rFonts w:ascii="Times New Roman" w:cs="Times New Roman" w:eastAsia="Times New Roman" w:hAnsi="Times New Roman"/>
          <w:sz w:val="18"/>
          <w:szCs w:val="18"/>
          <w:color w:val="auto"/>
        </w:rPr>
      </w:pPr>
    </w:p>
    <w:p>
      <w:pPr>
        <w:ind w:left="660" w:right="14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$1.1 million for the three months ended March 31, 2022, generated through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option and license agreement with BMS.</w:t>
      </w:r>
    </w:p>
    <w:p>
      <w:pPr>
        <w:spacing w:after="0" w:line="154" w:lineRule="exact"/>
        <w:rPr>
          <w:rFonts w:ascii="Times New Roman" w:cs="Times New Roman" w:eastAsia="Times New Roman" w:hAnsi="Times New Roman"/>
          <w:sz w:val="18"/>
          <w:szCs w:val="18"/>
          <w:color w:val="auto"/>
        </w:rPr>
      </w:pPr>
    </w:p>
    <w:p>
      <w:pPr>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and Development (R&amp;D) expenses</w:t>
      </w:r>
      <w:r>
        <w:rPr>
          <w:rFonts w:ascii="Times New Roman" w:cs="Times New Roman" w:eastAsia="Times New Roman" w:hAnsi="Times New Roman"/>
          <w:sz w:val="18"/>
          <w:szCs w:val="18"/>
          <w:color w:val="auto"/>
        </w:rPr>
        <w:t>: R&amp;D expenses were $21.2 million for the three months ended March 31, 2022, compared to $15.4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same period in 2021. The increase in R&amp;D expenses was primarily due to an increase in personnel expenses related to increased headcount to expand the Company’s R&amp;D capabilities, costs for pre-clinical studies, costs for laboratory supplies and facility costs.</w:t>
      </w:r>
    </w:p>
    <w:p>
      <w:pPr>
        <w:spacing w:after="0" w:line="170"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and Administrative (G&amp;A) expenses</w:t>
      </w:r>
      <w:r>
        <w:rPr>
          <w:rFonts w:ascii="Times New Roman" w:cs="Times New Roman" w:eastAsia="Times New Roman" w:hAnsi="Times New Roman"/>
          <w:sz w:val="18"/>
          <w:szCs w:val="18"/>
          <w:color w:val="auto"/>
        </w:rPr>
        <w:t>: G&amp;A expenses were $7.3 million for the three months ended March 31, 2022, compared to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same period in 2021. The increase was primarily due to an increase in personnel related expense due to an increase in employee headcount, an increase in directors’ and officers’ insurance expense, and an increase in the Company’s professional fees as a result of expanded operations to support the Company’s infrastructure as well as additional costs to operate as a public company.</w:t>
      </w:r>
    </w:p>
    <w:p>
      <w:pPr>
        <w:spacing w:after="0" w:line="176" w:lineRule="exact"/>
        <w:rPr>
          <w:rFonts w:ascii="Times New Roman" w:cs="Times New Roman" w:eastAsia="Times New Roman" w:hAnsi="Times New Roman"/>
          <w:sz w:val="18"/>
          <w:szCs w:val="18"/>
          <w:color w:val="auto"/>
        </w:rPr>
      </w:pPr>
    </w:p>
    <w:p>
      <w:pPr>
        <w:ind w:left="660" w:hanging="328"/>
        <w:spacing w:after="0" w:line="317"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In-process research and development (IPR&amp;D) expenses</w:t>
      </w:r>
      <w:r>
        <w:rPr>
          <w:rFonts w:ascii="Times New Roman" w:cs="Times New Roman" w:eastAsia="Times New Roman" w:hAnsi="Times New Roman"/>
          <w:sz w:val="17"/>
          <w:szCs w:val="17"/>
          <w:color w:val="auto"/>
        </w:rPr>
        <w:t>: One-time IPR&amp;D expenses were $10.0 million for the three months ended March 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2022, in order to amend the FCDI agreement to gain access to the territory rights of Japan as a result of the Collaboration Agreement with BMS.</w:t>
      </w:r>
    </w:p>
    <w:p>
      <w:pPr>
        <w:spacing w:after="0" w:line="1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was $37.5 million for the three months ended March 31, 2022, compared to $18.3 million for the same period in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left="660" w:right="6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full year GAAP Operating Expenses to be between $155 million and $165 million including non-cash stock-based compensation expense of $10 million to $15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1135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r>
    </w:p>
    <w:p>
      <w:pPr>
        <w:spacing w:after="0" w:line="31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its cash, cash equivalents, and marketable securities will support operations into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Century Therapeutics</w:t>
      </w:r>
    </w:p>
    <w:p>
      <w:pPr>
        <w:spacing w:after="0" w:line="2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 xml:space="preserve">Century Therapeutics, Inc. (NASDAQ: IPSC) is harnessing the power of adult stem cells to develop curative cell therapy products for cancer that we believe will allow us to overcome the limitations of first-generation cell therapies. Our genetically engineered, iPSC-derived iNK and iT cell product candidates are designed to specifically target hematologic and solid tumor cancers.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care. For more information on Century Therapeutics please visit </w:t>
      </w:r>
      <w:r>
        <w:rPr>
          <w:rFonts w:ascii="Times New Roman" w:cs="Times New Roman" w:eastAsia="Times New Roman" w:hAnsi="Times New Roman"/>
          <w:sz w:val="18"/>
          <w:szCs w:val="18"/>
          <w:u w:val="single" w:color="auto"/>
          <w:color w:val="auto"/>
        </w:rPr>
        <w:t>https://www.centurytx.com/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cash, financial resources, and estimated expenses, our clinical development plans, and the development of our U.S. manufacturing facility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presentation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COVID-19 pandemic, geopolitical issues and inflation on our business and operations, supply chain and labor force; the performance of third parties in connection with the development of our product candidates, including third parties conducting our future clinical trials as well as third-party suppliers and manufacturers; our ability to successfully commercialize our product candidates and develop sales and marketing capabilities, if our product candidates are approved;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11350"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Elizabeth Krutoholow – </w:t>
      </w:r>
      <w:r>
        <w:rPr>
          <w:rFonts w:ascii="Times New Roman" w:cs="Times New Roman" w:eastAsia="Times New Roman" w:hAnsi="Times New Roman"/>
          <w:sz w:val="18"/>
          <w:szCs w:val="18"/>
          <w:u w:val="single" w:color="auto"/>
          <w:color w:val="auto"/>
        </w:rPr>
        <w:t>investor.relations@centurytx.com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Investors: Melissa Forst/Maghan Meyers – </w:t>
      </w:r>
      <w:r>
        <w:rPr>
          <w:rFonts w:ascii="Times New Roman" w:cs="Times New Roman" w:eastAsia="Times New Roman" w:hAnsi="Times New Roman"/>
          <w:sz w:val="17"/>
          <w:szCs w:val="17"/>
          <w:u w:val="single" w:color="auto"/>
          <w:color w:val="auto"/>
        </w:rPr>
        <w:t>century@argotpartners.com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Joshua R. Mansbach – </w:t>
      </w:r>
      <w:r>
        <w:rPr>
          <w:rFonts w:ascii="Times New Roman" w:cs="Times New Roman" w:eastAsia="Times New Roman" w:hAnsi="Times New Roman"/>
          <w:sz w:val="18"/>
          <w:szCs w:val="18"/>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1135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r>
    </w:p>
    <w:p>
      <w:pPr>
        <w:spacing w:after="0" w:line="3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68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126,039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56,445</w:t>
            </w: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234,981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166,434</w:t>
            </w:r>
          </w:p>
        </w:tc>
        <w:tc>
          <w:tcPr>
            <w:tcW w:w="80" w:type="dxa"/>
            <w:vAlign w:val="bottom"/>
          </w:tcPr>
          <w:p>
            <w:pPr>
              <w:spacing w:after="0"/>
              <w:rPr>
                <w:sz w:val="18"/>
                <w:szCs w:val="18"/>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shd w:val="clear" w:color="auto" w:fill="CCEEFF"/>
          </w:tcPr>
          <w:p>
            <w:pPr>
              <w:spacing w:after="0"/>
              <w:rPr>
                <w:sz w:val="19"/>
                <w:szCs w:val="19"/>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365,262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57,967</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11,854</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135,914</w:t>
            </w:r>
          </w:p>
        </w:tc>
        <w:tc>
          <w:tcPr>
            <w:tcW w:w="80" w:type="dxa"/>
            <w:vAlign w:val="bottom"/>
            <w:shd w:val="clear" w:color="auto" w:fill="CCEEFF"/>
          </w:tcPr>
          <w:p>
            <w:pPr>
              <w:spacing w:after="0"/>
              <w:rPr>
                <w:sz w:val="18"/>
                <w:szCs w:val="18"/>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tcPr>
          <w:p>
            <w:pPr>
              <w:spacing w:after="0"/>
              <w:rPr>
                <w:sz w:val="19"/>
                <w:szCs w:val="19"/>
                <w:color w:val="auto"/>
              </w:rPr>
            </w:pPr>
          </w:p>
        </w:tc>
      </w:tr>
      <w:tr>
        <w:trPr>
          <w:trHeight w:val="223"/>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7,596</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8,059</w:t>
            </w:r>
          </w:p>
        </w:tc>
        <w:tc>
          <w:tcPr>
            <w:tcW w:w="80" w:type="dxa"/>
            <w:vAlign w:val="bottom"/>
          </w:tcPr>
          <w:p>
            <w:pPr>
              <w:spacing w:after="0"/>
              <w:rPr>
                <w:sz w:val="18"/>
                <w:szCs w:val="18"/>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00" w:type="dxa"/>
            <w:vAlign w:val="bottom"/>
            <w:gridSpan w:val="2"/>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8,903</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8"/>
                <w:szCs w:val="18"/>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163,644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814,979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785,049</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(425,679)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(388,166)</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386,664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7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6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11350" cy="53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31495"/>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6"/>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8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82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21,196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15,374</w:t>
            </w:r>
          </w:p>
        </w:tc>
      </w:tr>
      <w:tr>
        <w:trPr>
          <w:trHeight w:val="216"/>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2,688</w:t>
            </w:r>
          </w:p>
        </w:tc>
      </w:tr>
      <w:tr>
        <w:trPr>
          <w:trHeight w:val="229"/>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w:t>
            </w:r>
          </w:p>
        </w:tc>
      </w:tr>
      <w:tr>
        <w:trPr>
          <w:trHeight w:val="216"/>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8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57,051,539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7,677,196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8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2022-05-16T06:36:20Z</dcterms:created>
  <dcterms:modified xsi:type="dcterms:W3CDTF">2022-05-16T06:36:20Z</dcterms:modified>
</cp:coreProperties>
</file>