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911d1_8k.htm"/>
      <w:bookmarkStart w:id="1" w:name="kstm262291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95"/>
        <w:gridCol w:w="60"/>
        <w:gridCol w:w="2210"/>
        <w:gridCol w:w="60"/>
        <w:gridCol w:w="1535"/>
      </w:tblGrid>
      <w:tr>
        <w:trPr/>
        <w:tc>
          <w:tcPr>
            <w:tcW w:w="2495" w:type="dxa"/>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5_edei--EntityFileNumber_c20260812"/>
            <w:bookmarkEnd w:id="6"/>
            <w:r>
              <w:rPr>
                <w:b/>
                <w:sz w:val="20"/>
              </w:rPr>
              <w:t>001-40498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7_edei--EntityTaxIdentificationNum"/>
            <w:bookmarkEnd w:id="7"/>
            <w:r>
              <w:rPr>
                <w:b/>
                <w:sz w:val="20"/>
              </w:rPr>
              <w:t>84-2040295</w:t>
            </w:r>
          </w:p>
        </w:tc>
      </w:tr>
      <w:tr>
        <w:trPr/>
        <w:tc>
          <w:tcPr>
            <w:tcW w:w="2495"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25 North 38th Street</w:t>
            </w:r>
            <w:r>
              <w:rPr>
                <w:rFonts w:ascii="Times New Roman;Times;Serif" w:hAnsi="Times New Roman;Times;Serif"/>
                <w:b w:val="false"/>
                <w:i w:val="false"/>
                <w:caps w:val="false"/>
                <w:smallCaps w:val="false"/>
                <w:sz w:val="20"/>
              </w:rPr>
              <w:t xml:space="preserve">, </w:t>
            </w:r>
            <w:bookmarkStart w:id="9" w:name="xdx_901_edei--EntityAddressAddressLine2_"/>
            <w:bookmarkEnd w:id="9"/>
            <w:r>
              <w:rPr>
                <w:rFonts w:ascii="Times New Roman;Times;Serif" w:hAnsi="Times New Roman;Times;Serif"/>
                <w:b/>
                <w:i w:val="false"/>
                <w:caps w:val="false"/>
                <w:smallCaps w:val="false"/>
                <w:sz w:val="20"/>
              </w:rPr>
              <w:t>12th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Philadelphia, </w:t>
            </w:r>
            <w:bookmarkStart w:id="11" w:name="xdx_907_edei--EntityAddressStateOrProvin"/>
            <w:bookmarkEnd w:id="11"/>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8_edei--EntityAddressPostalZipCode"/>
            <w:bookmarkEnd w:id="12"/>
            <w:r>
              <w:rPr>
                <w:b/>
                <w:sz w:val="20"/>
              </w:rPr>
              <w:t>19104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60812__20"/>
      <w:bookmarkEnd w:id="13"/>
      <w:r>
        <w:rPr>
          <w:rFonts w:ascii="Times New Roman;Times;Serif" w:hAnsi="Times New Roman;Times;Serif"/>
          <w:b/>
          <w:i w:val="false"/>
          <w:caps w:val="false"/>
          <w:smallCaps w:val="false"/>
          <w:sz w:val="20"/>
        </w:rPr>
        <w:t xml:space="preserve">267) </w:t>
      </w:r>
      <w:bookmarkStart w:id="14" w:name="xdx_909_edei--LocalPhoneNumber_c20260812"/>
      <w:bookmarkEnd w:id="14"/>
      <w:r>
        <w:rPr>
          <w:rFonts w:ascii="Times New Roman;Times;Serif" w:hAnsi="Times New Roman;Times;Serif"/>
          <w:b/>
          <w:i w:val="false"/>
          <w:caps w:val="false"/>
          <w:smallCaps w:val="false"/>
          <w:sz w:val="20"/>
        </w:rPr>
        <w:t>817-5790</w:t>
      </w:r>
    </w:p>
    <w:p>
      <w:pPr>
        <w:pStyle w:val="TextBody"/>
        <w:bidi w:val="0"/>
        <w:spacing w:before="0" w:after="0"/>
        <w:ind w:left="0" w:right="0" w:hanging="0"/>
        <w:jc w:val="center"/>
        <w:rPr>
          <w:caps w:val="false"/>
          <w:smallCaps w:val="false"/>
        </w:rPr>
      </w:pPr>
      <w:r>
        <w:rPr>
          <w:caps w:val="false"/>
          <w:smallCaps w:val="false"/>
        </w:rPr>
        <w:t> </w:t>
      </w:r>
    </w:p>
    <w:tbl>
      <w:tblPr>
        <w:tblW w:w="2750" w:type="dxa"/>
        <w:jc w:val="left"/>
        <w:tblInd w:w="0" w:type="dxa"/>
        <w:tblLayout w:type="fixed"/>
        <w:tblCellMar>
          <w:top w:w="0" w:type="dxa"/>
          <w:left w:w="0" w:type="dxa"/>
          <w:bottom w:w="0" w:type="dxa"/>
          <w:right w:w="0" w:type="dxa"/>
        </w:tblCellMar>
      </w:tblPr>
      <w:tblGrid>
        <w:gridCol w:w="2750"/>
      </w:tblGrid>
      <w:tr>
        <w:trPr/>
        <w:tc>
          <w:tcPr>
            <w:tcW w:w="275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5" w:name="xdx_904_edei--EntityAddressAddressLine1_"/>
            <w:bookmarkEnd w:id="15"/>
            <w:r>
              <w:rPr>
                <w:rFonts w:ascii="Times New Roman;Times;Serif" w:hAnsi="Times New Roman;Times;Serif"/>
                <w:b/>
                <w:i w:val="false"/>
                <w:caps w:val="false"/>
                <w:smallCaps w:val="false"/>
                <w:sz w:val="20"/>
              </w:rPr>
              <w:t>25 North 38th Street</w:t>
            </w:r>
            <w:r>
              <w:rPr>
                <w:rFonts w:ascii="Times New Roman;Times;Serif" w:hAnsi="Times New Roman;Times;Serif"/>
                <w:b w:val="false"/>
                <w:i w:val="false"/>
                <w:caps w:val="false"/>
                <w:smallCaps w:val="false"/>
                <w:sz w:val="20"/>
              </w:rPr>
              <w:t xml:space="preserve">, </w:t>
            </w:r>
            <w:bookmarkStart w:id="16" w:name="xdx_906_edei--EntityAddressAddressLine2_"/>
            <w:bookmarkEnd w:id="16"/>
            <w:r>
              <w:rPr>
                <w:rFonts w:ascii="Times New Roman;Times;Serif" w:hAnsi="Times New Roman;Times;Serif"/>
                <w:b/>
                <w:i w:val="false"/>
                <w:caps w:val="false"/>
                <w:smallCaps w:val="false"/>
                <w:sz w:val="20"/>
              </w:rPr>
              <w:t>11th Floor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7" w:name="xdx_909_edei--EntityAddressCityOrTown_c2"/>
            <w:bookmarkEnd w:id="17"/>
            <w:r>
              <w:rPr>
                <w:rFonts w:ascii="Times New Roman;Times;Serif" w:hAnsi="Times New Roman;Times;Serif"/>
                <w:b/>
                <w:i w:val="false"/>
                <w:caps w:val="false"/>
                <w:smallCaps w:val="false"/>
                <w:sz w:val="20"/>
              </w:rPr>
              <w:t xml:space="preserve">Philadelphia, </w:t>
            </w:r>
            <w:bookmarkStart w:id="18" w:name="xdx_908_edei--EntityAddressStateOrProvin"/>
            <w:bookmarkEnd w:id="18"/>
            <w:r>
              <w:rPr>
                <w:rFonts w:ascii="Times New Roman;Times;Serif" w:hAnsi="Times New Roman;Times;Serif"/>
                <w:b/>
                <w:i w:val="false"/>
                <w:caps w:val="false"/>
                <w:smallCaps w:val="false"/>
                <w:sz w:val="20"/>
              </w:rPr>
              <w:t>Pennsylvania</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8_edei--WrittenCommunications_c202"/>
            <w:bookmarkEnd w:id="19"/>
            <w:r>
              <w:rPr>
                <w:caps w:val="false"/>
                <w:smallCaps w:val="false"/>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20" w:name="xdx_90C_edei--SolicitingMaterial_c202608"/>
            <w:bookmarkEnd w:id="20"/>
            <w:r>
              <w:rPr>
                <w:caps w:val="false"/>
                <w:smallCaps w:val="false"/>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21" w:name="xdx_90F_edei--PreCommencementTenderOffer"/>
            <w:bookmarkEnd w:id="21"/>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22" w:name="xdx_90C_edei--PreCommencementIssuerTende"/>
            <w:bookmarkEnd w:id="22"/>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8"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3785" w:type="dxa"/>
            <w:tcBorders/>
            <w:tcMar>
              <w:bottom w:w="0" w:type="dxa"/>
            </w:tcMar>
            <w:vAlign w:val="center"/>
          </w:tcPr>
          <w:p>
            <w:pPr>
              <w:pStyle w:val="TableContents"/>
              <w:bidi w:val="0"/>
              <w:spacing w:before="0" w:after="283"/>
              <w:jc w:val="center"/>
              <w:rPr>
                <w:b/>
                <w:sz w:val="20"/>
              </w:rPr>
            </w:pPr>
            <w:bookmarkStart w:id="23" w:name="xdx_900_edei--Security12bTitle_c20260812"/>
            <w:bookmarkEnd w:id="23"/>
            <w:r>
              <w:rPr>
                <w:b/>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4" w:name="xdx_90F_edei--TradingSymbol_c20260812__2"/>
            <w:bookmarkEnd w:id="24"/>
            <w:r>
              <w:rPr>
                <w:b/>
                <w:sz w:val="20"/>
              </w:rPr>
              <w:t>IPSC</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b/>
                <w:sz w:val="20"/>
              </w:rPr>
            </w:pPr>
            <w:bookmarkStart w:id="25" w:name="xdx_90D_edei--SecurityExchangeName_c2026"/>
            <w:bookmarkEnd w:id="25"/>
            <w:r>
              <w:rPr>
                <w:b/>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5_edei--EntityEmergingGrowthCompan"/>
      <w:bookmarkEnd w:id="26"/>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D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830"/>
        <w:gridCol w:w="393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Century Therapeutics, Inc. (the “Company”) issued a press release announcing its financial results for the quarter ended June 30, 2026. A copy of the press release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1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91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2911d1_ex99-1.htm">
              <w:r>
                <w:rPr>
                  <w:rStyle w:val="InternetLink"/>
                  <w:rFonts w:ascii="Times New Roman;Times;Serif" w:hAnsi="Times New Roman;Times;Serif"/>
                  <w:sz w:val="20"/>
                </w:rPr>
                <w:t>Press Release of Century Therapeutics, Inc., dated August 12, 2026</w:t>
              </w:r>
            </w:hyperlink>
          </w:p>
        </w:tc>
      </w:tr>
      <w:tr>
        <w:trPr/>
        <w:tc>
          <w:tcPr>
            <w:tcW w:w="665" w:type="dxa"/>
            <w:tcBorders/>
            <w:tcMar>
              <w:bottom w:w="0" w:type="dxa"/>
            </w:tcMar>
            <w:vAlign w:val="center"/>
          </w:tcPr>
          <w:p>
            <w:pPr>
              <w:pStyle w:val="TableContents"/>
              <w:bidi w:val="0"/>
              <w:spacing w:before="0" w:after="283"/>
              <w:jc w:val="left"/>
              <w:rPr/>
            </w:pPr>
            <w:hyperlink w:anchor="tm262291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2911d1_ex99-2.htm">
              <w:r>
                <w:rPr>
                  <w:rStyle w:val="InternetLink"/>
                  <w:rFonts w:ascii="Times New Roman;Times;Serif" w:hAnsi="Times New Roman;Times;Serif"/>
                  <w:sz w:val="20"/>
                </w:rPr>
                <w:t>Investor Presentation of Century Therapeutics, Inc., dated August 12, 2026</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545"/>
        <w:gridCol w:w="6020"/>
      </w:tblGrid>
      <w:tr>
        <w:trPr/>
        <w:tc>
          <w:tcPr>
            <w:tcW w:w="75" w:type="dxa"/>
            <w:tcBorders/>
            <w:vAlign w:val="center"/>
          </w:tcPr>
          <w:p>
            <w:pPr>
              <w:pStyle w:val="TableContents"/>
              <w:bidi w:val="0"/>
              <w:spacing w:before="0" w:after="283"/>
              <w:jc w:val="left"/>
              <w:rPr/>
            </w:pPr>
            <w:r>
              <w:rPr/>
              <w:t> </w:t>
            </w:r>
          </w:p>
        </w:tc>
        <w:tc>
          <w:tcPr>
            <w:tcW w:w="65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CENTURY THERAPEUTICS,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20" w:type="dxa"/>
            <w:tcBorders>
              <w:bottom w:val="single" w:sz="8" w:space="0" w:color="000000"/>
            </w:tcBorders>
            <w:tcMar>
              <w:bottom w:w="28" w:type="dxa"/>
            </w:tcMar>
            <w:vAlign w:val="center"/>
          </w:tcPr>
          <w:p>
            <w:pPr>
              <w:pStyle w:val="TableContents"/>
              <w:bidi w:val="0"/>
              <w:spacing w:before="0" w:after="283"/>
              <w:jc w:val="left"/>
              <w:rPr/>
            </w:pPr>
            <w:r>
              <w:rPr/>
              <w:t>/s/ Brent Pfeiffenberger, Pharm.D., M.B.A.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20" w:type="dxa"/>
            <w:tcBorders/>
            <w:vAlign w:val="center"/>
          </w:tcPr>
          <w:p>
            <w:pPr>
              <w:pStyle w:val="TableContents"/>
              <w:bidi w:val="0"/>
              <w:spacing w:before="0" w:after="283"/>
              <w:jc w:val="left"/>
              <w:rPr/>
            </w:pPr>
            <w:r>
              <w:rPr/>
              <w:t>Brent Pfeiffenberger, Pharm.D., M.B.A.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22911d1_ex99-1.htm"/>
      <w:bookmarkStart w:id="29" w:name="kstm2622911d1_ex991"/>
      <w:bookmarkEnd w:id="28"/>
      <w:bookmarkEnd w:id="29"/>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Century Therapeutics Reports Second Quarter 2026 Financial Results and Business Updates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Completed pre-IND meeting with the FDA for CNTY-813, an iPSC-derived islet replacement therapy with functional cure potential in type 1 diabetes (T1D); IND submission on track for 4Q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CNTY-813 preclinical data from oral presentation at ADA 2026 showed durable glucose control in vivo, immune evasion, and manufacturing success at clinical scale, advancing its potential as a functional cure for T1D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Upcoming oral presentations at European Association for the Study of Diabetes (EASD 2026) and Breakthrough T1D</w:t>
            </w:r>
            <w:r>
              <w:rPr>
                <w:position w:val="8"/>
                <w:sz w:val="19"/>
              </w:rPr>
              <w:t>®</w:t>
            </w:r>
            <w:r>
              <w:rPr/>
              <w:t xml:space="preserve"> Clinical &amp; Research Congress 2026 highlighting CNTY-813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Company remains on track to advance CNTY</w:t>
            </w:r>
            <w:r>
              <w:rPr>
                <w:rFonts w:ascii="Times New Roman;Times;Serif" w:hAnsi="Times New Roman;Times;Serif"/>
              </w:rPr>
              <w:t>-</w:t>
            </w:r>
            <w:r>
              <w:rPr/>
              <w:t>308, a CD19</w:t>
            </w:r>
            <w:r>
              <w:rPr>
                <w:rFonts w:ascii="Times New Roman;Times;Serif" w:hAnsi="Times New Roman;Times;Serif"/>
              </w:rPr>
              <w:t>-</w:t>
            </w:r>
            <w:r>
              <w:rPr/>
              <w:t>targeted CAR</w:t>
            </w:r>
            <w:r>
              <w:rPr>
                <w:rFonts w:ascii="Times New Roman;Times;Serif" w:hAnsi="Times New Roman;Times;Serif"/>
              </w:rPr>
              <w:t>-</w:t>
            </w:r>
            <w:r>
              <w:rPr/>
              <w:t>iT cell therapy with Allo-Evasion</w:t>
            </w:r>
            <w:r>
              <w:rPr>
                <w:position w:val="8"/>
                <w:sz w:val="19"/>
              </w:rPr>
              <w:t>TM</w:t>
            </w:r>
            <w:r>
              <w:rPr/>
              <w:t xml:space="preserve"> 5.0 into the clinic this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Cash runway into 1Q 2029 with cash, cash equivalents, and investments of $197.2 million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PHILADELPHIA, August 12, 2026 </w:t>
      </w:r>
      <w:r>
        <w:rPr>
          <w:rFonts w:ascii="Times New Roman;Times;Serif" w:hAnsi="Times New Roman;Times;Serif"/>
          <w:b w:val="false"/>
          <w:i w:val="false"/>
          <w:caps w:val="false"/>
          <w:smallCaps w:val="false"/>
          <w:sz w:val="20"/>
        </w:rPr>
        <w:t>–– Century Therapeutics, Inc. (‘Century’, NASDAQ: IPSC), a biotechnology company developing induced pluripotent stem cell (iPSC)-derived cell therapies for autoimmune diseases, including T1D, and cancer, today reported financial results for the second quarter ended June 30, 2026, and recent business highlights.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executing with speed against key development milestones, reinforcing our confidence in delivering on our ambition to transform diseases like T1D by creating functional cures at scale," said Brent Pfeiffenberger, Pharm.D., Chief Executive Officer of Century Therapeutics. "With CNTY-813, our preclinical data at ADA 2026 continue to support its potential as a functional T1D cure, and we have established our Phase 1 manufacturing process, demonstrating consistent product quality across independent batches. Our recent pre-IND meeting with the FDA builds on that progress yielding alignment with the FDA on our nonclinical data package, manufacturing strategy, and proposed Phase 1/2 trial design, keeping CNTY-813's IND submission on track for the fourth quarter of 2026. In addition, CNTY-308 remains on track to enter the clinic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and Recent Highlights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Pre-IND meeting with the FDA supports regulatory and initial clinical path for CNTY-813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Following a recent pre-IND meeting with the FDA, Century remains on track to submit an IND for CNTY-813 in the fourth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Century and the FDA reached general alignment on the nonclinical data package, the proposed Phase 1 manufacturing process and the Phase 1/2 clinical trial design which includes alignment on:</w:t>
            </w:r>
          </w:p>
        </w:tc>
      </w:tr>
    </w:tbl>
    <w:p>
      <w:pPr>
        <w:pStyle w:val="TextBody"/>
        <w:bidi w:val="0"/>
        <w:spacing w:before="0" w:after="0"/>
        <w:ind w:left="0" w:right="0" w:hanging="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4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8450" w:type="dxa"/>
            <w:tcBorders/>
            <w:vAlign w:val="center"/>
          </w:tcPr>
          <w:p>
            <w:pPr>
              <w:pStyle w:val="TableContents"/>
              <w:bidi w:val="0"/>
              <w:spacing w:before="0" w:after="283"/>
              <w:jc w:val="left"/>
              <w:rPr/>
            </w:pPr>
            <w:r>
              <w:rPr/>
              <w:t>GLP toxicology study, which is ongoing and on track to support the planned submission.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pPr>
            <w:r>
              <w:rPr/>
              <w:t>Phase 1 manufacturing process and testing plan that includes cell bank, intermediate, and final drug product release tests.</w:t>
            </w:r>
          </w:p>
        </w:tc>
      </w:tr>
    </w:tbl>
    <w:p>
      <w:pPr>
        <w:pStyle w:val="TextBody"/>
        <w:bidi w:val="0"/>
        <w:spacing w:before="0" w:after="0"/>
        <w:ind w:left="0" w:right="0" w:hanging="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4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7490" w:type="dxa"/>
            <w:tcBorders/>
            <w:vAlign w:val="center"/>
          </w:tcPr>
          <w:p>
            <w:pPr>
              <w:pStyle w:val="TableContents"/>
              <w:bidi w:val="0"/>
              <w:spacing w:before="0" w:after="283"/>
              <w:jc w:val="left"/>
              <w:rPr/>
            </w:pPr>
            <w:r>
              <w:rPr/>
              <w:t>Proposed Phase 1/2 clinical trial including dosing and patient eligibility criteria.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New preclinical data further support CNTY-813 as a potential functional cure for T1D</w:t>
            </w:r>
            <w:r>
              <w:rPr>
                <w:rFonts w:ascii="Times New Roman;Times;Serif" w:hAnsi="Times New Roman;Times;Serif"/>
              </w:rPr>
              <w:t xml:space="preserve">; </w:t>
            </w:r>
            <w:r>
              <w:rPr>
                <w:b/>
              </w:rPr>
              <w:t>data were presented at the 2026 American Diabetes Association (ADA) Scientific Sessions in June (link to press release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demonstrated key advancements for CNTY-813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pPr>
            <w:r>
              <w:rPr/>
              <w:t>Durable in vivo glucose control maintained for more than eight months and immune evasion under allogeneic immune pressure without immunosuppression.</w:t>
            </w:r>
          </w:p>
        </w:tc>
      </w:tr>
    </w:tbl>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4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8135" w:type="dxa"/>
            <w:tcBorders/>
            <w:vAlign w:val="center"/>
          </w:tcPr>
          <w:p>
            <w:pPr>
              <w:pStyle w:val="TableContents"/>
              <w:bidi w:val="0"/>
              <w:spacing w:before="0" w:after="283"/>
              <w:jc w:val="left"/>
              <w:rPr/>
            </w:pPr>
            <w:r>
              <w:rPr/>
              <w:t>Consistent and scalable product quality and performance at Phase 1 clinical trial scale.</w:t>
            </w:r>
          </w:p>
        </w:tc>
      </w:tr>
    </w:tbl>
    <w:p>
      <w:pPr>
        <w:pStyle w:val="TextBody"/>
        <w:bidi w:val="0"/>
        <w:spacing w:before="0" w:after="0"/>
        <w:ind w:left="0" w:right="0" w:hanging="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12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40" w:type="dxa"/>
            <w:tcBorders/>
            <w:vAlign w:val="center"/>
          </w:tcPr>
          <w:p>
            <w:pPr>
              <w:pStyle w:val="TableContents"/>
              <w:bidi w:val="0"/>
              <w:spacing w:before="0" w:after="283"/>
              <w:jc w:val="left"/>
              <w:rPr/>
            </w:pPr>
            <w:r>
              <w:rPr/>
              <w:t>IND submission remains on track for 4Q 2026, with initial clinical data expected in 2H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CNTY-813 Phase 1 manufacturing process established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Century has established its Phase 1 clinical manufacturing bioreactor process for CNTY-813, demonstrating consistent process performance and product quality, endocrine purity, and optimal islet cell content across independent batches run at the same scale intended for the Phase 1 clinical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CNTY-813 preclinical data selected for oral presentations at congresses this fall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62</w:t>
            </w:r>
            <w:r>
              <w:rPr>
                <w:position w:val="8"/>
                <w:sz w:val="19"/>
              </w:rPr>
              <w:t>nd</w:t>
            </w:r>
            <w:r>
              <w:rPr/>
              <w:t xml:space="preserve"> Annual Meeting of the European Association for the Study of Diabetes (EASD 2026; Milan, Italy; Presentation #225, Paris Hall, October 2</w:t>
            </w:r>
            <w:r>
              <w:rPr>
                <w:position w:val="8"/>
                <w:sz w:val="19"/>
              </w:rPr>
              <w:t>nd</w:t>
            </w:r>
            <w:r>
              <w:rPr/>
              <w:t>, 2026, 10-11 AM CEST)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Breakthrough T1D</w:t>
            </w:r>
            <w:r>
              <w:rPr>
                <w:position w:val="8"/>
                <w:sz w:val="19"/>
              </w:rPr>
              <w:t>®</w:t>
            </w:r>
            <w:r>
              <w:rPr/>
              <w:t xml:space="preserve"> Clinical &amp; Research Congress 2026 (CRC 2026; Philadelphia, Pennsylvania; Presentation #341, Hall 1, October 9</w:t>
            </w:r>
            <w:r>
              <w:rPr>
                <w:position w:val="8"/>
                <w:sz w:val="19"/>
              </w:rPr>
              <w:t>th</w:t>
            </w:r>
            <w:r>
              <w:rPr/>
              <w:t>, 2026, 3:50- 4:50 PM 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Both presentations will highlight CNTY-813, Century's iPSC-derived islet replacement therapy program engineered with Allo-Evasion™ 5.0 for patients with T1D.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CNTY-308 clinical trial planned to initiate in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Century remains on track, after aligning on nonclinical, manufacturing and Phase 1 clinical trial parameters with health authorities, to complete IND</w:t>
            </w:r>
            <w:r>
              <w:rPr>
                <w:rFonts w:ascii="Times New Roman;Times;Serif" w:hAnsi="Times New Roman;Times;Serif"/>
              </w:rPr>
              <w:t>-</w:t>
            </w:r>
            <w:r>
              <w:rPr/>
              <w:t>enabling activities for CNTY</w:t>
            </w:r>
            <w:r>
              <w:rPr>
                <w:rFonts w:ascii="Times New Roman;Times;Serif" w:hAnsi="Times New Roman;Times;Serif"/>
              </w:rPr>
              <w:t>-</w:t>
            </w:r>
            <w:r>
              <w:rPr/>
              <w:t>308, a CD19</w:t>
            </w:r>
            <w:r>
              <w:rPr>
                <w:rFonts w:ascii="Times New Roman;Times;Serif" w:hAnsi="Times New Roman;Times;Serif"/>
              </w:rPr>
              <w:t>-</w:t>
            </w:r>
            <w:r>
              <w:rPr/>
              <w:t>targeted CD4⁺/CD8⁺ αβ CAR</w:t>
            </w:r>
            <w:r>
              <w:rPr>
                <w:rFonts w:ascii="Times New Roman;Times;Serif" w:hAnsi="Times New Roman;Times;Serif"/>
              </w:rPr>
              <w:t>-</w:t>
            </w:r>
            <w:r>
              <w:rPr/>
              <w:t>iT cell therapy engineered with Allo</w:t>
            </w:r>
            <w:r>
              <w:rPr>
                <w:rFonts w:ascii="Times New Roman;Times;Serif" w:hAnsi="Times New Roman;Times;Serif"/>
              </w:rPr>
              <w:t>-</w:t>
            </w:r>
            <w:r>
              <w:rPr/>
              <w:t>Evasion™ 5.0 for B</w:t>
            </w:r>
            <w:r>
              <w:rPr>
                <w:rFonts w:ascii="Times New Roman;Times;Serif" w:hAnsi="Times New Roman;Times;Serif"/>
                <w:sz w:val="20"/>
              </w:rPr>
              <w:t>-</w:t>
            </w:r>
            <w:r>
              <w:rPr/>
              <w:t>cell</w:t>
            </w:r>
            <w:r>
              <w:rPr>
                <w:rFonts w:ascii="Times New Roman;Times;Serif" w:hAnsi="Times New Roman;Times;Serif"/>
              </w:rPr>
              <w:t>-</w:t>
            </w:r>
            <w:r>
              <w:rPr/>
              <w:t>mediated diseases. CNTY-308 is anticipated to enter the clinic in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Preclinical data showed functional comparability to primary CAR</w:t>
            </w:r>
            <w:r>
              <w:rPr>
                <w:rFonts w:ascii="Times New Roman;Times;Serif" w:hAnsi="Times New Roman;Times;Serif"/>
              </w:rPr>
              <w:t>-</w:t>
            </w:r>
            <w:r>
              <w:rPr/>
              <w:t>T cells, including target</w:t>
            </w:r>
            <w:r>
              <w:rPr>
                <w:rFonts w:ascii="Times New Roman;Times;Serif" w:hAnsi="Times New Roman;Times;Serif"/>
              </w:rPr>
              <w:t>-</w:t>
            </w:r>
            <w:r>
              <w:rPr/>
              <w:t>driven proliferation, cytokine secretion, and durable persistence. Collectively, these results and the expanding clinical validation of CAR-T therapy support Century’s confidence that CNTY</w:t>
            </w:r>
            <w:r>
              <w:rPr>
                <w:rFonts w:ascii="Times New Roman;Times;Serif" w:hAnsi="Times New Roman;Times;Serif"/>
              </w:rPr>
              <w:t>-</w:t>
            </w:r>
            <w:r>
              <w:rPr/>
              <w:t>308 could deliver autologous</w:t>
            </w:r>
            <w:r>
              <w:rPr>
                <w:rFonts w:ascii="Times New Roman;Times;Serif" w:hAnsi="Times New Roman;Times;Serif"/>
              </w:rPr>
              <w:t>-</w:t>
            </w:r>
            <w:r>
              <w:rPr/>
              <w:t>like benefits in an allogeneic, patient</w:t>
            </w:r>
            <w:r>
              <w:rPr>
                <w:rFonts w:ascii="Times New Roman;Times;Serif" w:hAnsi="Times New Roman;Times;Serif"/>
              </w:rPr>
              <w:t>-</w:t>
            </w:r>
            <w:r>
              <w:rPr/>
              <w:t>centric format designed to broaden access.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b/>
              </w:rPr>
              <w:t xml:space="preserve">Cash Position: </w:t>
            </w:r>
            <w:r>
              <w:rPr/>
              <w:t>Cash, cash equivalents, and investments were $197.2 million as of June 30, 2026, as compared to $117.1 million as of December 31, 2025. The company estimates its cash, cash equivalents, and investments as of June 30, 2026 will support operations into 1Q 2029.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b/>
              </w:rPr>
              <w:t xml:space="preserve">Research and Development (R&amp;D) Expenses: </w:t>
            </w:r>
            <w:r>
              <w:rPr/>
              <w:t>R&amp;D expenses were $19.6 million for the quarter ended June 30, 2026, compared to $26.9 million for the same period in 2025. The decrease was primarily the result of a reduction in personnel and a reduction in facility costs as a result of our previously announced portfolio prioritization.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b/>
              </w:rPr>
              <w:t xml:space="preserve">General and Administrative (G&amp;A) Expenses: </w:t>
            </w:r>
            <w:r>
              <w:rPr/>
              <w:t>G&amp;A expenses were $5.8 million for the quarter ended June 30, 2026, compared to $7.8 million for the same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b/>
              </w:rPr>
              <w:t xml:space="preserve">Net Income (Loss): </w:t>
            </w:r>
            <w:r>
              <w:rPr/>
              <w:t>Net (loss) was $34.6 million for the quarter ended June 30, 2026, compared to net (loss) of $32.5 million for the same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Century Therapeutics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 (NASDAQ: IPSC) is a biotechnology company advancing a pipeline of induced pluripotent stem cell (iPSC)-derived cell therapies with the potential to meaningfully address autoimmune diseases, including type 1 diabetes, and cancer. Century’s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www.centurytx.com and connect with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our timing and expectations regarding our preclinical and clinical development programs, including their planned development, therapeutic potential and market opportunity, ongoing and planned regulatory submissions and interactions, the achievement of developmental milestones, corporate strategies, anticipated data readouts, and our financial resources and expected cash runway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Century Therapeutics</w:t>
      </w:r>
      <w:r>
        <w:rPr>
          <w:rFonts w:ascii="Times New Roman;Times;Serif" w:hAnsi="Times New Roman;Times;Serif"/>
          <w:b w:val="false"/>
          <w:i w:val="false"/>
          <w:caps w:val="false"/>
          <w:smallCaps w:val="false"/>
          <w:sz w:val="2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Carr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investor.relations@centurytx.com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Corey Davis, Ph.D.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LLC 212-915-2577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cdavis@lifesciadvisors.com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Century Therapeutics,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w:t>
      </w:r>
    </w:p>
    <w:p>
      <w:pPr>
        <w:pStyle w:val="TextBody"/>
        <w:bidi w:val="0"/>
        <w:spacing w:before="0" w:after="0"/>
        <w:ind w:left="0" w:right="0" w:hanging="0"/>
        <w:jc w:val="left"/>
        <w:rPr>
          <w:caps w:val="false"/>
          <w:smallCaps w:val="false"/>
        </w:rPr>
      </w:pPr>
      <w:r>
        <w:rPr>
          <w:caps w:val="false"/>
          <w:smallCaps w:val="false"/>
        </w:rPr>
        <w:t> </w:t>
      </w:r>
    </w:p>
    <w:tbl>
      <w:tblPr>
        <w:tblW w:w="6788" w:type="dxa"/>
        <w:jc w:val="left"/>
        <w:tblInd w:w="0" w:type="dxa"/>
        <w:tblLayout w:type="fixed"/>
        <w:tblCellMar>
          <w:top w:w="0" w:type="dxa"/>
          <w:left w:w="0" w:type="dxa"/>
          <w:bottom w:w="0" w:type="dxa"/>
          <w:right w:w="0" w:type="dxa"/>
        </w:tblCellMar>
      </w:tblPr>
      <w:tblGrid>
        <w:gridCol w:w="3740"/>
        <w:gridCol w:w="60"/>
        <w:gridCol w:w="149"/>
        <w:gridCol w:w="1010"/>
        <w:gridCol w:w="80"/>
        <w:gridCol w:w="60"/>
        <w:gridCol w:w="225"/>
        <w:gridCol w:w="1369"/>
        <w:gridCol w:w="9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June 30,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223,704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liability, short-term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long 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54,661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64,768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950,814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(848,112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(791,917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232,345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158,936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223,704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Century Therapeutics,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Inc.</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1"/>
        <w:gridCol w:w="60"/>
        <w:gridCol w:w="167"/>
        <w:gridCol w:w="1415"/>
        <w:gridCol w:w="80"/>
        <w:gridCol w:w="60"/>
        <w:gridCol w:w="180"/>
        <w:gridCol w:w="1373"/>
        <w:gridCol w:w="80"/>
        <w:gridCol w:w="60"/>
        <w:gridCol w:w="152"/>
        <w:gridCol w:w="1287"/>
        <w:gridCol w:w="80"/>
        <w:gridCol w:w="60"/>
        <w:gridCol w:w="163"/>
        <w:gridCol w:w="1247"/>
        <w:gridCol w:w="100"/>
      </w:tblGrid>
      <w:tr>
        <w:trPr/>
        <w:tc>
          <w:tcPr>
            <w:tcW w:w="36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82" w:type="dxa"/>
            <w:gridSpan w:val="2"/>
            <w:tcBorders/>
            <w:vAlign w:val="center"/>
          </w:tcPr>
          <w:p>
            <w:pPr>
              <w:pStyle w:val="TableContents"/>
              <w:bidi w:val="0"/>
              <w:spacing w:before="0" w:after="283"/>
              <w:jc w:val="center"/>
              <w:rPr>
                <w:sz w:val="20"/>
              </w:rPr>
            </w:pPr>
            <w:r>
              <w:rPr>
                <w:sz w:val="20"/>
              </w:rPr>
              <w:t>Three Months Ended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3" w:type="dxa"/>
            <w:gridSpan w:val="2"/>
            <w:tcBorders/>
            <w:vAlign w:val="center"/>
          </w:tcPr>
          <w:p>
            <w:pPr>
              <w:pStyle w:val="TableContents"/>
              <w:bidi w:val="0"/>
              <w:spacing w:before="0" w:after="283"/>
              <w:jc w:val="center"/>
              <w:rPr>
                <w:sz w:val="20"/>
              </w:rPr>
            </w:pPr>
            <w:r>
              <w:rPr>
                <w:sz w:val="20"/>
              </w:rPr>
              <w:t>Three Months Ended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9" w:type="dxa"/>
            <w:gridSpan w:val="2"/>
            <w:tcBorders/>
            <w:vAlign w:val="center"/>
          </w:tcPr>
          <w:p>
            <w:pPr>
              <w:pStyle w:val="TableContents"/>
              <w:bidi w:val="0"/>
              <w:spacing w:before="0" w:after="283"/>
              <w:jc w:val="center"/>
              <w:rPr>
                <w:sz w:val="20"/>
              </w:rPr>
            </w:pPr>
            <w:r>
              <w:rPr>
                <w:sz w:val="20"/>
              </w:rPr>
              <w:t>Six Months Ended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0" w:type="dxa"/>
            <w:gridSpan w:val="2"/>
            <w:tcBorders/>
            <w:vAlign w:val="center"/>
          </w:tcPr>
          <w:p>
            <w:pPr>
              <w:pStyle w:val="TableContents"/>
              <w:bidi w:val="0"/>
              <w:spacing w:before="0" w:after="283"/>
              <w:jc w:val="center"/>
              <w:rPr>
                <w:sz w:val="20"/>
              </w:rPr>
            </w:pPr>
            <w:r>
              <w:rPr>
                <w:sz w:val="20"/>
              </w:rPr>
              <w:t>Six Months Ended</w:t>
            </w:r>
          </w:p>
        </w:tc>
        <w:tc>
          <w:tcPr>
            <w:tcW w:w="100" w:type="dxa"/>
            <w:tcBorders/>
            <w:vAlign w:val="center"/>
          </w:tcPr>
          <w:p>
            <w:pPr>
              <w:pStyle w:val="TableContents"/>
              <w:bidi w:val="0"/>
              <w:spacing w:before="0" w:after="283"/>
              <w:jc w:val="center"/>
              <w:rPr/>
            </w:pPr>
            <w:r>
              <w:rPr/>
              <w:t> </w:t>
            </w:r>
          </w:p>
        </w:tc>
      </w:tr>
      <w:tr>
        <w:trPr/>
        <w:tc>
          <w:tcPr>
            <w:tcW w:w="36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82"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June 30,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3"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June 30, 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June 30,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June 30, 2025</w:t>
            </w:r>
          </w:p>
        </w:tc>
        <w:tc>
          <w:tcPr>
            <w:tcW w:w="100" w:type="dxa"/>
            <w:tcBorders/>
            <w:vAlign w:val="center"/>
          </w:tcPr>
          <w:p>
            <w:pPr>
              <w:pStyle w:val="TableContents"/>
              <w:bidi w:val="0"/>
              <w:spacing w:before="0" w:after="283"/>
              <w:jc w:val="center"/>
              <w:rPr/>
            </w:pPr>
            <w:r>
              <w:rPr/>
              <w:t> </w:t>
            </w:r>
          </w:p>
        </w:tc>
      </w:tr>
      <w:tr>
        <w:trPr/>
        <w:tc>
          <w:tcPr>
            <w:tcW w:w="3641" w:type="dxa"/>
            <w:tcBorders/>
            <w:shd w:fill="CCEEFF" w:val="clear"/>
            <w:vAlign w:val="center"/>
          </w:tcPr>
          <w:p>
            <w:pPr>
              <w:pStyle w:val="TableContents"/>
              <w:bidi w:val="0"/>
              <w:spacing w:before="0" w:after="283"/>
              <w:jc w:val="left"/>
              <w:rPr>
                <w:b/>
                <w:sz w:val="20"/>
              </w:rPr>
            </w:pPr>
            <w:r>
              <w:rPr>
                <w:b/>
                <w:sz w:val="20"/>
              </w:rPr>
              <w:t>Collaboration 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14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20"/>
              </w:rPr>
            </w:pPr>
            <w:r>
              <w:rPr>
                <w:sz w:val="20"/>
              </w:rPr>
              <w:t>$</w:t>
            </w:r>
          </w:p>
        </w:tc>
        <w:tc>
          <w:tcPr>
            <w:tcW w:w="137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20"/>
              </w:rPr>
            </w:pPr>
            <w:r>
              <w:rPr>
                <w:sz w:val="20"/>
              </w:rPr>
              <w:t>$</w:t>
            </w:r>
          </w:p>
        </w:tc>
        <w:tc>
          <w:tcPr>
            <w:tcW w:w="12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1247" w:type="dxa"/>
            <w:tcBorders/>
            <w:shd w:fill="CCEEFF" w:val="clear"/>
            <w:vAlign w:val="center"/>
          </w:tcPr>
          <w:p>
            <w:pPr>
              <w:pStyle w:val="TableContents"/>
              <w:bidi w:val="0"/>
              <w:spacing w:before="0" w:after="283"/>
              <w:jc w:val="right"/>
              <w:rPr>
                <w:sz w:val="20"/>
              </w:rPr>
            </w:pPr>
            <w:r>
              <w:rPr>
                <w:sz w:val="20"/>
              </w:rPr>
              <w:t>109,164</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sz w:val="20"/>
              </w:rPr>
            </w:pPr>
            <w:r>
              <w:rPr>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sz w:val="20"/>
              </w:rPr>
            </w:pPr>
            <w:r>
              <w:rPr>
                <w:sz w:val="20"/>
              </w:rPr>
              <w:t>19,595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sz w:val="20"/>
              </w:rPr>
            </w:pPr>
            <w:r>
              <w:rPr>
                <w:sz w:val="20"/>
              </w:rPr>
              <w:t>26,859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sz w:val="20"/>
              </w:rPr>
            </w:pPr>
            <w:r>
              <w:rPr>
                <w:sz w:val="20"/>
              </w:rPr>
              <w:t>36,700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53,439</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sz w:val="20"/>
              </w:rPr>
            </w:pPr>
            <w:r>
              <w:rPr>
                <w:sz w:val="20"/>
              </w:rPr>
              <w:t>5,787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sz w:val="20"/>
              </w:rPr>
            </w:pPr>
            <w:r>
              <w:rPr>
                <w:sz w:val="20"/>
              </w:rPr>
              <w:t>7,805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sz w:val="20"/>
              </w:rPr>
            </w:pPr>
            <w:r>
              <w:rPr>
                <w:sz w:val="20"/>
              </w:rPr>
              <w:t>12,366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16,212</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sz w:val="20"/>
              </w:rPr>
            </w:pPr>
            <w:r>
              <w:rPr>
                <w:sz w:val="20"/>
              </w:rPr>
              <w:t>Loss on lease component termination</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60,211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69,651</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b/>
                <w:sz w:val="20"/>
              </w:rPr>
            </w:pPr>
            <w:r>
              <w:rPr>
                <w:b/>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sz w:val="20"/>
              </w:rPr>
            </w:pPr>
            <w:r>
              <w:rPr>
                <w:sz w:val="20"/>
              </w:rPr>
              <w:t>(36,527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sz w:val="20"/>
              </w:rPr>
            </w:pPr>
            <w:r>
              <w:rPr>
                <w:sz w:val="20"/>
              </w:rPr>
              <w:t>(34,664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sz w:val="20"/>
              </w:rPr>
            </w:pPr>
            <w:r>
              <w:rPr>
                <w:sz w:val="20"/>
              </w:rPr>
              <w:t>(60,221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39,513</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sz w:val="20"/>
              </w:rPr>
            </w:pPr>
            <w:r>
              <w:rPr>
                <w:sz w:val="20"/>
              </w:rPr>
              <w:t>Interest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sz w:val="20"/>
              </w:rPr>
            </w:pPr>
            <w:r>
              <w:rPr>
                <w:sz w:val="20"/>
              </w:rPr>
              <w:t>1,982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sz w:val="20"/>
              </w:rPr>
            </w:pPr>
            <w:r>
              <w:rPr>
                <w:sz w:val="20"/>
              </w:rPr>
              <w:t>2,010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sz w:val="20"/>
              </w:rPr>
            </w:pPr>
            <w:r>
              <w:rPr>
                <w:sz w:val="20"/>
              </w:rPr>
              <w:t>4,001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4,431</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sz w:val="20"/>
              </w:rPr>
            </w:pPr>
            <w:r>
              <w:rPr>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b/>
                <w:sz w:val="20"/>
              </w:rPr>
            </w:pPr>
            <w:r>
              <w:rPr>
                <w:b/>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sz w:val="20"/>
              </w:rPr>
            </w:pPr>
            <w:r>
              <w:rPr>
                <w:sz w:val="20"/>
              </w:rPr>
              <w:t>1,977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sz w:val="20"/>
              </w:rPr>
            </w:pPr>
            <w:r>
              <w:rPr>
                <w:sz w:val="20"/>
              </w:rPr>
              <w:t>2,123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sz w:val="20"/>
              </w:rPr>
            </w:pPr>
            <w:r>
              <w:rPr>
                <w:sz w:val="20"/>
              </w:rPr>
              <w:t>4,016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4,506</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b/>
                <w:sz w:val="20"/>
              </w:rPr>
            </w:pPr>
            <w:r>
              <w:rPr>
                <w:b/>
                <w:sz w:val="20"/>
              </w:rPr>
              <w:t>Net income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(34,550</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(32,541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28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(56,195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44,019</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sz w:val="20"/>
              </w:rPr>
            </w:pPr>
            <w:r>
              <w:rPr>
                <w:sz w:val="20"/>
              </w:rPr>
              <w:t>Unrealized loss on investments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(724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(241</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641" w:type="dxa"/>
            <w:tcBorders/>
            <w:shd w:fill="CCEEFF" w:val="clear"/>
            <w:vAlign w:val="center"/>
          </w:tcPr>
          <w:p>
            <w:pPr>
              <w:pStyle w:val="TableContents"/>
              <w:bidi w:val="0"/>
              <w:spacing w:before="0" w:after="283"/>
              <w:jc w:val="left"/>
              <w:rPr>
                <w:sz w:val="20"/>
              </w:rPr>
            </w:pPr>
            <w:r>
              <w:rPr>
                <w:sz w:val="20"/>
              </w:rPr>
              <w:t>Comprehensive income (loss)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(34,659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(32,763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(56,919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43,778</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sz w:val="20"/>
              </w:rPr>
            </w:pPr>
            <w:r>
              <w:rPr>
                <w:sz w:val="20"/>
              </w:rPr>
              <w:t>Net income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sz w:val="20"/>
              </w:rPr>
            </w:pPr>
            <w:r>
              <w:rPr>
                <w:sz w:val="20"/>
              </w:rPr>
              <w:t>(0.17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sz w:val="20"/>
              </w:rPr>
            </w:pPr>
            <w:r>
              <w:rPr>
                <w:sz w:val="20"/>
              </w:rPr>
              <w:t>(0.38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sz w:val="20"/>
              </w:rPr>
            </w:pPr>
            <w:r>
              <w:rPr>
                <w:sz w:val="20"/>
              </w:rPr>
              <w:t>(0.28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0.51</w:t>
            </w:r>
          </w:p>
        </w:tc>
        <w:tc>
          <w:tcPr>
            <w:tcW w:w="100" w:type="dxa"/>
            <w:tcBorders/>
            <w:shd w:fill="CCEEFF"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sz w:val="20"/>
              </w:rPr>
            </w:pPr>
            <w:r>
              <w:rPr>
                <w:sz w:val="20"/>
              </w:rPr>
              <w:t>Weighted average common shares outstanding, basic</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sz w:val="20"/>
              </w:rPr>
            </w:pPr>
            <w:r>
              <w:rPr>
                <w:sz w:val="20"/>
              </w:rPr>
              <w:t>205,778,156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sz w:val="20"/>
              </w:rPr>
            </w:pPr>
            <w:r>
              <w:rPr>
                <w:sz w:val="20"/>
              </w:rPr>
              <w:t>86,238,084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sz w:val="20"/>
              </w:rPr>
            </w:pPr>
            <w:r>
              <w:rPr>
                <w:sz w:val="20"/>
              </w:rPr>
              <w:t>199,660,522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86,130,235</w:t>
            </w:r>
          </w:p>
        </w:tc>
        <w:tc>
          <w:tcPr>
            <w:tcW w:w="100" w:type="dxa"/>
            <w:tcBorders/>
            <w:shd w:fill="FFFFFF" w:val="clear"/>
            <w:vAlign w:val="center"/>
          </w:tcPr>
          <w:p>
            <w:pPr>
              <w:pStyle w:val="TableContents"/>
              <w:bidi w:val="0"/>
              <w:spacing w:before="0" w:after="283"/>
              <w:jc w:val="left"/>
              <w:rPr/>
            </w:pPr>
            <w:r>
              <w:rPr/>
              <w:t> </w:t>
            </w:r>
          </w:p>
        </w:tc>
      </w:tr>
      <w:tr>
        <w:trPr/>
        <w:tc>
          <w:tcPr>
            <w:tcW w:w="3641" w:type="dxa"/>
            <w:tcBorders/>
            <w:shd w:fill="CCEEFF" w:val="clear"/>
            <w:vAlign w:val="center"/>
          </w:tcPr>
          <w:p>
            <w:pPr>
              <w:pStyle w:val="TableContents"/>
              <w:bidi w:val="0"/>
              <w:spacing w:before="0" w:after="283"/>
              <w:jc w:val="left"/>
              <w:rPr>
                <w:sz w:val="20"/>
              </w:rPr>
            </w:pPr>
            <w:r>
              <w:rPr>
                <w:sz w:val="20"/>
              </w:rPr>
              <w:t>Weighted average common shares outstanding, diluted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sz w:val="20"/>
              </w:rPr>
            </w:pPr>
            <w:r>
              <w:rPr>
                <w:sz w:val="20"/>
              </w:rPr>
              <w:t>205,778,156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sz w:val="20"/>
              </w:rPr>
            </w:pPr>
            <w:r>
              <w:rPr>
                <w:sz w:val="20"/>
              </w:rPr>
              <w:t>86,238,084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sz w:val="20"/>
              </w:rPr>
            </w:pPr>
            <w:r>
              <w:rPr>
                <w:sz w:val="20"/>
              </w:rPr>
              <w:t>199,660,522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86,207,666</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right"/>
        <w:rPr>
          <w:caps w:val="false"/>
          <w:smallCaps w:val="false"/>
        </w:rPr>
      </w:pPr>
      <w:bookmarkStart w:id="30" w:name="tm2622911d1_ex99-2.htm"/>
      <w:bookmarkStart w:id="31" w:name="kstm2622911d1_ex992"/>
      <w:bookmarkEnd w:id="30"/>
      <w:bookmarkEnd w:id="31"/>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right"/>
        <w:rPr>
          <w:caps w:val="false"/>
          <w:smallCaps w:val="false"/>
        </w:rPr>
      </w:pPr>
      <w:r>
        <w:rPr>
          <w:caps w:val="false"/>
          <w:smallCaps w:val="false"/>
        </w:rPr>
        <w:t> </w:t>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Advancing Curative Medicines Through Cell Engineering August 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Forward-looking statements This presentation contains forward-looking statements within the meaning of, and made pursuant to the safe harbor provisions of, The Private Securities Litigation Reform Act of 1995. All statements contained in this presentation, other than statements of historical facts or statements that relate to present facts or current conditions, including but not limited to, statements our timing and expectations regarding our preclinical and clinical development programs, including their planned development, therapeutic potential and market opportunity, ongoing and planned regulatory submissions and interactions, the achievement of developmental milestones, corporate strategies, anticipated data readouts, and our financial resources and expected cash runway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presentation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Investigational New Drug (IND) or Clinical Trial Application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2026 3 Century Therapeutics: Advancing Curative Medicines Through Cell Engineering Powered by The Cell Foundry and Allo-EvasionTM 5.0 The Cell Foundry: Enables scalable generation of highly functional iPSC-derived therapies Allo-EvasionTM 5.0: Leadership in immune-evasive cell design Integrated Know-How: Deep functional expertise internally, integrated from discovery to manufacturing and development Foundational Platform Tech: Engine to create and scale cellular medicines Targeting Functional Cures: T1D and Autoimmune disease Well Funded: Multiple Anticipated Near-Term Milestones CNTY-813: iPSC-derived, immune-evasive islet replacement therapy for type 1 diabetes Islet replacement is clinically validated; CNTY-813 aims to deliver this without chronic immunosuppression, at scale Pipeline: Foundational technology powers: • CNTY-308, an iPSC-derived, immune-evasive T cell with potential across autoimmune disease • Next-gen discovery programs across multiple cell types and targets Recent Funding Oversubscribed $135M PIPE in early 2026 provides runway into Q1 2029 Key Anticipated Near-Term Milestones ❑ CNTY-813 oral presentation at EASD 2026 ❑ CNTY-813 IND submission expected 4Q 2026 ❑ CNTY-308 expected in clinic in 2026 ❑ Clinical data expected 2H 2027 for CNTY-813 Focused. Funded. Executing.</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infusions in outpatient setting Prioritized pipeline progressing toward the clinic Allo-Evasion engineered in all programs 1. Agreement in place for an ongoing investigator sponsored trial (IST) for CNTY-101 by Professors Georg Schett and Andreas Mackensen at Friedrich-Alexander University Erlangen-Nürnberg. Product Targets Indications Research IND-enabling Clinical Priority Program CNTY-813 Islet cells (Allo-Evasion 5.0) Islet Transplantation Type 1 diabetes Additional Programs1 CNTY-308 αβ iT (Allo-Evasion 5.0) CD19 B-cell-mediated autoimmune diseases Multiple (Allo-Evasion 5.0) Multiple Not disclosed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Century executive team Experienced leadership with a track record of driving innovation and success in cell therapy Chad Cowan, PhD Chief Scientific Officer Brent Pfeiffenberger, PharmD, MBA Chairman and Chief Executive Officer Greg Russotti, PhD Chief Technology and Manufacturing Officer Megan Bilson Chief People Officer Krista Kauppinen General Counsel &amp; Head of IP Douglas Carr, CPA Head of Finance Principal Financial Officer Elizabeth Devlin Head of Development</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New hope for T1D patients: CNTY-813 and the clinical case for islet replacement iPSC-derived islet replacement therapy engineered with Allo-Evasion 5.0</w:t>
            </w:r>
          </w:p>
        </w:tc>
      </w:tr>
    </w:tbl>
    <w:tbl>
      <w:tblPr>
        <w:tblW w:w="20278" w:type="dxa"/>
        <w:jc w:val="center"/>
        <w:tblInd w:w="0" w:type="dxa"/>
        <w:tblLayout w:type="fixed"/>
        <w:tblCellMar>
          <w:top w:w="0" w:type="dxa"/>
          <w:left w:w="0" w:type="dxa"/>
          <w:bottom w:w="0" w:type="dxa"/>
          <w:right w:w="0" w:type="dxa"/>
        </w:tblCellMar>
      </w:tblPr>
      <w:tblGrid>
        <w:gridCol w:w="23"/>
        <w:gridCol w:w="1999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Significant unmet need in type 1 diabetes (T1D) Despite insulin therapy, people living with T1D face a high risk of life-limiting complications ~9 million people worldwide living with T1D1 Lifetime economic burden of T1D (US) estimated at ~$813 Billion2 T1D is associated with serious comorbidities and complications3 1. Diabetes Res Clin Pract. 2025 Jul: 225:112277.doi: 10.1016/j.diabres.2025.112277. Epub 2025 May 22 2. https://www.liebertpub.com/doi/10.1089/dia.2019.0398 3. van den Boom L, Buchal G, Kaiser M, Kostev K. Multimorbidity among adult outpatients with type 1 diabetes in Germany. J Diabetes Sci Technol. 2022;16(1):152-160. doi:https://doi.org/10.1177/1932296820965261</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Replacing lost insulin-producing islets has T1D curative potential Supply and need for chronic immunosuppression limits broader use despite historical clinical validation In T1D, islet cells are destroyed Healthy islet cells produce insulin (green) In T1D, islet cells are destroyed by patient’s own immune system Insulin independence following pancreatic islet transplantation Islet transplantation provides a potentially curative therapy for T1D Insulin independence achieved for one year in ~70% of patients receiving allogenic cadaveric islet transplantation1 Source: Marfil-Garza et al. 2022; Pancreatic islet transplantation in type 1 diabetes: 20-year experience from a single-centre cohort in Canada 1. Approximately 1500 patients reported in https://www.citregistry.org/system/files/CITR%2012th%20Allograft%20Report_2025_Final.pdf</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Stem-cell (SC) derived islets can restore islet function and address scalability Chronic immunosuppression still limits broader use Zimislecel (VX-880) is a SC-derived insulin producing islet cell therapy1,2 10/12 patients receiving SC-derived islets were exogenous insulin free at 12 months after a single dose3 1. ADA IR Presentation_v FINAL – Vertex Corporate website 2. Based on publicly available information 3. https://www.nejm.org/doi/10.1056/NEJMoa2506549?url_ver=Z39.88-2003&amp;rfr_id=ori:rid:crossref.org&amp;rfr_dat=cr_pub%20%200pubmed VX-880 provides POC for SC-derived islet therapies but need for immunosuppression remains a challenge Total Daily Insulin Dose (units/day) Zimislecel is delivered by infusion into the hepatic portal vein Steroid free immunosuppression is used to protect the islet grafts 1 2</w:t>
            </w:r>
          </w:p>
        </w:tc>
      </w:tr>
    </w:tbl>
    <w:tbl>
      <w:tblPr>
        <w:tblW w:w="20458" w:type="dxa"/>
        <w:jc w:val="center"/>
        <w:tblInd w:w="0" w:type="dxa"/>
        <w:tblLayout w:type="fixed"/>
        <w:tblCellMar>
          <w:top w:w="0" w:type="dxa"/>
          <w:left w:w="0" w:type="dxa"/>
          <w:bottom w:w="0" w:type="dxa"/>
          <w:right w:w="0" w:type="dxa"/>
        </w:tblCellMar>
      </w:tblPr>
      <w:tblGrid>
        <w:gridCol w:w="23"/>
        <w:gridCol w:w="19995"/>
        <w:gridCol w:w="4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4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Century’s potential solution to T1D is leveraging iPSCs + ALLO-EVASIONTM 5.0 CNTY-813: scalable, iPSC-derived islet replacement therapy engineered to eliminate the need for immunosuppression 1. https://www.centurytx.com/wp-content/uploads/ASH_Welstead_Universal-Protection-of-Allogenic-T-Cells-Final.pdf 2. https://ashpublications.org/bloodadvances/article/doi/10.1182/bloodadvances.2024013436/518079/Universal-Protection-of-Allogeneic-T-Cell 3. Peraro et al, Mol. Therapy 2021, 29(12), 3398-3409; https://pmc.ncbi.nlm.nih.gov/articles/PMC8636170 ALLO-EVASION 5.0: Evading cell-mediated and humoral responses Protection from: T cells NK cells Humoral Immunity 1 2 Deletion of HLA-I Deletion of HLA-II 3 Insertion of CD300a TASR pan-NK inhibitory ligand1, 2 4 Insertion of cell-surface enzyme to degrade IgG antibodies3 IgG Cleavage Reduces Fc binding and humoral activity No HLA-I Prevents recognition by CD8+ cells T cells No HLA-II Prevents recognition by CD4+ cells T cells CD300a TASR Ligand Inhibits NK cell activation 1 NK Cell 2 3 Pan NK Inhibitory ligand 4 Fc CIITA KO (HLA-II) CD4+T Cell b2M KO (HLA-I) CD8+T Cell</w:t>
            </w:r>
          </w:p>
        </w:tc>
      </w:tr>
    </w:tbl>
    <w:tbl>
      <w:tblPr>
        <w:tblW w:w="20458" w:type="dxa"/>
        <w:jc w:val="center"/>
        <w:tblInd w:w="0" w:type="dxa"/>
        <w:tblLayout w:type="fixed"/>
        <w:tblCellMar>
          <w:top w:w="0" w:type="dxa"/>
          <w:left w:w="0" w:type="dxa"/>
          <w:bottom w:w="0" w:type="dxa"/>
          <w:right w:w="0" w:type="dxa"/>
        </w:tblCellMar>
      </w:tblPr>
      <w:tblGrid>
        <w:gridCol w:w="23"/>
        <w:gridCol w:w="19995"/>
        <w:gridCol w:w="4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4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 CD300a-TASR mimics dying cell signal to inhibit NK cells ✓ Sends a “no need to kill” signal to NK cell ✓ CD300a expressed across NK cell subsets as well as monocytes CD300a-TASR can protect Century’s iPSC-derived cells from NK cell killing 0 0 . 0 1 0 . 1 1 E:T Ratio 0.01 0.1 1 0 25 50 75 100 T Cell Survival (%) 0 0 0.01 0.1 1 No Cloak CD300a TASR CD47 HLA-I+ 20 hours Target (T) T Cell NK Effector (E) CD300a TASR outperformed CD47 and approaches unedited HLA-I+ protection levels TASR KI b2M KO iPSC drug product (live) “No Need To Kill” NK Cell TASR CD300a Dead/dying cell NK Cell “No Need To Kill” CD300a CD300a detects disordered membrane lipids CD300a-TASR mimics dead or dying cells CD300a consistently broadly expressed on NK cells N = 45 Diverse PBMC Donors CD300a NKG2A KIR 0 20 40 60 80 100 Inhibitory Receptor Expression on NK Cells (n = 46 donors) % of NK Cells NK Donor 2 (2Cdom NK Donor 1 (2A ) dom) NK Donor 3 (2Adom) https://ashpublications.org/bloodadvances/article/doi/10.1182/bloodadvances.2024013436/518079/Universal-Protection-of-Allogeneic-T-Cell; https://www.centurytx.com/wp-content/uploads/ASH_Welstead_Universal-Protection-of-Allogenic-T-Cells-Final.pdf</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Immunoglobulin degrading protease As a result, Century’s cells has been shown to resist complement, antibody-directed killing, and antibody-directed engulfment Century T cells stably express IDP, an enzyme that cleaves IgGs below the hinge Century’s IgG degrading protease (IDP) protected cells from humoral immunity Complement Dependent Cytotoxicity Antibody-Dependent Cellular Cytotoxicity Antibody-Dependent Cellular Phagocytosis Measure of Phagocytosis (Area under the curve) Cells expressing IDP showed less phagocytosis in the presence of an antibody trigger Cells → WT Century WT Condition → +Ab +Ab - Cells expressing IDP showed greater survival GFP IdeStm 0 20 40 60 80 100 % Specific Lysis ✱✱✱✱ WT Century Cells expressing IDP showed less lysis WT Gen 2.3 0 25 50 75 100 % Survival ✱ WT Century Source: Company data on file 97% less lysis vs. WT 70% greater survival vs. WT 60% less phagocytosis, near baseline</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CNTY-813: iPSC-derived islet replacement therapy with Allo-Evasion 5.0 Uniquely positioned to potentially deliver a successful T1D cell replacement therapy • Glucose control in patients is important for resolving disease and reducing consequences of uncontrolled glucose • A scalable drug product enables broader patient access, reduced COGs, and product consistency • Broad NK subset evasion and protection from humoral responses to allogeneic islets or disease autoantibodies are critical for durable cure Glucose Control Scalable Drug Product Free of Immune Suppression Protection Against Cellular and Humoral Immune Clearance Cadaveric Islets (+/- device) YES NO NO NO SC-derived Islets YES YES NO NO Allo-Engineered cadaveric islets -- NO YES NO CNTY-813 iPSC Islets* (Preclinical PoC) YES YES YES YES J Clin Invest. 2004 Oct 1;114(7):877–883; N Engl J Med 2025;393:887-894; N Engl J Med 2025;393:858-868</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In-house manufacturing at scale: A competitive advantage built from experience Reproducible, scalable cell product from a single master cell bank to clinical supply 53,000 sq ft cGMP facility Single donor master cell banks Scalability with bioreactors Built-for-purpose facility producing and releasing cell therapy product In-house team from development through clinical supply — aligned priorities, faster iteration, IP protected Capacity and design suited for early commercialization Clonal origin enables a well-characterized, homogeneous product Batch-to-batch consistency maintained over the product lifetime Multiple back up lines ensure redundancy and next generation product potential Suspension-based iPSC differentiation is scalable from research to clinical manufacturing Processes scalable to hundreds of liters — Broad patient access, reduced cost of goods Batch-to-batch reproducibility demonstrated across independent runs Source: Company data on file.</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A fully scalable, bioreactor-enabled differentiation process yields mature, functional islets from engineered iPSCs for Phase 1 clinical trials and beyond Clinical candidate selected with Century’s Allo-Evasion 5.0 to protect cells from immune rejection and disease-related autoantibodies In vitro and in vivo data support potential to provide functional cure without systemic immunosuppression CNTY-813: Islet function, immune-evasive engineering, and scalable manufacturing address key barriers for T1D cell replacement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Generation of islets with a 29-day defined process High purity and reproducible across batches Consistent Differentiation • Surpassed necessary purity at every stage • &gt;95% Endocrine • 50–60% Beta Cells (Insulin Producing) Stage 1: Definitive Endoderm 97.3 (20) Stage 4: Pancreatic Progenitor II 98.2 (24) Stage 6: Islet Endocrine 95.9 (32) Stage 6: Beta Cell Mean (n) 60.2 (32) iPSC Definitive Endoderm Stage 1 Primitive Gut Tube Stage 2 Pancreatic Progenitor II Stage 4 Endocrine Stage 5 β Cell Stage 6 Pancreatic Progenitor I Stage 3 • Dotted lines: Success criteria • N are independent batches. • Source: Company data on file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Phase 1 clinical manufacturing process established and executed from MCB across multiple independent batches MCB Thaw iPSC Expansion Bioreactor Differentiation Cryopreserved Intermediate Post-Thaw Maturation Final Fresh Product Consistent final product flow cytometry profiles across 3 at-scale batches • 3 Batches • 11 Samples Endocrine Purity Beta Cell Content Islet Cell Impurity Source: Company data on file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CNTY-813 islets contain defined, terminally differentiated endocrine cell populations Population Enriched Markers: β-cell: INS, NKX6.1; ⍺-cell: GCG,ARX; δ-cell: SST; Exocrine/Ductal: KRT19; FEV+ Islet Cell: FEV+SLC18A1+ Diff. Stage: scRNAseq Cell Type Annotations scRNAseq Cell Cycle Annotations • CNTY-813 manufacturing achieves a defined islet endocrine composition, with beta cells as the predominant population • Data is consistent with cell cycle exit on par with primary islets by end of manufacture (&gt;98% G1 phase identity) CNTY-813 data represents four combined end-of-process samples iPSC 1 2 3 4 5 6 Population (30,151 total) Frequency β cells 66.3% FEV+ Islet Cells 26.4% ⍺ cells 5.5% δ cells 0.8% Exocrine/Ductal 1.0%</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CNTY-813 islet cells demonstrate robust glucose-responsive function Nonclinical Potency Glucose Stimulated Insulin Secretion Stimulation Index Total Insulin Content Source: Company data on file iPSC- Islets Primary Islets 0 10000 20000 30000 40000 uIU Insulin/ 1E6 Cells 2mM Glucose 20mM Glucose ∆GSIS Mean +/- SD is shown in graphs iPSC- Islets Primary Islets 0 5 10 15 Glucose Stimualtion Index (20mM glucose/ 2mM glucose) Glucose Stimulation Index</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Allo-EvasionTM 5.0-edited CNTY-813 restored glucose control for &gt;11 months CNTY-813 islets rapidly restored normoglycemia in STZ-induced diabetic mice Preclinical Potency Non-Fasted Blood Glucose 0 20 40 60 80 100 120 0 100 200 300 400 500 600 Time (min) Blood Glucose (mg/dL) Diabetic Control Unedited CNTY Islet Cells (5M) CNTY-813 (SRC) (5M) - 12 weeks CNTY-813 (SRC) (5M) - 49 weeks Glucose Control 0 25 50 75 10 125 150 175 20 2 5 250 275 30 325 350 375 0 100 200 300 400 500 600 Days Post Treatment Blood Glucose (mg/dL) No Treatment CNTY-813 (SRC) (5M) Unedited CNTY Islet Cells (5M) Normoglycemic Control Glucose Control Glucose Tolerance Test Mean +/- SEM Mean +/- SD Source: Company data on file STZ = Streptozotocin | SRC = Sub renal capsule implantation, Gray shaded area = normal blood glucose range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CNTY-813 grafts maintain endocrine identity with no evidence of tumorigenesis in mouse models Endocrine graft identity over time INS+ (green) CHGA+ (orange) Merged (yellow) Ki67+ (pink) DAPI (blue) INS: Insulin stain; CHGA: CHGA stain; Ki67: Stain for Ki67; DAPI:nuclear stain 2 weeks 4 weeks 8 weeks 24 weeks ✓ Endocrine graft morphology maintained ✓ No Ki67 increase or cyst formation ✓ No tumorigenesis observed in &gt;140 mice with &gt;3-month follow up (&gt;1B cells infused) 200µm Source: Company data on file</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Allo-EvasionTM 5.0 protected CNTY-813 from rejection in a humanized mouse model Glucose Stimulation Index Glucose Tolerance Test (GTT) (11 weeks post-islet infusion) Reduced function with PBMC engraftment Maintained function with PBMC engraftment Allo-Evasion 5.0 maintained CNTY-813 Glucose Stimulated Insulin Secretion and GTT performance in vivo1 0 7 14 21 28 35 42 49 0 5 10 15 Days Post Transplant Glucose-Stimulated Insulin Secretion Index C( -peptide induction over baseline) Unedited Islets + PBMCs Unedited Islets Allo-Rejection 0 7 14 21 28 35 42 49 0 5 10 15 Days Post Transplant Glucose-St mi ulated Insulin Secretion Index (C-peptide induction over baseline) CNTY-813 Allo-Evasion 5.0 Islets + PBMCs CNTY-813 Allo-Evasion 5.0 Islets Mean ± SEM TM TM 0 30 60 90 120 0 200 400 600 Time (min.) Blood Glucose (mg/dL) Unedited Islets + PBMCs Unedited Islets 0 30 60 90 120 0 200 400 600 Time (min.) Blood Glucose (mg/dL) Allo-Evasion 5.0 Islets + PBMCs Allo-Evasion 5.0 Islets Mean ± SD TM TM Source: Company data on file 1. Humanized mouse model includes functional human T cells without GvHD (MHC KO) and TgHuIL-15 to support functional NK cell engraftment and survival Unedited Islets Allo-EvasionTM 5.0 Islets Unedited Islets Allo-EvasionTM 5.0 Islets</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CAR-iT Franchise: CD4+/CD8+ αβ CAR-iT-cell with Allo-Evasion 5.0</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CNTY-308 is a CAR-iT targeting CD19 that aims to pair the characteristics of autologous CAR-T with the convenience of an allogeneic CAR-T for the treatment of autoimmune disease Potential to address significant unmet need in autoimmunity with allogeneic CAR iT cells • CNTY-308 expected to enter clinic in 2026 • Autologous CAR T cell therapies are showing compelling clinical safety and efficacy across a broad range of autoimmune diseases1 • Clinical data from B-cell-targeted cell therapies in autoimmune disease support the MoA and development of CAR iT therapies • CNTY-308 lays the groundwork for expansion of the CAR-iT franchise into other diseases CNTY-308 (CD19 CAR iT with Allo-EvasionTM 5.0) 1. Muller 2024 doi/full/10.1056/NEJMoa2308917; Nordmann-Gomes 2025 doi.org/10.1016/j.semarthrit.2025.152786 2. Gao 2025 EULAR Abstract DOI: 10.1016/j.ard.2025.05.396; Wang 2025 doi.org/10.1016/j.cell.2025.05.038</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CNTY-308 is an iPSC-derived CD19-targeted CAR-iT intended for B-cell-mediated disease CNTY-308 • CD19-targeted CAR to target B-cells for cytotoxic depletion – 4-1BB and CD3z co-stim domain to stimulate expansion on target engagement • Displays characteristics of autologous CAR-T cells1 ✓ Highly proliferative upon target engagement ✓ Secretes cytokines (e.g., IL-2, IFNγ and TNFα) ✓ Cytotoxic effector function rapidly eliminates tumor cells ✓ Long-term persistence in vivo ✓ Eliminates CD19+ B-cells from healthy donors in vitro2 • Allo-Evasion 5.0 edits designed to include protection from host T cell, NK cell, and humoral response • Native ab TCR knock-out to eliminate the risk of GvHD 1. www.centurytx.com/wp-content/uploads/ASH_Heinze_iPSC-Derived-CD4-CD8-Final.pdf 2. Company data on file 3. IDP = IgG degrading enzyme CD4+/CD8+ αβ iT-cell</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 Self-supports with own target-mediated IL-2 • High functional persistence: kills for &gt;10 rounds, persists in blood for 32+ days, controls tumor after in vivo rechallenge In preclinical studies, CNTY-308 cells are comparable to primary CAR-T cells Source: Company data on file ≈ 1’ CAR-T CNTY-308 IL-2 secretion (pg/mL) ≈ Requires exogenous IL-2/IL-15 Repeat killing (rounds) Persistence in blood (days) Tumor control after rechallenge (in vivo) ~2,000 No &gt;10 32 Yes ~3,000 No &gt;10 32 Yes Function ≈ ≈ ≈ ≈ CNTY–308 and 1’ CAR-T</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In preclinical animal studies, Century iPSC-CAR-T cells controlled tumors, persisted for ≥1 month, and retained cytotoxic capacity upon rechallenge Source: Company data on file • Disseminated Nalm6 model (1e5 cells infused) • Effectors added 3 days post-tumor infusion • 1’ CAR-T dose: 5e6 cells • iPSC-CAR-T dose: 30e6 cells • No added cytokine or small molecule support • iPSC-CAR-T produced at phase 1 clinical scale In vivo experimental details Complete tumor control Measurable long-term persistence ≥1 mo Cytotoxicity maintained upon re-challenge with engrafted cells Group 1: PBS only Group 2: 1' CAR−T Group 3: iPS−CAR−T 0 10 20 30 0 10 20 30 0 10 20 30 1e+07 1e+09 1e+11 Days Post−Effector Infusion Luminescence (log axis) Tumor challenge Tumor challenge Tumor challenge 1e+06 1e+07 1e+08 1e+09 1e+10 0 10 20 30 40 Days Post−Effector Infusion Luminescence (log axis) Group PBS only 1' CAR−T iPS−CAR−T 1e+06 1e+07 1e+08 1e+09 1e+10 0 10 20 30 40 Days Post−Effector Infusion L u min e s c e n c e (lo g a xis) Class PBS only 1' CAR−T iPS−CAR−T Group PBS only 1' CAR−T iPS−CAR−T 10 100 1000 PBS 1' CAR−T iPS−CAR−T Group hCD45+ count per 100 uL whole blood Group joined by lines d7 d21 d35 Key d27 tumor rechallenge • iPSC-CAR-T persist 21 days post-infusion, • iPSC-CAR-T detectable at day 35, 7 days post-tumor rechallenge (at day 28) Tumor challenge Tumor challenge</w:t>
            </w:r>
          </w:p>
        </w:tc>
      </w:tr>
    </w:tbl>
    <w:tbl>
      <w:tblPr>
        <w:tblW w:w="20278" w:type="dxa"/>
        <w:jc w:val="center"/>
        <w:tblInd w:w="0" w:type="dxa"/>
        <w:tblLayout w:type="fixed"/>
        <w:tblCellMar>
          <w:top w:w="0" w:type="dxa"/>
          <w:left w:w="0" w:type="dxa"/>
          <w:bottom w:w="0" w:type="dxa"/>
          <w:right w:w="0" w:type="dxa"/>
        </w:tblCellMar>
      </w:tblPr>
      <w:tblGrid>
        <w:gridCol w:w="23"/>
        <w:gridCol w:w="1999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CNTY-308 robustly depleted B cells in vitro and in vivo Source: Company data on file In Vitro B Cell Depletion B Cell Depletion in Human PBMC Engrafted Mice 0 2 4 6 8 10 CD20 + Cells/100um 2 Femur Naive PBMC Alone PBMC + CNTY-308 CNTY-308 Alone ✱✱ ✱✱ ✱✱ Bone Marrow 0 10 20 30 40 CD20 + Cells/100um 2 Spleen ✱✱✱✱ ✱✱✱ ✱✱✱✱ Spleen 4:1 2:1 1:1 .5:1 .25:1 .125:1 .0625:1 .03125:1 .015625:1 .0 781:1 0:1 0 20 40 60 80 100 T cell : PBMC ratio Percent Killing of B Cells (%) (MHCI+ ,CD3-, CD19 + , Blin +cells) SLE Donor 1 SLE Donor 2 SLE Donor 3 LN Donor 1 LN Donor 2 CNTY-308 cells efficiently kill B cells from SLE and Lupus Nephritis donors PBMC Alone PBMC + CNTY-308</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Corporate Summary</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2026 30 Century Therapeutics: Advancing Curative Medicines Through Cell Engineering Powered by The Cell Foundry and Allo-EvasionTM 5.0 The Cell Foundry: Enables scalable generation of highly functional iPSC-derived therapies Allo-EvasionTM 5.0: Leadership in immune-evasive cell design Integrated Know-How: Deep functional expertise internally, integrated from discovery to manufacturing and development Foundational Platform Tech: Engine to create and scale cellular medicines Targeting Functional Cures: T1D and Autoimmune disease Well Funded: Multiple Anticipated Near-Term Milestones CNTY-813: iPSC-derived, immune-evasive islet replacement therapy for type 1 diabetes Islet replacement is clinically validated; CNTY-813 aims to deliver this without chronic immunosuppression, at scale Pipeline: Foundational technology powers: • CNTY-308, an iPSC-derived, immune-evasive T cell with potential across autoimmune disease • Next-gen discovery programs across multiple cell types and targets Recent Funding Oversubscribed $135M PIPE in early 2026 provides runway into Q1 2029 Key Anticipated Near-Term Milestones ❑ CNTY-813 oral presentation at EASD 2026 ❑ CNTY-813 IND submission expected 4Q 2026 ❑ CNTY-308 expected in clinic in 2026 ❑ Clinical data expected 2H 2027 for CNTY-813 Focused. Funded. Executing.</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www.centurytx.com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6386</Words>
  <Characters>37720</Characters>
  <CharactersWithSpaces>44372</CharactersWithSpaces>
  <Paragraphs>1053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