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5"/>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JIMENEZ JOSEPH</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Century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IPSC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5"/>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8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80" w:type="dxa"/>
            <w:vAlign w:val="bottom"/>
            <w:gridSpan w:val="11"/>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06/27/2023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CENTURY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25 N 38TH STREET, 11TH FLOOR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rPr>
              <w:t>PHILADELPHIA PA</w:t>
            </w:r>
          </w:p>
        </w:tc>
        <w:tc>
          <w:tcPr>
            <w:tcW w:w="1160" w:type="dxa"/>
            <w:vAlign w:val="bottom"/>
            <w:vMerge w:val="restart"/>
          </w:tcPr>
          <w:p>
            <w:pPr>
              <w:ind w:left="80"/>
              <w:spacing w:after="0" w:line="164" w:lineRule="exact"/>
              <w:rPr>
                <w:sz w:val="20"/>
                <w:szCs w:val="20"/>
                <w:color w:val="auto"/>
              </w:rPr>
            </w:pPr>
            <w:r>
              <w:rPr>
                <w:rFonts w:ascii="Arial" w:cs="Arial" w:eastAsia="Arial" w:hAnsi="Arial"/>
                <w:sz w:val="17"/>
                <w:szCs w:val="17"/>
                <w:color w:val="0000FF"/>
              </w:rPr>
              <w:t>19104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21"/>
          </w:tcPr>
          <w:p>
            <w:pPr>
              <w:ind w:left="4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84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940" w:type="dxa"/>
            <w:vAlign w:val="bottom"/>
            <w:tcBorders>
              <w:top w:val="single" w:sz="8" w:color="2C2C2C"/>
            </w:tcBorders>
            <w:gridSpan w:val="21"/>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3.19</w:t>
            </w: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44,000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40" w:type="dxa"/>
            <w:vAlign w:val="bottom"/>
            <w:gridSpan w:val="3"/>
          </w:tcPr>
          <w:p>
            <w:pPr>
              <w:ind w:left="140"/>
              <w:spacing w:after="0"/>
              <w:rPr>
                <w:sz w:val="20"/>
                <w:szCs w:val="20"/>
                <w:color w:val="auto"/>
              </w:rPr>
            </w:pPr>
            <w:r>
              <w:rPr>
                <w:rFonts w:ascii="Arial" w:cs="Arial" w:eastAsia="Arial" w:hAnsi="Arial"/>
                <w:sz w:val="13"/>
                <w:szCs w:val="13"/>
                <w:color w:val="0000FF"/>
              </w:rPr>
              <w:t>06/27/2024</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44,000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44,000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option vests on the earlier of (a) June 27, 2024, or (b) the next annual meeting of stockholders, in each case subject to the Reporting Person's continued service through the applicable vesting date.</w:t>
      </w:r>
    </w:p>
    <w:p>
      <w:pPr>
        <w:ind w:left="6580"/>
        <w:spacing w:after="0" w:line="194" w:lineRule="auto"/>
        <w:rPr>
          <w:sz w:val="20"/>
          <w:szCs w:val="20"/>
          <w:color w:val="auto"/>
        </w:rPr>
      </w:pPr>
      <w:r>
        <w:rPr>
          <w:rFonts w:ascii="Arial" w:cs="Arial" w:eastAsia="Arial" w:hAnsi="Arial"/>
          <w:sz w:val="17"/>
          <w:szCs w:val="17"/>
          <w:color w:val="0000FF"/>
        </w:rPr>
        <w:t xml:space="preserve">/s/ Michael Diem, Attorney-in- </w:t>
      </w:r>
      <w:r>
        <w:rPr>
          <w:rFonts w:ascii="Arial" w:cs="Arial" w:eastAsia="Arial" w:hAnsi="Arial"/>
          <w:sz w:val="33"/>
          <w:szCs w:val="33"/>
          <w:color w:val="0000FF"/>
          <w:vertAlign w:val="subscript"/>
        </w:rPr>
        <w:t>06/29/2023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54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-19050</wp:posOffset>
            </wp:positionV>
            <wp:extent cx="185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99095" TargetMode="External"/><Relationship Id="rId9"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2023-06-29T15:28:03Z</dcterms:created>
  <dcterms:modified xsi:type="dcterms:W3CDTF">2023-06-29T15:28:03Z</dcterms:modified>
</cp:coreProperties>
</file>