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320170d1_8k.htm"/>
      <w:bookmarkStart w:id="1" w:name="kstm2320170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3062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June 27,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3"/>
      <w:bookmarkEnd w:id="4"/>
      <w:r>
        <w:rPr>
          <w:rFonts w:ascii="Times New Roman;Times;Serif" w:hAnsi="Times New Roman;Times;Serif"/>
          <w:b/>
          <w:i w:val="false"/>
          <w:caps w:val="false"/>
          <w:smallCaps w:val="false"/>
          <w:sz w:val="36"/>
        </w:rPr>
        <w:t>Century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2495"/>
        <w:gridCol w:w="60"/>
        <w:gridCol w:w="2210"/>
        <w:gridCol w:w="60"/>
        <w:gridCol w:w="1535"/>
      </w:tblGrid>
      <w:tr>
        <w:trPr/>
        <w:tc>
          <w:tcPr>
            <w:tcW w:w="2495" w:type="dxa"/>
            <w:tcBorders/>
            <w:vAlign w:val="center"/>
          </w:tcPr>
          <w:p>
            <w:pPr>
              <w:pStyle w:val="TableContents"/>
              <w:bidi w:val="0"/>
              <w:spacing w:before="0" w:after="283"/>
              <w:jc w:val="center"/>
              <w:rPr>
                <w:b/>
                <w:sz w:val="20"/>
              </w:rPr>
            </w:pPr>
            <w:bookmarkStart w:id="5" w:name="xdx_906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0_edei--EntityFileNumber_c20230627"/>
            <w:bookmarkEnd w:id="6"/>
            <w:r>
              <w:rPr>
                <w:b/>
                <w:sz w:val="20"/>
              </w:rPr>
              <w:t>001-40498</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4_edei--EntityTaxIdentificationNum"/>
            <w:bookmarkEnd w:id="7"/>
            <w:r>
              <w:rPr>
                <w:b/>
                <w:sz w:val="20"/>
              </w:rPr>
              <w:t>84-2040295</w:t>
            </w:r>
          </w:p>
        </w:tc>
      </w:tr>
      <w:tr>
        <w:trPr/>
        <w:tc>
          <w:tcPr>
            <w:tcW w:w="2495" w:type="dxa"/>
            <w:tcBorders/>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3675 Market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Philadelphia, </w:t>
            </w:r>
            <w:bookmarkStart w:id="10" w:name="xdx_909_edei--EntityAddressStateOrProvin"/>
            <w:bookmarkEnd w:id="10"/>
            <w:r>
              <w:rPr>
                <w:rFonts w:ascii="Times New Roman;Times;Serif" w:hAnsi="Times New Roman;Times;Serif"/>
                <w:b/>
                <w:i w:val="false"/>
                <w:caps w:val="false"/>
                <w:smallCaps w:val="false"/>
                <w:sz w:val="20"/>
              </w:rPr>
              <w:t xml:space="preserve">Pennsylvania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1" w:name="xdx_903_edei--EntityAddressPostalZipCode"/>
            <w:bookmarkEnd w:id="11"/>
            <w:r>
              <w:rPr>
                <w:b/>
                <w:sz w:val="20"/>
              </w:rPr>
              <w:t>19104</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0_edei--CityAreaCode_c20230627__20"/>
      <w:bookmarkEnd w:id="12"/>
      <w:r>
        <w:rPr>
          <w:rFonts w:ascii="Times New Roman;Times;Serif" w:hAnsi="Times New Roman;Times;Serif"/>
          <w:b/>
          <w:i w:val="false"/>
          <w:caps w:val="false"/>
          <w:smallCaps w:val="false"/>
          <w:sz w:val="20"/>
        </w:rPr>
        <w:t xml:space="preserve">267) </w:t>
      </w:r>
      <w:bookmarkStart w:id="13" w:name="xdx_90C_edei--LocalPhoneNumber_c20230627"/>
      <w:bookmarkEnd w:id="13"/>
      <w:r>
        <w:rPr>
          <w:rFonts w:ascii="Times New Roman;Times;Serif" w:hAnsi="Times New Roman;Times;Serif"/>
          <w:b/>
          <w:i w:val="false"/>
          <w:caps w:val="false"/>
          <w:smallCaps w:val="false"/>
          <w:sz w:val="20"/>
        </w:rPr>
        <w:t>817-5790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D_edei--WrittenCommunications_c202"/>
            <w:bookmarkEnd w:id="14"/>
            <w:r>
              <w:rPr>
                <w:caps w:val="false"/>
                <w:smallCaps w:val="false"/>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5" w:name="xdx_90D_edei--SolicitingMaterial_c202306"/>
            <w:bookmarkEnd w:id="15"/>
            <w:r>
              <w:rPr>
                <w:caps w:val="false"/>
                <w:smallCaps w:val="false"/>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6" w:name="xdx_905_edei--PreCommencementTenderOffer"/>
            <w:bookmarkEnd w:id="16"/>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7" w:name="xdx_907_edei--PreCommencementIssuerTende"/>
            <w:bookmarkEnd w:id="17"/>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3785"/>
        <w:gridCol w:w="60"/>
        <w:gridCol w:w="1415"/>
        <w:gridCol w:w="60"/>
        <w:gridCol w:w="3425"/>
      </w:tblGrid>
      <w:tr>
        <w:trPr/>
        <w:tc>
          <w:tcPr>
            <w:tcW w:w="378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425" w:type="dxa"/>
            <w:tcBorders>
              <w:bottom w:val="single" w:sz="8" w:space="0" w:color="000000"/>
            </w:tcBorders>
            <w:vAlign w:val="center"/>
          </w:tcPr>
          <w:p>
            <w:pPr>
              <w:pStyle w:val="TableContents"/>
              <w:bidi w:val="0"/>
              <w:spacing w:before="0" w:after="283"/>
              <w:jc w:val="center"/>
              <w:rPr>
                <w:b/>
                <w:sz w:val="20"/>
              </w:rPr>
            </w:pPr>
            <w:r>
              <w:rPr>
                <w:b/>
                <w:sz w:val="20"/>
              </w:rPr>
              <w:t>Name of Exchange on Which Registered</w:t>
            </w:r>
          </w:p>
        </w:tc>
      </w:tr>
      <w:tr>
        <w:trPr/>
        <w:tc>
          <w:tcPr>
            <w:tcW w:w="3785" w:type="dxa"/>
            <w:tcBorders/>
            <w:tcMar>
              <w:bottom w:w="0" w:type="dxa"/>
            </w:tcMar>
            <w:vAlign w:val="center"/>
          </w:tcPr>
          <w:p>
            <w:pPr>
              <w:pStyle w:val="TableContents"/>
              <w:bidi w:val="0"/>
              <w:spacing w:before="0" w:after="283"/>
              <w:jc w:val="center"/>
              <w:rPr>
                <w:b/>
                <w:sz w:val="20"/>
              </w:rPr>
            </w:pPr>
            <w:bookmarkStart w:id="18" w:name="xdx_901_edei--Security12bTitle_c20230627"/>
            <w:bookmarkEnd w:id="18"/>
            <w:r>
              <w:rPr>
                <w:b/>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b/>
                <w:sz w:val="20"/>
              </w:rPr>
            </w:pPr>
            <w:bookmarkStart w:id="19" w:name="xdx_908_edei--TradingSymbol_c20230627__2"/>
            <w:bookmarkEnd w:id="19"/>
            <w:r>
              <w:rPr>
                <w:b/>
                <w:sz w:val="20"/>
              </w:rPr>
              <w:t>IPSC</w:t>
            </w:r>
          </w:p>
        </w:tc>
        <w:tc>
          <w:tcPr>
            <w:tcW w:w="60" w:type="dxa"/>
            <w:tcBorders/>
            <w:tcMar>
              <w:bottom w:w="0" w:type="dxa"/>
            </w:tcMar>
            <w:vAlign w:val="center"/>
          </w:tcPr>
          <w:p>
            <w:pPr>
              <w:pStyle w:val="TableContents"/>
              <w:bidi w:val="0"/>
              <w:spacing w:before="0" w:after="283"/>
              <w:jc w:val="left"/>
              <w:rPr/>
            </w:pPr>
            <w:r>
              <w:rPr/>
              <w:t> </w:t>
            </w:r>
          </w:p>
        </w:tc>
        <w:tc>
          <w:tcPr>
            <w:tcW w:w="3425" w:type="dxa"/>
            <w:tcBorders/>
            <w:tcMar>
              <w:bottom w:w="0" w:type="dxa"/>
            </w:tcMar>
            <w:vAlign w:val="center"/>
          </w:tcPr>
          <w:p>
            <w:pPr>
              <w:pStyle w:val="TableContents"/>
              <w:bidi w:val="0"/>
              <w:spacing w:before="0" w:after="283"/>
              <w:jc w:val="center"/>
              <w:rPr>
                <w:b/>
                <w:sz w:val="20"/>
              </w:rPr>
            </w:pPr>
            <w:bookmarkStart w:id="20" w:name="xdx_90A_edei--SecurityExchangeName_c2023"/>
            <w:bookmarkEnd w:id="20"/>
            <w:r>
              <w:rPr>
                <w:b/>
                <w:sz w:val="20"/>
              </w:rPr>
              <w:t>Nasdaq Global Select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3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830"/>
        <w:gridCol w:w="443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5.07</w:t>
            </w:r>
          </w:p>
        </w:tc>
        <w:tc>
          <w:tcPr>
            <w:tcW w:w="443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Century Therapeutics, Inc. (the “Company”) held its 2023 Annual Meeting of Stockholders (the “Annual Meeting”). As of April 28, 2023, the record date for the Annual Meeting, there were 59,580,817 outstanding shares of the Company’s common stock. The Annual Meeting was conducted virtually, and the following is a brief description of the final voting results for each of the proposals submitted to a vote of the stockholders at the Annual Meeting, which are described in detail in the Company’s definitive proxy statement for the Annual Meeting, filed with the U.S. Securities and Exchange Commission on April 28,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Proposal 1 - Election of Class II Directors</w:t>
      </w:r>
      <w:r>
        <w:rPr>
          <w:rFonts w:ascii="Times New Roman;Times;Serif" w:hAnsi="Times New Roman;Times;Serif"/>
          <w:b w:val="false"/>
          <w:i w:val="false"/>
          <w:caps w:val="false"/>
          <w:smallCaps w:val="false"/>
          <w:sz w:val="20"/>
        </w:rPr>
        <w:t>. Each of Cynthia Butitta, Timothy Walbert and Alessandro Riva, M.D. were elected to the Board to serve as Class II directors until the 2026 Annual Meeting of Stockholders and until their successors, if any, are elected or appointed, or their earlier death, resignation, retirement, disqualification or removal, as follows:</w:t>
      </w:r>
    </w:p>
    <w:p>
      <w:pPr>
        <w:pStyle w:val="TextBody"/>
        <w:bidi w:val="0"/>
        <w:spacing w:before="0" w:after="0"/>
        <w:ind w:left="0" w:right="0" w:hanging="0"/>
        <w:jc w:val="left"/>
        <w:rPr>
          <w:caps w:val="false"/>
          <w:smallCaps w:val="false"/>
        </w:rPr>
      </w:pPr>
      <w:r>
        <w:rPr>
          <w:caps w:val="false"/>
          <w:smallCaps w:val="false"/>
        </w:rPr>
        <w:t> </w:t>
      </w:r>
    </w:p>
    <w:tbl>
      <w:tblPr>
        <w:tblW w:w="5704" w:type="dxa"/>
        <w:jc w:val="left"/>
        <w:tblInd w:w="0" w:type="dxa"/>
        <w:tblLayout w:type="fixed"/>
        <w:tblCellMar>
          <w:top w:w="0" w:type="dxa"/>
          <w:left w:w="0" w:type="dxa"/>
          <w:bottom w:w="28" w:type="dxa"/>
          <w:right w:w="0" w:type="dxa"/>
        </w:tblCellMar>
      </w:tblPr>
      <w:tblGrid>
        <w:gridCol w:w="1865"/>
        <w:gridCol w:w="60"/>
        <w:gridCol w:w="60"/>
        <w:gridCol w:w="950"/>
        <w:gridCol w:w="60"/>
        <w:gridCol w:w="60"/>
        <w:gridCol w:w="60"/>
        <w:gridCol w:w="845"/>
        <w:gridCol w:w="60"/>
        <w:gridCol w:w="60"/>
        <w:gridCol w:w="102"/>
        <w:gridCol w:w="1447"/>
        <w:gridCol w:w="75"/>
      </w:tblGrid>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Withheld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Cynthia Butitta</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50,643,653</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808, 082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4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3,952,285</w:t>
            </w:r>
          </w:p>
        </w:tc>
        <w:tc>
          <w:tcPr>
            <w:tcW w:w="7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Timothy Walbert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47,566,726</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3,885,009</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2"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4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3,952,285</w:t>
            </w:r>
          </w:p>
        </w:tc>
        <w:tc>
          <w:tcPr>
            <w:tcW w:w="7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Alessandro Riva, M.D.</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50,658,311</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793,424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4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3,952,285</w:t>
            </w:r>
          </w:p>
        </w:tc>
        <w:tc>
          <w:tcPr>
            <w:tcW w:w="7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Proposal 2 - Ratification of Independent Registered Public Accountants</w:t>
      </w:r>
      <w:r>
        <w:rPr>
          <w:rFonts w:ascii="Times New Roman;Times;Serif" w:hAnsi="Times New Roman;Times;Serif"/>
          <w:b w:val="false"/>
          <w:i w:val="false"/>
          <w:caps w:val="false"/>
          <w:smallCaps w:val="false"/>
          <w:sz w:val="20"/>
        </w:rPr>
        <w:t>. The appointment of Ernst &amp; Young LLP as the Company’s independent registered public accounting firm for the 2023 fiscal year was ratified, as follows:</w:t>
      </w:r>
    </w:p>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0" w:type="dxa"/>
          <w:left w:w="0" w:type="dxa"/>
          <w:bottom w:w="28" w:type="dxa"/>
          <w:right w:w="0" w:type="dxa"/>
        </w:tblCellMar>
      </w:tblPr>
      <w:tblGrid>
        <w:gridCol w:w="965"/>
        <w:gridCol w:w="60"/>
        <w:gridCol w:w="1175"/>
        <w:gridCol w:w="60"/>
        <w:gridCol w:w="995"/>
        <w:gridCol w:w="60"/>
        <w:gridCol w:w="156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55,396,113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1940"/>
        <w:gridCol w:w="545"/>
        <w:gridCol w:w="6095"/>
      </w:tblGrid>
      <w:tr>
        <w:trPr/>
        <w:tc>
          <w:tcPr>
            <w:tcW w:w="1940" w:type="dxa"/>
            <w:tcBorders/>
            <w:vAlign w:val="center"/>
          </w:tcPr>
          <w:p>
            <w:pPr>
              <w:pStyle w:val="TableContents"/>
              <w:bidi w:val="0"/>
              <w:spacing w:before="0" w:after="283"/>
              <w:jc w:val="left"/>
              <w:rPr/>
            </w:pPr>
            <w:r>
              <w:rPr/>
              <w:t> </w:t>
            </w:r>
          </w:p>
        </w:tc>
        <w:tc>
          <w:tcPr>
            <w:tcW w:w="66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CENTURY THERAPEUTICS, INC.</w:t>
            </w:r>
          </w:p>
        </w:tc>
      </w:tr>
      <w:tr>
        <w:trPr/>
        <w:tc>
          <w:tcPr>
            <w:tcW w:w="19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Greg Russotti, Ph.D.</w:t>
            </w:r>
          </w:p>
        </w:tc>
      </w:tr>
      <w:tr>
        <w:trPr/>
        <w:tc>
          <w:tcPr>
            <w:tcW w:w="19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 Russotti, Ph.D.</w:t>
            </w:r>
          </w:p>
        </w:tc>
      </w:tr>
      <w:tr>
        <w:trPr/>
        <w:tc>
          <w:tcPr>
            <w:tcW w:w="1940" w:type="dxa"/>
            <w:tcBorders/>
            <w:vAlign w:val="center"/>
          </w:tcPr>
          <w:p>
            <w:pPr>
              <w:pStyle w:val="TableContents"/>
              <w:bidi w:val="0"/>
              <w:spacing w:before="0" w:after="283"/>
              <w:jc w:val="left"/>
              <w:rPr/>
            </w:pPr>
            <w:r>
              <w:rPr/>
              <w:t>Date: June 29, 2023</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President and Chief Executive Officer (Principal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3370</Characters>
  <CharactersWithSpaces>3995</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