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00" w:lineRule="exact"/>
        <w:rPr>
          <w:sz w:val="24"/>
          <w:szCs w:val="24"/>
          <w:color w:val="auto"/>
        </w:rPr>
      </w:pPr>
    </w:p>
    <w:p>
      <w:pPr>
        <w:ind w:left="2780"/>
        <w:spacing w:after="0"/>
        <w:rPr>
          <w:sz w:val="20"/>
          <w:szCs w:val="20"/>
          <w:color w:val="auto"/>
        </w:rPr>
      </w:pPr>
      <w:r>
        <w:rPr>
          <w:rFonts w:ascii="Arial" w:cs="Arial" w:eastAsia="Arial" w:hAnsi="Arial"/>
          <w:sz w:val="15"/>
          <w:szCs w:val="15"/>
          <w:b w:val="1"/>
          <w:bCs w:val="1"/>
          <w:color w:val="auto"/>
        </w:rPr>
        <w:t>As filed with the Securities and Exchange Commission on July 10, 2025</w:t>
      </w:r>
    </w:p>
    <w:p>
      <w:pPr>
        <w:jc w:val="right"/>
        <w:spacing w:after="0" w:line="230" w:lineRule="auto"/>
        <w:rPr>
          <w:sz w:val="20"/>
          <w:szCs w:val="20"/>
          <w:color w:val="auto"/>
        </w:rPr>
      </w:pPr>
      <w:r>
        <w:rPr>
          <w:rFonts w:ascii="Arial" w:cs="Arial" w:eastAsia="Arial" w:hAnsi="Arial"/>
          <w:sz w:val="15"/>
          <w:szCs w:val="15"/>
          <w:b w:val="1"/>
          <w:bCs w:val="1"/>
          <w:color w:val="auto"/>
        </w:rPr>
        <w:t>Registration No. 333-           ​</w:t>
      </w:r>
    </w:p>
    <w:p>
      <w:pPr>
        <w:ind w:left="500"/>
        <w:spacing w:after="0" w:line="222" w:lineRule="auto"/>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105" w:lineRule="exact"/>
        <w:rPr>
          <w:sz w:val="24"/>
          <w:szCs w:val="24"/>
          <w:color w:val="auto"/>
        </w:rPr>
      </w:pPr>
    </w:p>
    <w:p>
      <w:pPr>
        <w:jc w:val="center"/>
        <w:ind w:right="-379"/>
        <w:spacing w:after="0"/>
        <w:rPr>
          <w:sz w:val="20"/>
          <w:szCs w:val="20"/>
          <w:color w:val="auto"/>
        </w:rPr>
      </w:pPr>
      <w:r>
        <w:rPr>
          <w:rFonts w:ascii="Arial" w:cs="Arial" w:eastAsia="Arial" w:hAnsi="Arial"/>
          <w:sz w:val="29"/>
          <w:szCs w:val="29"/>
          <w:b w:val="1"/>
          <w:bCs w:val="1"/>
          <w:color w:val="auto"/>
        </w:rPr>
        <w:t>UNITED STATES</w:t>
      </w:r>
    </w:p>
    <w:p>
      <w:pPr>
        <w:jc w:val="center"/>
        <w:ind w:right="-459"/>
        <w:spacing w:after="0" w:line="233"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64135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41"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FORM S-3</w:t>
      </w:r>
    </w:p>
    <w:p>
      <w:pPr>
        <w:spacing w:after="0" w:line="38"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color w:val="auto"/>
        </w:rPr>
        <w:t>REGISTRATION STATEMENT</w:t>
      </w:r>
    </w:p>
    <w:p>
      <w:pPr>
        <w:jc w:val="center"/>
        <w:ind w:right="-399"/>
        <w:spacing w:after="0" w:line="225" w:lineRule="auto"/>
        <w:rPr>
          <w:sz w:val="20"/>
          <w:szCs w:val="20"/>
          <w:color w:val="auto"/>
        </w:rPr>
      </w:pPr>
      <w:r>
        <w:rPr>
          <w:rFonts w:ascii="Arial" w:cs="Arial" w:eastAsia="Arial" w:hAnsi="Arial"/>
          <w:sz w:val="15"/>
          <w:szCs w:val="15"/>
          <w:b w:val="1"/>
          <w:bCs w:val="1"/>
          <w:i w:val="1"/>
          <w:iCs w:val="1"/>
          <w:color w:val="auto"/>
        </w:rPr>
        <w:t>UNDER</w:t>
      </w:r>
    </w:p>
    <w:p>
      <w:pPr>
        <w:jc w:val="center"/>
        <w:ind w:right="-43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64135</wp:posOffset>
            </wp:positionV>
            <wp:extent cx="1371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11" w:lineRule="exact"/>
        <w:rPr>
          <w:sz w:val="24"/>
          <w:szCs w:val="24"/>
          <w:color w:val="auto"/>
        </w:rPr>
      </w:pPr>
    </w:p>
    <w:p>
      <w:pPr>
        <w:ind w:left="3560"/>
        <w:spacing w:after="0"/>
        <w:rPr>
          <w:sz w:val="20"/>
          <w:szCs w:val="20"/>
          <w:color w:val="auto"/>
        </w:rPr>
      </w:pPr>
      <w:r>
        <w:rPr>
          <w:rFonts w:ascii="Arial" w:cs="Arial" w:eastAsia="Arial" w:hAnsi="Arial"/>
          <w:sz w:val="29"/>
          <w:szCs w:val="29"/>
          <w:b w:val="1"/>
          <w:bCs w:val="1"/>
          <w:color w:val="auto"/>
        </w:rPr>
        <w:t>Century Therapeutics, Inc.</w:t>
      </w:r>
    </w:p>
    <w:p>
      <w:pPr>
        <w:ind w:left="3720"/>
        <w:spacing w:after="0"/>
        <w:rPr>
          <w:sz w:val="20"/>
          <w:szCs w:val="20"/>
          <w:color w:val="auto"/>
        </w:rPr>
      </w:pPr>
      <w:r>
        <w:rPr>
          <w:rFonts w:ascii="Arial" w:cs="Arial" w:eastAsia="Arial" w:hAnsi="Arial"/>
          <w:sz w:val="14"/>
          <w:szCs w:val="14"/>
          <w:color w:val="auto"/>
        </w:rPr>
        <w:t>(Exact name of Registrant as specified in its charter)</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62230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14"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240" w:type="dxa"/>
            <w:vAlign w:val="bottom"/>
          </w:tcPr>
          <w:p>
            <w:pPr>
              <w:spacing w:after="0"/>
              <w:rPr>
                <w:sz w:val="20"/>
                <w:szCs w:val="20"/>
                <w:color w:val="auto"/>
              </w:rPr>
            </w:pPr>
            <w:r>
              <w:rPr>
                <w:rFonts w:ascii="Arial" w:cs="Arial" w:eastAsia="Arial" w:hAnsi="Arial"/>
                <w:sz w:val="14"/>
                <w:szCs w:val="14"/>
                <w:color w:val="auto"/>
              </w:rPr>
              <w:t>​</w:t>
            </w:r>
          </w:p>
        </w:tc>
        <w:tc>
          <w:tcPr>
            <w:tcW w:w="2280" w:type="dxa"/>
            <w:vAlign w:val="bottom"/>
          </w:tcPr>
          <w:p>
            <w:pPr>
              <w:ind w:left="740"/>
              <w:spacing w:after="0"/>
              <w:rPr>
                <w:sz w:val="20"/>
                <w:szCs w:val="20"/>
                <w:color w:val="auto"/>
              </w:rPr>
            </w:pPr>
            <w:r>
              <w:rPr>
                <w:rFonts w:ascii="Arial" w:cs="Arial" w:eastAsia="Arial" w:hAnsi="Arial"/>
                <w:sz w:val="16"/>
                <w:szCs w:val="16"/>
                <w:b w:val="1"/>
                <w:bCs w:val="1"/>
                <w:color w:val="auto"/>
              </w:rPr>
              <w:t>Delaware</w:t>
            </w:r>
          </w:p>
        </w:tc>
        <w:tc>
          <w:tcPr>
            <w:tcW w:w="700" w:type="dxa"/>
            <w:vAlign w:val="bottom"/>
          </w:tcPr>
          <w:p>
            <w:pPr>
              <w:ind w:left="220"/>
              <w:spacing w:after="0"/>
              <w:rPr>
                <w:sz w:val="20"/>
                <w:szCs w:val="20"/>
                <w:color w:val="auto"/>
              </w:rPr>
            </w:pPr>
            <w:r>
              <w:rPr>
                <w:rFonts w:ascii="Arial" w:cs="Arial" w:eastAsia="Arial" w:hAnsi="Arial"/>
                <w:sz w:val="14"/>
                <w:szCs w:val="14"/>
                <w:color w:val="auto"/>
              </w:rPr>
              <w:t>​ ​</w:t>
            </w:r>
          </w:p>
        </w:tc>
        <w:tc>
          <w:tcPr>
            <w:tcW w:w="326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ind w:left="380"/>
              <w:spacing w:after="0"/>
              <w:rPr>
                <w:sz w:val="20"/>
                <w:szCs w:val="20"/>
                <w:color w:val="auto"/>
              </w:rPr>
            </w:pPr>
            <w:r>
              <w:rPr>
                <w:rFonts w:ascii="Arial" w:cs="Arial" w:eastAsia="Arial" w:hAnsi="Arial"/>
                <w:sz w:val="14"/>
                <w:szCs w:val="14"/>
                <w:color w:val="auto"/>
              </w:rPr>
              <w:t>​ ​</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8"/>
              </w:rPr>
              <w:t>84-2040295</w:t>
            </w:r>
          </w:p>
        </w:tc>
        <w:tc>
          <w:tcPr>
            <w:tcW w:w="44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144"/>
        </w:trPr>
        <w:tc>
          <w:tcPr>
            <w:tcW w:w="240" w:type="dxa"/>
            <w:vAlign w:val="bottom"/>
          </w:tcPr>
          <w:p>
            <w:pPr>
              <w:spacing w:after="0"/>
              <w:rPr>
                <w:sz w:val="12"/>
                <w:szCs w:val="12"/>
                <w:color w:val="auto"/>
              </w:rPr>
            </w:pPr>
          </w:p>
        </w:tc>
        <w:tc>
          <w:tcPr>
            <w:tcW w:w="2280" w:type="dxa"/>
            <w:vAlign w:val="bottom"/>
          </w:tcPr>
          <w:p>
            <w:pPr>
              <w:ind w:left="200"/>
              <w:spacing w:after="0" w:line="145" w:lineRule="exact"/>
              <w:rPr>
                <w:sz w:val="20"/>
                <w:szCs w:val="20"/>
                <w:color w:val="auto"/>
              </w:rPr>
            </w:pPr>
            <w:r>
              <w:rPr>
                <w:rFonts w:ascii="Arial" w:cs="Arial" w:eastAsia="Arial" w:hAnsi="Arial"/>
                <w:sz w:val="14"/>
                <w:szCs w:val="14"/>
                <w:color w:val="auto"/>
              </w:rPr>
              <w:t>(State or other jurisdiction of</w:t>
            </w:r>
          </w:p>
        </w:tc>
        <w:tc>
          <w:tcPr>
            <w:tcW w:w="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20" w:type="dxa"/>
            <w:vAlign w:val="bottom"/>
          </w:tcPr>
          <w:p>
            <w:pPr>
              <w:jc w:val="center"/>
              <w:spacing w:after="0" w:line="145" w:lineRule="exact"/>
              <w:rPr>
                <w:sz w:val="20"/>
                <w:szCs w:val="20"/>
                <w:color w:val="auto"/>
              </w:rPr>
            </w:pPr>
            <w:r>
              <w:rPr>
                <w:rFonts w:ascii="Arial" w:cs="Arial" w:eastAsia="Arial" w:hAnsi="Arial"/>
                <w:sz w:val="14"/>
                <w:szCs w:val="14"/>
                <w:color w:val="auto"/>
              </w:rPr>
              <w:t>(I.R.S. Employer</w:t>
            </w:r>
          </w:p>
        </w:tc>
        <w:tc>
          <w:tcPr>
            <w:tcW w:w="440" w:type="dxa"/>
            <w:vAlign w:val="bottom"/>
          </w:tcPr>
          <w:p>
            <w:pPr>
              <w:spacing w:after="0"/>
              <w:rPr>
                <w:sz w:val="12"/>
                <w:szCs w:val="12"/>
                <w:color w:val="auto"/>
              </w:rPr>
            </w:pPr>
          </w:p>
        </w:tc>
      </w:tr>
      <w:tr>
        <w:trPr>
          <w:trHeight w:val="188"/>
        </w:trPr>
        <w:tc>
          <w:tcPr>
            <w:tcW w:w="240" w:type="dxa"/>
            <w:vAlign w:val="bottom"/>
          </w:tcPr>
          <w:p>
            <w:pPr>
              <w:spacing w:after="0"/>
              <w:rPr>
                <w:sz w:val="16"/>
                <w:szCs w:val="16"/>
                <w:color w:val="auto"/>
              </w:rPr>
            </w:pPr>
          </w:p>
        </w:tc>
        <w:tc>
          <w:tcPr>
            <w:tcW w:w="2280" w:type="dxa"/>
            <w:vAlign w:val="bottom"/>
          </w:tcPr>
          <w:p>
            <w:pPr>
              <w:ind w:left="180"/>
              <w:spacing w:after="0"/>
              <w:rPr>
                <w:sz w:val="20"/>
                <w:szCs w:val="20"/>
                <w:color w:val="auto"/>
              </w:rPr>
            </w:pPr>
            <w:r>
              <w:rPr>
                <w:rFonts w:ascii="Arial" w:cs="Arial" w:eastAsia="Arial" w:hAnsi="Arial"/>
                <w:sz w:val="14"/>
                <w:szCs w:val="14"/>
                <w:color w:val="auto"/>
              </w:rPr>
              <w:t>incorporation or organization)</w:t>
            </w: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Identification No.)</w:t>
            </w:r>
          </w:p>
        </w:tc>
        <w:tc>
          <w:tcPr>
            <w:tcW w:w="440" w:type="dxa"/>
            <w:vAlign w:val="bottom"/>
          </w:tcPr>
          <w:p>
            <w:pPr>
              <w:spacing w:after="0"/>
              <w:rPr>
                <w:sz w:val="16"/>
                <w:szCs w:val="16"/>
                <w:color w:val="auto"/>
              </w:rPr>
            </w:pPr>
          </w:p>
        </w:tc>
      </w:tr>
      <w:tr>
        <w:trPr>
          <w:trHeight w:val="217"/>
        </w:trPr>
        <w:tc>
          <w:tcPr>
            <w:tcW w:w="240" w:type="dxa"/>
            <w:vAlign w:val="bottom"/>
          </w:tcPr>
          <w:p>
            <w:pP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ind w:left="110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ind w:left="220"/>
              <w:spacing w:after="0"/>
              <w:rPr>
                <w:sz w:val="20"/>
                <w:szCs w:val="20"/>
                <w:color w:val="auto"/>
              </w:rPr>
            </w:pPr>
            <w:r>
              <w:rPr>
                <w:rFonts w:ascii="Arial" w:cs="Arial" w:eastAsia="Arial" w:hAnsi="Arial"/>
                <w:sz w:val="16"/>
                <w:szCs w:val="16"/>
                <w:b w:val="1"/>
                <w:bCs w:val="1"/>
                <w:color w:val="auto"/>
              </w:rPr>
              <w:t>​ ​</w:t>
            </w:r>
          </w:p>
        </w:tc>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9"/>
              </w:rPr>
              <w:t>25 North 38th Street, 11th Floor</w:t>
            </w:r>
          </w:p>
        </w:tc>
        <w:tc>
          <w:tcPr>
            <w:tcW w:w="92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r>
      <w:tr>
        <w:trPr>
          <w:trHeight w:val="162"/>
        </w:trPr>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Philadelphia, Pennsylvania 19104</w:t>
            </w:r>
          </w:p>
        </w:tc>
        <w:tc>
          <w:tcPr>
            <w:tcW w:w="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23"/>
        </w:trPr>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60" w:type="dxa"/>
            <w:vAlign w:val="bottom"/>
          </w:tcPr>
          <w:p>
            <w:pPr>
              <w:jc w:val="right"/>
              <w:ind w:right="1001"/>
              <w:spacing w:after="0"/>
              <w:rPr>
                <w:sz w:val="20"/>
                <w:szCs w:val="20"/>
                <w:color w:val="auto"/>
              </w:rPr>
            </w:pPr>
            <w:r>
              <w:rPr>
                <w:rFonts w:ascii="Arial" w:cs="Arial" w:eastAsia="Arial" w:hAnsi="Arial"/>
                <w:sz w:val="16"/>
                <w:szCs w:val="16"/>
                <w:b w:val="1"/>
                <w:bCs w:val="1"/>
                <w:color w:val="auto"/>
              </w:rPr>
              <w:t>(267) 817-5790</w:t>
            </w:r>
          </w:p>
        </w:tc>
        <w:tc>
          <w:tcPr>
            <w:tcW w:w="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30"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72390</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Brent Pfeiffenberger, Pharm.D.</w:t>
      </w:r>
    </w:p>
    <w:p>
      <w:pPr>
        <w:jc w:val="center"/>
        <w:ind w:right="-399"/>
        <w:spacing w:after="0" w:line="206"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399"/>
        <w:spacing w:after="0" w:line="226" w:lineRule="auto"/>
        <w:rPr>
          <w:sz w:val="20"/>
          <w:szCs w:val="20"/>
          <w:color w:val="auto"/>
        </w:rPr>
      </w:pPr>
      <w:r>
        <w:rPr>
          <w:rFonts w:ascii="Arial" w:cs="Arial" w:eastAsia="Arial" w:hAnsi="Arial"/>
          <w:sz w:val="15"/>
          <w:szCs w:val="15"/>
          <w:b w:val="1"/>
          <w:bCs w:val="1"/>
          <w:color w:val="auto"/>
        </w:rPr>
        <w:t>Century Therapeutics, Inc.</w:t>
      </w:r>
    </w:p>
    <w:p>
      <w:pPr>
        <w:jc w:val="center"/>
        <w:ind w:right="-399"/>
        <w:spacing w:after="0" w:line="206" w:lineRule="auto"/>
        <w:rPr>
          <w:sz w:val="20"/>
          <w:szCs w:val="20"/>
          <w:color w:val="auto"/>
        </w:rPr>
      </w:pPr>
      <w:r>
        <w:rPr>
          <w:rFonts w:ascii="Arial" w:cs="Arial" w:eastAsia="Arial" w:hAnsi="Arial"/>
          <w:sz w:val="15"/>
          <w:szCs w:val="15"/>
          <w:b w:val="1"/>
          <w:bCs w:val="1"/>
          <w:color w:val="auto"/>
        </w:rPr>
        <w:t>25 North 38th Street, 11th Floor</w:t>
      </w:r>
    </w:p>
    <w:p>
      <w:pPr>
        <w:jc w:val="center"/>
        <w:ind w:right="-399"/>
        <w:spacing w:after="0" w:line="207" w:lineRule="auto"/>
        <w:rPr>
          <w:sz w:val="20"/>
          <w:szCs w:val="20"/>
          <w:color w:val="auto"/>
        </w:rPr>
      </w:pPr>
      <w:r>
        <w:rPr>
          <w:rFonts w:ascii="Arial" w:cs="Arial" w:eastAsia="Arial" w:hAnsi="Arial"/>
          <w:sz w:val="15"/>
          <w:szCs w:val="15"/>
          <w:b w:val="1"/>
          <w:bCs w:val="1"/>
          <w:color w:val="auto"/>
        </w:rPr>
        <w:t>Philadelphia, Pennsylvania 19104</w:t>
      </w:r>
    </w:p>
    <w:p>
      <w:pPr>
        <w:jc w:val="center"/>
        <w:ind w:right="-459"/>
        <w:spacing w:after="0" w:line="228" w:lineRule="auto"/>
        <w:rPr>
          <w:sz w:val="20"/>
          <w:szCs w:val="20"/>
          <w:color w:val="auto"/>
        </w:rPr>
      </w:pPr>
      <w:r>
        <w:rPr>
          <w:rFonts w:ascii="Arial" w:cs="Arial" w:eastAsia="Arial" w:hAnsi="Arial"/>
          <w:sz w:val="15"/>
          <w:szCs w:val="15"/>
          <w:b w:val="1"/>
          <w:bCs w:val="1"/>
          <w:color w:val="auto"/>
        </w:rPr>
        <w:t>(267) 817-5790</w:t>
      </w:r>
    </w:p>
    <w:p>
      <w:pPr>
        <w:jc w:val="center"/>
        <w:ind w:right="-4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71120</wp:posOffset>
            </wp:positionV>
            <wp:extent cx="1371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69"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i w:val="1"/>
          <w:iCs w:val="1"/>
          <w:color w:val="auto"/>
        </w:rPr>
        <w:t>Copies to:</w:t>
      </w:r>
    </w:p>
    <w:p>
      <w:pPr>
        <w:spacing w:after="0" w:line="20"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Rachael M. Bushey, Esq.</w:t>
      </w:r>
    </w:p>
    <w:p>
      <w:pPr>
        <w:jc w:val="center"/>
        <w:ind w:right="-399"/>
        <w:spacing w:after="0" w:line="206" w:lineRule="auto"/>
        <w:rPr>
          <w:sz w:val="20"/>
          <w:szCs w:val="20"/>
          <w:color w:val="auto"/>
        </w:rPr>
      </w:pPr>
      <w:r>
        <w:rPr>
          <w:rFonts w:ascii="Arial" w:cs="Arial" w:eastAsia="Arial" w:hAnsi="Arial"/>
          <w:sz w:val="15"/>
          <w:szCs w:val="15"/>
          <w:b w:val="1"/>
          <w:bCs w:val="1"/>
          <w:color w:val="auto"/>
        </w:rPr>
        <w:t>Jennifer L. Porter, Esq.</w:t>
      </w:r>
    </w:p>
    <w:p>
      <w:pPr>
        <w:jc w:val="center"/>
        <w:ind w:right="-399"/>
        <w:spacing w:after="0" w:line="226" w:lineRule="auto"/>
        <w:rPr>
          <w:sz w:val="20"/>
          <w:szCs w:val="20"/>
          <w:color w:val="auto"/>
        </w:rPr>
      </w:pPr>
      <w:r>
        <w:rPr>
          <w:rFonts w:ascii="Arial" w:cs="Arial" w:eastAsia="Arial" w:hAnsi="Arial"/>
          <w:sz w:val="15"/>
          <w:szCs w:val="15"/>
          <w:b w:val="1"/>
          <w:bCs w:val="1"/>
          <w:color w:val="auto"/>
        </w:rPr>
        <w:t>Justin Platt, Esq.</w:t>
      </w:r>
    </w:p>
    <w:p>
      <w:pPr>
        <w:jc w:val="center"/>
        <w:ind w:right="-399"/>
        <w:spacing w:after="0" w:line="206" w:lineRule="auto"/>
        <w:rPr>
          <w:sz w:val="20"/>
          <w:szCs w:val="20"/>
          <w:color w:val="auto"/>
        </w:rPr>
      </w:pPr>
      <w:r>
        <w:rPr>
          <w:rFonts w:ascii="Arial" w:cs="Arial" w:eastAsia="Arial" w:hAnsi="Arial"/>
          <w:sz w:val="15"/>
          <w:szCs w:val="15"/>
          <w:b w:val="1"/>
          <w:bCs w:val="1"/>
          <w:color w:val="auto"/>
        </w:rPr>
        <w:t>Goodwin Procter LLP</w:t>
      </w:r>
    </w:p>
    <w:p>
      <w:pPr>
        <w:jc w:val="center"/>
        <w:ind w:right="-399"/>
        <w:spacing w:after="0" w:line="207" w:lineRule="auto"/>
        <w:rPr>
          <w:sz w:val="20"/>
          <w:szCs w:val="20"/>
          <w:color w:val="auto"/>
        </w:rPr>
      </w:pPr>
      <w:r>
        <w:rPr>
          <w:rFonts w:ascii="Arial" w:cs="Arial" w:eastAsia="Arial" w:hAnsi="Arial"/>
          <w:sz w:val="15"/>
          <w:szCs w:val="15"/>
          <w:b w:val="1"/>
          <w:bCs w:val="1"/>
          <w:color w:val="auto"/>
        </w:rPr>
        <w:t>3025 John F Kennedy Blvd</w:t>
      </w:r>
    </w:p>
    <w:p>
      <w:pPr>
        <w:jc w:val="center"/>
        <w:ind w:right="-399"/>
        <w:spacing w:after="0" w:line="225" w:lineRule="auto"/>
        <w:rPr>
          <w:sz w:val="20"/>
          <w:szCs w:val="20"/>
          <w:color w:val="auto"/>
        </w:rPr>
      </w:pPr>
      <w:r>
        <w:rPr>
          <w:rFonts w:ascii="Arial" w:cs="Arial" w:eastAsia="Arial" w:hAnsi="Arial"/>
          <w:sz w:val="15"/>
          <w:szCs w:val="15"/>
          <w:b w:val="1"/>
          <w:bCs w:val="1"/>
          <w:color w:val="auto"/>
        </w:rPr>
        <w:t>Philadelphia, PA 19104</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(445) 207-7800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64135</wp:posOffset>
            </wp:positionV>
            <wp:extent cx="137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3" w:lineRule="exact"/>
        <w:rPr>
          <w:sz w:val="24"/>
          <w:szCs w:val="24"/>
          <w:color w:val="auto"/>
        </w:rPr>
      </w:pPr>
    </w:p>
    <w:p>
      <w:pPr>
        <w:ind w:left="500"/>
        <w:spacing w:after="0"/>
        <w:rPr>
          <w:sz w:val="20"/>
          <w:szCs w:val="20"/>
          <w:color w:val="auto"/>
        </w:rPr>
      </w:pPr>
      <w:r>
        <w:rPr>
          <w:rFonts w:ascii="Arial" w:cs="Arial" w:eastAsia="Arial" w:hAnsi="Arial"/>
          <w:sz w:val="15"/>
          <w:szCs w:val="15"/>
          <w:b w:val="1"/>
          <w:bCs w:val="1"/>
          <w:color w:val="auto"/>
        </w:rPr>
        <w:t>Approximate date of commencement of proposed sale to the public</w:t>
      </w:r>
      <w:r>
        <w:rPr>
          <w:rFonts w:ascii="Arial" w:cs="Arial" w:eastAsia="Arial" w:hAnsi="Arial"/>
          <w:sz w:val="15"/>
          <w:szCs w:val="15"/>
          <w:color w:val="auto"/>
        </w:rPr>
        <w:t>: From time to time after the effective date of this Registration Statement.</w:t>
      </w:r>
    </w:p>
    <w:p>
      <w:pPr>
        <w:spacing w:after="0" w:line="73" w:lineRule="exact"/>
        <w:rPr>
          <w:sz w:val="24"/>
          <w:szCs w:val="24"/>
          <w:color w:val="auto"/>
        </w:rPr>
      </w:pPr>
    </w:p>
    <w:p>
      <w:pPr>
        <w:ind w:left="500" w:right="660"/>
        <w:spacing w:after="0" w:line="186"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1" w:lineRule="exact"/>
        <w:rPr>
          <w:sz w:val="24"/>
          <w:szCs w:val="24"/>
          <w:color w:val="auto"/>
        </w:rPr>
      </w:pPr>
    </w:p>
    <w:p>
      <w:pPr>
        <w:ind w:left="500" w:right="100"/>
        <w:spacing w:after="0" w:line="223" w:lineRule="auto"/>
        <w:rPr>
          <w:sz w:val="20"/>
          <w:szCs w:val="20"/>
          <w:color w:val="auto"/>
        </w:rPr>
      </w:pPr>
      <w:r>
        <w:rPr>
          <w:rFonts w:ascii="Arial" w:cs="Arial" w:eastAsia="Arial" w:hAnsi="Arial"/>
          <w:sz w:val="15"/>
          <w:szCs w:val="15"/>
          <w:color w:val="auto"/>
        </w:rPr>
        <w:t>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w:t>
      </w:r>
    </w:p>
    <w:p>
      <w:pPr>
        <w:ind w:left="500"/>
        <w:spacing w:after="0" w:line="173" w:lineRule="exact"/>
        <w:tabs>
          <w:tab w:leader="none" w:pos="1760" w:val="left"/>
        </w:tabs>
        <w:rPr>
          <w:sz w:val="20"/>
          <w:szCs w:val="20"/>
          <w:color w:val="auto"/>
        </w:rPr>
      </w:pPr>
      <w:r>
        <w:rPr>
          <w:rFonts w:ascii="Arial" w:cs="Arial" w:eastAsia="Arial" w:hAnsi="Arial"/>
          <w:sz w:val="15"/>
          <w:szCs w:val="15"/>
          <w:color w:val="auto"/>
        </w:rPr>
        <w:t>the following box.</w:t>
      </w:r>
      <w:r>
        <w:rPr>
          <w:sz w:val="20"/>
          <w:szCs w:val="20"/>
          <w:color w:val="auto"/>
        </w:rPr>
        <w:tab/>
      </w:r>
      <w:r>
        <w:rPr>
          <w:rFonts w:ascii="MS PGothic" w:cs="MS PGothic" w:eastAsia="MS PGothic" w:hAnsi="MS PGothic"/>
          <w:sz w:val="14"/>
          <w:szCs w:val="14"/>
          <w:color w:val="auto"/>
        </w:rPr>
        <w:t>☒</w:t>
      </w:r>
    </w:p>
    <w:p>
      <w:pPr>
        <w:spacing w:after="0" w:line="60" w:lineRule="exact"/>
        <w:rPr>
          <w:sz w:val="24"/>
          <w:szCs w:val="24"/>
          <w:color w:val="auto"/>
        </w:rPr>
      </w:pPr>
    </w:p>
    <w:p>
      <w:pPr>
        <w:ind w:left="500" w:right="160"/>
        <w:spacing w:after="0" w:line="186"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1" w:lineRule="exact"/>
        <w:rPr>
          <w:sz w:val="24"/>
          <w:szCs w:val="24"/>
          <w:color w:val="auto"/>
        </w:rPr>
      </w:pPr>
    </w:p>
    <w:p>
      <w:pPr>
        <w:ind w:left="500" w:right="60"/>
        <w:spacing w:after="0" w:line="186"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1" w:lineRule="exact"/>
        <w:rPr>
          <w:sz w:val="24"/>
          <w:szCs w:val="24"/>
          <w:color w:val="auto"/>
        </w:rPr>
      </w:pPr>
    </w:p>
    <w:p>
      <w:pPr>
        <w:ind w:left="500" w:right="120"/>
        <w:spacing w:after="0" w:line="192"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21" w:lineRule="exact"/>
        <w:rPr>
          <w:sz w:val="24"/>
          <w:szCs w:val="24"/>
          <w:color w:val="auto"/>
        </w:rPr>
      </w:pPr>
    </w:p>
    <w:p>
      <w:pPr>
        <w:ind w:left="500" w:right="140"/>
        <w:spacing w:after="0" w:line="186"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21" w:lineRule="exact"/>
        <w:rPr>
          <w:sz w:val="24"/>
          <w:szCs w:val="24"/>
          <w:color w:val="auto"/>
        </w:rPr>
      </w:pPr>
    </w:p>
    <w:p>
      <w:pPr>
        <w:ind w:left="500" w:right="40"/>
        <w:spacing w:after="0" w:line="22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5"/>
          <w:szCs w:val="15"/>
          <w:color w:val="auto"/>
        </w:rPr>
        <w:t>growth company” in Rule 12b-2 of the Exchange Act.</w:t>
      </w:r>
    </w:p>
    <w:p>
      <w:pPr>
        <w:spacing w:after="0" w:line="51" w:lineRule="exact"/>
        <w:rPr>
          <w:sz w:val="24"/>
          <w:szCs w:val="24"/>
          <w:color w:val="auto"/>
        </w:rPr>
      </w:pPr>
    </w:p>
    <w:tbl>
      <w:tblPr>
        <w:tblLayout w:type="fixed"/>
        <w:tblInd w:w="86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gridSpan w:val="2"/>
          </w:tcPr>
          <w:p>
            <w:pPr>
              <w:ind w:left="2260"/>
              <w:spacing w:after="0"/>
              <w:rPr>
                <w:sz w:val="20"/>
                <w:szCs w:val="20"/>
                <w:color w:val="auto"/>
              </w:rPr>
            </w:pPr>
            <w:r>
              <w:rPr>
                <w:rFonts w:ascii="Arial" w:cs="Arial" w:eastAsia="Arial" w:hAnsi="Arial"/>
                <w:sz w:val="16"/>
                <w:szCs w:val="16"/>
                <w:color w:val="auto"/>
              </w:rPr>
              <w:t>​ ​ Accelerated filer</w:t>
            </w:r>
          </w:p>
        </w:tc>
        <w:tc>
          <w:tcPr>
            <w:tcW w:w="340" w:type="dxa"/>
            <w:vAlign w:val="bottom"/>
            <w:gridSpan w:val="2"/>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68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254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2260"/>
              <w:spacing w:after="0" w:line="162" w:lineRule="exact"/>
              <w:rPr>
                <w:sz w:val="20"/>
                <w:szCs w:val="20"/>
                <w:color w:val="auto"/>
              </w:rPr>
            </w:pPr>
            <w:r>
              <w:rPr>
                <w:rFonts w:ascii="Arial" w:cs="Arial" w:eastAsia="Arial" w:hAnsi="Arial"/>
                <w:sz w:val="16"/>
                <w:szCs w:val="16"/>
                <w:color w:val="auto"/>
              </w:rPr>
              <w:t>​ ​</w:t>
            </w:r>
          </w:p>
        </w:tc>
        <w:tc>
          <w:tcPr>
            <w:tcW w:w="2060" w:type="dxa"/>
            <w:vAlign w:val="bottom"/>
            <w:vMerge w:val="restart"/>
          </w:tcPr>
          <w:p>
            <w:pPr>
              <w:ind w:left="20"/>
              <w:spacing w:after="0"/>
              <w:rPr>
                <w:sz w:val="20"/>
                <w:szCs w:val="20"/>
                <w:color w:val="auto"/>
              </w:rPr>
            </w:pPr>
            <w:r>
              <w:rPr>
                <w:rFonts w:ascii="Arial" w:cs="Arial" w:eastAsia="Arial" w:hAnsi="Arial"/>
                <w:sz w:val="16"/>
                <w:szCs w:val="16"/>
                <w:color w:val="auto"/>
              </w:rPr>
              <w:t>Smaller reporting company</w:t>
            </w:r>
          </w:p>
        </w:tc>
        <w:tc>
          <w:tcPr>
            <w:tcW w:w="28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680" w:type="dxa"/>
            <w:vAlign w:val="bottom"/>
          </w:tcPr>
          <w:p>
            <w:pPr>
              <w:spacing w:after="0" w:line="27" w:lineRule="exact"/>
              <w:rPr>
                <w:sz w:val="20"/>
                <w:szCs w:val="20"/>
                <w:color w:val="auto"/>
              </w:rPr>
            </w:pPr>
            <w:r>
              <w:rPr>
                <w:rFonts w:ascii="Arial" w:cs="Arial" w:eastAsia="Arial" w:hAnsi="Arial"/>
                <w:sz w:val="3"/>
                <w:szCs w:val="3"/>
                <w:color w:val="auto"/>
              </w:rPr>
              <w:t>Non-accelerated filer</w:t>
            </w:r>
          </w:p>
        </w:tc>
        <w:tc>
          <w:tcPr>
            <w:tcW w:w="2540" w:type="dxa"/>
            <w:vAlign w:val="bottom"/>
            <w:vMerge w:val="continue"/>
          </w:tcPr>
          <w:p>
            <w:pPr>
              <w:spacing w:after="0"/>
              <w:rPr>
                <w:sz w:val="2"/>
                <w:szCs w:val="2"/>
                <w:color w:val="auto"/>
              </w:rPr>
            </w:pPr>
          </w:p>
        </w:tc>
        <w:tc>
          <w:tcPr>
            <w:tcW w:w="2440" w:type="dxa"/>
            <w:vAlign w:val="bottom"/>
          </w:tcPr>
          <w:p>
            <w:pPr>
              <w:spacing w:after="0"/>
              <w:rPr>
                <w:sz w:val="2"/>
                <w:szCs w:val="2"/>
                <w:color w:val="auto"/>
              </w:rPr>
            </w:pPr>
          </w:p>
        </w:tc>
        <w:tc>
          <w:tcPr>
            <w:tcW w:w="206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680" w:type="dxa"/>
            <w:vAlign w:val="bottom"/>
          </w:tcPr>
          <w:p>
            <w:pPr>
              <w:spacing w:after="0"/>
              <w:rPr>
                <w:sz w:val="20"/>
                <w:szCs w:val="20"/>
                <w:color w:val="auto"/>
              </w:rPr>
            </w:pPr>
            <w:r>
              <w:rPr>
                <w:rFonts w:ascii="Arial" w:cs="Arial" w:eastAsia="Arial" w:hAnsi="Arial"/>
                <w:sz w:val="16"/>
                <w:szCs w:val="16"/>
                <w:color w:val="auto"/>
              </w:rPr>
              <w:t>​</w:t>
            </w:r>
          </w:p>
        </w:tc>
        <w:tc>
          <w:tcPr>
            <w:tcW w:w="2540" w:type="dxa"/>
            <w:vAlign w:val="bottom"/>
          </w:tcPr>
          <w:p>
            <w:pPr>
              <w:spacing w:after="0"/>
              <w:rPr>
                <w:sz w:val="23"/>
                <w:szCs w:val="23"/>
                <w:color w:val="auto"/>
              </w:rPr>
            </w:pPr>
          </w:p>
        </w:tc>
        <w:tc>
          <w:tcPr>
            <w:tcW w:w="4500" w:type="dxa"/>
            <w:vAlign w:val="bottom"/>
            <w:gridSpan w:val="2"/>
          </w:tcPr>
          <w:p>
            <w:pPr>
              <w:ind w:left="2260"/>
              <w:spacing w:after="0"/>
              <w:rPr>
                <w:sz w:val="20"/>
                <w:szCs w:val="20"/>
                <w:color w:val="auto"/>
              </w:rPr>
            </w:pPr>
            <w:r>
              <w:rPr>
                <w:rFonts w:ascii="Arial" w:cs="Arial" w:eastAsia="Arial" w:hAnsi="Arial"/>
                <w:sz w:val="16"/>
                <w:szCs w:val="16"/>
                <w:color w:val="auto"/>
              </w:rPr>
              <w:t>​ ​ Emerging growth company</w:t>
            </w:r>
          </w:p>
        </w:tc>
        <w:tc>
          <w:tcPr>
            <w:tcW w:w="340" w:type="dxa"/>
            <w:vAlign w:val="bottom"/>
            <w:gridSpan w:val="2"/>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500" w:right="260"/>
        <w:spacing w:after="0" w:line="18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50165</wp:posOffset>
            </wp:positionV>
            <wp:extent cx="1371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0" w:lineRule="exact"/>
        <w:rPr>
          <w:sz w:val="24"/>
          <w:szCs w:val="24"/>
          <w:color w:val="auto"/>
        </w:rPr>
      </w:pPr>
    </w:p>
    <w:p>
      <w:pPr>
        <w:ind w:left="500" w:right="100"/>
        <w:spacing w:after="0" w:line="220"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5"/>
          <w:szCs w:val="15"/>
          <w:b w:val="1"/>
          <w:bCs w:val="1"/>
          <w:color w:val="auto"/>
        </w:rPr>
        <w:t>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38100</wp:posOffset>
            </wp:positionV>
            <wp:extent cx="61893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2" w:lineRule="exact"/>
        <w:rPr>
          <w:sz w:val="20"/>
          <w:szCs w:val="20"/>
          <w:color w:val="auto"/>
        </w:rPr>
      </w:pPr>
    </w:p>
    <w:tbl>
      <w:tblPr>
        <w:tblLayout w:type="fixed"/>
        <w:tblInd w:w="880" w:type="dxa"/>
        <w:tblCellMar>
          <w:top w:w="0" w:type="dxa"/>
          <w:left w:w="0" w:type="dxa"/>
          <w:bottom w:w="0" w:type="dxa"/>
          <w:right w:w="0" w:type="dxa"/>
        </w:tblCellMar>
      </w:tblPr>
      <w:tr>
        <w:trPr>
          <w:trHeight w:val="167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Exchange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permitted.</w:t>
            </w:r>
          </w:p>
        </w:tc>
      </w:tr>
      <w:tr>
        <w:trPr>
          <w:trHeight w:val="416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be sold until the registration statement filed with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 in any jurisdiction where the offer or sale</w:t>
            </w:r>
          </w:p>
        </w:tc>
      </w:tr>
      <w:tr>
        <w:trPr>
          <w:trHeight w:val="263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 changed. These securities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 sell nor does it seek an offer to</w:t>
            </w:r>
          </w:p>
        </w:tc>
      </w:tr>
      <w:tr>
        <w:trPr>
          <w:trHeight w:val="64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an</w:t>
            </w:r>
          </w:p>
        </w:tc>
      </w:tr>
      <w:tr>
        <w:trPr>
          <w:trHeight w:val="359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2300" w:type="dxa"/>
            <w:vAlign w:val="bottom"/>
          </w:tcPr>
          <w:p>
            <w:pPr>
              <w:spacing w:after="0"/>
              <w:rPr>
                <w:sz w:val="20"/>
                <w:szCs w:val="20"/>
                <w:color w:val="auto"/>
              </w:rPr>
            </w:pPr>
            <w:r>
              <w:rPr>
                <w:rFonts w:ascii="Arial" w:cs="Arial" w:eastAsia="Arial" w:hAnsi="Arial"/>
                <w:sz w:val="18"/>
                <w:szCs w:val="18"/>
                <w:b w:val="1"/>
                <w:bCs w:val="1"/>
                <w:color w:val="F45269"/>
              </w:rPr>
              <w:t>PROSPECTUS</w:t>
            </w:r>
          </w:p>
        </w:tc>
        <w:tc>
          <w:tcPr>
            <w:tcW w:w="5920" w:type="dxa"/>
            <w:vAlign w:val="bottom"/>
          </w:tcPr>
          <w:p>
            <w:pPr>
              <w:jc w:val="right"/>
              <w:spacing w:after="0"/>
              <w:rPr>
                <w:sz w:val="20"/>
                <w:szCs w:val="20"/>
                <w:color w:val="auto"/>
              </w:rPr>
            </w:pPr>
            <w:r>
              <w:rPr>
                <w:rFonts w:ascii="Arial" w:cs="Arial" w:eastAsia="Arial" w:hAnsi="Arial"/>
                <w:sz w:val="18"/>
                <w:szCs w:val="18"/>
                <w:b w:val="1"/>
                <w:bCs w:val="1"/>
                <w:color w:val="F45269"/>
              </w:rPr>
              <w:t>Subject to Completion, dated July 10, 2025</w:t>
            </w:r>
          </w:p>
        </w:tc>
        <w:tc>
          <w:tcPr>
            <w:tcW w:w="0" w:type="dxa"/>
            <w:vAlign w:val="bottom"/>
          </w:tcPr>
          <w:p>
            <w:pPr>
              <w:spacing w:after="0"/>
              <w:rPr>
                <w:sz w:val="1"/>
                <w:szCs w:val="1"/>
                <w:color w:val="auto"/>
              </w:rPr>
            </w:pPr>
          </w:p>
        </w:tc>
      </w:tr>
      <w:tr>
        <w:trPr>
          <w:trHeight w:val="98"/>
        </w:trPr>
        <w:tc>
          <w:tcPr>
            <w:tcW w:w="2300" w:type="dxa"/>
            <w:vAlign w:val="bottom"/>
          </w:tcPr>
          <w:p>
            <w:pPr>
              <w:spacing w:after="0"/>
              <w:rPr>
                <w:sz w:val="20"/>
                <w:szCs w:val="20"/>
                <w:color w:val="auto"/>
              </w:rPr>
            </w:pPr>
            <w:r>
              <w:rPr>
                <w:rFonts w:ascii="Arial" w:cs="Arial" w:eastAsia="Arial" w:hAnsi="Arial"/>
                <w:sz w:val="5"/>
                <w:szCs w:val="5"/>
                <w:color w:val="auto"/>
              </w:rPr>
              <w:t>​</w:t>
            </w:r>
          </w:p>
        </w:tc>
        <w:tc>
          <w:tcPr>
            <w:tcW w:w="5920" w:type="dxa"/>
            <w:vAlign w:val="bottom"/>
            <w:vMerge w:val="restart"/>
          </w:tcPr>
          <w:p>
            <w:pPr>
              <w:jc w:val="right"/>
              <w:ind w:right="3252"/>
              <w:spacing w:after="0"/>
              <w:rPr>
                <w:sz w:val="20"/>
                <w:szCs w:val="20"/>
                <w:color w:val="auto"/>
              </w:rPr>
            </w:pPr>
            <w:r>
              <w:rPr>
                <w:rFonts w:ascii="Arial" w:cs="Arial" w:eastAsia="Arial" w:hAnsi="Arial"/>
                <w:sz w:val="25"/>
                <w:szCs w:val="25"/>
                <w:b w:val="1"/>
                <w:bCs w:val="1"/>
                <w:color w:val="auto"/>
              </w:rPr>
              <w:t>$200,000,000</w:t>
            </w:r>
          </w:p>
        </w:tc>
        <w:tc>
          <w:tcPr>
            <w:tcW w:w="0" w:type="dxa"/>
            <w:vAlign w:val="bottom"/>
          </w:tcPr>
          <w:p>
            <w:pPr>
              <w:spacing w:after="0"/>
              <w:rPr>
                <w:sz w:val="1"/>
                <w:szCs w:val="1"/>
                <w:color w:val="auto"/>
              </w:rPr>
            </w:pPr>
          </w:p>
        </w:tc>
      </w:tr>
      <w:tr>
        <w:trPr>
          <w:trHeight w:val="483"/>
        </w:trPr>
        <w:tc>
          <w:tcPr>
            <w:tcW w:w="230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-325120</wp:posOffset>
            </wp:positionV>
            <wp:extent cx="521208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3429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69215</wp:posOffset>
            </wp:positionV>
            <wp:extent cx="2768600" cy="745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860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jc w:val="center"/>
        <w:ind w:right="159"/>
        <w:spacing w:after="0" w:line="225" w:lineRule="auto"/>
        <w:rPr>
          <w:sz w:val="20"/>
          <w:szCs w:val="20"/>
          <w:color w:val="auto"/>
        </w:rPr>
      </w:pPr>
      <w:r>
        <w:rPr>
          <w:rFonts w:ascii="Arial" w:cs="Arial" w:eastAsia="Arial" w:hAnsi="Arial"/>
          <w:sz w:val="25"/>
          <w:szCs w:val="25"/>
          <w:b w:val="1"/>
          <w:bCs w:val="1"/>
          <w:color w:val="auto"/>
        </w:rPr>
        <w:t>Debt Securities</w:t>
      </w:r>
    </w:p>
    <w:p>
      <w:pPr>
        <w:jc w:val="center"/>
        <w:ind w:right="159"/>
        <w:spacing w:after="0" w:line="237" w:lineRule="auto"/>
        <w:rPr>
          <w:sz w:val="20"/>
          <w:szCs w:val="20"/>
          <w:color w:val="auto"/>
        </w:rPr>
      </w:pPr>
      <w:r>
        <w:rPr>
          <w:rFonts w:ascii="Arial" w:cs="Arial" w:eastAsia="Arial" w:hAnsi="Arial"/>
          <w:sz w:val="25"/>
          <w:szCs w:val="25"/>
          <w:b w:val="1"/>
          <w:bCs w:val="1"/>
          <w:color w:val="auto"/>
        </w:rPr>
        <w:t>Warrants</w:t>
      </w:r>
    </w:p>
    <w:p>
      <w:pPr>
        <w:jc w:val="center"/>
        <w:ind w:right="159"/>
        <w:spacing w:after="0" w:line="236" w:lineRule="auto"/>
        <w:rPr>
          <w:sz w:val="20"/>
          <w:szCs w:val="20"/>
          <w:color w:val="auto"/>
        </w:rPr>
      </w:pPr>
      <w:r>
        <w:rPr>
          <w:rFonts w:ascii="Arial" w:cs="Arial" w:eastAsia="Arial" w:hAnsi="Arial"/>
          <w:sz w:val="25"/>
          <w:szCs w:val="25"/>
          <w:b w:val="1"/>
          <w:bCs w:val="1"/>
          <w:color w:val="auto"/>
        </w:rPr>
        <w:t>Units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159385</wp:posOffset>
            </wp:positionV>
            <wp:extent cx="1371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139"/>
        <w:spacing w:after="0" w:line="233" w:lineRule="auto"/>
        <w:rPr>
          <w:sz w:val="20"/>
          <w:szCs w:val="20"/>
          <w:color w:val="auto"/>
        </w:rPr>
      </w:pPr>
      <w:r>
        <w:rPr>
          <w:rFonts w:ascii="Arial" w:cs="Arial" w:eastAsia="Arial" w:hAnsi="Arial"/>
          <w:sz w:val="18"/>
          <w:szCs w:val="18"/>
          <w:color w:val="auto"/>
        </w:rPr>
        <w:t>We may offer and sell up to $200,000,000 in the aggregate of the securities identified above from time to time in one or more offerings, separately or together in any combination, in one or more classes or series, in amounts, at prices and on terms to be determined at the time of any such offering. This prospectus provides you with a general description of the securities.</w:t>
      </w:r>
    </w:p>
    <w:p>
      <w:pPr>
        <w:spacing w:after="0" w:line="101" w:lineRule="exact"/>
        <w:rPr>
          <w:sz w:val="20"/>
          <w:szCs w:val="20"/>
          <w:color w:val="auto"/>
        </w:rPr>
      </w:pPr>
    </w:p>
    <w:p>
      <w:pPr>
        <w:ind w:right="359"/>
        <w:spacing w:after="0" w:line="230"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88" w:lineRule="exact"/>
        <w:rPr>
          <w:sz w:val="20"/>
          <w:szCs w:val="20"/>
          <w:color w:val="auto"/>
        </w:rPr>
      </w:pPr>
    </w:p>
    <w:p>
      <w:pPr>
        <w:ind w:right="119"/>
        <w:spacing w:after="0" w:line="225"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03" w:lineRule="exact"/>
        <w:rPr>
          <w:sz w:val="20"/>
          <w:szCs w:val="20"/>
          <w:color w:val="auto"/>
        </w:rPr>
      </w:pPr>
    </w:p>
    <w:p>
      <w:pPr>
        <w:ind w:right="139"/>
        <w:spacing w:after="0" w:line="230" w:lineRule="auto"/>
        <w:rPr>
          <w:sz w:val="20"/>
          <w:szCs w:val="20"/>
          <w:color w:val="auto"/>
        </w:rPr>
      </w:pPr>
      <w:r>
        <w:rPr>
          <w:rFonts w:ascii="Arial" w:cs="Arial" w:eastAsia="Arial" w:hAnsi="Arial"/>
          <w:sz w:val="18"/>
          <w:szCs w:val="18"/>
          <w:color w:val="auto"/>
        </w:rPr>
        <w:t>Our common stock is listed on the Nasdaq Global Select Market, or Nasdaq, under the symbol “IPSC.” On July 9, 2025, the last reported sale price of our common stock on Nasdaq was $[             ] per share.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136525</wp:posOffset>
            </wp:positionV>
            <wp:extent cx="13716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79" w:lineRule="exact"/>
        <w:rPr>
          <w:sz w:val="20"/>
          <w:szCs w:val="20"/>
          <w:color w:val="auto"/>
        </w:rPr>
      </w:pPr>
    </w:p>
    <w:p>
      <w:pPr>
        <w:ind w:right="119"/>
        <w:spacing w:after="0" w:line="237" w:lineRule="auto"/>
        <w:rPr>
          <w:sz w:val="20"/>
          <w:szCs w:val="20"/>
          <w:color w:val="auto"/>
        </w:rPr>
      </w:pPr>
      <w:r>
        <w:rPr>
          <w:rFonts w:ascii="Arial" w:cs="Arial" w:eastAsia="Arial" w:hAnsi="Arial"/>
          <w:sz w:val="18"/>
          <w:szCs w:val="18"/>
          <w:b w:val="1"/>
          <w:bCs w:val="1"/>
          <w:color w:val="auto"/>
        </w:rPr>
        <w:t>We are an emerging growth company and a smaller reporting company as defined under federal securities laws and, as such, may elect to comply with certain reduced public company</w:t>
      </w:r>
    </w:p>
    <w:p>
      <w:pPr>
        <w:spacing w:after="0" w:line="1" w:lineRule="exact"/>
        <w:rPr>
          <w:sz w:val="20"/>
          <w:szCs w:val="20"/>
          <w:color w:val="auto"/>
        </w:rPr>
      </w:pPr>
    </w:p>
    <w:p>
      <w:pPr>
        <w:ind w:right="379"/>
        <w:spacing w:after="0" w:line="260" w:lineRule="auto"/>
        <w:rPr>
          <w:sz w:val="20"/>
          <w:szCs w:val="20"/>
          <w:color w:val="auto"/>
        </w:rPr>
      </w:pPr>
      <w:r>
        <w:rPr>
          <w:rFonts w:ascii="Arial" w:cs="Arial" w:eastAsia="Arial" w:hAnsi="Arial"/>
          <w:sz w:val="18"/>
          <w:szCs w:val="18"/>
          <w:b w:val="1"/>
          <w:bCs w:val="1"/>
          <w:color w:val="auto"/>
        </w:rPr>
        <w:t>reporting requirements for future filings. See “Prospectus Summary-Implications of Being an Emerging Growth Company and Smaller Reporting Company.”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SECURITIES INVOLVES RISKS. SEE THE “RISK FACTORS” ON PAGE OF THIS</w:t>
      </w:r>
    </w:p>
    <w:p>
      <w:pPr>
        <w:spacing w:after="0" w:line="25" w:lineRule="exact"/>
        <w:rPr>
          <w:sz w:val="20"/>
          <w:szCs w:val="20"/>
          <w:color w:val="auto"/>
        </w:rPr>
      </w:pPr>
    </w:p>
    <w:p>
      <w:pPr>
        <w:ind w:right="479"/>
        <w:spacing w:after="0"/>
        <w:rPr>
          <w:sz w:val="20"/>
          <w:szCs w:val="20"/>
          <w:color w:val="auto"/>
        </w:rPr>
      </w:pPr>
      <w:r>
        <w:rPr>
          <w:rFonts w:ascii="Arial" w:cs="Arial" w:eastAsia="Arial" w:hAnsi="Arial"/>
          <w:sz w:val="17"/>
          <w:szCs w:val="17"/>
          <w:b w:val="1"/>
          <w:bCs w:val="1"/>
          <w:color w:val="auto"/>
        </w:rPr>
        <w:t>PROSPECTUS AND ANY SIMILAR SECTION CONTAINED IN THE APPLICABLE PROSPECTUS SUPPLEMENT OR IN ANY DOCUMENTS INCORPORATED BY REFERENCE HEREIN AND</w:t>
      </w:r>
    </w:p>
    <w:p>
      <w:pPr>
        <w:spacing w:after="0" w:line="1" w:lineRule="exact"/>
        <w:rPr>
          <w:sz w:val="20"/>
          <w:szCs w:val="20"/>
          <w:color w:val="auto"/>
        </w:rPr>
      </w:pPr>
    </w:p>
    <w:p>
      <w:pPr>
        <w:ind w:right="719"/>
        <w:spacing w:after="0" w:line="260" w:lineRule="auto"/>
        <w:rPr>
          <w:sz w:val="20"/>
          <w:szCs w:val="20"/>
          <w:color w:val="auto"/>
        </w:rPr>
      </w:pPr>
      <w:r>
        <w:rPr>
          <w:rFonts w:ascii="Arial" w:cs="Arial" w:eastAsia="Arial" w:hAnsi="Arial"/>
          <w:sz w:val="18"/>
          <w:szCs w:val="18"/>
          <w:b w:val="1"/>
          <w:bCs w:val="1"/>
          <w:color w:val="auto"/>
        </w:rPr>
        <w:t>THEREIN CONCERNING FACTORS YOU SHOULD CONSIDER BEFORE INVESTING IN OUR SECURITIES.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Neither the Securities and Exchange Commission nor any state securities commission has</w:t>
      </w:r>
    </w:p>
    <w:p>
      <w:pPr>
        <w:spacing w:after="0" w:line="14" w:lineRule="exact"/>
        <w:rPr>
          <w:sz w:val="20"/>
          <w:szCs w:val="20"/>
          <w:color w:val="auto"/>
        </w:rPr>
      </w:pPr>
    </w:p>
    <w:p>
      <w:pPr>
        <w:ind w:right="299"/>
        <w:spacing w:after="0" w:line="244" w:lineRule="auto"/>
        <w:rPr>
          <w:sz w:val="20"/>
          <w:szCs w:val="20"/>
          <w:color w:val="auto"/>
        </w:rPr>
      </w:pPr>
      <w:r>
        <w:rPr>
          <w:rFonts w:ascii="Arial" w:cs="Arial" w:eastAsia="Arial" w:hAnsi="Arial"/>
          <w:sz w:val="18"/>
          <w:szCs w:val="18"/>
          <w:b w:val="1"/>
          <w:bCs w:val="1"/>
          <w:color w:val="auto"/>
        </w:rPr>
        <w:t>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135890</wp:posOffset>
            </wp:positionV>
            <wp:extent cx="13716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1220" w:space="360"/>
            <w:col w:w="8299"/>
          </w:cols>
          <w:pgMar w:left="580" w:top="97" w:right="1440" w:bottom="1440" w:gutter="0" w:footer="0" w:header="0"/>
        </w:sectPr>
      </w:pPr>
    </w:p>
    <w:p>
      <w:pPr>
        <w:ind w:left="3820"/>
        <w:spacing w:after="0"/>
        <w:rPr>
          <w:sz w:val="20"/>
          <w:szCs w:val="20"/>
          <w:color w:val="auto"/>
        </w:rPr>
      </w:pPr>
      <w:r>
        <w:rPr>
          <w:rFonts w:ascii="Arial" w:cs="Arial" w:eastAsia="Arial" w:hAnsi="Arial"/>
          <w:sz w:val="15"/>
          <w:szCs w:val="15"/>
          <w:b w:val="1"/>
          <w:bCs w:val="1"/>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8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820" w:type="dxa"/>
            <w:vAlign w:val="bottom"/>
            <w:gridSpan w:val="18"/>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ABOUT THIS PROSPECTUS</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w:t>
            </w: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5"/>
                <w:szCs w:val="15"/>
                <w:color w:val="0000EE"/>
                <w:w w:val="71"/>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18"/>
          </w:tcPr>
          <w:p>
            <w:pPr>
              <w:spacing w:after="0" w:line="202" w:lineRule="exact"/>
              <w:rPr>
                <w:sz w:val="20"/>
                <w:szCs w:val="20"/>
                <w:color w:val="auto"/>
              </w:rPr>
            </w:pPr>
            <w:r>
              <w:rPr>
                <w:rFonts w:ascii="Arial" w:cs="Arial" w:eastAsia="Arial" w:hAnsi="Arial"/>
                <w:sz w:val="18"/>
                <w:szCs w:val="18"/>
                <w:color w:val="0000EE"/>
              </w:rPr>
              <w:t>WHERE YOU CAN FIND MORE INFORMATION</w:t>
            </w:r>
          </w:p>
        </w:tc>
        <w:tc>
          <w:tcPr>
            <w:tcW w:w="11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ind w:left="80"/>
              <w:spacing w:after="0" w:line="202" w:lineRule="exact"/>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7"/>
        </w:trPr>
        <w:tc>
          <w:tcPr>
            <w:tcW w:w="3840" w:type="dxa"/>
            <w:vAlign w:val="bottom"/>
            <w:gridSpan w:val="1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0000EE"/>
                <w:w w:val="71"/>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300" w:type="dxa"/>
            <w:vAlign w:val="bottom"/>
            <w:tcBorders>
              <w:bottom w:val="single" w:sz="8" w:color="CCEEFF"/>
            </w:tcBorders>
            <w:gridSpan w:val="1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580" w:type="dxa"/>
            <w:vAlign w:val="bottom"/>
            <w:tcBorders>
              <w:bottom w:val="single" w:sz="8" w:color="CCEEFF"/>
            </w:tcBorders>
            <w:shd w:val="clear" w:color="auto" w:fill="CCEEFF"/>
          </w:tcPr>
          <w:p>
            <w:pPr>
              <w:spacing w:after="0"/>
              <w:rPr>
                <w:sz w:val="2"/>
                <w:szCs w:val="2"/>
                <w:color w:val="auto"/>
              </w:rPr>
            </w:pPr>
          </w:p>
        </w:tc>
        <w:tc>
          <w:tcPr>
            <w:tcW w:w="940" w:type="dxa"/>
            <w:vAlign w:val="bottom"/>
            <w:tcBorders>
              <w:bottom w:val="single" w:sz="8" w:color="CCEEFF"/>
            </w:tcBorders>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8"/>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ind w:left="80"/>
              <w:spacing w:after="0"/>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7"/>
        </w:trPr>
        <w:tc>
          <w:tcPr>
            <w:tcW w:w="5880" w:type="dxa"/>
            <w:vAlign w:val="bottom"/>
            <w:gridSpan w:val="1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40" w:type="dxa"/>
            <w:vAlign w:val="bottom"/>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ABOUT THE COMPANY</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0000EE"/>
                <w:w w:val="71"/>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60" w:type="dxa"/>
            <w:vAlign w:val="bottom"/>
            <w:tcBorders>
              <w:bottom w:val="single" w:sz="8" w:color="CCEEFF"/>
            </w:tcBorders>
            <w:gridSpan w:val="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2"/>
            <w:shd w:val="clear" w:color="auto" w:fill="CCEEFF"/>
          </w:tcPr>
          <w:p>
            <w:pPr>
              <w:spacing w:after="0"/>
              <w:rPr>
                <w:sz w:val="2"/>
                <w:szCs w:val="2"/>
                <w:color w:val="auto"/>
              </w:rPr>
            </w:pPr>
          </w:p>
        </w:tc>
        <w:tc>
          <w:tcPr>
            <w:tcW w:w="3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80" w:type="dxa"/>
            <w:vAlign w:val="bottom"/>
            <w:tcBorders>
              <w:bottom w:val="single" w:sz="8" w:color="CCEEFF"/>
            </w:tcBorders>
            <w:gridSpan w:val="2"/>
            <w:shd w:val="clear" w:color="auto" w:fill="CCEEFF"/>
          </w:tcPr>
          <w:p>
            <w:pPr>
              <w:spacing w:after="0"/>
              <w:rPr>
                <w:sz w:val="2"/>
                <w:szCs w:val="2"/>
                <w:color w:val="auto"/>
              </w:rPr>
            </w:pPr>
          </w:p>
        </w:tc>
        <w:tc>
          <w:tcPr>
            <w:tcW w:w="2760" w:type="dxa"/>
            <w:vAlign w:val="bottom"/>
            <w:tcBorders>
              <w:bottom w:val="single" w:sz="8" w:color="CCEEFF"/>
            </w:tcBorders>
            <w:gridSpan w:val="3"/>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8"/>
          </w:tcPr>
          <w:p>
            <w:pPr>
              <w:spacing w:after="0"/>
              <w:rPr>
                <w:sz w:val="20"/>
                <w:szCs w:val="20"/>
                <w:color w:val="auto"/>
              </w:rPr>
            </w:pPr>
            <w:r>
              <w:rPr>
                <w:rFonts w:ascii="Arial" w:cs="Arial" w:eastAsia="Arial" w:hAnsi="Arial"/>
                <w:sz w:val="18"/>
                <w:szCs w:val="18"/>
                <w:color w:val="0000EE"/>
              </w:rPr>
              <w:t>RISK FACTORS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ind w:left="80"/>
              <w:spacing w:after="0"/>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27"/>
        </w:trPr>
        <w:tc>
          <w:tcPr>
            <w:tcW w:w="1300" w:type="dxa"/>
            <w:vAlign w:val="bottom"/>
            <w:gridSpan w:val="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760" w:type="dxa"/>
            <w:vAlign w:val="bottom"/>
            <w:gridSpan w:val="3"/>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0000EE"/>
                <w:w w:val="71"/>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00" w:type="dxa"/>
            <w:vAlign w:val="bottom"/>
            <w:tcBorders>
              <w:bottom w:val="single" w:sz="8" w:color="CCEEFF"/>
            </w:tcBorders>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2"/>
            <w:shd w:val="clear" w:color="auto" w:fill="CCEEFF"/>
          </w:tcPr>
          <w:p>
            <w:pPr>
              <w:spacing w:after="0"/>
              <w:rPr>
                <w:sz w:val="2"/>
                <w:szCs w:val="2"/>
                <w:color w:val="auto"/>
              </w:rPr>
            </w:pPr>
          </w:p>
        </w:tc>
        <w:tc>
          <w:tcPr>
            <w:tcW w:w="3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80" w:type="dxa"/>
            <w:vAlign w:val="bottom"/>
            <w:tcBorders>
              <w:bottom w:val="single" w:sz="8" w:color="CCEEFF"/>
            </w:tcBorders>
            <w:gridSpan w:val="2"/>
            <w:shd w:val="clear" w:color="auto" w:fill="CCEEFF"/>
          </w:tcPr>
          <w:p>
            <w:pPr>
              <w:spacing w:after="0"/>
              <w:rPr>
                <w:sz w:val="2"/>
                <w:szCs w:val="2"/>
                <w:color w:val="auto"/>
              </w:rPr>
            </w:pPr>
          </w:p>
        </w:tc>
        <w:tc>
          <w:tcPr>
            <w:tcW w:w="2760" w:type="dxa"/>
            <w:vAlign w:val="bottom"/>
            <w:tcBorders>
              <w:bottom w:val="single" w:sz="8" w:color="CCEEFF"/>
            </w:tcBorders>
            <w:gridSpan w:val="3"/>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8"/>
          </w:tcPr>
          <w:p>
            <w:pPr>
              <w:spacing w:after="0"/>
              <w:rPr>
                <w:sz w:val="20"/>
                <w:szCs w:val="20"/>
                <w:color w:val="auto"/>
              </w:rPr>
            </w:pPr>
            <w:r>
              <w:rPr>
                <w:rFonts w:ascii="Arial" w:cs="Arial" w:eastAsia="Arial" w:hAnsi="Arial"/>
                <w:sz w:val="18"/>
                <w:szCs w:val="18"/>
                <w:color w:val="0000EE"/>
              </w:rPr>
              <w:t>SECURITIES THAT MAY BE OFFERED</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27"/>
        </w:trPr>
        <w:tc>
          <w:tcPr>
            <w:tcW w:w="3180" w:type="dxa"/>
            <w:vAlign w:val="bottom"/>
            <w:gridSpan w:val="1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880" w:type="dxa"/>
            <w:vAlign w:val="bottom"/>
            <w:gridSpan w:val="2"/>
          </w:tcPr>
          <w:p>
            <w:pPr>
              <w:spacing w:after="0"/>
              <w:rPr>
                <w:sz w:val="2"/>
                <w:szCs w:val="2"/>
                <w:color w:val="auto"/>
              </w:rPr>
            </w:pPr>
          </w:p>
        </w:tc>
        <w:tc>
          <w:tcPr>
            <w:tcW w:w="2760" w:type="dxa"/>
            <w:vAlign w:val="bottom"/>
            <w:gridSpan w:val="3"/>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DESCRIPTION OF CAPITAL STOCK</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0000EE"/>
                <w:w w:val="73"/>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940" w:type="dxa"/>
            <w:vAlign w:val="bottom"/>
            <w:tcBorders>
              <w:bottom w:val="single" w:sz="8" w:color="CCEEFF"/>
            </w:tcBorders>
            <w:gridSpan w:val="11"/>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0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gridSpan w:val="3"/>
            <w:shd w:val="clear" w:color="auto" w:fill="CCEEFF"/>
          </w:tcPr>
          <w:p>
            <w:pPr>
              <w:spacing w:after="0"/>
              <w:rPr>
                <w:sz w:val="2"/>
                <w:szCs w:val="2"/>
                <w:color w:val="auto"/>
              </w:rPr>
            </w:pPr>
          </w:p>
        </w:tc>
        <w:tc>
          <w:tcPr>
            <w:tcW w:w="2760" w:type="dxa"/>
            <w:vAlign w:val="bottom"/>
            <w:tcBorders>
              <w:bottom w:val="single" w:sz="8" w:color="CCEEFF"/>
            </w:tcBorders>
            <w:gridSpan w:val="3"/>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8"/>
          </w:tcPr>
          <w:p>
            <w:pPr>
              <w:spacing w:after="0"/>
              <w:rPr>
                <w:sz w:val="20"/>
                <w:szCs w:val="20"/>
                <w:color w:val="auto"/>
              </w:rPr>
            </w:pPr>
            <w:r>
              <w:rPr>
                <w:rFonts w:ascii="Arial" w:cs="Arial" w:eastAsia="Arial" w:hAnsi="Arial"/>
                <w:sz w:val="18"/>
                <w:szCs w:val="18"/>
                <w:color w:val="0000EE"/>
              </w:rPr>
              <w:t>DESCRIPTION OF DEBT SECURITIES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7"/>
        </w:trPr>
        <w:tc>
          <w:tcPr>
            <w:tcW w:w="3140" w:type="dxa"/>
            <w:vAlign w:val="bottom"/>
            <w:gridSpan w:val="1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20" w:type="dxa"/>
            <w:vAlign w:val="bottom"/>
            <w:gridSpan w:val="3"/>
          </w:tcPr>
          <w:p>
            <w:pPr>
              <w:spacing w:after="0"/>
              <w:rPr>
                <w:sz w:val="2"/>
                <w:szCs w:val="2"/>
                <w:color w:val="auto"/>
              </w:rPr>
            </w:pPr>
          </w:p>
        </w:tc>
        <w:tc>
          <w:tcPr>
            <w:tcW w:w="2760" w:type="dxa"/>
            <w:vAlign w:val="bottom"/>
            <w:gridSpan w:val="3"/>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DESCRIPTION OF WARRANTS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0000EE"/>
                <w:w w:val="73"/>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580" w:type="dxa"/>
            <w:vAlign w:val="bottom"/>
            <w:tcBorders>
              <w:bottom w:val="single" w:sz="8" w:color="CCEEFF"/>
            </w:tcBorders>
            <w:gridSpan w:val="1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80" w:type="dxa"/>
            <w:vAlign w:val="bottom"/>
            <w:tcBorders>
              <w:bottom w:val="single" w:sz="8" w:color="CCEEFF"/>
            </w:tcBorders>
            <w:gridSpan w:val="5"/>
            <w:shd w:val="clear" w:color="auto" w:fill="CCEEFF"/>
          </w:tcPr>
          <w:p>
            <w:pPr>
              <w:spacing w:after="0"/>
              <w:rPr>
                <w:sz w:val="2"/>
                <w:szCs w:val="2"/>
                <w:color w:val="auto"/>
              </w:rPr>
            </w:pPr>
          </w:p>
        </w:tc>
        <w:tc>
          <w:tcPr>
            <w:tcW w:w="2760" w:type="dxa"/>
            <w:vAlign w:val="bottom"/>
            <w:tcBorders>
              <w:bottom w:val="single" w:sz="8" w:color="CCEEFF"/>
            </w:tcBorders>
            <w:gridSpan w:val="3"/>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8"/>
          </w:tcPr>
          <w:p>
            <w:pPr>
              <w:spacing w:after="0"/>
              <w:rPr>
                <w:sz w:val="20"/>
                <w:szCs w:val="20"/>
                <w:color w:val="auto"/>
              </w:rPr>
            </w:pPr>
            <w:r>
              <w:rPr>
                <w:rFonts w:ascii="Arial" w:cs="Arial" w:eastAsia="Arial" w:hAnsi="Arial"/>
                <w:sz w:val="18"/>
                <w:szCs w:val="18"/>
                <w:color w:val="0000EE"/>
              </w:rPr>
              <w:t>DESCRIPTION OF UNITS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23</w:t>
            </w:r>
          </w:p>
        </w:tc>
        <w:tc>
          <w:tcPr>
            <w:tcW w:w="0" w:type="dxa"/>
            <w:vAlign w:val="bottom"/>
          </w:tcPr>
          <w:p>
            <w:pPr>
              <w:spacing w:after="0"/>
              <w:rPr>
                <w:sz w:val="1"/>
                <w:szCs w:val="1"/>
                <w:color w:val="auto"/>
              </w:rPr>
            </w:pPr>
          </w:p>
        </w:tc>
      </w:tr>
      <w:tr>
        <w:trPr>
          <w:trHeight w:val="27"/>
        </w:trPr>
        <w:tc>
          <w:tcPr>
            <w:tcW w:w="2100" w:type="dxa"/>
            <w:vAlign w:val="bottom"/>
            <w:gridSpan w:val="8"/>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960" w:type="dxa"/>
            <w:vAlign w:val="bottom"/>
            <w:gridSpan w:val="7"/>
          </w:tcPr>
          <w:p>
            <w:pPr>
              <w:spacing w:after="0"/>
              <w:rPr>
                <w:sz w:val="2"/>
                <w:szCs w:val="2"/>
                <w:color w:val="auto"/>
              </w:rPr>
            </w:pPr>
          </w:p>
        </w:tc>
        <w:tc>
          <w:tcPr>
            <w:tcW w:w="2760" w:type="dxa"/>
            <w:vAlign w:val="bottom"/>
            <w:gridSpan w:val="3"/>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DESCRIPTION OF OUR SUBSCRIPTION RIGHTS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0000EE"/>
                <w:w w:val="73"/>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60" w:type="dxa"/>
            <w:vAlign w:val="bottom"/>
            <w:tcBorders>
              <w:bottom w:val="single" w:sz="8" w:color="CCEEFF"/>
            </w:tcBorders>
            <w:gridSpan w:val="1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760" w:type="dxa"/>
            <w:vAlign w:val="bottom"/>
            <w:tcBorders>
              <w:bottom w:val="single" w:sz="8" w:color="CCEEFF"/>
            </w:tcBorders>
            <w:gridSpan w:val="3"/>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8"/>
          </w:tcPr>
          <w:p>
            <w:pPr>
              <w:spacing w:after="0"/>
              <w:rPr>
                <w:sz w:val="20"/>
                <w:szCs w:val="20"/>
                <w:color w:val="auto"/>
              </w:rPr>
            </w:pPr>
            <w:r>
              <w:rPr>
                <w:rFonts w:ascii="Arial" w:cs="Arial" w:eastAsia="Arial" w:hAnsi="Arial"/>
                <w:sz w:val="18"/>
                <w:szCs w:val="18"/>
                <w:color w:val="0000EE"/>
              </w:rPr>
              <w:t>GLOBAL SECURITIES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25</w:t>
            </w:r>
          </w:p>
        </w:tc>
        <w:tc>
          <w:tcPr>
            <w:tcW w:w="0" w:type="dxa"/>
            <w:vAlign w:val="bottom"/>
          </w:tcPr>
          <w:p>
            <w:pPr>
              <w:spacing w:after="0"/>
              <w:rPr>
                <w:sz w:val="1"/>
                <w:szCs w:val="1"/>
                <w:color w:val="auto"/>
              </w:rPr>
            </w:pPr>
          </w:p>
        </w:tc>
      </w:tr>
      <w:tr>
        <w:trPr>
          <w:trHeight w:val="27"/>
        </w:trPr>
        <w:tc>
          <w:tcPr>
            <w:tcW w:w="1820" w:type="dxa"/>
            <w:vAlign w:val="bottom"/>
            <w:gridSpan w:val="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40" w:type="dxa"/>
            <w:vAlign w:val="bottom"/>
            <w:gridSpan w:val="2"/>
          </w:tcPr>
          <w:p>
            <w:pPr>
              <w:spacing w:after="0"/>
              <w:rPr>
                <w:sz w:val="2"/>
                <w:szCs w:val="2"/>
                <w:color w:val="auto"/>
              </w:rPr>
            </w:pPr>
          </w:p>
        </w:tc>
        <w:tc>
          <w:tcPr>
            <w:tcW w:w="4760" w:type="dxa"/>
            <w:vAlign w:val="bottom"/>
            <w:gridSpan w:val="11"/>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0000EE"/>
                <w:w w:val="73"/>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60" w:type="dxa"/>
            <w:vAlign w:val="bottom"/>
            <w:tcBorders>
              <w:bottom w:val="single" w:sz="8" w:color="CCEEFF"/>
            </w:tcBorders>
            <w:gridSpan w:val="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4760" w:type="dxa"/>
            <w:vAlign w:val="bottom"/>
            <w:tcBorders>
              <w:bottom w:val="single" w:sz="8" w:color="CCEEFF"/>
            </w:tcBorders>
            <w:gridSpan w:val="11"/>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8"/>
          </w:tcPr>
          <w:p>
            <w:pPr>
              <w:spacing w:after="0"/>
              <w:rPr>
                <w:sz w:val="20"/>
                <w:szCs w:val="20"/>
                <w:color w:val="auto"/>
              </w:rPr>
            </w:pPr>
            <w:r>
              <w:rPr>
                <w:rFonts w:ascii="Arial" w:cs="Arial" w:eastAsia="Arial" w:hAnsi="Arial"/>
                <w:sz w:val="18"/>
                <w:szCs w:val="18"/>
                <w:color w:val="0000EE"/>
              </w:rPr>
              <w:t>LEGAL MATTERS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27"/>
        </w:trPr>
        <w:tc>
          <w:tcPr>
            <w:tcW w:w="1460" w:type="dxa"/>
            <w:vAlign w:val="bottom"/>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5360" w:type="dxa"/>
            <w:vAlign w:val="bottom"/>
            <w:gridSpan w:val="15"/>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EXPERTS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0000EE"/>
                <w:w w:val="73"/>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20" w:type="dxa"/>
            <w:vAlign w:val="bottom"/>
            <w:tcBorders>
              <w:bottom w:val="single" w:sz="8" w:color="CCEEFF"/>
            </w:tcBorders>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6000" w:type="dxa"/>
            <w:vAlign w:val="bottom"/>
            <w:tcBorders>
              <w:bottom w:val="single" w:sz="8" w:color="CCEEFF"/>
            </w:tcBorders>
            <w:gridSpan w:val="17"/>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4916170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ABOUT THIS PROSPECTUS</w:t>
      </w:r>
    </w:p>
    <w:p>
      <w:pPr>
        <w:spacing w:after="0" w:line="333"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using a “shelf” registration process. By using a shelf registration statement, we may sell securities from time to time in any combination and in one or more offerings up to a total dollar amount of $200,000,000 as described in this prospectus.</w:t>
      </w:r>
    </w:p>
    <w:p>
      <w:pPr>
        <w:spacing w:after="0" w:line="109"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22"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any applicable prospectus supplement is accurate only as of the date on its respective cover, that the information appearing in any applicable free writing prospectus is accurate only as of the date of that free writing prospectus, and that any information incorporated by reference herein and therein is accurate only as of the date of the document incorporated by reference, unless we indicate otherwise. Our business, financial condition, results of operations and prospects may have changed since those dates.</w:t>
      </w:r>
    </w:p>
    <w:p>
      <w:pPr>
        <w:spacing w:after="0" w:line="109" w:lineRule="exact"/>
        <w:rPr>
          <w:sz w:val="20"/>
          <w:szCs w:val="20"/>
          <w:color w:val="auto"/>
        </w:rPr>
      </w:pPr>
    </w:p>
    <w:p>
      <w:pPr>
        <w:ind w:left="1260" w:right="579"/>
        <w:spacing w:after="0" w:line="268" w:lineRule="auto"/>
        <w:rPr>
          <w:sz w:val="20"/>
          <w:szCs w:val="20"/>
          <w:color w:val="auto"/>
        </w:rPr>
      </w:pPr>
      <w:r>
        <w:rPr>
          <w:rFonts w:ascii="Arial" w:cs="Arial" w:eastAsia="Arial" w:hAnsi="Arial"/>
          <w:sz w:val="18"/>
          <w:szCs w:val="18"/>
          <w:color w:val="auto"/>
        </w:rPr>
        <w:t>When we refer to “Century,” “we,” “our,” “us” and the “Company” in this prospectus, we mean Century Therapeutics, Inc., and its wholly owned subsidiary unless otherwise specified. When we refer to “you,” we mean the potential holders of the applicable series of securities.</w:t>
      </w:r>
    </w:p>
    <w:p>
      <w:pPr>
        <w:spacing w:after="0" w:line="103" w:lineRule="exact"/>
        <w:rPr>
          <w:sz w:val="20"/>
          <w:szCs w:val="20"/>
          <w:color w:val="auto"/>
        </w:rPr>
      </w:pPr>
    </w:p>
    <w:p>
      <w:pPr>
        <w:ind w:left="1260" w:right="439"/>
        <w:spacing w:after="0" w:line="274" w:lineRule="auto"/>
        <w:rPr>
          <w:sz w:val="20"/>
          <w:szCs w:val="20"/>
          <w:color w:val="auto"/>
        </w:rPr>
      </w:pPr>
      <w:r>
        <w:rPr>
          <w:rFonts w:ascii="Arial" w:cs="Arial" w:eastAsia="Arial" w:hAnsi="Arial"/>
          <w:sz w:val="17"/>
          <w:szCs w:val="17"/>
          <w:color w:val="auto"/>
        </w:rPr>
        <w:t>“Century Therapeutics” the “Century Therapeutics” logo, and other trademarks, trade names, or service marks of Century Therapeutics, Inc. appearing in this prospectus, any prospectus supplement and any free writing prospectus are the property of Century Therapeutics, Inc. All other trademarks, trade names, and service marks appearing in this prospectus, any prospectus supplement and any free writing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3" w:lineRule="exact"/>
        <w:rPr>
          <w:sz w:val="20"/>
          <w:szCs w:val="20"/>
          <w:color w:val="auto"/>
        </w:rPr>
      </w:pPr>
    </w:p>
    <w:p>
      <w:pPr>
        <w:ind w:left="1260" w:right="439"/>
        <w:spacing w:after="0" w:line="275" w:lineRule="auto"/>
        <w:rPr>
          <w:sz w:val="20"/>
          <w:szCs w:val="20"/>
          <w:color w:val="auto"/>
        </w:rPr>
      </w:pPr>
      <w:r>
        <w:rPr>
          <w:rFonts w:ascii="Arial" w:cs="Arial" w:eastAsia="Arial" w:hAnsi="Arial"/>
          <w:sz w:val="17"/>
          <w:szCs w:val="17"/>
          <w:color w:val="auto"/>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01"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www.centurytx.com. Our website and the information contained on that site, or connected to that site, are not incorporated into and are not a part of this prospectus.</w:t>
      </w:r>
    </w:p>
    <w:p>
      <w:pPr>
        <w:spacing w:after="0" w:line="182"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33"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23" w:lineRule="exact"/>
        <w:rPr>
          <w:sz w:val="20"/>
          <w:szCs w:val="20"/>
          <w:color w:val="auto"/>
        </w:rPr>
      </w:pPr>
    </w:p>
    <w:p>
      <w:pPr>
        <w:ind w:left="1620" w:right="859" w:hanging="360"/>
        <w:spacing w:after="0" w:line="281" w:lineRule="auto"/>
        <w:tabs>
          <w:tab w:leader="none" w:pos="1620" w:val="left"/>
        </w:tabs>
        <w:numPr>
          <w:ilvl w:val="0"/>
          <w:numId w:val="1"/>
        </w:numPr>
        <w:rPr>
          <w:rFonts w:ascii="Arial" w:cs="Arial" w:eastAsia="Arial" w:hAnsi="Arial"/>
          <w:sz w:val="18"/>
          <w:szCs w:val="18"/>
          <w:color w:val="0000EE"/>
        </w:rPr>
      </w:pPr>
      <w:hyperlink r:id="rId26">
        <w:r>
          <w:rPr>
            <w:rFonts w:ascii="Arial" w:cs="Arial" w:eastAsia="Arial" w:hAnsi="Arial"/>
            <w:sz w:val="18"/>
            <w:szCs w:val="18"/>
            <w:u w:val="single" w:color="auto"/>
            <w:color w:val="0000EE"/>
          </w:rPr>
          <w:t>Our Annual Report on Form 10-K for the year ended December 31, 2024 filed with the SEC on</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March 19, 2025</w:t>
        </w:r>
        <w:r>
          <w:rPr>
            <w:rFonts w:ascii="Arial" w:cs="Arial" w:eastAsia="Arial" w:hAnsi="Arial"/>
            <w:sz w:val="18"/>
            <w:szCs w:val="18"/>
            <w:color w:val="000000"/>
          </w:rPr>
          <w:t>;</w:t>
        </w:r>
      </w:hyperlink>
    </w:p>
    <w:p>
      <w:pPr>
        <w:spacing w:after="0" w:line="1" w:lineRule="exact"/>
        <w:rPr>
          <w:rFonts w:ascii="Arial" w:cs="Arial" w:eastAsia="Arial" w:hAnsi="Arial"/>
          <w:sz w:val="18"/>
          <w:szCs w:val="18"/>
          <w:color w:val="0000EE"/>
        </w:rPr>
      </w:pPr>
    </w:p>
    <w:p>
      <w:pPr>
        <w:ind w:left="1620" w:right="739" w:hanging="360"/>
        <w:spacing w:after="0" w:line="281" w:lineRule="auto"/>
        <w:tabs>
          <w:tab w:leader="none" w:pos="1620" w:val="left"/>
        </w:tabs>
        <w:numPr>
          <w:ilvl w:val="0"/>
          <w:numId w:val="1"/>
        </w:numPr>
        <w:rPr>
          <w:rFonts w:ascii="Arial" w:cs="Arial" w:eastAsia="Arial" w:hAnsi="Arial"/>
          <w:sz w:val="18"/>
          <w:szCs w:val="18"/>
          <w:color w:val="0000EE"/>
        </w:rPr>
      </w:pPr>
      <w:hyperlink r:id="rId27">
        <w:r>
          <w:rPr>
            <w:rFonts w:ascii="Arial" w:cs="Arial" w:eastAsia="Arial" w:hAnsi="Arial"/>
            <w:sz w:val="18"/>
            <w:szCs w:val="18"/>
            <w:u w:val="single" w:color="auto"/>
            <w:color w:val="0000EE"/>
          </w:rPr>
          <w:t>Our Quarterly Report on Form 10-Q for the quarter ended March 31, 2025, filed with the SEC on</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May 15, 2025</w:t>
        </w:r>
        <w:r>
          <w:rPr>
            <w:rFonts w:ascii="Arial" w:cs="Arial" w:eastAsia="Arial" w:hAnsi="Arial"/>
            <w:sz w:val="18"/>
            <w:szCs w:val="18"/>
            <w:color w:val="000000"/>
          </w:rPr>
          <w:t>;</w:t>
        </w:r>
      </w:hyperlink>
    </w:p>
    <w:p>
      <w:pPr>
        <w:spacing w:after="0" w:line="1" w:lineRule="exact"/>
        <w:rPr>
          <w:rFonts w:ascii="Arial" w:cs="Arial" w:eastAsia="Arial" w:hAnsi="Arial"/>
          <w:sz w:val="18"/>
          <w:szCs w:val="18"/>
          <w:color w:val="0000EE"/>
        </w:rPr>
      </w:pPr>
    </w:p>
    <w:p>
      <w:pPr>
        <w:ind w:left="1620" w:right="559" w:hanging="360"/>
        <w:spacing w:after="0" w:line="268" w:lineRule="auto"/>
        <w:tabs>
          <w:tab w:leader="none" w:pos="1620" w:val="left"/>
        </w:tabs>
        <w:numPr>
          <w:ilvl w:val="0"/>
          <w:numId w:val="1"/>
        </w:numPr>
        <w:rPr>
          <w:rFonts w:ascii="Arial" w:cs="Arial" w:eastAsia="Arial" w:hAnsi="Arial"/>
          <w:sz w:val="18"/>
          <w:szCs w:val="18"/>
          <w:color w:val="0000EE"/>
        </w:rPr>
      </w:pPr>
      <w:hyperlink r:id="rId26">
        <w:r>
          <w:rPr>
            <w:rFonts w:ascii="Arial" w:cs="Arial" w:eastAsia="Arial" w:hAnsi="Arial"/>
            <w:sz w:val="18"/>
            <w:szCs w:val="18"/>
            <w:color w:val="auto"/>
          </w:rPr>
          <w:t xml:space="preserve">The 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year ended December 31, 2024</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Form DEF 14-A, filed on</w:t>
        </w:r>
      </w:hyperlink>
      <w:r>
        <w:rPr>
          <w:rFonts w:ascii="Arial" w:cs="Arial" w:eastAsia="Arial" w:hAnsi="Arial"/>
          <w:sz w:val="18"/>
          <w:szCs w:val="18"/>
          <w:color w:val="0000EE"/>
        </w:rPr>
        <w:t xml:space="preserve"> </w:t>
      </w:r>
      <w:hyperlink r:id="rId28">
        <w:r>
          <w:rPr>
            <w:rFonts w:ascii="Arial" w:cs="Arial" w:eastAsia="Arial" w:hAnsi="Arial"/>
            <w:sz w:val="18"/>
            <w:szCs w:val="18"/>
            <w:u w:val="single" w:color="auto"/>
            <w:color w:val="0000EE"/>
          </w:rPr>
          <w:t>April 22, 2025</w:t>
        </w:r>
        <w:r>
          <w:rPr>
            <w:rFonts w:ascii="Arial" w:cs="Arial" w:eastAsia="Arial" w:hAnsi="Arial"/>
            <w:sz w:val="18"/>
            <w:szCs w:val="18"/>
            <w:color w:val="000000"/>
          </w:rPr>
          <w:t>;</w:t>
        </w:r>
      </w:hyperlink>
    </w:p>
    <w:p>
      <w:pPr>
        <w:spacing w:after="0" w:line="8" w:lineRule="exact"/>
        <w:rPr>
          <w:rFonts w:ascii="Arial" w:cs="Arial" w:eastAsia="Arial" w:hAnsi="Arial"/>
          <w:sz w:val="18"/>
          <w:szCs w:val="18"/>
          <w:color w:val="0000EE"/>
        </w:rPr>
      </w:pPr>
    </w:p>
    <w:p>
      <w:pPr>
        <w:jc w:val="both"/>
        <w:ind w:left="1620" w:right="819" w:hanging="360"/>
        <w:spacing w:after="0" w:line="298" w:lineRule="auto"/>
        <w:tabs>
          <w:tab w:leader="none" w:pos="1620" w:val="left"/>
        </w:tabs>
        <w:numPr>
          <w:ilvl w:val="0"/>
          <w:numId w:val="1"/>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29">
        <w:r>
          <w:rPr>
            <w:rFonts w:ascii="Arial" w:cs="Arial" w:eastAsia="Arial" w:hAnsi="Arial"/>
            <w:sz w:val="17"/>
            <w:szCs w:val="17"/>
            <w:u w:val="single" w:color="auto"/>
            <w:color w:val="0000EE"/>
          </w:rPr>
          <w:t>February 28, 2025</w:t>
        </w:r>
      </w:hyperlink>
      <w:r>
        <w:rPr>
          <w:rFonts w:ascii="Arial" w:cs="Arial" w:eastAsia="Arial" w:hAnsi="Arial"/>
          <w:sz w:val="17"/>
          <w:szCs w:val="17"/>
          <w:color w:val="auto"/>
        </w:rPr>
        <w:t xml:space="preserve">, </w:t>
      </w:r>
      <w:hyperlink r:id="rId30">
        <w:r>
          <w:rPr>
            <w:rFonts w:ascii="Arial" w:cs="Arial" w:eastAsia="Arial" w:hAnsi="Arial"/>
            <w:sz w:val="17"/>
            <w:szCs w:val="17"/>
            <w:u w:val="single" w:color="auto"/>
            <w:color w:val="0000EE"/>
          </w:rPr>
          <w:t>June 16, 2025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31">
        <w:r>
          <w:rPr>
            <w:rFonts w:ascii="Arial" w:cs="Arial" w:eastAsia="Arial" w:hAnsi="Arial"/>
            <w:sz w:val="17"/>
            <w:szCs w:val="17"/>
            <w:u w:val="single" w:color="auto"/>
            <w:color w:val="0000EE"/>
          </w:rPr>
          <w:t>July 7, 2025</w:t>
        </w:r>
        <w:r>
          <w:rPr>
            <w:rFonts w:ascii="Arial" w:cs="Arial" w:eastAsia="Arial" w:hAnsi="Arial"/>
            <w:sz w:val="17"/>
            <w:szCs w:val="17"/>
            <w:color w:val="0000EE"/>
          </w:rPr>
          <w:t xml:space="preserve"> </w:t>
        </w:r>
      </w:hyperlink>
      <w:r>
        <w:rPr>
          <w:rFonts w:ascii="Arial" w:cs="Arial" w:eastAsia="Arial" w:hAnsi="Arial"/>
          <w:sz w:val="17"/>
          <w:szCs w:val="17"/>
          <w:color w:val="000000"/>
        </w:rPr>
        <w:t>(in</w:t>
      </w:r>
      <w:r>
        <w:rPr>
          <w:rFonts w:ascii="Arial" w:cs="Arial" w:eastAsia="Arial" w:hAnsi="Arial"/>
          <w:sz w:val="17"/>
          <w:szCs w:val="17"/>
          <w:color w:val="0000EE"/>
        </w:rPr>
        <w:t xml:space="preserve"> </w:t>
      </w:r>
      <w:r>
        <w:rPr>
          <w:rFonts w:ascii="Arial" w:cs="Arial" w:eastAsia="Arial" w:hAnsi="Arial"/>
          <w:sz w:val="17"/>
          <w:szCs w:val="17"/>
          <w:color w:val="000000"/>
        </w:rPr>
        <w:t>each case other than any portions thereof deemed furnished and not filed); and</w:t>
      </w:r>
    </w:p>
    <w:p>
      <w:pPr>
        <w:ind w:left="1620" w:right="539" w:hanging="360"/>
        <w:spacing w:after="0" w:line="268" w:lineRule="auto"/>
        <w:tabs>
          <w:tab w:leader="none" w:pos="1620" w:val="left"/>
        </w:tabs>
        <w:numPr>
          <w:ilvl w:val="0"/>
          <w:numId w:val="1"/>
        </w:numPr>
        <w:rPr>
          <w:rFonts w:ascii="Arial" w:cs="Arial" w:eastAsia="Arial" w:hAnsi="Arial"/>
          <w:sz w:val="18"/>
          <w:szCs w:val="18"/>
          <w:color w:val="0000EE"/>
        </w:rPr>
      </w:pPr>
      <w:hyperlink r:id="rId32">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8-A (File No.</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001- 40498) filed with the SEC on June 14, 2021</w:t>
        </w:r>
        <w:r>
          <w:rPr>
            <w:rFonts w:ascii="Arial" w:cs="Arial" w:eastAsia="Arial" w:hAnsi="Arial"/>
            <w:sz w:val="18"/>
            <w:szCs w:val="18"/>
            <w:color w:val="000000"/>
          </w:rPr>
          <w:t>, under the Exchange Act, including any</w:t>
        </w:r>
      </w:hyperlink>
      <w:r>
        <w:rPr>
          <w:rFonts w:ascii="Arial" w:cs="Arial" w:eastAsia="Arial" w:hAnsi="Arial"/>
          <w:sz w:val="18"/>
          <w:szCs w:val="18"/>
          <w:color w:val="0000EE"/>
        </w:rPr>
        <w:t xml:space="preserve"> </w:t>
      </w:r>
      <w:r>
        <w:rPr>
          <w:rFonts w:ascii="Arial" w:cs="Arial" w:eastAsia="Arial" w:hAnsi="Arial"/>
          <w:sz w:val="18"/>
          <w:szCs w:val="18"/>
          <w:color w:val="000000"/>
        </w:rPr>
        <w:t>amendment or report filed for the purpose of updating such description.</w:t>
      </w:r>
    </w:p>
    <w:p>
      <w:pPr>
        <w:spacing w:after="0" w:line="90" w:lineRule="exact"/>
        <w:rPr>
          <w:rFonts w:ascii="Arial" w:cs="Arial" w:eastAsia="Arial" w:hAnsi="Arial"/>
          <w:sz w:val="18"/>
          <w:szCs w:val="18"/>
          <w:color w:val="auto"/>
        </w:rPr>
      </w:pPr>
    </w:p>
    <w:p>
      <w:pPr>
        <w:ind w:left="1260" w:right="499"/>
        <w:spacing w:after="0" w:line="253" w:lineRule="auto"/>
        <w:rPr>
          <w:sz w:val="20"/>
          <w:szCs w:val="20"/>
          <w:color w:val="auto"/>
        </w:rPr>
      </w:pPr>
      <w:r>
        <w:rPr>
          <w:rFonts w:ascii="Arial" w:cs="Arial" w:eastAsia="Arial" w:hAnsi="Arial"/>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ectPr>
          <w:pgSz w:w="11900" w:h="16838" w:orient="portrait"/>
          <w:cols w:equalWidth="0" w:num="1">
            <w:col w:w="9879"/>
          </w:cols>
          <w:pgMar w:left="580" w:top="97" w:right="1440" w:bottom="1440" w:gutter="0" w:footer="0" w:header="0"/>
        </w:sectPr>
      </w:pPr>
    </w:p>
    <w:p>
      <w:pPr>
        <w:spacing w:after="0" w:line="374" w:lineRule="exact"/>
        <w:rPr>
          <w:rFonts w:ascii="Arial" w:cs="Arial" w:eastAsia="Arial" w:hAnsi="Arial"/>
          <w:sz w:val="18"/>
          <w:szCs w:val="18"/>
          <w:color w:val="auto"/>
        </w:rPr>
      </w:pPr>
    </w:p>
    <w:p>
      <w:pPr>
        <w:ind w:left="530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99"/>
        <w:spacing w:after="0" w:line="262"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Century Therapeutics, Inc., Attn: Corporate Secretary, 25 North 38th Street, 11th Floor,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33" w:lineRule="exact"/>
        <w:rPr>
          <w:sz w:val="20"/>
          <w:szCs w:val="20"/>
          <w:color w:val="auto"/>
        </w:rPr>
      </w:pPr>
    </w:p>
    <w:p>
      <w:pPr>
        <w:ind w:left="1260" w:right="639"/>
        <w:spacing w:after="0" w:line="270" w:lineRule="auto"/>
        <w:rPr>
          <w:sz w:val="20"/>
          <w:szCs w:val="20"/>
          <w:color w:val="auto"/>
        </w:rPr>
      </w:pPr>
      <w:r>
        <w:rPr>
          <w:rFonts w:ascii="Arial" w:cs="Arial" w:eastAsia="Arial" w:hAnsi="Arial"/>
          <w:sz w:val="17"/>
          <w:szCs w:val="17"/>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“anticipate,” “believe,” “estimate,” “expect,” “intend,” “may,” “plan,” “predict,” “project,” “will,” “would,” “could,” “should,” “potential,” “seek,” “evaluate,” “pursue,” “continue,” “design,” “impact,” “affect,” “forecast,” “target,” “outlook,” “initiative,” “objective,” “designed,” “priorities,” “goal,” or the negative thereof or comparable terminology. Forward-looking statements include, but are not limited to, statements concerning:</w:t>
      </w:r>
    </w:p>
    <w:p>
      <w:pPr>
        <w:spacing w:after="0" w:line="1" w:lineRule="exact"/>
        <w:rPr>
          <w:sz w:val="20"/>
          <w:szCs w:val="20"/>
          <w:color w:val="auto"/>
        </w:rPr>
      </w:pPr>
    </w:p>
    <w:p>
      <w:pPr>
        <w:ind w:left="1620" w:right="81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 w:lineRule="exact"/>
        <w:rPr>
          <w:rFonts w:ascii="Arial" w:cs="Arial" w:eastAsia="Arial" w:hAnsi="Arial"/>
          <w:sz w:val="18"/>
          <w:szCs w:val="18"/>
          <w:color w:val="auto"/>
        </w:rPr>
      </w:pPr>
    </w:p>
    <w:p>
      <w:pPr>
        <w:jc w:val="both"/>
        <w:ind w:left="1620" w:right="879" w:hanging="360"/>
        <w:spacing w:after="0" w:line="290"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early clinical nature of our business and our ability to successfully advance our current and future product candidates through development activities, preclinical studies, and clinical trials;</w:t>
      </w:r>
    </w:p>
    <w:p>
      <w:pPr>
        <w:ind w:left="1620" w:right="79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 w:lineRule="exact"/>
        <w:rPr>
          <w:rFonts w:ascii="Arial" w:cs="Arial" w:eastAsia="Arial" w:hAnsi="Arial"/>
          <w:sz w:val="18"/>
          <w:szCs w:val="18"/>
          <w:color w:val="auto"/>
        </w:rPr>
      </w:pPr>
    </w:p>
    <w:p>
      <w:pPr>
        <w:ind w:left="1620" w:right="61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 w:lineRule="exact"/>
        <w:rPr>
          <w:rFonts w:ascii="Arial" w:cs="Arial" w:eastAsia="Arial" w:hAnsi="Arial"/>
          <w:sz w:val="18"/>
          <w:szCs w:val="18"/>
          <w:color w:val="auto"/>
        </w:rPr>
      </w:pPr>
    </w:p>
    <w:p>
      <w:pPr>
        <w:ind w:left="1620" w:right="109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success of our lead product candidate, CNTY-101, and our ability to progress CNTY-101 through clinical development;</w:t>
      </w:r>
    </w:p>
    <w:p>
      <w:pPr>
        <w:spacing w:after="0" w:line="1" w:lineRule="exact"/>
        <w:rPr>
          <w:rFonts w:ascii="Arial" w:cs="Arial" w:eastAsia="Arial" w:hAnsi="Arial"/>
          <w:sz w:val="18"/>
          <w:szCs w:val="18"/>
          <w:color w:val="auto"/>
        </w:rPr>
      </w:pPr>
    </w:p>
    <w:p>
      <w:pPr>
        <w:ind w:left="1620" w:right="59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novelty of our approach to immuno-oncology and autoimmune and inflammatory treatments, utilizing iPSC-derived natural killer cells, or iNK cells, and iPSC-derived T cells, or iT cells, and the challenges we will face due to the novel nature of such technology;</w:t>
      </w:r>
    </w:p>
    <w:p>
      <w:pPr>
        <w:ind w:left="1620" w:hanging="36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49" w:lineRule="exact"/>
        <w:rPr>
          <w:rFonts w:ascii="Arial" w:cs="Arial" w:eastAsia="Arial" w:hAnsi="Arial"/>
          <w:sz w:val="18"/>
          <w:szCs w:val="18"/>
          <w:color w:val="auto"/>
        </w:rPr>
      </w:pPr>
    </w:p>
    <w:p>
      <w:pPr>
        <w:ind w:left="1620" w:right="49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ind w:left="1620" w:right="67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 w:lineRule="exact"/>
        <w:rPr>
          <w:rFonts w:ascii="Arial" w:cs="Arial" w:eastAsia="Arial" w:hAnsi="Arial"/>
          <w:sz w:val="18"/>
          <w:szCs w:val="18"/>
          <w:color w:val="auto"/>
        </w:rPr>
      </w:pPr>
    </w:p>
    <w:p>
      <w:pPr>
        <w:ind w:left="1620" w:right="639" w:hanging="360"/>
        <w:spacing w:after="0" w:line="281"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of future investigational new drug, or IND, applications and the likelihood of, and our ability to obtain and maintain, regulatory clearance of IND applications for our product candidates;</w:t>
      </w:r>
    </w:p>
    <w:p>
      <w:pPr>
        <w:spacing w:after="0" w:line="1" w:lineRule="exact"/>
        <w:rPr>
          <w:rFonts w:ascii="Arial" w:cs="Arial" w:eastAsia="Arial" w:hAnsi="Arial"/>
          <w:sz w:val="17"/>
          <w:szCs w:val="17"/>
          <w:color w:val="auto"/>
        </w:rPr>
      </w:pPr>
    </w:p>
    <w:p>
      <w:pPr>
        <w:ind w:left="1620" w:right="109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 w:lineRule="exact"/>
        <w:rPr>
          <w:rFonts w:ascii="Arial" w:cs="Arial" w:eastAsia="Arial" w:hAnsi="Arial"/>
          <w:sz w:val="18"/>
          <w:szCs w:val="18"/>
          <w:color w:val="auto"/>
        </w:rPr>
      </w:pPr>
    </w:p>
    <w:p>
      <w:pPr>
        <w:ind w:left="1620" w:right="51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ind w:left="1620" w:right="145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 w:lineRule="exact"/>
        <w:rPr>
          <w:rFonts w:ascii="Arial" w:cs="Arial" w:eastAsia="Arial" w:hAnsi="Arial"/>
          <w:sz w:val="18"/>
          <w:szCs w:val="18"/>
          <w:color w:val="auto"/>
        </w:rPr>
      </w:pPr>
    </w:p>
    <w:p>
      <w:pPr>
        <w:ind w:left="1620" w:right="599" w:hanging="360"/>
        <w:spacing w:after="0" w:line="290"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public opinion and scrutiny of cell-based immuno-oncology and autoimmune and inflammatory therapies and its potential impact on public perception of our company and product candidates;</w:t>
      </w:r>
    </w:p>
    <w:p>
      <w:pPr>
        <w:ind w:left="1620" w:right="61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 w:lineRule="exact"/>
        <w:rPr>
          <w:rFonts w:ascii="Arial" w:cs="Arial" w:eastAsia="Arial" w:hAnsi="Arial"/>
          <w:sz w:val="18"/>
          <w:szCs w:val="18"/>
          <w:color w:val="auto"/>
        </w:rPr>
      </w:pPr>
    </w:p>
    <w:p>
      <w:pPr>
        <w:ind w:left="1620" w:right="41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 w:lineRule="exact"/>
        <w:rPr>
          <w:rFonts w:ascii="Arial" w:cs="Arial" w:eastAsia="Arial" w:hAnsi="Arial"/>
          <w:sz w:val="18"/>
          <w:szCs w:val="18"/>
          <w:color w:val="auto"/>
        </w:rPr>
      </w:pPr>
    </w:p>
    <w:p>
      <w:pPr>
        <w:ind w:left="1620" w:right="59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36" w:lineRule="exact"/>
        <w:rPr>
          <w:rFonts w:ascii="Arial" w:cs="Arial" w:eastAsia="Arial" w:hAnsi="Arial"/>
          <w:sz w:val="18"/>
          <w:szCs w:val="18"/>
          <w:color w:val="auto"/>
        </w:rPr>
      </w:pPr>
    </w:p>
    <w:p>
      <w:pPr>
        <w:ind w:left="1620" w:right="799" w:hanging="360"/>
        <w:spacing w:after="0" w:line="318"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and the ability of our licensors, to obtain, maintain, defend, and enforce intellectual property and proprietary rights protecting our product candidates, and our ability to develop and</w:t>
      </w:r>
    </w:p>
    <w:p>
      <w:pPr>
        <w:sectPr>
          <w:pgSz w:w="11900" w:h="16838" w:orient="portrait"/>
          <w:cols w:equalWidth="0" w:num="1">
            <w:col w:w="9879"/>
          </w:cols>
          <w:pgMar w:left="580" w:top="97" w:right="1440" w:bottom="1440" w:gutter="0" w:footer="0" w:header="0"/>
        </w:sectPr>
      </w:pPr>
    </w:p>
    <w:p>
      <w:pPr>
        <w:spacing w:after="0" w:line="319"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73" w:lineRule="auto"/>
        <w:rPr>
          <w:sz w:val="20"/>
          <w:szCs w:val="20"/>
          <w:color w:val="auto"/>
        </w:rPr>
      </w:pPr>
      <w:r>
        <w:rPr>
          <w:rFonts w:ascii="Arial" w:cs="Arial" w:eastAsia="Arial" w:hAnsi="Arial"/>
          <w:sz w:val="18"/>
          <w:szCs w:val="18"/>
          <w:color w:val="auto"/>
        </w:rPr>
        <w:t>commercialize our product candidates without infringing, misappropriating, or otherwise violating the intellectual property or proprietary rights of third parties;</w:t>
      </w:r>
    </w:p>
    <w:p>
      <w:pPr>
        <w:spacing w:after="0" w:line="2" w:lineRule="exact"/>
        <w:rPr>
          <w:sz w:val="20"/>
          <w:szCs w:val="20"/>
          <w:color w:val="auto"/>
        </w:rPr>
      </w:pPr>
    </w:p>
    <w:p>
      <w:pPr>
        <w:ind w:left="1620" w:right="109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 w:lineRule="exact"/>
        <w:rPr>
          <w:rFonts w:ascii="Arial" w:cs="Arial" w:eastAsia="Arial" w:hAnsi="Arial"/>
          <w:sz w:val="18"/>
          <w:szCs w:val="18"/>
          <w:color w:val="auto"/>
        </w:rPr>
      </w:pPr>
    </w:p>
    <w:p>
      <w:pPr>
        <w:ind w:left="1620" w:right="459" w:hanging="360"/>
        <w:spacing w:after="0" w:line="260"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capital markets and other macroeconomic factors, including due to inflationary pressures, trade disputes and tariffs, banking instability, global health crises, geopolitical tensions or the outbreak of hostilities or war;</w:t>
      </w:r>
    </w:p>
    <w:p>
      <w:pPr>
        <w:spacing w:after="0" w:line="2"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49" w:lineRule="exact"/>
        <w:rPr>
          <w:rFonts w:ascii="Arial" w:cs="Arial" w:eastAsia="Arial" w:hAnsi="Arial"/>
          <w:sz w:val="18"/>
          <w:szCs w:val="18"/>
          <w:color w:val="auto"/>
        </w:rPr>
      </w:pPr>
    </w:p>
    <w:p>
      <w:pPr>
        <w:ind w:left="1620" w:right="439" w:hanging="360"/>
        <w:spacing w:after="0" w:line="262"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2024, as such risk factors may be amended, supplemented or superseded from time to time by our subsequent periodic reports we file with the SEC.</w:t>
      </w:r>
    </w:p>
    <w:p>
      <w:pPr>
        <w:spacing w:after="0" w:line="109"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this prospectus, any applicable prospectus supplement and the documents we incorporate by reference herein and therein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04" w:lineRule="exact"/>
        <w:rPr>
          <w:sz w:val="20"/>
          <w:szCs w:val="20"/>
          <w:color w:val="auto"/>
        </w:rPr>
      </w:pPr>
    </w:p>
    <w:p>
      <w:pPr>
        <w:ind w:left="1260" w:right="879"/>
        <w:spacing w:after="0" w:line="262" w:lineRule="auto"/>
        <w:rPr>
          <w:sz w:val="20"/>
          <w:szCs w:val="20"/>
          <w:color w:val="auto"/>
        </w:rPr>
      </w:pPr>
      <w:r>
        <w:rPr>
          <w:rFonts w:ascii="Arial" w:cs="Arial" w:eastAsia="Arial" w:hAnsi="Arial"/>
          <w:sz w:val="18"/>
          <w:szCs w:val="18"/>
          <w:color w:val="auto"/>
        </w:rPr>
        <w:t>You should read this prospectus, any applicable prospectus supplement and the documents incorporated by reference herein and therein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ABOUT THE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ind w:left="1260" w:right="499"/>
        <w:spacing w:after="0" w:line="257" w:lineRule="auto"/>
        <w:rPr>
          <w:sz w:val="20"/>
          <w:szCs w:val="20"/>
          <w:color w:val="auto"/>
        </w:rPr>
      </w:pPr>
      <w:r>
        <w:rPr>
          <w:rFonts w:ascii="Arial" w:cs="Arial" w:eastAsia="Arial" w:hAnsi="Arial"/>
          <w:sz w:val="17"/>
          <w:szCs w:val="17"/>
          <w:color w:val="auto"/>
        </w:rPr>
        <w:t>We are a clinical-stage biotechnology company harnessing the power of allogeneic pluripotent stem cell therapies to develop potentially curative cell therapy products for autoimmune diseases and cancer. Our natural killer, or NK, and T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p>
    <w:p>
      <w:pPr>
        <w:spacing w:after="0" w:line="6" w:lineRule="exact"/>
        <w:rPr>
          <w:sz w:val="20"/>
          <w:szCs w:val="20"/>
          <w:color w:val="auto"/>
        </w:rPr>
      </w:pPr>
    </w:p>
    <w:p>
      <w:pPr>
        <w:ind w:left="1620" w:right="499" w:hanging="360"/>
        <w:spacing w:after="0" w:line="26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Industry-leading iPSCs and differentiation know-how to generate immune effector cells from iPSCs, or iPSC-derived cells;</w:t>
      </w:r>
    </w:p>
    <w:p>
      <w:pPr>
        <w:ind w:left="1620" w:right="779" w:hanging="360"/>
        <w:spacing w:after="0" w:line="26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disrupt target genes intended to optimize cell product performance;</w:t>
      </w:r>
    </w:p>
    <w:p>
      <w:pPr>
        <w:spacing w:after="0" w:line="2" w:lineRule="exact"/>
        <w:rPr>
          <w:rFonts w:ascii="Arial" w:cs="Arial" w:eastAsia="Arial" w:hAnsi="Arial"/>
          <w:sz w:val="18"/>
          <w:szCs w:val="18"/>
          <w:color w:val="auto"/>
        </w:rPr>
      </w:pPr>
    </w:p>
    <w:p>
      <w:pPr>
        <w:ind w:left="1620" w:right="979" w:hanging="360"/>
        <w:spacing w:after="0" w:line="26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ind w:left="1620" w:right="599" w:hanging="360"/>
        <w:spacing w:after="0" w:line="27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proprietary Allo-Evasion™ technology intended to prevent rejection of our cell products by the host immune system, enabling the potential for persistence and re-dosing of therapy; and</w:t>
      </w:r>
    </w:p>
    <w:p>
      <w:pPr>
        <w:spacing w:after="0" w:line="1" w:lineRule="exact"/>
        <w:rPr>
          <w:rFonts w:ascii="Arial" w:cs="Arial" w:eastAsia="Arial" w:hAnsi="Arial"/>
          <w:sz w:val="18"/>
          <w:szCs w:val="18"/>
          <w:color w:val="auto"/>
        </w:rPr>
      </w:pPr>
    </w:p>
    <w:p>
      <w:pPr>
        <w:ind w:left="1620" w:right="85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Cutting-edge manufacturing capabilities intended to drive scale advantages and reduce cost of goods sold, or COGs, while minimizing product development and supply risk.</w:t>
      </w:r>
    </w:p>
    <w:p>
      <w:pPr>
        <w:spacing w:after="0" w:line="72" w:lineRule="exact"/>
        <w:rPr>
          <w:sz w:val="20"/>
          <w:szCs w:val="20"/>
          <w:color w:val="auto"/>
        </w:rPr>
      </w:pPr>
    </w:p>
    <w:p>
      <w:pPr>
        <w:ind w:left="1260" w:right="539"/>
        <w:spacing w:after="0" w:line="244" w:lineRule="auto"/>
        <w:rPr>
          <w:sz w:val="20"/>
          <w:szCs w:val="20"/>
          <w:color w:val="auto"/>
        </w:rPr>
      </w:pPr>
      <w:r>
        <w:rPr>
          <w:rFonts w:ascii="Arial" w:cs="Arial" w:eastAsia="Arial" w:hAnsi="Arial"/>
          <w:sz w:val="18"/>
          <w:szCs w:val="18"/>
          <w:color w:val="auto"/>
        </w:rPr>
        <w:t>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immune effector cell types we can generate from iPSCs, including iPSC-derived natural killer cells, or iNK cells, iPSC-derived gd T cells, or gd iT cells, and iPSC-derived CD4+ and CD8+ ab T cells, or ab iT cells. We believe this capability enables optimal matching of cell characteristics to indication, ensuring we target the right cell for the right indication. Further, we have developed a feeder-free, scalable process that recapitulates normal T cell development in a dish, allowing for what we believe to be the industry-first presentation of iPSC-derived CD4+ and CD8+ CAR-T cells that demonstrate ab-like T cell function.</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lead product candidate, CNTY-101, is a CAR-iNK cell therapy with six precision gene edits currently</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being tested in a Phase 1 clinical trial for patients with B-cell mediated autoimmune diseases. In</w:t>
      </w:r>
    </w:p>
    <w:p>
      <w:pPr>
        <w:ind w:left="1260"/>
        <w:spacing w:after="0"/>
        <w:rPr>
          <w:sz w:val="20"/>
          <w:szCs w:val="20"/>
          <w:color w:val="auto"/>
        </w:rPr>
      </w:pPr>
      <w:r>
        <w:rPr>
          <w:rFonts w:ascii="Arial" w:cs="Arial" w:eastAsia="Arial" w:hAnsi="Arial"/>
          <w:sz w:val="17"/>
          <w:szCs w:val="17"/>
          <w:color w:val="auto"/>
        </w:rPr>
        <w:t>March 2025, we announced that we have discontinued CNTY-101 evaluation in a Phase 1 clinical trial for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patients with lymphoma for strategic reasons. While we remain encouraged by tolerability and clinical</w:t>
      </w:r>
    </w:p>
    <w:p>
      <w:pPr>
        <w:ind w:left="1260"/>
        <w:spacing w:after="0"/>
        <w:rPr>
          <w:sz w:val="20"/>
          <w:szCs w:val="20"/>
          <w:color w:val="auto"/>
        </w:rPr>
      </w:pPr>
      <w:r>
        <w:rPr>
          <w:rFonts w:ascii="Arial" w:cs="Arial" w:eastAsia="Arial" w:hAnsi="Arial"/>
          <w:sz w:val="17"/>
          <w:szCs w:val="17"/>
          <w:color w:val="auto"/>
        </w:rPr>
        <w:t>activity of CNTY-101 in late-stage R/R NHL, emerging data from ELiPSE-1 did not meet our threshold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 considered transformational in this patient population.</w:t>
      </w:r>
    </w:p>
    <w:p>
      <w:pPr>
        <w:spacing w:after="0" w:line="126" w:lineRule="exact"/>
        <w:rPr>
          <w:sz w:val="20"/>
          <w:szCs w:val="20"/>
          <w:color w:val="auto"/>
        </w:rPr>
      </w:pPr>
    </w:p>
    <w:p>
      <w:pPr>
        <w:ind w:left="1260" w:right="619"/>
        <w:spacing w:after="0" w:line="245" w:lineRule="auto"/>
        <w:rPr>
          <w:sz w:val="20"/>
          <w:szCs w:val="20"/>
          <w:color w:val="auto"/>
        </w:rPr>
      </w:pPr>
      <w:r>
        <w:rPr>
          <w:rFonts w:ascii="Arial" w:cs="Arial" w:eastAsia="Arial" w:hAnsi="Arial"/>
          <w:sz w:val="18"/>
          <w:szCs w:val="18"/>
          <w:color w:val="auto"/>
        </w:rPr>
        <w:t>In March 2025, we also announced a re-prioritized pre-clinical pipeline intended to further leverage the unique capabilities and technologies we have towards transformative treatments holding strong commercial potential to treat serious diseases with high unmet need. Accordingly, in addition to our clinical stage programs, we will be focusing on three core pre-clinical programs built on our industry leading iT cell platform. We believe these programs have significant potential for differentiation in their respective categories.</w:t>
      </w:r>
    </w:p>
    <w:p>
      <w:pPr>
        <w:spacing w:after="0" w:line="1" w:lineRule="exact"/>
        <w:rPr>
          <w:sz w:val="20"/>
          <w:szCs w:val="20"/>
          <w:color w:val="auto"/>
        </w:rPr>
      </w:pPr>
    </w:p>
    <w:p>
      <w:pPr>
        <w:ind w:left="1620" w:right="459" w:hanging="360"/>
        <w:spacing w:after="0" w:line="266"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CNTY-308: A CD19-targeted CAR-iT cell therapy engineered with Allo-Evasion™ 5.0 demonstrating preclinical efficacy comparable to autologous CD19 CAR-T cells. It is being developed primarily for B-cell mediated autoimmune diseases and malignancies.</w:t>
      </w:r>
    </w:p>
    <w:p>
      <w:pPr>
        <w:ind w:left="1620" w:right="659" w:hanging="360"/>
        <w:spacing w:after="0" w:line="268"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CNTY-341: A CD19/CD22 dual-targeted CAR-iT cell therapy engineered with Allo-Evasion™ 5.0 which pairs dual targeting and primary T-cell-like functionality in an allogeneic cell with the goal of providing a differentiated therapy for B cell malignancies.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hanging="360"/>
        <w:spacing w:after="0" w:line="266"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first solid tumor CAR iT program exploiting Nectin-4 CAR and other validated targets, engineered with Allo-Evasion™ 5.0 and additional engineering aimed at overcoming the key barriers to success in solid tumors.</w:t>
      </w:r>
    </w:p>
    <w:p>
      <w:pPr>
        <w:ind w:left="1620" w:right="1059" w:hanging="360"/>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also selectively expanding to non-immune effector cells where we believe there are opportunities to potentially accelerate in high-impact therapeutic areas where we believe our technology and capabilities can provide meaningful differentiation.</w:t>
      </w:r>
    </w:p>
    <w:p>
      <w:pPr>
        <w:spacing w:after="0" w:line="103"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we have assembled a world-class team with decades of collective experience in cell therapy and drug development, manufacturing, and commercialization.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77"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Our primary executive offices are located at 25 N 38th Street, 11th Floor, Philadelphia, Pennsylvania, 19104, and our telephone number is (267) 817-5790. Our corporate website is www.centurytx.com.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90" w:lineRule="exact"/>
        <w:rPr>
          <w:sz w:val="20"/>
          <w:szCs w:val="20"/>
          <w:color w:val="auto"/>
        </w:rPr>
      </w:pPr>
    </w:p>
    <w:p>
      <w:pPr>
        <w:ind w:left="1260" w:right="399"/>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earliest of (1) December 31, 2026,</w:t>
      </w:r>
    </w:p>
    <w:p>
      <w:pPr>
        <w:ind w:left="1260" w:right="639"/>
        <w:spacing w:after="0" w:line="254" w:lineRule="auto"/>
        <w:tabs>
          <w:tab w:leader="none" w:pos="152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beginning of the first fiscal year after our annual gross revenue is $1.235 billion or more, (3) the date on which we have, during the previous three-year period, issued more than $1.0 billion in non-convertible debt securities and (4) as of the end of any fiscal year in which the market value of our common stock held by non-affiliates exceeded $700 million as of the end of the second quarter of that fiscal year.</w:t>
      </w:r>
    </w:p>
    <w:p>
      <w:pPr>
        <w:spacing w:after="0" w:line="102"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For as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and financial statements in our periodic reports and proxy statements, and exemptions from the requirements of holding a nonbinding advisory vote to approve executive compensation and shareholder approval of any golden parachute payments not previously approved. We will take advantage of these reporting exemptions until we are no longer an “emerging growth company.”</w:t>
      </w:r>
    </w:p>
    <w:p>
      <w:pPr>
        <w:spacing w:after="0" w:line="113" w:lineRule="exact"/>
        <w:rPr>
          <w:sz w:val="20"/>
          <w:szCs w:val="20"/>
          <w:color w:val="auto"/>
        </w:rPr>
      </w:pPr>
    </w:p>
    <w:p>
      <w:pPr>
        <w:ind w:left="1260" w:right="639"/>
        <w:spacing w:after="0" w:line="262"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109"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We are also a “smaller reporting company,” as defined in Item 10(f)(1) of Regulation S-K.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Investing in any of our securities involves significant risks. Before making an investment decision, in addition to the other information contained in or incorporated by reference in this prospectus and any prospectus supplement, you should carefully consider the specific risks set forth under the heading “Risk Factors” in our most recent Annual Report on Form 10-K and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USE OF PROCEEDS</w:t>
      </w:r>
    </w:p>
    <w:p>
      <w:pPr>
        <w:spacing w:after="0" w:line="333" w:lineRule="exact"/>
        <w:rPr>
          <w:sz w:val="20"/>
          <w:szCs w:val="20"/>
          <w:color w:val="auto"/>
        </w:rPr>
      </w:pPr>
    </w:p>
    <w:p>
      <w:pPr>
        <w:ind w:left="1260" w:right="1319"/>
        <w:spacing w:after="0" w:line="28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SECURITIES THAT MAY BE OFFERED</w:t>
      </w:r>
    </w:p>
    <w:p>
      <w:pPr>
        <w:spacing w:after="0" w:line="333" w:lineRule="exact"/>
        <w:rPr>
          <w:sz w:val="20"/>
          <w:szCs w:val="20"/>
          <w:color w:val="auto"/>
        </w:rPr>
      </w:pPr>
    </w:p>
    <w:p>
      <w:pPr>
        <w:ind w:left="1260" w:right="419"/>
        <w:spacing w:after="0" w:line="256" w:lineRule="auto"/>
        <w:rPr>
          <w:sz w:val="20"/>
          <w:szCs w:val="20"/>
          <w:color w:val="auto"/>
        </w:rPr>
      </w:pPr>
      <w:r>
        <w:rPr>
          <w:rFonts w:ascii="Arial" w:cs="Arial" w:eastAsia="Arial" w:hAnsi="Arial"/>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15"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335"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as amended, which has been publicly filed with the SEC. See “Where You Can Find More Information.” For a complete description, you should refer to our second amended and restated certificate of incorporation and amended and restated bylaws, copies of which are incorporated by reference as exhibits to the registration statement of which this prospectus is a part.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ind w:left="1260" w:right="619"/>
        <w:spacing w:after="0" w:line="259" w:lineRule="auto"/>
        <w:rPr>
          <w:sz w:val="20"/>
          <w:szCs w:val="20"/>
          <w:color w:val="auto"/>
        </w:rPr>
      </w:pPr>
      <w:r>
        <w:rPr>
          <w:rFonts w:ascii="Arial" w:cs="Arial" w:eastAsia="Arial" w:hAnsi="Arial"/>
          <w:sz w:val="18"/>
          <w:szCs w:val="18"/>
          <w:color w:val="auto"/>
        </w:rPr>
        <w:t>Under our second amended and restated certificate of incorporation, as amended, or our Certificate of Incorporation, our authorized capital stock consists of 300,000,000 shares of common stock, par value $0.0001 per share, and 10,000,000 shares of preferred stock, par value $0.0001 per share. As of March 31, 2025, we had 86,146,049 shares of common stock outstanding, and no shares of preferred stock outstanding.</w:t>
      </w:r>
    </w:p>
    <w:p>
      <w:pPr>
        <w:spacing w:after="0" w:line="98"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Each holder of common stock is entitled to one vote for each share on all matters submitted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Certificate of Incorporation, such as the provisions relating to amending our amended and restated bylaws, procedures for our stockholder meetings, the classified board, director liability, and exclusive forum for proceedings.</w:t>
      </w:r>
    </w:p>
    <w:p>
      <w:pPr>
        <w:spacing w:after="0" w:line="117"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preferences that may be applicable to any then outstanding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are entitled to receive dividends, if any, as may be declared from time to time by our board of directors out of legally available funds.</w:t>
      </w:r>
    </w:p>
    <w:p>
      <w:pPr>
        <w:spacing w:after="0" w:line="103" w:lineRule="exact"/>
        <w:rPr>
          <w:sz w:val="20"/>
          <w:szCs w:val="20"/>
          <w:color w:val="auto"/>
        </w:rPr>
      </w:pPr>
    </w:p>
    <w:p>
      <w:pPr>
        <w:ind w:left="1260" w:right="799"/>
        <w:spacing w:after="0" w:line="262"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In the event of our liquidation, dissolution or winding up,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95"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i w:val="1"/>
          <w:iCs w:val="1"/>
          <w:color w:val="auto"/>
        </w:rPr>
        <w:t>Other Rights and Restrictions</w:t>
      </w:r>
      <w:r>
        <w:rPr>
          <w:rFonts w:ascii="Arial" w:cs="Arial" w:eastAsia="Arial" w:hAnsi="Arial"/>
          <w:sz w:val="18"/>
          <w:szCs w:val="18"/>
          <w:color w:val="auto"/>
        </w:rPr>
        <w:t>. Holders of our common stock have no preemptive,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p>
    <w:p>
      <w:pPr>
        <w:spacing w:after="0" w:line="112"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common stock is listed on the Nasdaq Global Select Market under the symbol “IPSC.”</w:t>
      </w:r>
    </w:p>
    <w:p>
      <w:pPr>
        <w:spacing w:after="0" w:line="158"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our common stock is Equiniti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LLC. The transfer agent’s address is 6201 15th Avenue, Brooklyn, NY 11219.</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77"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The issuance of preferred stock could adversely affect the voting power of holders of common stock and the likelihood that such holders will receive dividend payments and payments upon liquidation. In 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 of Delaware Law and Our Charter Documents</w:t>
      </w:r>
    </w:p>
    <w:p>
      <w:pPr>
        <w:spacing w:after="0" w:line="77" w:lineRule="exact"/>
        <w:rPr>
          <w:sz w:val="20"/>
          <w:szCs w:val="20"/>
          <w:color w:val="auto"/>
        </w:rPr>
      </w:pPr>
    </w:p>
    <w:p>
      <w:pPr>
        <w:ind w:left="1260" w:right="639"/>
        <w:spacing w:after="0" w:line="246" w:lineRule="auto"/>
        <w:rPr>
          <w:sz w:val="20"/>
          <w:szCs w:val="20"/>
          <w:color w:val="auto"/>
        </w:rPr>
      </w:pPr>
      <w:r>
        <w:rPr>
          <w:rFonts w:ascii="Arial" w:cs="Arial" w:eastAsia="Arial" w:hAnsi="Arial"/>
          <w:sz w:val="18"/>
          <w:szCs w:val="18"/>
          <w:color w:val="auto"/>
        </w:rPr>
        <w:t>Some provisions of Delaware law and our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8"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07"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i w:val="1"/>
          <w:iCs w:val="1"/>
          <w:color w:val="auto"/>
        </w:rPr>
        <w:t>Section 203 of the Delaware General Corporation Law</w:t>
      </w:r>
      <w:r>
        <w:rPr>
          <w:rFonts w:ascii="Arial" w:cs="Arial" w:eastAsia="Arial" w:hAnsi="Arial"/>
          <w:sz w:val="17"/>
          <w:szCs w:val="17"/>
          <w:color w:val="auto"/>
        </w:rPr>
        <w:t>. We are subject to Section 203 of the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Corporation Law, or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07" w:lineRule="exact"/>
        <w:rPr>
          <w:sz w:val="20"/>
          <w:szCs w:val="20"/>
          <w:color w:val="auto"/>
        </w:rPr>
      </w:pPr>
    </w:p>
    <w:p>
      <w:pPr>
        <w:ind w:left="1260" w:right="519"/>
        <w:spacing w:after="0" w:line="262"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Certificate of Incorporation provides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09" w:lineRule="exact"/>
        <w:rPr>
          <w:sz w:val="20"/>
          <w:szCs w:val="20"/>
          <w:color w:val="auto"/>
        </w:rPr>
      </w:pPr>
    </w:p>
    <w:p>
      <w:pPr>
        <w:ind w:left="1260" w:right="499"/>
        <w:spacing w:after="0" w:line="282"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ability to authorize undesignated preferred stock makes it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94" w:lineRule="exact"/>
        <w:rPr>
          <w:sz w:val="20"/>
          <w:szCs w:val="20"/>
          <w:color w:val="auto"/>
        </w:rPr>
      </w:pPr>
    </w:p>
    <w:p>
      <w:pPr>
        <w:ind w:left="1260" w:right="499"/>
        <w:spacing w:after="0" w:line="248" w:lineRule="auto"/>
        <w:rPr>
          <w:sz w:val="20"/>
          <w:szCs w:val="20"/>
          <w:color w:val="auto"/>
        </w:rPr>
      </w:pPr>
      <w:r>
        <w:rPr>
          <w:rFonts w:ascii="Arial" w:cs="Arial" w:eastAsia="Arial" w:hAnsi="Arial"/>
          <w:sz w:val="17"/>
          <w:szCs w:val="17"/>
          <w:i w:val="1"/>
          <w:iCs w:val="1"/>
          <w:color w:val="auto"/>
        </w:rPr>
        <w:t xml:space="preserve">Amendment of Charter Provisions. </w:t>
      </w:r>
      <w:r>
        <w:rPr>
          <w:rFonts w:ascii="Arial" w:cs="Arial" w:eastAsia="Arial" w:hAnsi="Arial"/>
          <w:sz w:val="17"/>
          <w:szCs w:val="17"/>
          <w:color w:val="auto"/>
        </w:rPr>
        <w:t>Our Certificate of Incorporation provides that the affirmative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of the then outstanding shares of voting stock, voting 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of the then outstanding shares of voting stock, voting as a single class, will be required to amend or repeal our amended and restated bylaws unless such action is recommended by our board of directors at an annual or special meeting of stockholders, which would then require the affirmative vote</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539"/>
        <w:spacing w:after="0" w:line="268" w:lineRule="auto"/>
        <w:rPr>
          <w:sz w:val="20"/>
          <w:szCs w:val="20"/>
          <w:color w:val="auto"/>
        </w:rPr>
      </w:pPr>
      <w:r>
        <w:rPr>
          <w:rFonts w:ascii="Arial" w:cs="Arial" w:eastAsia="Arial" w:hAnsi="Arial"/>
          <w:sz w:val="18"/>
          <w:szCs w:val="18"/>
          <w:color w:val="auto"/>
        </w:rPr>
        <w:t>of a majority of the voting power of all of the then outstanding shares of voting stock, voting as a single class. Additionally, our amended and restated bylaws may be amended by a simple majority vote of our board of directors.</w:t>
      </w:r>
    </w:p>
    <w:p>
      <w:pPr>
        <w:spacing w:after="0" w:line="103"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i w:val="1"/>
          <w:iCs w:val="1"/>
          <w:color w:val="auto"/>
        </w:rPr>
        <w:t>Classified Board; Election and Removal of Directors</w:t>
      </w:r>
      <w:r>
        <w:rPr>
          <w:rFonts w:ascii="Arial" w:cs="Arial" w:eastAsia="Arial" w:hAnsi="Arial"/>
          <w:sz w:val="18"/>
          <w:szCs w:val="18"/>
          <w:color w:val="auto"/>
        </w:rPr>
        <w:t>. Our Certificate of Incorporation provides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12"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Certificate of Incorporation provides that, unless we consent in writing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Certificate of Incorporation or our amended and restated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109"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DESCRIPTION OF DEBT SECURITIES</w:t>
      </w:r>
    </w:p>
    <w:p>
      <w:pPr>
        <w:spacing w:after="0" w:line="333" w:lineRule="exact"/>
        <w:rPr>
          <w:sz w:val="20"/>
          <w:szCs w:val="20"/>
          <w:color w:val="auto"/>
        </w:rPr>
      </w:pPr>
    </w:p>
    <w:p>
      <w:pPr>
        <w:ind w:left="1260" w:right="599"/>
        <w:spacing w:after="0" w:line="257"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15"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12"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and you should read the indenture for provisions that may be important to you. Capitalized terms used in the summary and not defined herein have the meanings specified in the indenture.</w:t>
      </w:r>
    </w:p>
    <w:p>
      <w:pPr>
        <w:spacing w:after="0" w:line="98" w:lineRule="exact"/>
        <w:rPr>
          <w:sz w:val="20"/>
          <w:szCs w:val="20"/>
          <w:color w:val="auto"/>
        </w:rPr>
      </w:pPr>
    </w:p>
    <w:p>
      <w:pPr>
        <w:ind w:left="1260" w:right="619"/>
        <w:spacing w:after="0" w:line="287" w:lineRule="auto"/>
        <w:rPr>
          <w:sz w:val="20"/>
          <w:szCs w:val="20"/>
          <w:color w:val="auto"/>
        </w:rPr>
      </w:pPr>
      <w:r>
        <w:rPr>
          <w:rFonts w:ascii="Arial" w:cs="Arial" w:eastAsia="Arial" w:hAnsi="Arial"/>
          <w:sz w:val="18"/>
          <w:szCs w:val="18"/>
          <w:color w:val="auto"/>
        </w:rPr>
        <w:t>As used in this section only, “Century,” “we,” “our” or “us” refer to Century Therapeutics, Inc., excluding its wholly owned subsidiary, unless expressly stated or the context otherwise requires.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98"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color w:val="auto"/>
        </w:rPr>
        <w:t>We can issue an unlimited amount of debt securities under the indenture that may be issued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4"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49" w:lineRule="exact"/>
        <w:rPr>
          <w:rFonts w:ascii="Arial" w:cs="Arial" w:eastAsia="Arial" w:hAnsi="Arial"/>
          <w:sz w:val="18"/>
          <w:szCs w:val="18"/>
          <w:color w:val="auto"/>
        </w:rPr>
      </w:pPr>
    </w:p>
    <w:p>
      <w:pPr>
        <w:ind w:left="1620" w:right="439" w:hanging="360"/>
        <w:spacing w:after="0" w:line="273"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36"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49" w:lineRule="exact"/>
        <w:rPr>
          <w:rFonts w:ascii="Arial" w:cs="Arial" w:eastAsia="Arial" w:hAnsi="Arial"/>
          <w:sz w:val="18"/>
          <w:szCs w:val="18"/>
          <w:color w:val="auto"/>
        </w:rPr>
      </w:pPr>
    </w:p>
    <w:p>
      <w:pPr>
        <w:ind w:left="1620" w:right="41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3" w:lineRule="exact"/>
        <w:rPr>
          <w:rFonts w:ascii="Arial" w:cs="Arial" w:eastAsia="Arial" w:hAnsi="Arial"/>
          <w:sz w:val="18"/>
          <w:szCs w:val="18"/>
          <w:color w:val="auto"/>
        </w:rPr>
      </w:pPr>
    </w:p>
    <w:p>
      <w:pPr>
        <w:ind w:left="1620" w:right="419" w:hanging="360"/>
        <w:spacing w:after="0" w:line="262"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ind w:left="1620" w:right="659" w:hanging="360"/>
        <w:spacing w:after="0" w:line="273"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 w:lineRule="exact"/>
        <w:rPr>
          <w:rFonts w:ascii="Arial" w:cs="Arial" w:eastAsia="Arial" w:hAnsi="Arial"/>
          <w:sz w:val="18"/>
          <w:szCs w:val="18"/>
          <w:color w:val="auto"/>
        </w:rPr>
      </w:pPr>
    </w:p>
    <w:p>
      <w:pPr>
        <w:ind w:left="1620" w:right="579" w:hanging="360"/>
        <w:spacing w:after="0" w:line="318"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859"/>
        <w:spacing w:after="0" w:line="273" w:lineRule="auto"/>
        <w:rPr>
          <w:sz w:val="20"/>
          <w:szCs w:val="20"/>
          <w:color w:val="auto"/>
        </w:rPr>
      </w:pPr>
      <w:r>
        <w:rPr>
          <w:rFonts w:ascii="Arial" w:cs="Arial" w:eastAsia="Arial" w:hAnsi="Arial"/>
          <w:sz w:val="18"/>
          <w:szCs w:val="18"/>
          <w:color w:val="auto"/>
        </w:rPr>
        <w:t>which, the price or prices at which and in the terms and conditions upon which securities of the series shall be redeemed or purchased, in whole or in part, pursuant to such obligation;</w:t>
      </w:r>
    </w:p>
    <w:p>
      <w:pPr>
        <w:spacing w:after="0" w:line="2" w:lineRule="exact"/>
        <w:rPr>
          <w:sz w:val="20"/>
          <w:szCs w:val="20"/>
          <w:color w:val="auto"/>
        </w:rPr>
      </w:pPr>
    </w:p>
    <w:p>
      <w:pPr>
        <w:ind w:left="1620" w:right="579" w:hanging="360"/>
        <w:spacing w:after="0" w:line="266"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ind w:left="1620" w:right="519" w:hanging="360"/>
        <w:spacing w:after="0" w:line="273"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1" w:lineRule="exact"/>
        <w:rPr>
          <w:rFonts w:ascii="Arial" w:cs="Arial" w:eastAsia="Arial" w:hAnsi="Arial"/>
          <w:sz w:val="18"/>
          <w:szCs w:val="18"/>
          <w:color w:val="auto"/>
        </w:rPr>
      </w:pPr>
    </w:p>
    <w:p>
      <w:pPr>
        <w:ind w:left="1620" w:right="759" w:hanging="360"/>
        <w:spacing w:after="0" w:line="273"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 w:lineRule="exact"/>
        <w:rPr>
          <w:rFonts w:ascii="Arial" w:cs="Arial" w:eastAsia="Arial" w:hAnsi="Arial"/>
          <w:sz w:val="18"/>
          <w:szCs w:val="18"/>
          <w:color w:val="auto"/>
        </w:rPr>
      </w:pPr>
    </w:p>
    <w:p>
      <w:pPr>
        <w:ind w:left="1620" w:right="479" w:hanging="360"/>
        <w:spacing w:after="0" w:line="273"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 w:lineRule="exact"/>
        <w:rPr>
          <w:rFonts w:ascii="Arial" w:cs="Arial" w:eastAsia="Arial" w:hAnsi="Arial"/>
          <w:sz w:val="18"/>
          <w:szCs w:val="18"/>
          <w:color w:val="auto"/>
        </w:rPr>
      </w:pPr>
    </w:p>
    <w:p>
      <w:pPr>
        <w:ind w:left="1620" w:right="859" w:hanging="360"/>
        <w:spacing w:after="0" w:line="266"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ind w:left="1620" w:right="1019" w:hanging="360"/>
        <w:spacing w:after="0" w:line="273"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if any, and interest on the debt securities will be made;</w:t>
      </w:r>
    </w:p>
    <w:p>
      <w:pPr>
        <w:spacing w:after="0" w:line="1" w:lineRule="exact"/>
        <w:rPr>
          <w:rFonts w:ascii="Arial" w:cs="Arial" w:eastAsia="Arial" w:hAnsi="Arial"/>
          <w:sz w:val="18"/>
          <w:szCs w:val="18"/>
          <w:color w:val="auto"/>
        </w:rPr>
      </w:pPr>
    </w:p>
    <w:p>
      <w:pPr>
        <w:ind w:left="1620" w:right="579" w:hanging="360"/>
        <w:spacing w:after="0" w:line="262"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w:t>
      </w:r>
    </w:p>
    <w:p>
      <w:pPr>
        <w:ind w:left="1620" w:right="419" w:hanging="360"/>
        <w:spacing w:after="0" w:line="25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49" w:lineRule="exact"/>
        <w:rPr>
          <w:rFonts w:ascii="Arial" w:cs="Arial" w:eastAsia="Arial" w:hAnsi="Arial"/>
          <w:sz w:val="18"/>
          <w:szCs w:val="18"/>
          <w:color w:val="auto"/>
        </w:rPr>
      </w:pPr>
    </w:p>
    <w:p>
      <w:pPr>
        <w:ind w:left="1620" w:right="559" w:hanging="360"/>
        <w:spacing w:after="0" w:line="266"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ind w:left="1620" w:right="1099" w:hanging="360"/>
        <w:spacing w:after="0" w:line="273"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1" w:lineRule="exact"/>
        <w:rPr>
          <w:rFonts w:ascii="Arial" w:cs="Arial" w:eastAsia="Arial" w:hAnsi="Arial"/>
          <w:sz w:val="18"/>
          <w:szCs w:val="18"/>
          <w:color w:val="auto"/>
        </w:rPr>
      </w:pPr>
    </w:p>
    <w:p>
      <w:pPr>
        <w:ind w:left="1620" w:right="559" w:hanging="360"/>
        <w:spacing w:after="0" w:line="273"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1" w:lineRule="exact"/>
        <w:rPr>
          <w:rFonts w:ascii="Arial" w:cs="Arial" w:eastAsia="Arial" w:hAnsi="Arial"/>
          <w:sz w:val="18"/>
          <w:szCs w:val="18"/>
          <w:color w:val="auto"/>
        </w:rPr>
      </w:pPr>
    </w:p>
    <w:p>
      <w:pPr>
        <w:ind w:left="1620" w:right="559" w:hanging="360"/>
        <w:spacing w:after="0" w:line="25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jc w:val="both"/>
        <w:ind w:left="1620" w:right="519" w:hanging="360"/>
        <w:spacing w:after="0" w:line="266"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ind w:left="1620" w:right="77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85"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United States federal income tax considerations and other special considerations applicable to any of these debt securities in the applicable prospectus supplement.</w:t>
      </w:r>
    </w:p>
    <w:p>
      <w:pPr>
        <w:spacing w:after="0" w:line="112"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and Exchange</w:t>
      </w:r>
    </w:p>
    <w:p>
      <w:pPr>
        <w:spacing w:after="0" w:line="90" w:lineRule="exact"/>
        <w:rPr>
          <w:sz w:val="20"/>
          <w:szCs w:val="20"/>
          <w:color w:val="auto"/>
        </w:rPr>
      </w:pPr>
    </w:p>
    <w:p>
      <w:pPr>
        <w:ind w:left="1260" w:right="519"/>
        <w:spacing w:after="0" w:line="246"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(DTC), or a nominee of DTC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08" w:lineRule="exact"/>
        <w:rPr>
          <w:sz w:val="20"/>
          <w:szCs w:val="20"/>
          <w:color w:val="auto"/>
        </w:rPr>
      </w:pPr>
    </w:p>
    <w:p>
      <w:pPr>
        <w:ind w:left="1260" w:right="539"/>
        <w:spacing w:after="0" w:line="247" w:lineRule="auto"/>
        <w:rPr>
          <w:sz w:val="20"/>
          <w:szCs w:val="20"/>
          <w:color w:val="auto"/>
        </w:rPr>
      </w:pPr>
      <w:r>
        <w:rPr>
          <w:rFonts w:ascii="Arial" w:cs="Arial" w:eastAsia="Arial" w:hAnsi="Arial"/>
          <w:sz w:val="18"/>
          <w:szCs w:val="18"/>
          <w:color w:val="auto"/>
        </w:rPr>
        <w:t>Certificated Debt Securities.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09" w:lineRule="exact"/>
        <w:rPr>
          <w:sz w:val="20"/>
          <w:szCs w:val="20"/>
          <w:color w:val="auto"/>
        </w:rPr>
      </w:pPr>
    </w:p>
    <w:p>
      <w:pPr>
        <w:ind w:left="1260" w:right="639"/>
        <w:spacing w:after="0" w:line="252"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03" w:lineRule="exact"/>
        <w:rPr>
          <w:sz w:val="20"/>
          <w:szCs w:val="20"/>
          <w:color w:val="auto"/>
        </w:rPr>
      </w:pPr>
    </w:p>
    <w:p>
      <w:pPr>
        <w:jc w:val="both"/>
        <w:ind w:left="1260" w:right="559"/>
        <w:spacing w:after="0" w:line="261"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DTC, and registered in the name of DTC or a nominee of DTC. Please see “Global Securities.”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Covenants</w:t>
      </w:r>
    </w:p>
    <w:p>
      <w:pPr>
        <w:spacing w:after="0" w:line="77" w:lineRule="exact"/>
        <w:rPr>
          <w:sz w:val="20"/>
          <w:szCs w:val="20"/>
          <w:color w:val="auto"/>
        </w:rPr>
      </w:pPr>
    </w:p>
    <w:p>
      <w:pPr>
        <w:ind w:left="1260" w:right="799"/>
        <w:spacing w:after="0" w:line="287"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77"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90" w:lineRule="exact"/>
        <w:rPr>
          <w:sz w:val="20"/>
          <w:szCs w:val="20"/>
          <w:color w:val="auto"/>
        </w:rPr>
      </w:pPr>
    </w:p>
    <w:p>
      <w:pPr>
        <w:ind w:left="1260" w:right="599"/>
        <w:spacing w:after="0" w:line="25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or a successor person, unless:</w:t>
      </w:r>
    </w:p>
    <w:p>
      <w:pPr>
        <w:ind w:left="1620" w:right="559" w:hanging="360"/>
        <w:spacing w:after="0" w:line="258"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the surviving entity or the successor person (if other than Century) is a corporation, partnership, trust or other entity organized and validly existing under the laws of any U.S. domestic jurisdiction and expressly assumes our obligations on the debt securities and under the indenture; and</w:t>
      </w:r>
    </w:p>
    <w:p>
      <w:pPr>
        <w:ind w:left="1620" w:right="539" w:hanging="360"/>
        <w:spacing w:after="0" w:line="268"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(defined as any event which is, or after notice or passage of time or both would be, an Event of Default) or Event of Default, shall have occurred and be continuing.</w:t>
      </w:r>
    </w:p>
    <w:p>
      <w:pPr>
        <w:spacing w:after="0" w:line="103" w:lineRule="exact"/>
        <w:rPr>
          <w:sz w:val="20"/>
          <w:szCs w:val="20"/>
          <w:color w:val="auto"/>
        </w:rPr>
      </w:pPr>
    </w:p>
    <w:p>
      <w:pPr>
        <w:ind w:left="1260" w:right="759"/>
        <w:spacing w:after="0" w:line="271" w:lineRule="auto"/>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50" w:lineRule="exact"/>
        <w:rPr>
          <w:sz w:val="20"/>
          <w:szCs w:val="20"/>
          <w:color w:val="auto"/>
        </w:rPr>
      </w:pPr>
    </w:p>
    <w:p>
      <w:pPr>
        <w:ind w:left="1620" w:right="599" w:hanging="360"/>
        <w:spacing w:after="0" w:line="258"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ind w:left="1620" w:hanging="36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hanging="360"/>
        <w:spacing w:after="0" w:line="25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Century and the trustee receive written notice from the holders of not less than 25% in principal amount of the outstanding debt securities of that series as provided in the indenture;</w:t>
      </w:r>
    </w:p>
    <w:p>
      <w:pPr>
        <w:spacing w:after="0" w:line="6" w:lineRule="exact"/>
        <w:rPr>
          <w:rFonts w:ascii="Arial" w:cs="Arial" w:eastAsia="Arial" w:hAnsi="Arial"/>
          <w:sz w:val="18"/>
          <w:szCs w:val="18"/>
          <w:color w:val="auto"/>
        </w:rPr>
      </w:pPr>
    </w:p>
    <w:p>
      <w:pPr>
        <w:ind w:left="1620" w:hanging="36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Century; or</w:t>
      </w:r>
    </w:p>
    <w:p>
      <w:pPr>
        <w:spacing w:after="0" w:line="49" w:lineRule="exact"/>
        <w:rPr>
          <w:rFonts w:ascii="Arial" w:cs="Arial" w:eastAsia="Arial" w:hAnsi="Arial"/>
          <w:sz w:val="18"/>
          <w:szCs w:val="18"/>
          <w:color w:val="auto"/>
        </w:rPr>
      </w:pPr>
    </w:p>
    <w:p>
      <w:pPr>
        <w:ind w:left="1620" w:right="519" w:hanging="360"/>
        <w:spacing w:after="0" w:line="28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w:t>
      </w:r>
    </w:p>
    <w:p>
      <w:pPr>
        <w:spacing w:after="0" w:line="85"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98" w:lineRule="exact"/>
        <w:rPr>
          <w:sz w:val="20"/>
          <w:szCs w:val="20"/>
          <w:color w:val="auto"/>
        </w:rPr>
      </w:pPr>
    </w:p>
    <w:p>
      <w:pPr>
        <w:ind w:left="1260" w:right="579"/>
        <w:spacing w:after="0" w:line="262"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09"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4" w:lineRule="exact"/>
        <w:rPr>
          <w:sz w:val="20"/>
          <w:szCs w:val="20"/>
          <w:color w:val="auto"/>
        </w:rPr>
      </w:pPr>
    </w:p>
    <w:p>
      <w:pPr>
        <w:ind w:left="1260" w:right="719"/>
        <w:spacing w:after="0" w:line="256"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02"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ind w:left="1620" w:right="739" w:hanging="360"/>
        <w:spacing w:after="0" w:line="273"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1" w:lineRule="exact"/>
        <w:rPr>
          <w:rFonts w:ascii="Arial" w:cs="Arial" w:eastAsia="Arial" w:hAnsi="Arial"/>
          <w:sz w:val="18"/>
          <w:szCs w:val="18"/>
          <w:color w:val="auto"/>
        </w:rPr>
      </w:pPr>
    </w:p>
    <w:p>
      <w:pPr>
        <w:ind w:left="1620" w:right="499" w:hanging="360"/>
        <w:spacing w:after="0" w:line="291"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620" w:right="819"/>
        <w:spacing w:after="0" w:line="318" w:lineRule="auto"/>
        <w:rPr>
          <w:sz w:val="20"/>
          <w:szCs w:val="20"/>
          <w:color w:val="auto"/>
        </w:rPr>
      </w:pPr>
      <w:r>
        <w:rPr>
          <w:rFonts w:ascii="Arial" w:cs="Arial" w:eastAsia="Arial" w:hAnsi="Arial"/>
          <w:sz w:val="17"/>
          <w:szCs w:val="17"/>
          <w:color w:val="auto"/>
        </w:rPr>
        <w:t>of not less than a majority in principal amount of the outstanding debt securities of that series a direction inconsistent with that request and has failed to institute the proceeding within 60 days.</w:t>
      </w:r>
    </w:p>
    <w:p>
      <w:pPr>
        <w:spacing w:after="0" w:line="62" w:lineRule="exact"/>
        <w:rPr>
          <w:sz w:val="20"/>
          <w:szCs w:val="20"/>
          <w:color w:val="auto"/>
        </w:rPr>
      </w:pPr>
    </w:p>
    <w:p>
      <w:pPr>
        <w:ind w:left="1260" w:right="499"/>
        <w:spacing w:after="0" w:line="262"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09"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and Waiver</w:t>
      </w:r>
    </w:p>
    <w:p>
      <w:pPr>
        <w:spacing w:after="0" w:line="77" w:lineRule="exact"/>
        <w:rPr>
          <w:sz w:val="20"/>
          <w:szCs w:val="20"/>
          <w:color w:val="auto"/>
        </w:rPr>
      </w:pPr>
    </w:p>
    <w:p>
      <w:pPr>
        <w:ind w:left="1260" w:right="559"/>
        <w:spacing w:after="0" w:line="273"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2" w:lineRule="exact"/>
        <w:rPr>
          <w:sz w:val="20"/>
          <w:szCs w:val="20"/>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63" w:lineRule="exact"/>
        <w:rPr>
          <w:rFonts w:ascii="Arial" w:cs="Arial" w:eastAsia="Arial" w:hAnsi="Arial"/>
          <w:sz w:val="18"/>
          <w:szCs w:val="18"/>
          <w:color w:val="auto"/>
        </w:rPr>
      </w:pPr>
    </w:p>
    <w:p>
      <w:pPr>
        <w:ind w:left="1620" w:right="959" w:hanging="360"/>
        <w:spacing w:after="0" w:line="281"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63" w:lineRule="exact"/>
        <w:rPr>
          <w:rFonts w:ascii="Arial" w:cs="Arial" w:eastAsia="Arial" w:hAnsi="Arial"/>
          <w:sz w:val="18"/>
          <w:szCs w:val="18"/>
          <w:color w:val="auto"/>
        </w:rPr>
      </w:pPr>
    </w:p>
    <w:p>
      <w:pPr>
        <w:ind w:left="1620" w:right="899" w:hanging="360"/>
        <w:spacing w:after="0" w:line="281"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the procedures of the applicable depositary;</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63" w:lineRule="exact"/>
        <w:rPr>
          <w:rFonts w:ascii="Arial" w:cs="Arial" w:eastAsia="Arial" w:hAnsi="Arial"/>
          <w:sz w:val="18"/>
          <w:szCs w:val="18"/>
          <w:color w:val="auto"/>
        </w:rPr>
      </w:pPr>
    </w:p>
    <w:p>
      <w:pPr>
        <w:ind w:left="1620" w:right="599" w:hanging="360"/>
        <w:spacing w:after="0" w:line="281"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w:t>
      </w:r>
    </w:p>
    <w:p>
      <w:pPr>
        <w:spacing w:after="0" w:line="1" w:lineRule="exact"/>
        <w:rPr>
          <w:rFonts w:ascii="Arial" w:cs="Arial" w:eastAsia="Arial" w:hAnsi="Arial"/>
          <w:sz w:val="18"/>
          <w:szCs w:val="18"/>
          <w:color w:val="auto"/>
        </w:rPr>
      </w:pPr>
    </w:p>
    <w:p>
      <w:pPr>
        <w:jc w:val="both"/>
        <w:ind w:left="1620" w:right="419" w:hanging="360"/>
        <w:spacing w:after="0" w:line="268"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8" w:lineRule="exact"/>
        <w:rPr>
          <w:rFonts w:ascii="Arial" w:cs="Arial" w:eastAsia="Arial" w:hAnsi="Arial"/>
          <w:sz w:val="18"/>
          <w:szCs w:val="18"/>
          <w:color w:val="auto"/>
        </w:rPr>
      </w:pPr>
    </w:p>
    <w:p>
      <w:pPr>
        <w:ind w:left="1620" w:right="539" w:hanging="360"/>
        <w:spacing w:after="0" w:line="259"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conform the terms of the indenture (insofar as it applies to any series of debt securities issued under the indenture) or the terms of the debt securities of any series issued under the indenture to the description thereof contained in any prospectus, prospectus supplement or similar offering document used in connection with the initial offering and sale of such debt securities to investors in a public or private offering; or</w:t>
      </w:r>
    </w:p>
    <w:p>
      <w:pPr>
        <w:spacing w:after="0" w:line="17" w:lineRule="exact"/>
        <w:rPr>
          <w:rFonts w:ascii="Arial" w:cs="Arial" w:eastAsia="Arial" w:hAnsi="Arial"/>
          <w:sz w:val="18"/>
          <w:szCs w:val="18"/>
          <w:color w:val="auto"/>
        </w:rPr>
      </w:pPr>
    </w:p>
    <w:p>
      <w:pPr>
        <w:ind w:left="1620" w:right="1139" w:hanging="360"/>
        <w:spacing w:after="0" w:line="28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72" w:lineRule="exact"/>
        <w:rPr>
          <w:sz w:val="20"/>
          <w:szCs w:val="20"/>
          <w:color w:val="auto"/>
        </w:rPr>
      </w:pPr>
    </w:p>
    <w:p>
      <w:pPr>
        <w:ind w:left="1260" w:right="659"/>
        <w:spacing w:after="0" w:line="262"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 w:lineRule="exact"/>
        <w:rPr>
          <w:sz w:val="20"/>
          <w:szCs w:val="20"/>
          <w:color w:val="auto"/>
        </w:rPr>
      </w:pPr>
    </w:p>
    <w:p>
      <w:pPr>
        <w:ind w:left="1620" w:right="459" w:hanging="360"/>
        <w:spacing w:after="0" w:line="281"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 w:lineRule="exact"/>
        <w:rPr>
          <w:rFonts w:ascii="Arial" w:cs="Arial" w:eastAsia="Arial" w:hAnsi="Arial"/>
          <w:sz w:val="18"/>
          <w:szCs w:val="18"/>
          <w:color w:val="auto"/>
        </w:rPr>
      </w:pPr>
    </w:p>
    <w:p>
      <w:pPr>
        <w:ind w:left="1620" w:right="559" w:hanging="360"/>
        <w:spacing w:after="0" w:line="28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hanging="360"/>
        <w:spacing w:after="0" w:line="266"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36" w:lineRule="exact"/>
        <w:rPr>
          <w:rFonts w:ascii="Arial" w:cs="Arial" w:eastAsia="Arial" w:hAnsi="Arial"/>
          <w:sz w:val="18"/>
          <w:szCs w:val="18"/>
          <w:color w:val="auto"/>
        </w:rPr>
      </w:pPr>
    </w:p>
    <w:p>
      <w:pPr>
        <w:ind w:left="1620" w:right="439" w:hanging="360"/>
        <w:spacing w:after="0" w:line="258"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ind w:left="1620" w:right="439" w:hanging="360"/>
        <w:spacing w:after="0" w:line="266"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ind w:left="1620" w:right="479" w:hanging="360"/>
        <w:spacing w:after="0" w:line="262"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144" w:lineRule="exact"/>
        <w:rPr>
          <w:sz w:val="20"/>
          <w:szCs w:val="20"/>
          <w:color w:val="auto"/>
        </w:rPr>
      </w:pPr>
    </w:p>
    <w:p>
      <w:pPr>
        <w:ind w:left="1260" w:right="479"/>
        <w:spacing w:after="0" w:line="245"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90" w:lineRule="exact"/>
        <w:rPr>
          <w:sz w:val="20"/>
          <w:szCs w:val="20"/>
          <w:color w:val="auto"/>
        </w:rPr>
      </w:pPr>
    </w:p>
    <w:p>
      <w:pPr>
        <w:ind w:left="1260" w:right="459"/>
        <w:spacing w:after="0" w:line="258"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05"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12" w:lineRule="exact"/>
        <w:rPr>
          <w:sz w:val="20"/>
          <w:szCs w:val="20"/>
          <w:color w:val="auto"/>
        </w:rPr>
      </w:pPr>
    </w:p>
    <w:p>
      <w:pPr>
        <w:ind w:left="1260" w:right="899"/>
        <w:spacing w:after="0" w:line="266"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applicable series of debt securities, upon compliance with certain conditions:</w:t>
      </w:r>
    </w:p>
    <w:p>
      <w:pPr>
        <w:ind w:left="1620" w:right="559" w:hanging="360"/>
        <w:spacing w:after="0" w:line="260"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2" w:lineRule="exact"/>
        <w:rPr>
          <w:rFonts w:ascii="Arial" w:cs="Arial" w:eastAsia="Arial" w:hAnsi="Arial"/>
          <w:sz w:val="18"/>
          <w:szCs w:val="18"/>
          <w:color w:val="auto"/>
        </w:rPr>
      </w:pPr>
    </w:p>
    <w:p>
      <w:pPr>
        <w:ind w:left="1620" w:right="439" w:hanging="360"/>
        <w:spacing w:after="0" w:line="28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or a covenant defeasance.</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conditions include:</w:t>
      </w:r>
    </w:p>
    <w:p>
      <w:pPr>
        <w:spacing w:after="0" w:line="50" w:lineRule="exact"/>
        <w:rPr>
          <w:sz w:val="20"/>
          <w:szCs w:val="20"/>
          <w:color w:val="auto"/>
        </w:rPr>
      </w:pPr>
    </w:p>
    <w:p>
      <w:pPr>
        <w:ind w:left="1620" w:right="479" w:hanging="360"/>
        <w:spacing w:after="0" w:line="255"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 w:lineRule="exact"/>
        <w:rPr>
          <w:rFonts w:ascii="Arial" w:cs="Arial" w:eastAsia="Arial" w:hAnsi="Arial"/>
          <w:sz w:val="18"/>
          <w:szCs w:val="18"/>
          <w:color w:val="auto"/>
        </w:rPr>
      </w:pPr>
    </w:p>
    <w:p>
      <w:pPr>
        <w:ind w:left="1620" w:right="459" w:hanging="360"/>
        <w:spacing w:after="0" w:line="255"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77"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77" w:lineRule="exact"/>
        <w:rPr>
          <w:sz w:val="20"/>
          <w:szCs w:val="20"/>
          <w:color w:val="auto"/>
        </w:rPr>
      </w:pPr>
    </w:p>
    <w:p>
      <w:pPr>
        <w:ind w:left="1260" w:right="559"/>
        <w:spacing w:after="0" w:line="28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85"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09"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DESCRIPTION OF WARRANTS</w:t>
      </w:r>
    </w:p>
    <w:p>
      <w:pPr>
        <w:spacing w:after="0" w:line="333"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10"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1" w:lineRule="exact"/>
        <w:rPr>
          <w:sz w:val="20"/>
          <w:szCs w:val="20"/>
          <w:color w:val="auto"/>
        </w:rPr>
      </w:pPr>
    </w:p>
    <w:p>
      <w:pPr>
        <w:ind w:left="1620" w:right="479" w:hanging="360"/>
        <w:spacing w:after="0" w:line="262"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1" w:lineRule="exact"/>
        <w:rPr>
          <w:rFonts w:ascii="Arial" w:cs="Arial" w:eastAsia="Arial" w:hAnsi="Arial"/>
          <w:sz w:val="18"/>
          <w:szCs w:val="18"/>
          <w:color w:val="auto"/>
        </w:rPr>
      </w:pPr>
    </w:p>
    <w:p>
      <w:pPr>
        <w:ind w:left="1620" w:right="479" w:hanging="360"/>
        <w:spacing w:after="0" w:line="260"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2" w:lineRule="exact"/>
        <w:rPr>
          <w:rFonts w:ascii="Arial" w:cs="Arial" w:eastAsia="Arial" w:hAnsi="Arial"/>
          <w:sz w:val="18"/>
          <w:szCs w:val="18"/>
          <w:color w:val="auto"/>
        </w:rPr>
      </w:pPr>
    </w:p>
    <w:p>
      <w:pPr>
        <w:ind w:left="1620" w:right="559" w:hanging="360"/>
        <w:spacing w:after="0" w:line="281" w:lineRule="auto"/>
        <w:tabs>
          <w:tab w:leader="none" w:pos="1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principal amount of debt securities that may be purchased upon exercise of a debt warrant and the exercise price for the warrants, which may be payable in cash, securities or other property;</w:t>
      </w:r>
    </w:p>
    <w:p>
      <w:pPr>
        <w:spacing w:after="0" w:line="1" w:lineRule="exact"/>
        <w:rPr>
          <w:rFonts w:ascii="Arial" w:cs="Arial" w:eastAsia="Arial" w:hAnsi="Arial"/>
          <w:sz w:val="17"/>
          <w:szCs w:val="17"/>
          <w:color w:val="auto"/>
        </w:rPr>
      </w:pPr>
    </w:p>
    <w:p>
      <w:pPr>
        <w:ind w:left="1620" w:right="639" w:hanging="360"/>
        <w:spacing w:after="0" w:line="27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1" w:lineRule="exact"/>
        <w:rPr>
          <w:rFonts w:ascii="Arial" w:cs="Arial" w:eastAsia="Arial" w:hAnsi="Arial"/>
          <w:sz w:val="18"/>
          <w:szCs w:val="18"/>
          <w:color w:val="auto"/>
        </w:rPr>
      </w:pPr>
    </w:p>
    <w:p>
      <w:pPr>
        <w:ind w:left="1620" w:right="879" w:hanging="360"/>
        <w:spacing w:after="0" w:line="266"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49" w:lineRule="exact"/>
        <w:rPr>
          <w:rFonts w:ascii="Arial" w:cs="Arial" w:eastAsia="Arial" w:hAnsi="Arial"/>
          <w:sz w:val="18"/>
          <w:szCs w:val="18"/>
          <w:color w:val="auto"/>
        </w:rPr>
      </w:pPr>
    </w:p>
    <w:p>
      <w:pPr>
        <w:ind w:left="1620" w:right="579" w:hanging="360"/>
        <w:spacing w:after="0" w:line="266"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ind w:left="1620" w:right="579" w:hanging="360"/>
        <w:spacing w:after="0" w:line="266"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49" w:lineRule="exact"/>
        <w:rPr>
          <w:rFonts w:ascii="Arial" w:cs="Arial" w:eastAsia="Arial" w:hAnsi="Arial"/>
          <w:sz w:val="18"/>
          <w:szCs w:val="18"/>
          <w:color w:val="auto"/>
        </w:rPr>
      </w:pPr>
    </w:p>
    <w:p>
      <w:pPr>
        <w:ind w:left="1620" w:right="839" w:hanging="360"/>
        <w:spacing w:after="0" w:line="28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Holders of equity warrants will not be entitled to:</w:t>
      </w:r>
    </w:p>
    <w:p>
      <w:pPr>
        <w:spacing w:after="0" w:line="50" w:lineRule="exact"/>
        <w:rPr>
          <w:sz w:val="20"/>
          <w:szCs w:val="20"/>
          <w:color w:val="auto"/>
        </w:rPr>
      </w:pPr>
    </w:p>
    <w:p>
      <w:pPr>
        <w:ind w:left="1620" w:hanging="360"/>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36" w:lineRule="exact"/>
        <w:rPr>
          <w:rFonts w:ascii="Arial" w:cs="Arial" w:eastAsia="Arial" w:hAnsi="Arial"/>
          <w:sz w:val="18"/>
          <w:szCs w:val="18"/>
          <w:color w:val="auto"/>
        </w:rPr>
      </w:pPr>
    </w:p>
    <w:p>
      <w:pPr>
        <w:ind w:left="1620" w:right="739" w:hanging="360"/>
        <w:spacing w:after="0" w:line="27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any rights as our stockholders.</w:t>
      </w:r>
    </w:p>
    <w:p>
      <w:pPr>
        <w:spacing w:after="0" w:line="144"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07" w:lineRule="exact"/>
        <w:rPr>
          <w:sz w:val="20"/>
          <w:szCs w:val="20"/>
          <w:color w:val="auto"/>
        </w:rPr>
      </w:pPr>
    </w:p>
    <w:p>
      <w:pPr>
        <w:ind w:left="1260" w:right="479"/>
        <w:spacing w:after="0" w:line="245"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09"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As of March 31, 2025, we had outstanding warrants to purchase an aggregate of 32,009 shares of our common stock outstanding with an exercise price of $10.64 per share. These warrants may be exercised at any time and from time to time,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DESCRIPTION OF UNITS</w:t>
      </w:r>
    </w:p>
    <w:p>
      <w:pPr>
        <w:spacing w:after="0" w:line="333"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12"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17" w:lineRule="exact"/>
        <w:rPr>
          <w:sz w:val="20"/>
          <w:szCs w:val="20"/>
          <w:color w:val="auto"/>
        </w:rPr>
      </w:pPr>
    </w:p>
    <w:p>
      <w:pPr>
        <w:ind w:left="1260" w:right="699"/>
        <w:spacing w:after="0" w:line="266"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ind w:left="1620" w:right="579" w:hanging="360"/>
        <w:spacing w:after="0" w:line="273"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49" w:lineRule="exact"/>
        <w:rPr>
          <w:rFonts w:ascii="Arial" w:cs="Arial" w:eastAsia="Arial" w:hAnsi="Arial"/>
          <w:sz w:val="18"/>
          <w:szCs w:val="18"/>
          <w:color w:val="auto"/>
        </w:rPr>
      </w:pPr>
    </w:p>
    <w:p>
      <w:pPr>
        <w:ind w:left="1620" w:hanging="36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36" w:lineRule="exact"/>
        <w:rPr>
          <w:rFonts w:ascii="Arial" w:cs="Arial" w:eastAsia="Arial" w:hAnsi="Arial"/>
          <w:sz w:val="18"/>
          <w:szCs w:val="18"/>
          <w:color w:val="auto"/>
        </w:rPr>
      </w:pPr>
    </w:p>
    <w:p>
      <w:pPr>
        <w:ind w:left="1620" w:hanging="36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49" w:lineRule="exact"/>
        <w:rPr>
          <w:rFonts w:ascii="Arial" w:cs="Arial" w:eastAsia="Arial" w:hAnsi="Arial"/>
          <w:sz w:val="18"/>
          <w:szCs w:val="18"/>
          <w:color w:val="auto"/>
        </w:rPr>
      </w:pPr>
    </w:p>
    <w:p>
      <w:pPr>
        <w:ind w:left="1620" w:right="799" w:hanging="360"/>
        <w:spacing w:after="0" w:line="273"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144" w:lineRule="exact"/>
        <w:rPr>
          <w:sz w:val="20"/>
          <w:szCs w:val="20"/>
          <w:color w:val="auto"/>
        </w:rPr>
      </w:pPr>
    </w:p>
    <w:p>
      <w:pPr>
        <w:jc w:val="both"/>
        <w:ind w:left="1260" w:right="439"/>
        <w:spacing w:after="0" w:line="268"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333" w:lineRule="exact"/>
        <w:rPr>
          <w:sz w:val="20"/>
          <w:szCs w:val="20"/>
          <w:color w:val="auto"/>
        </w:rPr>
      </w:pPr>
    </w:p>
    <w:p>
      <w:pPr>
        <w:jc w:val="both"/>
        <w:ind w:left="1260" w:right="659"/>
        <w:spacing w:after="0" w:line="268" w:lineRule="auto"/>
        <w:rPr>
          <w:sz w:val="20"/>
          <w:szCs w:val="20"/>
          <w:color w:val="auto"/>
        </w:rPr>
      </w:pPr>
      <w:r>
        <w:rPr>
          <w:rFonts w:ascii="Arial" w:cs="Arial" w:eastAsia="Arial" w:hAnsi="Arial"/>
          <w:sz w:val="18"/>
          <w:szCs w:val="18"/>
          <w:color w:val="auto"/>
        </w:rPr>
        <w:t>As specified in any applicable prospectus supplement, we may issue subscription rights consisting of one or more debt securities, shares of preferred stock, shares of common stock or any combination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Book-Entry, Delivery and Form</w:t>
      </w:r>
    </w:p>
    <w:p>
      <w:pPr>
        <w:spacing w:after="0" w:line="90" w:lineRule="exact"/>
        <w:rPr>
          <w:sz w:val="20"/>
          <w:szCs w:val="20"/>
          <w:color w:val="auto"/>
        </w:rPr>
      </w:pPr>
    </w:p>
    <w:p>
      <w:pPr>
        <w:ind w:left="1260" w:right="419"/>
        <w:spacing w:after="0" w:line="260"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0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DTC has advised us that it is:</w:t>
      </w:r>
    </w:p>
    <w:p>
      <w:pPr>
        <w:spacing w:after="0" w:line="36" w:lineRule="exact"/>
        <w:rPr>
          <w:sz w:val="20"/>
          <w:szCs w:val="20"/>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49"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49"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36"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49" w:lineRule="exact"/>
        <w:rPr>
          <w:rFonts w:ascii="Arial" w:cs="Arial" w:eastAsia="Arial" w:hAnsi="Arial"/>
          <w:sz w:val="18"/>
          <w:szCs w:val="18"/>
          <w:color w:val="auto"/>
        </w:rPr>
      </w:pPr>
    </w:p>
    <w:p>
      <w:pPr>
        <w:ind w:left="1620" w:right="1019" w:hanging="360"/>
        <w:spacing w:after="0" w:line="28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 of 1934, as amended.</w:t>
      </w:r>
    </w:p>
    <w:p>
      <w:pPr>
        <w:spacing w:after="0" w:line="85"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92"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8"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17" w:lineRule="exact"/>
        <w:rPr>
          <w:sz w:val="20"/>
          <w:szCs w:val="20"/>
          <w:color w:val="auto"/>
        </w:rPr>
      </w:pPr>
    </w:p>
    <w:p>
      <w:pPr>
        <w:jc w:val="both"/>
        <w:ind w:left="1260" w:right="619"/>
        <w:spacing w:after="0" w:line="291" w:lineRule="auto"/>
        <w:rPr>
          <w:sz w:val="20"/>
          <w:szCs w:val="20"/>
          <w:color w:val="auto"/>
        </w:rPr>
      </w:pPr>
      <w:r>
        <w:rPr>
          <w:rFonts w:ascii="Arial" w:cs="Arial" w:eastAsia="Arial" w:hAnsi="Arial"/>
          <w:sz w:val="17"/>
          <w:szCs w:val="17"/>
          <w:color w:val="auto"/>
        </w:rPr>
        <w:t>So long as the securities are in book-entry form, you will receive payments and may transfer securities only through the facilities of the depositary and its direct and indirect participants. If applicable, we will maintain an office or agency in the location specified in the prospectus supplement for the applicable</w:t>
      </w: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securities, where notices and demands in respect of the securities and the indenture may be delivered to us and where certificated securities may be surrendered for payment, registration of transfer or exchange.</w:t>
      </w:r>
    </w:p>
    <w:p>
      <w:pPr>
        <w:spacing w:after="0" w:line="103"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3" w:lineRule="exact"/>
        <w:rPr>
          <w:sz w:val="20"/>
          <w:szCs w:val="20"/>
          <w:color w:val="auto"/>
        </w:rPr>
      </w:pPr>
    </w:p>
    <w:p>
      <w:pPr>
        <w:jc w:val="both"/>
        <w:ind w:left="1260" w:right="639"/>
        <w:spacing w:after="0" w:line="268"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90"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provide us with an omnibus proxy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12"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13"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09" w:lineRule="exact"/>
        <w:rPr>
          <w:sz w:val="20"/>
          <w:szCs w:val="20"/>
          <w:color w:val="auto"/>
        </w:rPr>
      </w:pPr>
    </w:p>
    <w:p>
      <w:pPr>
        <w:ind w:left="1260" w:right="499"/>
        <w:spacing w:after="0" w:line="262"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09"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3"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0" w:lineRule="exact"/>
        <w:rPr>
          <w:sz w:val="20"/>
          <w:szCs w:val="20"/>
          <w:color w:val="auto"/>
        </w:rPr>
      </w:pPr>
    </w:p>
    <w:p>
      <w:pPr>
        <w:ind w:left="1260" w:right="419"/>
        <w:spacing w:after="0" w:line="273"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2" w:lineRule="exact"/>
        <w:rPr>
          <w:sz w:val="20"/>
          <w:szCs w:val="20"/>
          <w:color w:val="auto"/>
        </w:rPr>
      </w:pPr>
    </w:p>
    <w:p>
      <w:pPr>
        <w:ind w:left="1620" w:right="419" w:hanging="360"/>
        <w:spacing w:after="0" w:line="318" w:lineRule="auto"/>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DTC notifies us that it is unwilling or unable to continue as a depositary for the global security or securities representing such series of securities or if DTC ceases to be a clearing agency registered;</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620" w:right="499" w:hanging="360"/>
        <w:spacing w:after="0" w:line="266"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the Exchange Act at a time when it is required to be registered and a successor depositary is not appointed within 90 days of the notification to us or of our becoming aware of DTC’s ceasing to be so registered, as the case may be;</w:t>
      </w:r>
    </w:p>
    <w:p>
      <w:pPr>
        <w:ind w:left="1620" w:right="539" w:hanging="360"/>
        <w:spacing w:after="0" w:line="27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 w:lineRule="exact"/>
        <w:rPr>
          <w:rFonts w:ascii="Arial" w:cs="Arial" w:eastAsia="Arial" w:hAnsi="Arial"/>
          <w:sz w:val="18"/>
          <w:szCs w:val="18"/>
          <w:color w:val="auto"/>
        </w:rPr>
      </w:pPr>
    </w:p>
    <w:p>
      <w:pPr>
        <w:jc w:val="both"/>
        <w:ind w:left="1620" w:right="559" w:hanging="360"/>
        <w:spacing w:after="0" w:line="268"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 we will prepare and deliver certificates for such securities in exchange for beneficial interests in the global securities.</w:t>
      </w:r>
    </w:p>
    <w:p>
      <w:pPr>
        <w:spacing w:after="0" w:line="103"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98" w:lineRule="exact"/>
        <w:rPr>
          <w:sz w:val="20"/>
          <w:szCs w:val="20"/>
          <w:color w:val="auto"/>
        </w:rPr>
      </w:pPr>
    </w:p>
    <w:p>
      <w:pPr>
        <w:jc w:val="both"/>
        <w:ind w:left="1260" w:right="559"/>
        <w:spacing w:after="0" w:line="268"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Euroclear and Clearstream</w:t>
      </w:r>
    </w:p>
    <w:p>
      <w:pPr>
        <w:spacing w:after="0" w:line="90"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04"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09" w:lineRule="exact"/>
        <w:rPr>
          <w:sz w:val="20"/>
          <w:szCs w:val="20"/>
          <w:color w:val="auto"/>
        </w:rPr>
      </w:pPr>
    </w:p>
    <w:p>
      <w:pPr>
        <w:ind w:left="1260" w:right="499"/>
        <w:spacing w:after="0" w:line="282"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94" w:lineRule="exact"/>
        <w:rPr>
          <w:sz w:val="20"/>
          <w:szCs w:val="20"/>
          <w:color w:val="auto"/>
        </w:rPr>
      </w:pPr>
    </w:p>
    <w:p>
      <w:pPr>
        <w:ind w:left="1260" w:right="499"/>
        <w:spacing w:after="0" w:line="282"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80"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90"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333" w:lineRule="exact"/>
        <w:rPr>
          <w:sz w:val="20"/>
          <w:szCs w:val="20"/>
          <w:color w:val="auto"/>
        </w:rPr>
      </w:pPr>
    </w:p>
    <w:p>
      <w:pPr>
        <w:ind w:left="1260" w:right="419"/>
        <w:spacing w:after="0" w:line="250" w:lineRule="auto"/>
        <w:rPr>
          <w:sz w:val="20"/>
          <w:szCs w:val="20"/>
          <w:color w:val="auto"/>
        </w:rPr>
      </w:pPr>
      <w:r>
        <w:rPr>
          <w:rFonts w:ascii="Arial" w:cs="Arial" w:eastAsia="Arial" w:hAnsi="Arial"/>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2" w:lineRule="exact"/>
        <w:rPr>
          <w:sz w:val="20"/>
          <w:szCs w:val="20"/>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36" w:lineRule="exact"/>
        <w:rPr>
          <w:rFonts w:ascii="Arial" w:cs="Arial" w:eastAsia="Arial" w:hAnsi="Arial"/>
          <w:sz w:val="18"/>
          <w:szCs w:val="18"/>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49" w:lineRule="exact"/>
        <w:rPr>
          <w:rFonts w:ascii="Arial" w:cs="Arial" w:eastAsia="Arial" w:hAnsi="Arial"/>
          <w:sz w:val="18"/>
          <w:szCs w:val="18"/>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36" w:lineRule="exact"/>
        <w:rPr>
          <w:rFonts w:ascii="Arial" w:cs="Arial" w:eastAsia="Arial" w:hAnsi="Arial"/>
          <w:sz w:val="18"/>
          <w:szCs w:val="18"/>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“at-the-market offerings” (as​ defined in Rule 415 under the Securities Act);</w:t>
      </w:r>
    </w:p>
    <w:p>
      <w:pPr>
        <w:spacing w:after="0" w:line="49" w:lineRule="exact"/>
        <w:rPr>
          <w:rFonts w:ascii="Arial" w:cs="Arial" w:eastAsia="Arial" w:hAnsi="Arial"/>
          <w:sz w:val="18"/>
          <w:szCs w:val="18"/>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negotiated prices; or</w:t>
      </w:r>
    </w:p>
    <w:p>
      <w:pPr>
        <w:spacing w:after="0" w:line="36" w:lineRule="exact"/>
        <w:rPr>
          <w:rFonts w:ascii="Arial" w:cs="Arial" w:eastAsia="Arial" w:hAnsi="Arial"/>
          <w:sz w:val="18"/>
          <w:szCs w:val="18"/>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any method permitted by applicable law and described in a prospectus supplement.</w:t>
      </w:r>
    </w:p>
    <w:p>
      <w:pPr>
        <w:spacing w:after="0" w:line="15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03"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1"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94"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1" w:lineRule="exact"/>
        <w:rPr>
          <w:sz w:val="20"/>
          <w:szCs w:val="20"/>
          <w:color w:val="auto"/>
        </w:rPr>
      </w:pPr>
    </w:p>
    <w:p>
      <w:pPr>
        <w:ind w:left="1260" w:right="499"/>
        <w:spacing w:after="0" w:line="244"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10" w:lineRule="exact"/>
        <w:rPr>
          <w:sz w:val="20"/>
          <w:szCs w:val="20"/>
          <w:color w:val="auto"/>
        </w:rPr>
      </w:pPr>
    </w:p>
    <w:p>
      <w:pPr>
        <w:ind w:left="1260" w:right="539"/>
        <w:spacing w:after="0" w:line="271" w:lineRule="auto"/>
        <w:rPr>
          <w:sz w:val="20"/>
          <w:szCs w:val="20"/>
          <w:color w:val="auto"/>
        </w:rPr>
      </w:pPr>
      <w:r>
        <w:rPr>
          <w:rFonts w:ascii="Arial" w:cs="Arial" w:eastAsia="Arial" w:hAnsi="Arial"/>
          <w:sz w:val="18"/>
          <w:szCs w:val="18"/>
          <w:color w:val="auto"/>
        </w:rPr>
        <w:t>Any common stock or preferred stock will be listed on the Nasdaq Global Select Market, or Nasdaq, but any other securities may or may not be listed on a national securities exchange.</w:t>
      </w:r>
    </w:p>
    <w:p>
      <w:pPr>
        <w:spacing w:after="0" w:line="86"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To facilitate the offering of securities, and to the extent permitted by and in accordance with Regulation M under the Exchange Act of 1934, as amended, or the Exchange Act,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2" w:lineRule="exact"/>
        <w:rPr>
          <w:sz w:val="20"/>
          <w:szCs w:val="20"/>
          <w:color w:val="auto"/>
        </w:rPr>
      </w:pPr>
    </w:p>
    <w:p>
      <w:pPr>
        <w:ind w:left="1260" w:right="419"/>
        <w:spacing w:after="0" w:line="260" w:lineRule="auto"/>
        <w:rPr>
          <w:sz w:val="20"/>
          <w:szCs w:val="20"/>
          <w:color w:val="auto"/>
        </w:rPr>
      </w:pPr>
      <w:r>
        <w:rPr>
          <w:rFonts w:ascii="Arial" w:cs="Arial" w:eastAsia="Arial" w:hAnsi="Arial"/>
          <w:sz w:val="17"/>
          <w:szCs w:val="17"/>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01"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engage in “at-the-market offerings” into an existing trading market in accordance with</w:t>
      </w:r>
    </w:p>
    <w:p>
      <w:pPr>
        <w:spacing w:after="0" w:line="27"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98" w:lineRule="exact"/>
        <w:rPr>
          <w:sz w:val="20"/>
          <w:szCs w:val="20"/>
          <w:color w:val="auto"/>
        </w:rPr>
      </w:pPr>
    </w:p>
    <w:p>
      <w:pPr>
        <w:ind w:left="1260" w:right="899"/>
        <w:spacing w:after="0" w:line="287" w:lineRule="auto"/>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85" w:lineRule="exact"/>
        <w:rPr>
          <w:sz w:val="20"/>
          <w:szCs w:val="20"/>
          <w:color w:val="auto"/>
        </w:rPr>
      </w:pPr>
    </w:p>
    <w:p>
      <w:pPr>
        <w:ind w:left="1260" w:right="539"/>
        <w:spacing w:after="0" w:line="28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85" w:lineRule="exact"/>
        <w:rPr>
          <w:sz w:val="20"/>
          <w:szCs w:val="20"/>
          <w:color w:val="auto"/>
        </w:rPr>
      </w:pPr>
    </w:p>
    <w:p>
      <w:pPr>
        <w:ind w:left="1260" w:right="519"/>
        <w:spacing w:after="0" w:line="318" w:lineRule="auto"/>
        <w:rPr>
          <w:sz w:val="20"/>
          <w:szCs w:val="20"/>
          <w:color w:val="auto"/>
        </w:rPr>
      </w:pPr>
      <w:r>
        <w:rPr>
          <w:rFonts w:ascii="Arial" w:cs="Arial" w:eastAsia="Arial" w:hAnsi="Arial"/>
          <w:sz w:val="17"/>
          <w:szCs w:val="17"/>
          <w:color w:val="auto"/>
        </w:rPr>
        <w:t>No securities may be sold under this prospectus without delivery, in paper format or in electronic format, or both, of the applicable prospectus supplement describing the method and terms of the offering.</w:t>
      </w:r>
    </w:p>
    <w:p>
      <w:pPr>
        <w:spacing w:after="0" w:line="49" w:lineRule="exact"/>
        <w:rPr>
          <w:sz w:val="20"/>
          <w:szCs w:val="20"/>
          <w:color w:val="auto"/>
        </w:rPr>
      </w:pPr>
    </w:p>
    <w:p>
      <w:pPr>
        <w:ind w:left="1260" w:right="539"/>
        <w:spacing w:after="0" w:line="282" w:lineRule="auto"/>
        <w:rPr>
          <w:sz w:val="20"/>
          <w:szCs w:val="20"/>
          <w:color w:val="auto"/>
        </w:rPr>
      </w:pPr>
      <w:r>
        <w:rPr>
          <w:rFonts w:ascii="Arial" w:cs="Arial" w:eastAsia="Arial" w:hAnsi="Arial"/>
          <w:sz w:val="17"/>
          <w:szCs w:val="17"/>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79"/>
        <w:spacing w:after="0" w:line="262" w:lineRule="auto"/>
        <w:rPr>
          <w:sz w:val="20"/>
          <w:szCs w:val="20"/>
          <w:color w:val="auto"/>
        </w:rPr>
      </w:pPr>
      <w:r>
        <w:rPr>
          <w:rFonts w:ascii="Arial" w:cs="Arial" w:eastAsia="Arial" w:hAnsi="Arial"/>
          <w:sz w:val="18"/>
          <w:szCs w:val="18"/>
          <w:color w:val="auto"/>
        </w:rPr>
        <w:t>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09"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333"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Goodwin Procter LLP, Philadelphia, PA, will pass upon certain legal matters relating to the issuance and sale of the securities offered hereby on behalf of Century Therapeutics,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333" w:lineRule="exact"/>
        <w:rPr>
          <w:sz w:val="20"/>
          <w:szCs w:val="20"/>
          <w:color w:val="auto"/>
        </w:rPr>
      </w:pPr>
    </w:p>
    <w:p>
      <w:pPr>
        <w:ind w:left="1260" w:right="519"/>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Century Therapeutics, Inc. appearing in Century Therapeutics, Inc’s </w:t>
      </w:r>
      <w:hyperlink r:id="rId64">
        <w:r>
          <w:rPr>
            <w:rFonts w:ascii="Arial" w:cs="Arial" w:eastAsia="Arial" w:hAnsi="Arial"/>
            <w:sz w:val="18"/>
            <w:szCs w:val="18"/>
            <w:u w:val="single" w:color="auto"/>
            <w:color w:val="0000EE"/>
          </w:rPr>
          <w:t>Annual Report (Form 10-K) for the year ended December 31, 2024</w:t>
        </w:r>
      </w:hyperlink>
      <w:r>
        <w:rPr>
          <w:rFonts w:ascii="Arial" w:cs="Arial" w:eastAsia="Arial" w:hAnsi="Arial"/>
          <w:sz w:val="18"/>
          <w:szCs w:val="18"/>
          <w:color w:val="auto"/>
        </w:rPr>
        <w:t>,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by reference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0" w:lineRule="exact"/>
        <w:rPr>
          <w:sz w:val="20"/>
          <w:szCs w:val="20"/>
          <w:color w:val="auto"/>
        </w:rPr>
      </w:pPr>
    </w:p>
    <w:p>
      <w:pPr>
        <w:ind w:left="1260" w:right="639"/>
        <w:spacing w:after="0" w:line="318" w:lineRule="auto"/>
        <w:rPr>
          <w:sz w:val="20"/>
          <w:szCs w:val="20"/>
          <w:color w:val="auto"/>
        </w:rPr>
      </w:pPr>
      <w:r>
        <w:rPr>
          <w:rFonts w:ascii="Arial" w:cs="Arial" w:eastAsia="Arial" w:hAnsi="Arial"/>
          <w:sz w:val="17"/>
          <w:szCs w:val="17"/>
          <w:color w:val="auto"/>
        </w:rPr>
        <w:t>The following is an estimate of the expenses (all of which are to be paid by the registrant) that we may incur in connection with the securities being registered hereby, other than the SEC registration fee.</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208"/>
        </w:trPr>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7920" w:type="dxa"/>
            <w:vAlign w:val="bottom"/>
            <w:gridSpan w:val="3"/>
          </w:tcPr>
          <w:p>
            <w:pPr>
              <w:spacing w:after="0" w:line="202" w:lineRule="exact"/>
              <w:rPr>
                <w:sz w:val="20"/>
                <w:szCs w:val="20"/>
                <w:color w:val="auto"/>
              </w:rPr>
            </w:pPr>
            <w:r>
              <w:rPr>
                <w:rFonts w:ascii="Arial" w:cs="Arial" w:eastAsia="Arial" w:hAnsi="Arial"/>
                <w:sz w:val="18"/>
                <w:szCs w:val="18"/>
                <w:color w:val="auto"/>
              </w:rPr>
              <w:t>The Nasdaq Global Select Market supplemental listing fee</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w:t>
            </w:r>
          </w:p>
        </w:tc>
      </w:tr>
      <w:tr>
        <w:trPr>
          <w:trHeight w:val="54"/>
        </w:trPr>
        <w:tc>
          <w:tcPr>
            <w:tcW w:w="792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r>
      <w:tr>
        <w:trPr>
          <w:trHeight w:val="203"/>
        </w:trPr>
        <w:tc>
          <w:tcPr>
            <w:tcW w:w="7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Fees and expenses of the trustee</w:t>
            </w:r>
          </w:p>
        </w:tc>
        <w:tc>
          <w:tcPr>
            <w:tcW w:w="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2"/>
              </w:rPr>
              <w:t>$(1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54"/>
        </w:trPr>
        <w:tc>
          <w:tcPr>
            <w:tcW w:w="7920" w:type="dxa"/>
            <w:vAlign w:val="bottom"/>
            <w:gridSpan w:val="3"/>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shd w:val="clear" w:color="auto" w:fill="CCEEFF"/>
          </w:tcPr>
          <w:p>
            <w:pPr>
              <w:spacing w:after="0" w:line="54" w:lineRule="exact"/>
              <w:rPr>
                <w:sz w:val="20"/>
                <w:szCs w:val="20"/>
                <w:color w:val="auto"/>
              </w:rPr>
            </w:pPr>
            <w:r>
              <w:rPr>
                <w:rFonts w:ascii="Arial" w:cs="Arial" w:eastAsia="Arial" w:hAnsi="Arial"/>
                <w:sz w:val="6"/>
                <w:szCs w:val="6"/>
                <w:b w:val="1"/>
                <w:bCs w:val="1"/>
                <w:color w:val="auto"/>
              </w:rPr>
              <w:t>​</w:t>
            </w: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r>
      <w:tr>
        <w:trPr>
          <w:trHeight w:val="203"/>
        </w:trPr>
        <w:tc>
          <w:tcPr>
            <w:tcW w:w="7920" w:type="dxa"/>
            <w:vAlign w:val="bottom"/>
            <w:gridSpan w:val="3"/>
          </w:tcPr>
          <w:p>
            <w:pPr>
              <w:spacing w:after="0" w:line="202" w:lineRule="exact"/>
              <w:rPr>
                <w:sz w:val="20"/>
                <w:szCs w:val="20"/>
                <w:color w:val="auto"/>
              </w:rPr>
            </w:pPr>
            <w:r>
              <w:rPr>
                <w:rFonts w:ascii="Arial" w:cs="Arial" w:eastAsia="Arial" w:hAnsi="Arial"/>
                <w:sz w:val="18"/>
                <w:szCs w:val="18"/>
                <w:color w:val="auto"/>
              </w:rPr>
              <w:t>Printing expenses</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w:t>
            </w:r>
          </w:p>
        </w:tc>
      </w:tr>
      <w:tr>
        <w:trPr>
          <w:trHeight w:val="54"/>
        </w:trPr>
        <w:tc>
          <w:tcPr>
            <w:tcW w:w="792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r>
      <w:tr>
        <w:trPr>
          <w:trHeight w:val="203"/>
        </w:trPr>
        <w:tc>
          <w:tcPr>
            <w:tcW w:w="7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2"/>
              </w:rPr>
              <w:t>$(1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54"/>
        </w:trPr>
        <w:tc>
          <w:tcPr>
            <w:tcW w:w="7920" w:type="dxa"/>
            <w:vAlign w:val="bottom"/>
            <w:gridSpan w:val="3"/>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shd w:val="clear" w:color="auto" w:fill="CCEEFF"/>
          </w:tcPr>
          <w:p>
            <w:pPr>
              <w:spacing w:after="0" w:line="54" w:lineRule="exact"/>
              <w:rPr>
                <w:sz w:val="20"/>
                <w:szCs w:val="20"/>
                <w:color w:val="auto"/>
              </w:rPr>
            </w:pPr>
            <w:r>
              <w:rPr>
                <w:rFonts w:ascii="Arial" w:cs="Arial" w:eastAsia="Arial" w:hAnsi="Arial"/>
                <w:sz w:val="6"/>
                <w:szCs w:val="6"/>
                <w:b w:val="1"/>
                <w:bCs w:val="1"/>
                <w:color w:val="auto"/>
              </w:rPr>
              <w:t>​</w:t>
            </w: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r>
      <w:tr>
        <w:trPr>
          <w:trHeight w:val="203"/>
        </w:trPr>
        <w:tc>
          <w:tcPr>
            <w:tcW w:w="7920" w:type="dxa"/>
            <w:vAlign w:val="bottom"/>
            <w:gridSpan w:val="3"/>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w:t>
            </w:r>
          </w:p>
        </w:tc>
      </w:tr>
      <w:tr>
        <w:trPr>
          <w:trHeight w:val="54"/>
        </w:trPr>
        <w:tc>
          <w:tcPr>
            <w:tcW w:w="792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r>
      <w:tr>
        <w:trPr>
          <w:trHeight w:val="203"/>
        </w:trPr>
        <w:tc>
          <w:tcPr>
            <w:tcW w:w="7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Blue Sky, qualification fees and expenses</w:t>
            </w:r>
          </w:p>
        </w:tc>
        <w:tc>
          <w:tcPr>
            <w:tcW w:w="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2"/>
              </w:rPr>
              <w:t>$(1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54"/>
        </w:trPr>
        <w:tc>
          <w:tcPr>
            <w:tcW w:w="7920" w:type="dxa"/>
            <w:vAlign w:val="bottom"/>
            <w:gridSpan w:val="3"/>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shd w:val="clear" w:color="auto" w:fill="CCEEFF"/>
          </w:tcPr>
          <w:p>
            <w:pPr>
              <w:spacing w:after="0" w:line="54" w:lineRule="exact"/>
              <w:rPr>
                <w:sz w:val="20"/>
                <w:szCs w:val="20"/>
                <w:color w:val="auto"/>
              </w:rPr>
            </w:pPr>
            <w:r>
              <w:rPr>
                <w:rFonts w:ascii="Arial" w:cs="Arial" w:eastAsia="Arial" w:hAnsi="Arial"/>
                <w:sz w:val="6"/>
                <w:szCs w:val="6"/>
                <w:b w:val="1"/>
                <w:bCs w:val="1"/>
                <w:color w:val="auto"/>
              </w:rPr>
              <w:t>​</w:t>
            </w: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r>
      <w:tr>
        <w:trPr>
          <w:trHeight w:val="203"/>
        </w:trPr>
        <w:tc>
          <w:tcPr>
            <w:tcW w:w="7920" w:type="dxa"/>
            <w:vAlign w:val="bottom"/>
            <w:gridSpan w:val="3"/>
          </w:tcPr>
          <w:p>
            <w:pPr>
              <w:spacing w:after="0" w:line="202" w:lineRule="exact"/>
              <w:rPr>
                <w:sz w:val="20"/>
                <w:szCs w:val="20"/>
                <w:color w:val="auto"/>
              </w:rPr>
            </w:pPr>
            <w:r>
              <w:rPr>
                <w:rFonts w:ascii="Arial" w:cs="Arial" w:eastAsia="Arial" w:hAnsi="Arial"/>
                <w:sz w:val="18"/>
                <w:szCs w:val="18"/>
                <w:color w:val="auto"/>
              </w:rPr>
              <w:t>Transfer agent fees and expenses</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$(1)</w:t>
            </w:r>
          </w:p>
        </w:tc>
      </w:tr>
      <w:tr>
        <w:trPr>
          <w:trHeight w:val="54"/>
        </w:trPr>
        <w:tc>
          <w:tcPr>
            <w:tcW w:w="792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68"/>
        </w:trPr>
        <w:tc>
          <w:tcPr>
            <w:tcW w:w="7900" w:type="dxa"/>
            <w:vAlign w:val="bottom"/>
            <w:tcBorders>
              <w:bottom w:val="single" w:sz="8" w:color="CCEEFF"/>
            </w:tcBorders>
            <w:gridSpan w:val="2"/>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line="68" w:lineRule="exact"/>
              <w:rPr>
                <w:sz w:val="20"/>
                <w:szCs w:val="20"/>
                <w:color w:val="auto"/>
              </w:rPr>
            </w:pPr>
            <w:r>
              <w:rPr>
                <w:rFonts w:ascii="Arial" w:cs="Arial" w:eastAsia="Arial" w:hAnsi="Arial"/>
                <w:sz w:val="7"/>
                <w:szCs w:val="7"/>
                <w:b w:val="1"/>
                <w:bCs w:val="1"/>
                <w:color w:val="auto"/>
              </w:rPr>
              <w:t>​</w:t>
            </w:r>
          </w:p>
        </w:tc>
        <w:tc>
          <w:tcPr>
            <w:tcW w:w="60" w:type="dxa"/>
            <w:vAlign w:val="bottom"/>
          </w:tcPr>
          <w:p>
            <w:pPr>
              <w:jc w:val="right"/>
              <w:spacing w:after="0" w:line="68" w:lineRule="exact"/>
              <w:rPr>
                <w:sz w:val="20"/>
                <w:szCs w:val="20"/>
                <w:color w:val="auto"/>
              </w:rPr>
            </w:pPr>
            <w:r>
              <w:rPr>
                <w:rFonts w:ascii="Arial" w:cs="Arial" w:eastAsia="Arial" w:hAnsi="Arial"/>
                <w:sz w:val="7"/>
                <w:szCs w:val="7"/>
                <w:color w:val="auto"/>
              </w:rPr>
              <w:t>​</w:t>
            </w:r>
          </w:p>
        </w:tc>
      </w:tr>
      <w:tr>
        <w:trPr>
          <w:trHeight w:val="223"/>
        </w:trPr>
        <w:tc>
          <w:tcPr>
            <w:tcW w:w="7920" w:type="dxa"/>
            <w:vAlign w:val="bottom"/>
            <w:gridSpan w:val="3"/>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$(1)</w:t>
            </w:r>
          </w:p>
        </w:tc>
      </w:tr>
      <w:tr>
        <w:trPr>
          <w:trHeight w:val="54"/>
        </w:trPr>
        <w:tc>
          <w:tcPr>
            <w:tcW w:w="7920" w:type="dxa"/>
            <w:vAlign w:val="bottom"/>
            <w:gridSpan w:val="3"/>
          </w:tcPr>
          <w:p>
            <w:pPr>
              <w:spacing w:after="0"/>
              <w:rPr>
                <w:sz w:val="20"/>
                <w:szCs w:val="20"/>
                <w:color w:val="auto"/>
              </w:rPr>
            </w:pPr>
            <w:r>
              <w:rPr>
                <w:rFonts w:ascii="Arial" w:cs="Arial" w:eastAsia="Arial" w:hAnsi="Arial"/>
                <w:sz w:val="3"/>
                <w:szCs w:val="3"/>
                <w:color w:val="auto"/>
              </w:rPr>
              <w:t>​</w:t>
            </w:r>
          </w:p>
        </w:tc>
        <w:tc>
          <w:tcPr>
            <w:tcW w:w="280" w:type="dxa"/>
            <w:vAlign w:val="bottom"/>
            <w:tcBorders>
              <w:bottom w:val="single" w:sz="8" w:color="auto"/>
            </w:tcBorders>
          </w:tcPr>
          <w:p>
            <w:pPr>
              <w:spacing w:after="0"/>
              <w:rPr>
                <w:sz w:val="20"/>
                <w:szCs w:val="20"/>
                <w:color w:val="auto"/>
              </w:rPr>
            </w:pPr>
            <w:r>
              <w:rPr>
                <w:rFonts w:ascii="Arial" w:cs="Arial" w:eastAsia="Arial" w:hAnsi="Arial"/>
                <w:sz w:val="3"/>
                <w:szCs w:val="3"/>
                <w:b w:val="1"/>
                <w:bCs w:val="1"/>
                <w:color w:val="auto"/>
              </w:rPr>
              <w:t>​</w:t>
            </w:r>
          </w:p>
        </w:tc>
        <w:tc>
          <w:tcPr>
            <w:tcW w:w="60" w:type="dxa"/>
            <w:vAlign w:val="bottom"/>
          </w:tcPr>
          <w:p>
            <w:pPr>
              <w:jc w:val="right"/>
              <w:spacing w:after="0"/>
              <w:rPr>
                <w:sz w:val="20"/>
                <w:szCs w:val="20"/>
                <w:color w:val="auto"/>
              </w:rPr>
            </w:pPr>
            <w:r>
              <w:rPr>
                <w:rFonts w:ascii="Arial" w:cs="Arial" w:eastAsia="Arial" w:hAnsi="Arial"/>
                <w:sz w:val="3"/>
                <w:szCs w:val="3"/>
                <w:color w:val="auto"/>
              </w:rPr>
              <w:t>​</w:t>
            </w:r>
          </w:p>
        </w:tc>
      </w:tr>
      <w:tr>
        <w:trPr>
          <w:trHeight w:val="21"/>
        </w:trPr>
        <w:tc>
          <w:tcPr>
            <w:tcW w:w="2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1"/>
        </w:trPr>
        <w:tc>
          <w:tcPr>
            <w:tcW w:w="216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-299720</wp:posOffset>
            </wp:positionV>
            <wp:extent cx="17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23" w:lineRule="exact"/>
        <w:rPr>
          <w:sz w:val="20"/>
          <w:szCs w:val="20"/>
          <w:color w:val="auto"/>
        </w:rPr>
      </w:pPr>
    </w:p>
    <w:p>
      <w:pPr>
        <w:ind w:left="1620" w:right="679" w:hanging="360"/>
        <w:spacing w:after="0" w:line="256"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 is filing this registration statement to replace its existing registration statement (No. 333-265975), which is expiring pursuant to Rule 415(a)(5). In accordance with Rule 415(a)(6), effectiveness of this registration statement will be deemed to terminate such prior registration statement. The filing fee associated with this registration statement was carried forward from our prior registration statement, and no additional filing fee is due in connection with the filing of this registration statement. Please see the registration fee table contained in Exhibit 107 to this registration statement for more information</w:t>
      </w:r>
    </w:p>
    <w:p>
      <w:pPr>
        <w:spacing w:after="0" w:line="61" w:lineRule="exact"/>
        <w:rPr>
          <w:sz w:val="20"/>
          <w:szCs w:val="20"/>
          <w:color w:val="auto"/>
        </w:rPr>
      </w:pPr>
    </w:p>
    <w:p>
      <w:pPr>
        <w:ind w:left="1620" w:right="109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77"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color w:val="auto"/>
        </w:rPr>
        <w:t>As permitted by Section 102 of the DGCL, the Company’s Certificate of Incorporation and amended and restated bylaws limit or eliminate the personal liability of the Company’s directors and officers for a breach of their fiduciary duty of care as a director or officer. The duty of care generally requires that, when acting on behalf of the corporation, directors and officers exercise an informed business judgment based on all material information reasonably available to them. Consequently, a director or officer will not be personally liable to the Company or its stockholders for monetary damages for breach of fiduciary duty as a director or officer, except for liability for:</w:t>
      </w:r>
    </w:p>
    <w:p>
      <w:pPr>
        <w:spacing w:after="0" w:line="7" w:lineRule="exact"/>
        <w:rPr>
          <w:sz w:val="20"/>
          <w:szCs w:val="20"/>
          <w:color w:val="auto"/>
        </w:rPr>
      </w:pPr>
    </w:p>
    <w:p>
      <w:pPr>
        <w:ind w:left="1620" w:hanging="36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breach of the director or officer’s duty of loyalty to the Company or its stockholders;</w:t>
      </w:r>
    </w:p>
    <w:p>
      <w:pPr>
        <w:spacing w:after="0" w:line="63" w:lineRule="exact"/>
        <w:rPr>
          <w:rFonts w:ascii="Arial" w:cs="Arial" w:eastAsia="Arial" w:hAnsi="Arial"/>
          <w:sz w:val="18"/>
          <w:szCs w:val="18"/>
          <w:color w:val="auto"/>
        </w:rPr>
      </w:pPr>
    </w:p>
    <w:p>
      <w:pPr>
        <w:ind w:left="1620" w:right="439" w:hanging="360"/>
        <w:spacing w:after="0" w:line="281"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 w:lineRule="exact"/>
        <w:rPr>
          <w:rFonts w:ascii="Arial" w:cs="Arial" w:eastAsia="Arial" w:hAnsi="Arial"/>
          <w:sz w:val="18"/>
          <w:szCs w:val="18"/>
          <w:color w:val="auto"/>
        </w:rPr>
      </w:pPr>
    </w:p>
    <w:p>
      <w:pPr>
        <w:ind w:left="1620" w:right="819" w:hanging="360"/>
        <w:spacing w:after="0" w:line="281"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w:t>
      </w:r>
    </w:p>
    <w:p>
      <w:pPr>
        <w:spacing w:after="0" w:line="144" w:lineRule="exact"/>
        <w:rPr>
          <w:sz w:val="20"/>
          <w:szCs w:val="20"/>
          <w:color w:val="auto"/>
        </w:rPr>
      </w:pPr>
    </w:p>
    <w:p>
      <w:pPr>
        <w:jc w:val="both"/>
        <w:ind w:left="1260" w:right="519"/>
        <w:spacing w:after="0" w:line="268"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The Company’s Certificate of Incorporation authorizes the Company to indemnify its officers, directors and other agents to the fullest extent permitted under Delaware law.</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permitted by Section 145 of the DGCL, the Company’s amended and restated bylaws provide that:</w:t>
      </w:r>
    </w:p>
    <w:p>
      <w:pPr>
        <w:spacing w:after="0" w:line="50" w:lineRule="exact"/>
        <w:rPr>
          <w:sz w:val="20"/>
          <w:szCs w:val="20"/>
          <w:color w:val="auto"/>
        </w:rPr>
      </w:pPr>
    </w:p>
    <w:p>
      <w:pPr>
        <w:ind w:left="1620" w:right="539" w:hanging="360"/>
        <w:spacing w:after="0" w:line="28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may indemnify its directors, officers, and employees to the fullest extent permitted by the DGCL, subject to limited exceptions;</w:t>
      </w:r>
    </w:p>
    <w:p>
      <w:pPr>
        <w:spacing w:after="0" w:line="32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79" w:hanging="360"/>
        <w:spacing w:after="0" w:line="266"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may advance expenses to its directors, officers, and employees in connection with a legal proceeding to the fullest extent permitted by the DGCL, subject to limited exceptions; and</w:t>
      </w:r>
    </w:p>
    <w:p>
      <w:pPr>
        <w:ind w:left="1620" w:hanging="36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rights provided in the Company’s amended and restated bylaws are not exclusive.</w:t>
      </w:r>
    </w:p>
    <w:p>
      <w:pPr>
        <w:spacing w:after="0" w:line="144"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The Company’s Certificate of Incorporation and its amended and restated bylaws provide for the indemnification provisions described above and elsewhere herein. The Company has entered into indemnification agreements with the Company’s directors and officers that may be broader than the specific indemnification provisions contained in the DGCL. These indemnification agreements generally require the Company, among other things, to indemnify its officers and directors against certain liabilities that may arise by reason of their status or service as directors or officers, other than liabilities arising from willful misconduct. These indemnification agreements also generally require the Company to advance any expenses incurred by the directors or officers as a result of any proceeding against them as to which they could be indemnified. These indemnification provisions and the indemnification agreements may be sufficiently broad to permit indemnification of the Company’s officers and directors for liabilities, including reimbursement of expenses incurred, arising under the Securities Act.</w:t>
      </w:r>
    </w:p>
    <w:p>
      <w:pPr>
        <w:spacing w:after="0" w:line="105"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The Company maintains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01" w:lineRule="exact"/>
        <w:rPr>
          <w:sz w:val="20"/>
          <w:szCs w:val="20"/>
          <w:color w:val="auto"/>
        </w:rPr>
      </w:pPr>
    </w:p>
    <w:p>
      <w:pPr>
        <w:ind w:left="1260" w:right="659"/>
        <w:spacing w:after="0" w:line="252" w:lineRule="auto"/>
        <w:rPr>
          <w:sz w:val="20"/>
          <w:szCs w:val="20"/>
          <w:color w:val="auto"/>
        </w:rPr>
      </w:pPr>
      <w:r>
        <w:rPr>
          <w:rFonts w:ascii="Arial" w:cs="Arial" w:eastAsia="Arial" w:hAnsi="Arial"/>
          <w:sz w:val="18"/>
          <w:szCs w:val="18"/>
          <w:color w:val="auto"/>
        </w:rPr>
        <w:t>In any underwriting agreement the Company enters into in connection with the sale of securities being registered hereby, the underwriters will agree to indemnify, under certain conditions, the Company, its directors, its officers and persons who control the Company within the meaning of the Securities Act against certain liabilities.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w:t>
      </w:r>
    </w:p>
    <w:p>
      <w:pPr>
        <w:spacing w:after="0" w:line="79" w:lineRule="exact"/>
        <w:rPr>
          <w:sz w:val="20"/>
          <w:szCs w:val="20"/>
          <w:color w:val="auto"/>
        </w:rPr>
      </w:pPr>
    </w:p>
    <w:p>
      <w:pPr>
        <w:ind w:left="1620" w:hanging="36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7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879"/>
          </w:cols>
          <w:pgMar w:left="580" w:top="97" w:right="1440" w:bottom="1440" w:gutter="0" w:footer="0" w:header="0"/>
        </w:sectPr>
      </w:pP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8"/>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 ​</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0" w:type="dxa"/>
            <w:vAlign w:val="bottom"/>
            <w:gridSpan w:val="5"/>
          </w:tcPr>
          <w:p>
            <w:pPr>
              <w:ind w:left="1740"/>
              <w:spacing w:after="0"/>
              <w:rPr>
                <w:sz w:val="20"/>
                <w:szCs w:val="20"/>
                <w:color w:val="auto"/>
              </w:rPr>
            </w:pPr>
            <w:r>
              <w:rPr>
                <w:rFonts w:ascii="Arial" w:cs="Arial" w:eastAsia="Arial" w:hAnsi="Arial"/>
                <w:sz w:val="14"/>
                <w:szCs w:val="14"/>
                <w:b w:val="1"/>
                <w:bCs w:val="1"/>
                <w:color w:val="auto"/>
              </w:rPr>
              <w:t>Description of Exhibit</w:t>
            </w:r>
          </w:p>
        </w:tc>
      </w:tr>
      <w:tr>
        <w:trPr>
          <w:trHeight w:val="211"/>
        </w:trPr>
        <w:tc>
          <w:tcPr>
            <w:tcW w:w="5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20" w:type="dxa"/>
            <w:vAlign w:val="bottom"/>
            <w:tcBorders>
              <w:top w:val="single" w:sz="8" w:color="auto"/>
            </w:tcBorders>
          </w:tcPr>
          <w:p>
            <w:pPr>
              <w:spacing w:after="0"/>
              <w:rPr>
                <w:sz w:val="18"/>
                <w:szCs w:val="18"/>
                <w:color w:val="auto"/>
              </w:rPr>
            </w:pPr>
          </w:p>
        </w:tc>
        <w:tc>
          <w:tcPr>
            <w:tcW w:w="74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Form of Underwriting Agreement.</w:t>
            </w:r>
          </w:p>
        </w:tc>
      </w:tr>
      <w:tr>
        <w:trPr>
          <w:trHeight w:val="194"/>
        </w:trPr>
        <w:tc>
          <w:tcPr>
            <w:tcW w:w="560" w:type="dxa"/>
            <w:vAlign w:val="bottom"/>
          </w:tcPr>
          <w:p>
            <w:pPr>
              <w:ind w:left="200"/>
              <w:spacing w:after="0" w:line="195" w:lineRule="exact"/>
              <w:rPr>
                <w:sz w:val="20"/>
                <w:szCs w:val="20"/>
                <w:color w:val="auto"/>
              </w:rPr>
            </w:pPr>
            <w:r>
              <w:rPr>
                <w:rFonts w:ascii="Arial" w:cs="Arial" w:eastAsia="Arial" w:hAnsi="Arial"/>
                <w:sz w:val="18"/>
                <w:szCs w:val="18"/>
                <w:color w:val="auto"/>
              </w:rPr>
              <w:t>3.1</w:t>
            </w:r>
          </w:p>
        </w:tc>
        <w:tc>
          <w:tcPr>
            <w:tcW w:w="7640" w:type="dxa"/>
            <w:vAlign w:val="bottom"/>
            <w:gridSpan w:val="8"/>
          </w:tcPr>
          <w:p>
            <w:pPr>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 </w:t>
            </w:r>
            <w:hyperlink r:id="rId68">
              <w:r>
                <w:rPr>
                  <w:rFonts w:ascii="Arial" w:cs="Arial" w:eastAsia="Arial" w:hAnsi="Arial"/>
                  <w:sz w:val="18"/>
                  <w:szCs w:val="18"/>
                  <w:color w:val="0000EE"/>
                </w:rPr>
                <w:t>Second Amended and Restated Certificate of Incorporation (incorporated by reference to</w:t>
              </w:r>
            </w:hyperlink>
          </w:p>
        </w:tc>
      </w:tr>
      <w:tr>
        <w:trPr>
          <w:trHeight w:val="19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Exhibit 3.1 of the Company’s Current Report on Form 8-K (File No. 001-40498) filed on</w:t>
              </w:r>
            </w:hyperlink>
          </w:p>
        </w:tc>
        <w:tc>
          <w:tcPr>
            <w:tcW w:w="480" w:type="dxa"/>
            <w:vAlign w:val="bottom"/>
            <w:gridSpan w:val="2"/>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June 25, 2021).</w:t>
              </w:r>
            </w:hyperlink>
          </w:p>
        </w:tc>
        <w:tc>
          <w:tcPr>
            <w:tcW w:w="640" w:type="dxa"/>
            <w:vAlign w:val="bottom"/>
            <w:gridSpan w:val="3"/>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560" w:type="dxa"/>
            <w:vAlign w:val="bottom"/>
          </w:tcPr>
          <w:p>
            <w:pPr>
              <w:ind w:left="200"/>
              <w:spacing w:after="0"/>
              <w:rPr>
                <w:sz w:val="20"/>
                <w:szCs w:val="20"/>
                <w:color w:val="auto"/>
              </w:rPr>
            </w:pPr>
            <w:r>
              <w:rPr>
                <w:rFonts w:ascii="Arial" w:cs="Arial" w:eastAsia="Arial" w:hAnsi="Arial"/>
                <w:sz w:val="18"/>
                <w:szCs w:val="18"/>
                <w:color w:val="auto"/>
              </w:rPr>
              <w:t>3.2</w:t>
            </w:r>
          </w:p>
        </w:tc>
        <w:tc>
          <w:tcPr>
            <w:tcW w:w="7640" w:type="dxa"/>
            <w:vAlign w:val="bottom"/>
            <w:gridSpan w:val="8"/>
          </w:tcPr>
          <w:p>
            <w:pPr>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69">
              <w:r>
                <w:rPr>
                  <w:rFonts w:ascii="Arial" w:cs="Arial" w:eastAsia="Arial" w:hAnsi="Arial"/>
                  <w:sz w:val="18"/>
                  <w:szCs w:val="18"/>
                  <w:color w:val="0000EE"/>
                </w:rPr>
                <w:t>Amended and Restated Bylaws (incorporated by reference to Exhibit 3.2 of the company’s</w:t>
              </w:r>
            </w:hyperlink>
          </w:p>
        </w:tc>
      </w:tr>
      <w:tr>
        <w:trPr>
          <w:trHeight w:val="196"/>
        </w:trPr>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Current Report on Form 8-K (File No. 001-40498) filed on June 25, 2021).</w:t>
              </w:r>
            </w:hyperlink>
          </w:p>
        </w:tc>
        <w:tc>
          <w:tcPr>
            <w:tcW w:w="38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1460"/>
        <w:spacing w:after="0"/>
        <w:rPr>
          <w:rFonts w:ascii="Arial" w:cs="Arial" w:eastAsia="Arial" w:hAnsi="Arial"/>
          <w:sz w:val="18"/>
          <w:szCs w:val="18"/>
          <w:color w:val="auto"/>
        </w:rPr>
      </w:pPr>
      <w:r>
        <w:rPr>
          <w:rFonts w:ascii="Arial" w:cs="Arial" w:eastAsia="Arial" w:hAnsi="Arial"/>
          <w:sz w:val="18"/>
          <w:szCs w:val="18"/>
          <w:color w:val="auto"/>
        </w:rPr>
        <w:t xml:space="preserve">4.1 ​ ​ </w:t>
      </w:r>
      <w:hyperlink r:id="rId70">
        <w:r>
          <w:rPr>
            <w:rFonts w:ascii="Arial" w:cs="Arial" w:eastAsia="Arial" w:hAnsi="Arial"/>
            <w:sz w:val="18"/>
            <w:szCs w:val="18"/>
            <w:u w:val="single" w:color="auto"/>
            <w:color w:val="0000EE"/>
          </w:rPr>
          <w:t>Specimen Common Stock Certificate of Registrant (incorporated by reference to Exhibit 4.1 to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t>
      </w:r>
    </w:p>
    <w:p>
      <w:pPr>
        <w:sectPr>
          <w:pgSz w:w="11900" w:h="16838" w:orient="portrait"/>
          <w:cols w:equalWidth="0" w:num="1">
            <w:col w:w="9879"/>
          </w:cols>
          <w:pgMar w:left="580" w:top="97" w:right="1440" w:bottom="1440" w:gutter="0" w:footer="0" w:header="0"/>
          <w:type w:val="continuous"/>
        </w:sectPr>
      </w:pPr>
    </w:p>
    <w:p>
      <w:pPr>
        <w:spacing w:after="0" w:line="27" w:lineRule="exact"/>
        <w:rPr>
          <w:sz w:val="20"/>
          <w:szCs w:val="20"/>
          <w:color w:val="auto"/>
        </w:rPr>
      </w:pPr>
    </w:p>
    <w:p>
      <w:pPr>
        <w:ind w:left="2020" w:right="160"/>
        <w:spacing w:after="0" w:line="253" w:lineRule="auto"/>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the Company’s Registration Statement on Form S-1/A (File No. 333-256648), dated June 14,</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2021).</w:t>
        </w:r>
      </w:hyperlink>
    </w:p>
    <w:p>
      <w:pPr>
        <w:ind w:left="2020" w:hanging="569"/>
        <w:spacing w:after="0" w:line="252"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4.3 ​ ​ </w:t>
      </w:r>
      <w:hyperlink r:id="rId71">
        <w:r>
          <w:rPr>
            <w:rFonts w:ascii="Arial" w:cs="Arial" w:eastAsia="Arial" w:hAnsi="Arial"/>
            <w:sz w:val="18"/>
            <w:szCs w:val="18"/>
            <w:u w:val="single" w:color="auto"/>
            <w:color w:val="0000EE"/>
          </w:rPr>
          <w:t>Warrant to Purchase Units of Century Therapeutics, LLC, in favor of Hercules Technology</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Management Co II, Inc.. dated September 14, 2020 (incorporated by reference to Exhibit 4.3 to</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the Company’s Registration Statement on Form S-1 (File No. 333-256648), dated May 28,</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2021).</w:t>
        </w:r>
      </w:hyperlink>
    </w:p>
    <w:p>
      <w:pPr>
        <w:ind w:left="1460"/>
        <w:spacing w:after="0" w:line="186" w:lineRule="auto"/>
        <w:rPr>
          <w:sz w:val="20"/>
          <w:szCs w:val="20"/>
          <w:color w:val="auto"/>
        </w:rPr>
      </w:pPr>
      <w:r>
        <w:rPr>
          <w:rFonts w:ascii="Arial" w:cs="Arial" w:eastAsia="Arial" w:hAnsi="Arial"/>
          <w:sz w:val="15"/>
          <w:szCs w:val="15"/>
          <w:color w:val="auto"/>
        </w:rPr>
        <w:t xml:space="preserve">4.4 </w:t>
      </w:r>
      <w:r>
        <w:rPr>
          <w:rFonts w:ascii="Arial" w:cs="Arial" w:eastAsia="Arial" w:hAnsi="Arial"/>
          <w:sz w:val="26"/>
          <w:szCs w:val="26"/>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Form of Indenture.</w:t>
      </w:r>
    </w:p>
    <w:p>
      <w:pPr>
        <w:ind w:left="1460"/>
        <w:spacing w:after="0" w:line="185" w:lineRule="auto"/>
        <w:rPr>
          <w:sz w:val="20"/>
          <w:szCs w:val="20"/>
          <w:color w:val="auto"/>
        </w:rPr>
      </w:pPr>
      <w:r>
        <w:rPr>
          <w:rFonts w:ascii="Arial" w:cs="Arial" w:eastAsia="Arial" w:hAnsi="Arial"/>
          <w:sz w:val="15"/>
          <w:szCs w:val="15"/>
          <w:color w:val="auto"/>
        </w:rPr>
        <w:t xml:space="preserve">4.5* </w:t>
      </w:r>
      <w:r>
        <w:rPr>
          <w:rFonts w:ascii="Arial" w:cs="Arial" w:eastAsia="Arial" w:hAnsi="Arial"/>
          <w:sz w:val="26"/>
          <w:szCs w:val="26"/>
          <w:color w:val="auto"/>
          <w:vertAlign w:val="superscript"/>
        </w:rPr>
        <w:t>​ ​</w:t>
      </w:r>
      <w:r>
        <w:rPr>
          <w:rFonts w:ascii="Arial" w:cs="Arial" w:eastAsia="Arial" w:hAnsi="Arial"/>
          <w:sz w:val="15"/>
          <w:szCs w:val="15"/>
          <w:color w:val="auto"/>
        </w:rPr>
        <w:t xml:space="preserve"> Form of Debt Security.</w:t>
      </w:r>
    </w:p>
    <w:p>
      <w:pPr>
        <w:ind w:left="1460"/>
        <w:spacing w:after="0" w:line="184" w:lineRule="auto"/>
        <w:rPr>
          <w:sz w:val="20"/>
          <w:szCs w:val="20"/>
          <w:color w:val="auto"/>
        </w:rPr>
      </w:pPr>
      <w:r>
        <w:rPr>
          <w:rFonts w:ascii="Arial" w:cs="Arial" w:eastAsia="Arial" w:hAnsi="Arial"/>
          <w:sz w:val="15"/>
          <w:szCs w:val="15"/>
          <w:color w:val="auto"/>
        </w:rPr>
        <w:t xml:space="preserve">4.6* </w:t>
      </w:r>
      <w:r>
        <w:rPr>
          <w:rFonts w:ascii="Arial" w:cs="Arial" w:eastAsia="Arial" w:hAnsi="Arial"/>
          <w:sz w:val="26"/>
          <w:szCs w:val="26"/>
          <w:color w:val="auto"/>
          <w:vertAlign w:val="superscript"/>
        </w:rPr>
        <w:t>​ ​</w:t>
      </w:r>
      <w:r>
        <w:rPr>
          <w:rFonts w:ascii="Arial" w:cs="Arial" w:eastAsia="Arial" w:hAnsi="Arial"/>
          <w:sz w:val="15"/>
          <w:szCs w:val="15"/>
          <w:color w:val="auto"/>
        </w:rPr>
        <w:t xml:space="preserve"> Form of Warrant.</w:t>
      </w:r>
    </w:p>
    <w:p>
      <w:pPr>
        <w:ind w:left="1460"/>
        <w:spacing w:after="0" w:line="184" w:lineRule="auto"/>
        <w:rPr>
          <w:sz w:val="20"/>
          <w:szCs w:val="20"/>
          <w:color w:val="auto"/>
        </w:rPr>
      </w:pPr>
      <w:r>
        <w:rPr>
          <w:rFonts w:ascii="Arial" w:cs="Arial" w:eastAsia="Arial" w:hAnsi="Arial"/>
          <w:sz w:val="15"/>
          <w:szCs w:val="15"/>
          <w:color w:val="auto"/>
        </w:rPr>
        <w:t xml:space="preserve">4.7* </w:t>
      </w:r>
      <w:r>
        <w:rPr>
          <w:rFonts w:ascii="Arial" w:cs="Arial" w:eastAsia="Arial" w:hAnsi="Arial"/>
          <w:sz w:val="26"/>
          <w:szCs w:val="26"/>
          <w:color w:val="auto"/>
          <w:vertAlign w:val="superscript"/>
        </w:rPr>
        <w:t>​ ​</w:t>
      </w:r>
      <w:r>
        <w:rPr>
          <w:rFonts w:ascii="Arial" w:cs="Arial" w:eastAsia="Arial" w:hAnsi="Arial"/>
          <w:sz w:val="15"/>
          <w:szCs w:val="15"/>
          <w:color w:val="auto"/>
        </w:rPr>
        <w:t xml:space="preserve"> Form of Unit Agreement.</w:t>
      </w:r>
    </w:p>
    <w:p>
      <w:pPr>
        <w:ind w:left="1460"/>
        <w:spacing w:after="0" w:line="184" w:lineRule="auto"/>
        <w:rPr>
          <w:sz w:val="20"/>
          <w:szCs w:val="20"/>
          <w:color w:val="auto"/>
        </w:rPr>
      </w:pPr>
      <w:r>
        <w:rPr>
          <w:rFonts w:ascii="Arial" w:cs="Arial" w:eastAsia="Arial" w:hAnsi="Arial"/>
          <w:sz w:val="15"/>
          <w:szCs w:val="15"/>
          <w:color w:val="auto"/>
        </w:rPr>
        <w:t xml:space="preserve">4.8* </w:t>
      </w:r>
      <w:r>
        <w:rPr>
          <w:rFonts w:ascii="Arial" w:cs="Arial" w:eastAsia="Arial" w:hAnsi="Arial"/>
          <w:sz w:val="26"/>
          <w:szCs w:val="26"/>
          <w:color w:val="auto"/>
          <w:vertAlign w:val="superscript"/>
        </w:rPr>
        <w:t>​ ​</w:t>
      </w:r>
      <w:r>
        <w:rPr>
          <w:rFonts w:ascii="Arial" w:cs="Arial" w:eastAsia="Arial" w:hAnsi="Arial"/>
          <w:sz w:val="15"/>
          <w:szCs w:val="15"/>
          <w:color w:val="auto"/>
        </w:rPr>
        <w:t xml:space="preserve"> Form of Subscription Rights Agreement.</w:t>
      </w:r>
    </w:p>
    <w:p>
      <w:pPr>
        <w:ind w:left="1460"/>
        <w:spacing w:after="0" w:line="184" w:lineRule="auto"/>
        <w:rPr>
          <w:sz w:val="20"/>
          <w:szCs w:val="20"/>
          <w:color w:val="auto"/>
        </w:rPr>
      </w:pPr>
      <w:r>
        <w:rPr>
          <w:rFonts w:ascii="Arial" w:cs="Arial" w:eastAsia="Arial" w:hAnsi="Arial"/>
          <w:sz w:val="15"/>
          <w:szCs w:val="15"/>
          <w:color w:val="auto"/>
        </w:rPr>
        <w:t xml:space="preserve">5.1 </w:t>
      </w:r>
      <w:r>
        <w:rPr>
          <w:rFonts w:ascii="Arial" w:cs="Arial" w:eastAsia="Arial" w:hAnsi="Arial"/>
          <w:sz w:val="26"/>
          <w:szCs w:val="26"/>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Opinion of Goodwin Procter LLP.</w:t>
      </w:r>
    </w:p>
    <w:p>
      <w:pPr>
        <w:ind w:left="1360"/>
        <w:spacing w:after="0" w:line="185" w:lineRule="auto"/>
        <w:rPr>
          <w:sz w:val="20"/>
          <w:szCs w:val="20"/>
          <w:color w:val="auto"/>
        </w:rPr>
      </w:pPr>
      <w:r>
        <w:rPr>
          <w:rFonts w:ascii="Arial" w:cs="Arial" w:eastAsia="Arial" w:hAnsi="Arial"/>
          <w:sz w:val="15"/>
          <w:szCs w:val="15"/>
          <w:color w:val="auto"/>
        </w:rPr>
        <w:t xml:space="preserve">23.1 </w:t>
      </w:r>
      <w:r>
        <w:rPr>
          <w:rFonts w:ascii="Arial" w:cs="Arial" w:eastAsia="Arial" w:hAnsi="Arial"/>
          <w:sz w:val="26"/>
          <w:szCs w:val="26"/>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Consent of Ernst &amp; Young, LLP, independent registered public accounting firm.</w:t>
      </w:r>
    </w:p>
    <w:p>
      <w:pPr>
        <w:ind w:left="1360"/>
        <w:spacing w:after="0" w:line="184" w:lineRule="auto"/>
        <w:rPr>
          <w:sz w:val="20"/>
          <w:szCs w:val="20"/>
          <w:color w:val="auto"/>
        </w:rPr>
      </w:pPr>
      <w:r>
        <w:rPr>
          <w:rFonts w:ascii="Arial" w:cs="Arial" w:eastAsia="Arial" w:hAnsi="Arial"/>
          <w:sz w:val="15"/>
          <w:szCs w:val="15"/>
          <w:color w:val="auto"/>
        </w:rPr>
        <w:t xml:space="preserve">23.2 </w:t>
      </w:r>
      <w:r>
        <w:rPr>
          <w:rFonts w:ascii="Arial" w:cs="Arial" w:eastAsia="Arial" w:hAnsi="Arial"/>
          <w:sz w:val="26"/>
          <w:szCs w:val="26"/>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Consent of Goodwin Procter LLP (included in Exhibit 5.1).</w:t>
      </w:r>
    </w:p>
    <w:p>
      <w:pPr>
        <w:ind w:left="1360"/>
        <w:spacing w:after="0" w:line="181" w:lineRule="auto"/>
        <w:rPr>
          <w:sz w:val="20"/>
          <w:szCs w:val="20"/>
          <w:color w:val="auto"/>
        </w:rPr>
      </w:pPr>
      <w:r>
        <w:rPr>
          <w:rFonts w:ascii="Arial" w:cs="Arial" w:eastAsia="Arial" w:hAnsi="Arial"/>
          <w:sz w:val="15"/>
          <w:szCs w:val="15"/>
          <w:color w:val="auto"/>
        </w:rPr>
        <w:t xml:space="preserve">24.1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Powers of Attorney (incorporated by reference to the signature page hereto).</w:t>
      </w:r>
    </w:p>
    <w:p>
      <w:pPr>
        <w:spacing w:after="0" w:line="1" w:lineRule="exact"/>
        <w:rPr>
          <w:rFonts w:ascii="Arial" w:cs="Arial" w:eastAsia="Arial" w:hAnsi="Arial"/>
          <w:sz w:val="18"/>
          <w:szCs w:val="18"/>
          <w:u w:val="single" w:color="auto"/>
          <w:color w:val="0000EE"/>
        </w:rPr>
      </w:pPr>
    </w:p>
    <w:p>
      <w:pPr>
        <w:ind w:left="2020" w:right="80" w:hanging="669"/>
        <w:spacing w:after="0" w:line="250" w:lineRule="auto"/>
        <w:rPr>
          <w:sz w:val="20"/>
          <w:szCs w:val="20"/>
          <w:color w:val="auto"/>
        </w:rPr>
      </w:pPr>
      <w:r>
        <w:rPr>
          <w:rFonts w:ascii="Arial" w:cs="Arial" w:eastAsia="Arial" w:hAnsi="Arial"/>
          <w:sz w:val="18"/>
          <w:szCs w:val="18"/>
          <w:color w:val="auto"/>
        </w:rPr>
        <w:t>25.1‡​ ​ Statement of Eligibility on Form T-1 under the Trust Indenture Act of 1939, as amended, of the trustee, as trustee under the indenture filed herewith.</w:t>
      </w:r>
    </w:p>
    <w:p>
      <w:pPr>
        <w:spacing w:after="0" w:line="1" w:lineRule="exact"/>
        <w:rPr>
          <w:rFonts w:ascii="Arial" w:cs="Arial" w:eastAsia="Arial" w:hAnsi="Arial"/>
          <w:sz w:val="18"/>
          <w:szCs w:val="18"/>
          <w:u w:val="single" w:color="auto"/>
          <w:color w:val="0000EE"/>
        </w:rPr>
      </w:pPr>
    </w:p>
    <w:p>
      <w:pPr>
        <w:ind w:left="1260"/>
        <w:spacing w:after="0"/>
        <w:tabs>
          <w:tab w:leader="none" w:pos="1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35"/>
          <w:szCs w:val="35"/>
          <w:color w:val="000000"/>
          <w:vertAlign w:val="superscript"/>
        </w:rPr>
        <w:t>​ ​</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Filing Fee Table.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3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3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413" w:lineRule="exact"/>
        <w:rPr>
          <w:rFonts w:ascii="Arial" w:cs="Arial" w:eastAsia="Arial" w:hAnsi="Arial"/>
          <w:sz w:val="18"/>
          <w:szCs w:val="18"/>
          <w:u w:val="single" w:color="auto"/>
          <w:color w:val="0000EE"/>
        </w:rPr>
      </w:pPr>
    </w:p>
    <w:p>
      <w:pPr>
        <w:sectPr>
          <w:pgSz w:w="11900" w:h="16838" w:orient="portrait"/>
          <w:cols w:equalWidth="0" w:num="2">
            <w:col w:w="9460" w:space="0"/>
            <w:col w:w="419"/>
          </w:cols>
          <w:pgMar w:left="580" w:top="97" w:right="1440" w:bottom="1440" w:gutter="0" w:footer="0" w:header="0"/>
          <w:type w:val="continuous"/>
        </w:sectPr>
      </w:pPr>
    </w:p>
    <w:p>
      <w:pPr>
        <w:spacing w:after="0" w:line="28" w:lineRule="exact"/>
        <w:rPr>
          <w:rFonts w:ascii="Arial" w:cs="Arial" w:eastAsia="Arial" w:hAnsi="Arial"/>
          <w:sz w:val="18"/>
          <w:szCs w:val="18"/>
          <w:u w:val="single" w:color="auto"/>
          <w:color w:val="0000EE"/>
        </w:rPr>
      </w:pPr>
    </w:p>
    <w:p>
      <w:pPr>
        <w:ind w:left="5220"/>
        <w:spacing w:after="0"/>
        <w:rPr>
          <w:sz w:val="20"/>
          <w:szCs w:val="20"/>
          <w:color w:val="auto"/>
        </w:rPr>
      </w:pPr>
      <w:r>
        <w:rPr>
          <w:rFonts w:ascii="Arial" w:cs="Arial" w:eastAsia="Arial" w:hAnsi="Arial"/>
          <w:sz w:val="16"/>
          <w:szCs w:val="16"/>
          <w:color w:val="auto"/>
        </w:rPr>
        <w:t>II-2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3716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20" w:right="1079" w:hanging="360"/>
        <w:spacing w:after="0" w:line="28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4" w:lineRule="exact"/>
        <w:rPr>
          <w:sz w:val="20"/>
          <w:szCs w:val="20"/>
          <w:color w:val="auto"/>
        </w:rPr>
      </w:pPr>
    </w:p>
    <w:p>
      <w:pPr>
        <w:ind w:left="1620" w:hanging="36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Item 601(b)(25) of Regulation S-K.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90" w:lineRule="exact"/>
        <w:rPr>
          <w:sz w:val="20"/>
          <w:szCs w:val="20"/>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44" w:lineRule="exact"/>
        <w:rPr>
          <w:rFonts w:ascii="Arial" w:cs="Arial" w:eastAsia="Arial" w:hAnsi="Arial"/>
          <w:sz w:val="18"/>
          <w:szCs w:val="18"/>
          <w:color w:val="auto"/>
        </w:rPr>
      </w:pPr>
    </w:p>
    <w:p>
      <w:pPr>
        <w:ind w:left="2340" w:right="1199" w:hanging="360"/>
        <w:spacing w:after="0" w:line="287" w:lineRule="auto"/>
        <w:tabs>
          <w:tab w:leader="none" w:pos="23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5" w:lineRule="exact"/>
        <w:rPr>
          <w:rFonts w:ascii="Arial" w:cs="Arial" w:eastAsia="Arial" w:hAnsi="Arial"/>
          <w:sz w:val="18"/>
          <w:szCs w:val="18"/>
          <w:color w:val="auto"/>
        </w:rPr>
      </w:pPr>
    </w:p>
    <w:p>
      <w:pPr>
        <w:ind w:left="2700" w:hanging="360"/>
        <w:spacing w:after="0"/>
        <w:tabs>
          <w:tab w:leader="none" w:pos="27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44" w:lineRule="exact"/>
        <w:rPr>
          <w:rFonts w:ascii="Arial" w:cs="Arial" w:eastAsia="Arial" w:hAnsi="Arial"/>
          <w:sz w:val="18"/>
          <w:szCs w:val="18"/>
          <w:color w:val="auto"/>
        </w:rPr>
      </w:pPr>
    </w:p>
    <w:p>
      <w:pPr>
        <w:ind w:left="2700" w:right="439" w:hanging="360"/>
        <w:spacing w:after="0" w:line="254" w:lineRule="auto"/>
        <w:tabs>
          <w:tab w:leader="none" w:pos="27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4" w:lineRule="exact"/>
        <w:rPr>
          <w:rFonts w:ascii="Arial" w:cs="Arial" w:eastAsia="Arial" w:hAnsi="Arial"/>
          <w:sz w:val="18"/>
          <w:szCs w:val="18"/>
          <w:color w:val="auto"/>
        </w:rPr>
      </w:pPr>
    </w:p>
    <w:p>
      <w:pPr>
        <w:ind w:left="2700" w:right="899" w:hanging="360"/>
        <w:spacing w:after="0" w:line="268" w:lineRule="auto"/>
        <w:tabs>
          <w:tab w:leader="none" w:pos="27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0"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06" w:lineRule="exact"/>
        <w:rPr>
          <w:sz w:val="20"/>
          <w:szCs w:val="20"/>
          <w:color w:val="auto"/>
        </w:rPr>
      </w:pPr>
    </w:p>
    <w:p>
      <w:pPr>
        <w:ind w:left="2340" w:right="539" w:hanging="360"/>
        <w:spacing w:after="0" w:line="262" w:lineRule="auto"/>
        <w:tabs>
          <w:tab w:leader="none" w:pos="2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5" w:lineRule="exact"/>
        <w:rPr>
          <w:rFonts w:ascii="Arial" w:cs="Arial" w:eastAsia="Arial" w:hAnsi="Arial"/>
          <w:sz w:val="18"/>
          <w:szCs w:val="18"/>
          <w:color w:val="auto"/>
        </w:rPr>
      </w:pPr>
    </w:p>
    <w:p>
      <w:pPr>
        <w:ind w:left="2340" w:right="519" w:hanging="360"/>
        <w:spacing w:after="0" w:line="287" w:lineRule="auto"/>
        <w:tabs>
          <w:tab w:leader="none" w:pos="2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5" w:lineRule="exact"/>
        <w:rPr>
          <w:sz w:val="20"/>
          <w:szCs w:val="20"/>
          <w:color w:val="auto"/>
        </w:rPr>
      </w:pPr>
    </w:p>
    <w:p>
      <w:pPr>
        <w:ind w:left="2340" w:hanging="360"/>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57" w:lineRule="exact"/>
        <w:rPr>
          <w:rFonts w:ascii="Arial" w:cs="Arial" w:eastAsia="Arial" w:hAnsi="Arial"/>
          <w:sz w:val="18"/>
          <w:szCs w:val="18"/>
          <w:color w:val="auto"/>
        </w:rPr>
      </w:pPr>
    </w:p>
    <w:p>
      <w:pPr>
        <w:ind w:left="2700" w:right="499" w:hanging="360"/>
        <w:spacing w:after="0" w:line="268" w:lineRule="auto"/>
        <w:tabs>
          <w:tab w:leader="none" w:pos="2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9" w:lineRule="exact"/>
        <w:rPr>
          <w:rFonts w:ascii="Arial" w:cs="Arial" w:eastAsia="Arial" w:hAnsi="Arial"/>
          <w:sz w:val="18"/>
          <w:szCs w:val="18"/>
          <w:color w:val="auto"/>
        </w:rPr>
      </w:pPr>
    </w:p>
    <w:p>
      <w:pPr>
        <w:ind w:left="2700" w:right="499" w:hanging="360"/>
        <w:spacing w:after="0" w:line="271" w:lineRule="auto"/>
        <w:tabs>
          <w:tab w:leader="none" w:pos="27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00" w:right="499"/>
        <w:spacing w:after="0" w:line="254" w:lineRule="auto"/>
        <w:rPr>
          <w:sz w:val="20"/>
          <w:szCs w:val="20"/>
          <w:color w:val="auto"/>
        </w:rPr>
      </w:pPr>
      <w:r>
        <w:rPr>
          <w:rFonts w:ascii="Arial" w:cs="Arial" w:eastAsia="Arial" w:hAnsi="Arial"/>
          <w:sz w:val="18"/>
          <w:szCs w:val="18"/>
          <w:color w:val="auto"/>
        </w:rPr>
        <w:t xml:space="preserve">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r>
        <w:rPr>
          <w:rFonts w:ascii="Arial" w:cs="Arial" w:eastAsia="Arial" w:hAnsi="Arial"/>
          <w:sz w:val="18"/>
          <w:szCs w:val="18"/>
          <w:i w:val="1"/>
          <w:iCs w:val="1"/>
          <w:color w:val="auto"/>
        </w:rPr>
        <w:t xml:space="preserve"> Provided, however, </w:t>
      </w:r>
      <w:r>
        <w:rPr>
          <w:rFonts w:ascii="Arial" w:cs="Arial" w:eastAsia="Arial" w:hAnsi="Arial"/>
          <w:sz w:val="18"/>
          <w:szCs w:val="18"/>
          <w:color w:val="auto"/>
        </w:rPr>
        <w:t>that no statement made in a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8" w:lineRule="exact"/>
        <w:rPr>
          <w:sz w:val="20"/>
          <w:szCs w:val="20"/>
          <w:color w:val="auto"/>
        </w:rPr>
      </w:pPr>
    </w:p>
    <w:p>
      <w:pPr>
        <w:ind w:left="2340" w:right="419" w:hanging="360"/>
        <w:spacing w:after="0" w:line="256" w:lineRule="auto"/>
        <w:tabs>
          <w:tab w:leader="none" w:pos="2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5" w:lineRule="exact"/>
        <w:rPr>
          <w:rFonts w:ascii="Arial" w:cs="Arial" w:eastAsia="Arial" w:hAnsi="Arial"/>
          <w:sz w:val="18"/>
          <w:szCs w:val="18"/>
          <w:color w:val="auto"/>
        </w:rPr>
      </w:pPr>
    </w:p>
    <w:p>
      <w:pPr>
        <w:ind w:left="2700" w:right="499" w:hanging="360"/>
        <w:spacing w:after="0" w:line="287" w:lineRule="auto"/>
        <w:tabs>
          <w:tab w:leader="none" w:pos="27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1" w:lineRule="exact"/>
        <w:rPr>
          <w:rFonts w:ascii="Arial" w:cs="Arial" w:eastAsia="Arial" w:hAnsi="Arial"/>
          <w:sz w:val="18"/>
          <w:szCs w:val="18"/>
          <w:color w:val="auto"/>
        </w:rPr>
      </w:pPr>
    </w:p>
    <w:p>
      <w:pPr>
        <w:ind w:left="2700" w:right="819" w:hanging="360"/>
        <w:spacing w:after="0" w:line="287" w:lineRule="auto"/>
        <w:tabs>
          <w:tab w:leader="none" w:pos="27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5" w:lineRule="exact"/>
        <w:rPr>
          <w:rFonts w:ascii="Arial" w:cs="Arial" w:eastAsia="Arial" w:hAnsi="Arial"/>
          <w:sz w:val="18"/>
          <w:szCs w:val="18"/>
          <w:color w:val="auto"/>
        </w:rPr>
      </w:pPr>
    </w:p>
    <w:p>
      <w:pPr>
        <w:ind w:left="2700" w:right="639" w:hanging="360"/>
        <w:spacing w:after="0" w:line="268" w:lineRule="auto"/>
        <w:tabs>
          <w:tab w:leader="none" w:pos="27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3" w:lineRule="exact"/>
        <w:rPr>
          <w:rFonts w:ascii="Arial" w:cs="Arial" w:eastAsia="Arial" w:hAnsi="Arial"/>
          <w:sz w:val="18"/>
          <w:szCs w:val="18"/>
          <w:color w:val="auto"/>
        </w:rPr>
      </w:pPr>
    </w:p>
    <w:p>
      <w:pPr>
        <w:ind w:left="2700" w:right="859" w:hanging="360"/>
        <w:spacing w:after="0" w:line="287" w:lineRule="auto"/>
        <w:tabs>
          <w:tab w:leader="none" w:pos="27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71" w:lineRule="exact"/>
        <w:rPr>
          <w:rFonts w:ascii="Arial" w:cs="Arial" w:eastAsia="Arial" w:hAnsi="Arial"/>
          <w:sz w:val="18"/>
          <w:szCs w:val="18"/>
          <w:color w:val="auto"/>
        </w:rPr>
      </w:pPr>
    </w:p>
    <w:p>
      <w:pPr>
        <w:ind w:left="1980" w:right="439" w:hanging="360"/>
        <w:spacing w:after="0" w:line="256"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5" w:lineRule="exact"/>
        <w:rPr>
          <w:sz w:val="20"/>
          <w:szCs w:val="20"/>
          <w:color w:val="auto"/>
        </w:rPr>
      </w:pPr>
    </w:p>
    <w:p>
      <w:pPr>
        <w:ind w:left="1980" w:right="499" w:hanging="360"/>
        <w:spacing w:after="0" w:line="253"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2" w:lineRule="exact"/>
        <w:rPr>
          <w:sz w:val="20"/>
          <w:szCs w:val="20"/>
          <w:color w:val="auto"/>
        </w:rPr>
      </w:pPr>
    </w:p>
    <w:p>
      <w:pPr>
        <w:ind w:left="1980" w:right="619" w:hanging="360"/>
        <w:spacing w:after="0" w:line="262"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or the Act, in accordance with the rules and regulations prescribed by the SEC under section 305(b)(2) of the Act.</w:t>
      </w:r>
    </w:p>
    <w:p>
      <w:pPr>
        <w:spacing w:after="0" w:line="35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SIGNATURES</w:t>
      </w:r>
    </w:p>
    <w:p>
      <w:pPr>
        <w:spacing w:after="0" w:line="333" w:lineRule="exact"/>
        <w:rPr>
          <w:sz w:val="20"/>
          <w:szCs w:val="20"/>
          <w:color w:val="auto"/>
        </w:rPr>
      </w:pPr>
    </w:p>
    <w:p>
      <w:pPr>
        <w:ind w:left="1260" w:right="659"/>
        <w:spacing w:after="0" w:line="282"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the 10th day of July, 2025.</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1820"/>
              <w:spacing w:after="0"/>
              <w:rPr>
                <w:sz w:val="20"/>
                <w:szCs w:val="20"/>
                <w:color w:val="auto"/>
              </w:rPr>
            </w:pPr>
            <w:r>
              <w:rPr>
                <w:rFonts w:ascii="Arial" w:cs="Arial" w:eastAsia="Arial" w:hAnsi="Arial"/>
                <w:sz w:val="18"/>
                <w:szCs w:val="18"/>
                <w:color w:val="auto"/>
              </w:rPr>
              <w:t>​ ​</w:t>
            </w:r>
          </w:p>
        </w:tc>
        <w:tc>
          <w:tcPr>
            <w:tcW w:w="36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6340" w:type="dxa"/>
            <w:vAlign w:val="bottom"/>
            <w:gridSpan w:val="2"/>
          </w:tcPr>
          <w:p>
            <w:pPr>
              <w:ind w:left="2020"/>
              <w:spacing w:after="0"/>
              <w:rPr>
                <w:sz w:val="20"/>
                <w:szCs w:val="20"/>
                <w:color w:val="auto"/>
              </w:rPr>
            </w:pPr>
            <w:r>
              <w:rPr>
                <w:rFonts w:ascii="Arial" w:cs="Arial" w:eastAsia="Arial" w:hAnsi="Arial"/>
                <w:sz w:val="18"/>
                <w:szCs w:val="18"/>
                <w:color w:val="auto"/>
              </w:rPr>
              <w:t>Century Therapeutics, Inc.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86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1820"/>
              <w:spacing w:after="0"/>
              <w:rPr>
                <w:sz w:val="20"/>
                <w:szCs w:val="20"/>
                <w:color w:val="auto"/>
              </w:rPr>
            </w:pPr>
            <w:r>
              <w:rPr>
                <w:rFonts w:ascii="Arial" w:cs="Arial" w:eastAsia="Arial" w:hAnsi="Arial"/>
                <w:sz w:val="18"/>
                <w:szCs w:val="18"/>
                <w:color w:val="auto"/>
              </w:rPr>
              <w:t>​ ​</w:t>
            </w:r>
          </w:p>
        </w:tc>
        <w:tc>
          <w:tcPr>
            <w:tcW w:w="36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860" w:type="dxa"/>
            <w:vAlign w:val="bottom"/>
          </w:tcPr>
          <w:p>
            <w:pPr>
              <w:spacing w:after="0"/>
              <w:rPr>
                <w:sz w:val="22"/>
                <w:szCs w:val="22"/>
                <w:color w:val="auto"/>
              </w:rPr>
            </w:pPr>
          </w:p>
        </w:tc>
        <w:tc>
          <w:tcPr>
            <w:tcW w:w="2680" w:type="dxa"/>
            <w:vAlign w:val="bottom"/>
          </w:tcPr>
          <w:p>
            <w:pPr>
              <w:ind w:left="2020"/>
              <w:spacing w:after="0"/>
              <w:rPr>
                <w:sz w:val="20"/>
                <w:szCs w:val="20"/>
                <w:color w:val="auto"/>
              </w:rPr>
            </w:pPr>
            <w:r>
              <w:rPr>
                <w:rFonts w:ascii="Arial" w:cs="Arial" w:eastAsia="Arial" w:hAnsi="Arial"/>
                <w:sz w:val="18"/>
                <w:szCs w:val="18"/>
                <w:color w:val="auto"/>
              </w:rPr>
              <w:t>By:</w:t>
            </w:r>
          </w:p>
        </w:tc>
        <w:tc>
          <w:tcPr>
            <w:tcW w:w="3660" w:type="dxa"/>
            <w:vAlign w:val="bottom"/>
          </w:tcPr>
          <w:p>
            <w:pPr>
              <w:spacing w:after="0"/>
              <w:rPr>
                <w:sz w:val="20"/>
                <w:szCs w:val="20"/>
                <w:color w:val="auto"/>
              </w:rPr>
            </w:pPr>
            <w:r>
              <w:rPr>
                <w:rFonts w:ascii="Arial" w:cs="Arial" w:eastAsia="Arial" w:hAnsi="Arial"/>
                <w:sz w:val="18"/>
                <w:szCs w:val="18"/>
                <w:color w:val="auto"/>
              </w:rPr>
              <w:t>/s/ Brent Pfeiffenberger, PharmD, MBA</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spacing w:after="0"/>
              <w:rPr>
                <w:sz w:val="20"/>
                <w:szCs w:val="20"/>
                <w:color w:val="auto"/>
              </w:rPr>
            </w:pPr>
            <w:r>
              <w:rPr>
                <w:rFonts w:ascii="Arial" w:cs="Arial" w:eastAsia="Arial" w:hAnsi="Arial"/>
                <w:sz w:val="18"/>
                <w:szCs w:val="18"/>
                <w:color w:val="auto"/>
              </w:rPr>
              <w:t>​</w:t>
            </w:r>
          </w:p>
        </w:tc>
        <w:tc>
          <w:tcPr>
            <w:tcW w:w="2680" w:type="dxa"/>
            <w:vAlign w:val="bottom"/>
            <w:vMerge w:val="restart"/>
          </w:tcPr>
          <w:p>
            <w:pPr>
              <w:ind w:left="1820"/>
              <w:spacing w:after="0" w:line="300"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8"/>
                <w:szCs w:val="18"/>
                <w:color w:val="auto"/>
              </w:rPr>
              <w:t xml:space="preserve"> Name:</w:t>
            </w:r>
          </w:p>
        </w:tc>
        <w:tc>
          <w:tcPr>
            <w:tcW w:w="3660" w:type="dxa"/>
            <w:vAlign w:val="bottom"/>
            <w:tcBorders>
              <w:bottom w:val="single" w:sz="8" w:color="auto"/>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860" w:type="dxa"/>
            <w:vAlign w:val="bottom"/>
            <w:vMerge w:val="continue"/>
          </w:tcPr>
          <w:p>
            <w:pPr>
              <w:spacing w:after="0"/>
              <w:rPr>
                <w:sz w:val="22"/>
                <w:szCs w:val="22"/>
                <w:color w:val="auto"/>
              </w:rPr>
            </w:pPr>
          </w:p>
        </w:tc>
        <w:tc>
          <w:tcPr>
            <w:tcW w:w="2680" w:type="dxa"/>
            <w:vAlign w:val="bottom"/>
            <w:vMerge w:val="continue"/>
          </w:tcPr>
          <w:p>
            <w:pPr>
              <w:spacing w:after="0"/>
              <w:rPr>
                <w:sz w:val="22"/>
                <w:szCs w:val="22"/>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Brent Pfeiffenberger, PharmD, MBA</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86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1820"/>
              <w:spacing w:after="0"/>
              <w:rPr>
                <w:sz w:val="20"/>
                <w:szCs w:val="20"/>
                <w:color w:val="auto"/>
              </w:rPr>
            </w:pPr>
            <w:r>
              <w:rPr>
                <w:rFonts w:ascii="Arial" w:cs="Arial" w:eastAsia="Arial" w:hAnsi="Arial"/>
                <w:sz w:val="18"/>
                <w:szCs w:val="18"/>
                <w:color w:val="auto"/>
              </w:rPr>
              <w:t>​ ​ Title:</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w w:val="99"/>
              </w:rPr>
              <w:t>President, Chief Executive Officer and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6216650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POWER OF ATTORNEY</w:t>
      </w:r>
    </w:p>
    <w:p>
      <w:pPr>
        <w:spacing w:after="0" w:line="333"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We, the undersigned officers and directors of Century Therapeutics, Inc., hereby severally constitute and appoint each of Brent Pfeiffenberger, PharmD, MBA and Douglas Carr, CPA,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115"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2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3020" w:type="dxa"/>
            <w:vAlign w:val="bottom"/>
          </w:tcPr>
          <w:p>
            <w:pPr>
              <w:jc w:val="center"/>
              <w:ind w:right="151"/>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Date</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60" w:type="dxa"/>
            <w:vAlign w:val="bottom"/>
            <w:gridSpan w:val="3"/>
          </w:tcPr>
          <w:p>
            <w:pPr>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/s/ Brent Pfeiffenberger, PharmD, MBA</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3240" w:type="dxa"/>
            <w:vAlign w:val="bottom"/>
          </w:tcPr>
          <w:p>
            <w:pPr>
              <w:jc w:val="center"/>
              <w:spacing w:after="0"/>
              <w:rPr>
                <w:sz w:val="20"/>
                <w:szCs w:val="20"/>
                <w:color w:val="auto"/>
              </w:rPr>
            </w:pPr>
            <w:r>
              <w:rPr>
                <w:rFonts w:ascii="Arial" w:cs="Arial" w:eastAsia="Arial" w:hAnsi="Arial"/>
                <w:sz w:val="18"/>
                <w:szCs w:val="18"/>
                <w:color w:val="auto"/>
                <w:w w:val="98"/>
              </w:rPr>
              <w:t>President, Chief Executive Officer and</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40" w:type="dxa"/>
            <w:vAlign w:val="bottom"/>
            <w:vMerge w:val="restart"/>
          </w:tcPr>
          <w:p>
            <w:pPr>
              <w:jc w:val="center"/>
              <w:spacing w:after="0" w:line="197" w:lineRule="exact"/>
              <w:rPr>
                <w:sz w:val="20"/>
                <w:szCs w:val="20"/>
                <w:color w:val="auto"/>
              </w:rPr>
            </w:pPr>
            <w:r>
              <w:rPr>
                <w:rFonts w:ascii="Arial" w:cs="Arial" w:eastAsia="Arial" w:hAnsi="Arial"/>
                <w:sz w:val="18"/>
                <w:szCs w:val="18"/>
                <w:color w:val="auto"/>
                <w:w w:val="98"/>
              </w:rPr>
              <w:t>Director</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spacing w:after="0" w:line="197" w:lineRule="exact"/>
              <w:rPr>
                <w:sz w:val="20"/>
                <w:szCs w:val="20"/>
                <w:color w:val="auto"/>
              </w:rPr>
            </w:pPr>
            <w:r>
              <w:rPr>
                <w:rFonts w:ascii="Arial" w:cs="Arial" w:eastAsia="Arial" w:hAnsi="Arial"/>
                <w:sz w:val="18"/>
                <w:szCs w:val="18"/>
                <w:color w:val="auto"/>
                <w:w w:val="96"/>
              </w:rPr>
              <w:t>July 10,</w:t>
            </w:r>
          </w:p>
        </w:tc>
        <w:tc>
          <w:tcPr>
            <w:tcW w:w="420" w:type="dxa"/>
            <w:vAlign w:val="bottom"/>
            <w:vMerge w:val="restart"/>
          </w:tcPr>
          <w:p>
            <w:pPr>
              <w:jc w:val="right"/>
              <w:spacing w:after="0" w:line="197" w:lineRule="exact"/>
              <w:rPr>
                <w:sz w:val="20"/>
                <w:szCs w:val="20"/>
                <w:color w:val="auto"/>
              </w:rPr>
            </w:pPr>
            <w:r>
              <w:rPr>
                <w:rFonts w:ascii="Arial" w:cs="Arial" w:eastAsia="Arial" w:hAnsi="Arial"/>
                <w:sz w:val="18"/>
                <w:szCs w:val="18"/>
                <w:color w:val="auto"/>
                <w:w w:val="99"/>
              </w:rPr>
              <w:t>2025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20" w:type="dxa"/>
            <w:vAlign w:val="bottom"/>
            <w:vMerge w:val="restart"/>
          </w:tcPr>
          <w:p>
            <w:pPr>
              <w:jc w:val="center"/>
              <w:ind w:right="151"/>
              <w:spacing w:after="0"/>
              <w:rPr>
                <w:sz w:val="20"/>
                <w:szCs w:val="20"/>
                <w:color w:val="auto"/>
              </w:rPr>
            </w:pPr>
            <w:r>
              <w:rPr>
                <w:rFonts w:ascii="Arial" w:cs="Arial" w:eastAsia="Arial" w:hAnsi="Arial"/>
                <w:sz w:val="18"/>
                <w:szCs w:val="18"/>
                <w:color w:val="auto"/>
                <w:w w:val="97"/>
              </w:rPr>
              <w:t>Brent Pfeiffenberger, Pharm.D.</w:t>
            </w: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vMerge w:val="restart"/>
          </w:tcPr>
          <w:p>
            <w:pPr>
              <w:jc w:val="center"/>
              <w:ind w:right="131"/>
              <w:spacing w:after="0"/>
              <w:rPr>
                <w:sz w:val="20"/>
                <w:szCs w:val="20"/>
                <w:color w:val="auto"/>
              </w:rPr>
            </w:pPr>
            <w:r>
              <w:rPr>
                <w:rFonts w:ascii="Arial" w:cs="Arial" w:eastAsia="Arial" w:hAnsi="Arial"/>
                <w:sz w:val="18"/>
                <w:szCs w:val="18"/>
                <w:color w:val="auto"/>
                <w:w w:val="97"/>
              </w:rPr>
              <w:t>/s/ Douglas Carr, CPA</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40" w:type="dxa"/>
            <w:vAlign w:val="bottom"/>
          </w:tcPr>
          <w:p>
            <w:pPr>
              <w:jc w:val="center"/>
              <w:spacing w:after="0"/>
              <w:rPr>
                <w:sz w:val="20"/>
                <w:szCs w:val="20"/>
                <w:color w:val="auto"/>
              </w:rPr>
            </w:pPr>
            <w:r>
              <w:rPr>
                <w:rFonts w:ascii="Arial" w:cs="Arial" w:eastAsia="Arial" w:hAnsi="Arial"/>
                <w:sz w:val="18"/>
                <w:szCs w:val="18"/>
                <w:color w:val="auto"/>
                <w:w w:val="97"/>
              </w:rPr>
              <w:t>Senior Vice President, Finance</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July 10,</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2025</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90"/>
        </w:trPr>
        <w:tc>
          <w:tcPr>
            <w:tcW w:w="240" w:type="dxa"/>
            <w:vAlign w:val="bottom"/>
            <w:gridSpan w:val="2"/>
            <w:vMerge w:val="continue"/>
          </w:tcPr>
          <w:p>
            <w:pPr>
              <w:spacing w:after="0"/>
              <w:rPr>
                <w:sz w:val="7"/>
                <w:szCs w:val="7"/>
                <w:color w:val="auto"/>
              </w:rPr>
            </w:pPr>
          </w:p>
        </w:tc>
        <w:tc>
          <w:tcPr>
            <w:tcW w:w="30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7"/>
              </w:rPr>
              <w:t>(Principal Financial Officer and Principal</w:t>
            </w:r>
          </w:p>
        </w:tc>
        <w:tc>
          <w:tcPr>
            <w:tcW w:w="18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40" w:type="dxa"/>
            <w:vAlign w:val="bottom"/>
            <w:gridSpan w:val="2"/>
            <w:vMerge w:val="continue"/>
          </w:tcPr>
          <w:p>
            <w:pPr>
              <w:spacing w:after="0"/>
              <w:rPr>
                <w:sz w:val="4"/>
                <w:szCs w:val="4"/>
                <w:color w:val="auto"/>
              </w:rPr>
            </w:pPr>
          </w:p>
        </w:tc>
        <w:tc>
          <w:tcPr>
            <w:tcW w:w="30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020" w:type="dxa"/>
            <w:vAlign w:val="bottom"/>
            <w:tcBorders>
              <w:top w:val="single" w:sz="8" w:color="auto"/>
            </w:tcBorders>
            <w:vMerge w:val="restart"/>
          </w:tcPr>
          <w:p>
            <w:pPr>
              <w:jc w:val="center"/>
              <w:ind w:right="131"/>
              <w:spacing w:after="0"/>
              <w:rPr>
                <w:sz w:val="20"/>
                <w:szCs w:val="20"/>
                <w:color w:val="auto"/>
              </w:rPr>
            </w:pPr>
            <w:r>
              <w:rPr>
                <w:rFonts w:ascii="Arial" w:cs="Arial" w:eastAsia="Arial" w:hAnsi="Arial"/>
                <w:sz w:val="18"/>
                <w:szCs w:val="18"/>
                <w:color w:val="auto"/>
                <w:w w:val="96"/>
              </w:rPr>
              <w:t>Douglas Carr, CPA</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7"/>
              </w:rPr>
              <w:t>Accounting Officer)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Pr>
          <w:p>
            <w:pPr>
              <w:jc w:val="center"/>
              <w:ind w:right="131"/>
              <w:spacing w:after="0"/>
              <w:rPr>
                <w:sz w:val="20"/>
                <w:szCs w:val="20"/>
                <w:color w:val="auto"/>
              </w:rPr>
            </w:pPr>
            <w:r>
              <w:rPr>
                <w:rFonts w:ascii="Arial" w:cs="Arial" w:eastAsia="Arial" w:hAnsi="Arial"/>
                <w:sz w:val="18"/>
                <w:szCs w:val="18"/>
                <w:color w:val="auto"/>
                <w:w w:val="98"/>
              </w:rPr>
              <w:t>/s/ Joseph Jimenez</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7"/>
              </w:rPr>
              <w:t>Chairman, Board of Directors</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July 10,</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2025</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50"/>
        </w:trPr>
        <w:tc>
          <w:tcPr>
            <w:tcW w:w="240" w:type="dxa"/>
            <w:vAlign w:val="bottom"/>
            <w:gridSpan w:val="2"/>
            <w:vMerge w:val="continue"/>
          </w:tcPr>
          <w:p>
            <w:pPr>
              <w:spacing w:after="0"/>
              <w:rPr>
                <w:sz w:val="4"/>
                <w:szCs w:val="4"/>
                <w:color w:val="auto"/>
              </w:rPr>
            </w:pPr>
          </w:p>
        </w:tc>
        <w:tc>
          <w:tcPr>
            <w:tcW w:w="30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vMerge w:val="restart"/>
          </w:tcPr>
          <w:p>
            <w:pPr>
              <w:jc w:val="center"/>
              <w:ind w:right="131"/>
              <w:spacing w:after="0"/>
              <w:rPr>
                <w:sz w:val="20"/>
                <w:szCs w:val="20"/>
                <w:color w:val="auto"/>
              </w:rPr>
            </w:pPr>
            <w:r>
              <w:rPr>
                <w:rFonts w:ascii="Arial" w:cs="Arial" w:eastAsia="Arial" w:hAnsi="Arial"/>
                <w:sz w:val="18"/>
                <w:szCs w:val="18"/>
                <w:color w:val="auto"/>
                <w:w w:val="98"/>
              </w:rPr>
              <w:t>Joseph Jimenez</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Pr>
          <w:p>
            <w:pPr>
              <w:jc w:val="center"/>
              <w:ind w:right="151"/>
              <w:spacing w:after="0"/>
              <w:rPr>
                <w:sz w:val="20"/>
                <w:szCs w:val="20"/>
                <w:color w:val="auto"/>
              </w:rPr>
            </w:pPr>
            <w:r>
              <w:rPr>
                <w:rFonts w:ascii="Arial" w:cs="Arial" w:eastAsia="Arial" w:hAnsi="Arial"/>
                <w:sz w:val="18"/>
                <w:szCs w:val="18"/>
                <w:color w:val="auto"/>
                <w:w w:val="98"/>
              </w:rPr>
              <w:t>/s/ Kimberly Blackwell, M.D.</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July 10,</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2025</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50"/>
        </w:trPr>
        <w:tc>
          <w:tcPr>
            <w:tcW w:w="240" w:type="dxa"/>
            <w:vAlign w:val="bottom"/>
            <w:gridSpan w:val="2"/>
            <w:vMerge w:val="continue"/>
          </w:tcPr>
          <w:p>
            <w:pPr>
              <w:spacing w:after="0"/>
              <w:rPr>
                <w:sz w:val="4"/>
                <w:szCs w:val="4"/>
                <w:color w:val="auto"/>
              </w:rPr>
            </w:pPr>
          </w:p>
        </w:tc>
        <w:tc>
          <w:tcPr>
            <w:tcW w:w="30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vMerge w:val="restart"/>
          </w:tcPr>
          <w:p>
            <w:pPr>
              <w:jc w:val="center"/>
              <w:ind w:right="151"/>
              <w:spacing w:after="0"/>
              <w:rPr>
                <w:sz w:val="20"/>
                <w:szCs w:val="20"/>
                <w:color w:val="auto"/>
              </w:rPr>
            </w:pPr>
            <w:r>
              <w:rPr>
                <w:rFonts w:ascii="Arial" w:cs="Arial" w:eastAsia="Arial" w:hAnsi="Arial"/>
                <w:sz w:val="18"/>
                <w:szCs w:val="18"/>
                <w:color w:val="auto"/>
                <w:w w:val="97"/>
              </w:rPr>
              <w:t>Kimberly Blackwell, M.D.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Pr>
          <w:p>
            <w:pPr>
              <w:jc w:val="center"/>
              <w:ind w:right="151"/>
              <w:spacing w:after="0"/>
              <w:rPr>
                <w:sz w:val="20"/>
                <w:szCs w:val="20"/>
                <w:color w:val="auto"/>
              </w:rPr>
            </w:pPr>
            <w:r>
              <w:rPr>
                <w:rFonts w:ascii="Arial" w:cs="Arial" w:eastAsia="Arial" w:hAnsi="Arial"/>
                <w:sz w:val="18"/>
                <w:szCs w:val="18"/>
                <w:color w:val="auto"/>
                <w:w w:val="97"/>
              </w:rPr>
              <w:t>/s/ Cynthia Butitta</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July 10,</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2025</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50"/>
        </w:trPr>
        <w:tc>
          <w:tcPr>
            <w:tcW w:w="240" w:type="dxa"/>
            <w:vAlign w:val="bottom"/>
            <w:gridSpan w:val="2"/>
            <w:vMerge w:val="continue"/>
          </w:tcPr>
          <w:p>
            <w:pPr>
              <w:spacing w:after="0"/>
              <w:rPr>
                <w:sz w:val="4"/>
                <w:szCs w:val="4"/>
                <w:color w:val="auto"/>
              </w:rPr>
            </w:pPr>
          </w:p>
        </w:tc>
        <w:tc>
          <w:tcPr>
            <w:tcW w:w="30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vMerge w:val="restart"/>
          </w:tcPr>
          <w:p>
            <w:pPr>
              <w:jc w:val="center"/>
              <w:ind w:right="131"/>
              <w:spacing w:after="0"/>
              <w:rPr>
                <w:sz w:val="20"/>
                <w:szCs w:val="20"/>
                <w:color w:val="auto"/>
              </w:rPr>
            </w:pPr>
            <w:r>
              <w:rPr>
                <w:rFonts w:ascii="Arial" w:cs="Arial" w:eastAsia="Arial" w:hAnsi="Arial"/>
                <w:sz w:val="18"/>
                <w:szCs w:val="18"/>
                <w:color w:val="auto"/>
                <w:w w:val="99"/>
              </w:rPr>
              <w:t>Cynthia Butitta</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Pr>
          <w:p>
            <w:pPr>
              <w:jc w:val="center"/>
              <w:ind w:right="131"/>
              <w:spacing w:after="0"/>
              <w:rPr>
                <w:sz w:val="20"/>
                <w:szCs w:val="20"/>
                <w:color w:val="auto"/>
              </w:rPr>
            </w:pPr>
            <w:r>
              <w:rPr>
                <w:rFonts w:ascii="Arial" w:cs="Arial" w:eastAsia="Arial" w:hAnsi="Arial"/>
                <w:sz w:val="18"/>
                <w:szCs w:val="18"/>
                <w:color w:val="auto"/>
                <w:w w:val="98"/>
              </w:rPr>
              <w:t>/s/ Alessandro Riva, M.D.</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July 10,</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2025</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50"/>
        </w:trPr>
        <w:tc>
          <w:tcPr>
            <w:tcW w:w="240" w:type="dxa"/>
            <w:vAlign w:val="bottom"/>
            <w:gridSpan w:val="2"/>
            <w:vMerge w:val="continue"/>
          </w:tcPr>
          <w:p>
            <w:pPr>
              <w:spacing w:after="0"/>
              <w:rPr>
                <w:sz w:val="4"/>
                <w:szCs w:val="4"/>
                <w:color w:val="auto"/>
              </w:rPr>
            </w:pPr>
          </w:p>
        </w:tc>
        <w:tc>
          <w:tcPr>
            <w:tcW w:w="30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vMerge w:val="restart"/>
          </w:tcPr>
          <w:p>
            <w:pPr>
              <w:jc w:val="center"/>
              <w:ind w:right="131"/>
              <w:spacing w:after="0"/>
              <w:rPr>
                <w:sz w:val="20"/>
                <w:szCs w:val="20"/>
                <w:color w:val="auto"/>
              </w:rPr>
            </w:pPr>
            <w:r>
              <w:rPr>
                <w:rFonts w:ascii="Arial" w:cs="Arial" w:eastAsia="Arial" w:hAnsi="Arial"/>
                <w:sz w:val="18"/>
                <w:szCs w:val="18"/>
                <w:color w:val="auto"/>
                <w:w w:val="98"/>
              </w:rPr>
              <w:t>Alessandro Riva, M.D.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Pr>
          <w:p>
            <w:pPr>
              <w:jc w:val="center"/>
              <w:ind w:right="131"/>
              <w:spacing w:after="0"/>
              <w:rPr>
                <w:sz w:val="20"/>
                <w:szCs w:val="20"/>
                <w:color w:val="auto"/>
              </w:rPr>
            </w:pPr>
            <w:r>
              <w:rPr>
                <w:rFonts w:ascii="Arial" w:cs="Arial" w:eastAsia="Arial" w:hAnsi="Arial"/>
                <w:sz w:val="18"/>
                <w:szCs w:val="18"/>
                <w:color w:val="auto"/>
                <w:w w:val="98"/>
              </w:rPr>
              <w:t>/s/ Carlo Rizzuto, Ph.D.</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July 10,</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2025</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50"/>
        </w:trPr>
        <w:tc>
          <w:tcPr>
            <w:tcW w:w="240" w:type="dxa"/>
            <w:vAlign w:val="bottom"/>
            <w:gridSpan w:val="2"/>
            <w:vMerge w:val="continue"/>
          </w:tcPr>
          <w:p>
            <w:pPr>
              <w:spacing w:after="0"/>
              <w:rPr>
                <w:sz w:val="4"/>
                <w:szCs w:val="4"/>
                <w:color w:val="auto"/>
              </w:rPr>
            </w:pPr>
          </w:p>
        </w:tc>
        <w:tc>
          <w:tcPr>
            <w:tcW w:w="30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vMerge w:val="restart"/>
          </w:tcPr>
          <w:p>
            <w:pPr>
              <w:jc w:val="center"/>
              <w:ind w:right="131"/>
              <w:spacing w:after="0"/>
              <w:rPr>
                <w:sz w:val="20"/>
                <w:szCs w:val="20"/>
                <w:color w:val="auto"/>
              </w:rPr>
            </w:pPr>
            <w:r>
              <w:rPr>
                <w:rFonts w:ascii="Arial" w:cs="Arial" w:eastAsia="Arial" w:hAnsi="Arial"/>
                <w:sz w:val="18"/>
                <w:szCs w:val="18"/>
                <w:color w:val="auto"/>
                <w:w w:val="98"/>
              </w:rPr>
              <w:t>Carlo Rizzuto, Ph.D.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Pr>
          <w:p>
            <w:pPr>
              <w:jc w:val="center"/>
              <w:ind w:right="131"/>
              <w:spacing w:after="0"/>
              <w:rPr>
                <w:sz w:val="20"/>
                <w:szCs w:val="20"/>
                <w:color w:val="auto"/>
              </w:rPr>
            </w:pPr>
            <w:r>
              <w:rPr>
                <w:rFonts w:ascii="Arial" w:cs="Arial" w:eastAsia="Arial" w:hAnsi="Arial"/>
                <w:sz w:val="18"/>
                <w:szCs w:val="18"/>
                <w:color w:val="auto"/>
                <w:w w:val="98"/>
              </w:rPr>
              <w:t>/s/ Timothy Walbert</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July 10,</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2025</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50"/>
        </w:trPr>
        <w:tc>
          <w:tcPr>
            <w:tcW w:w="240" w:type="dxa"/>
            <w:vAlign w:val="bottom"/>
            <w:gridSpan w:val="2"/>
            <w:vMerge w:val="continue"/>
          </w:tcPr>
          <w:p>
            <w:pPr>
              <w:spacing w:after="0"/>
              <w:rPr>
                <w:sz w:val="4"/>
                <w:szCs w:val="4"/>
                <w:color w:val="auto"/>
              </w:rPr>
            </w:pPr>
          </w:p>
        </w:tc>
        <w:tc>
          <w:tcPr>
            <w:tcW w:w="30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vMerge w:val="restart"/>
          </w:tcPr>
          <w:p>
            <w:pPr>
              <w:jc w:val="center"/>
              <w:ind w:right="131"/>
              <w:spacing w:after="0"/>
              <w:rPr>
                <w:sz w:val="20"/>
                <w:szCs w:val="20"/>
                <w:color w:val="auto"/>
              </w:rPr>
            </w:pPr>
            <w:r>
              <w:rPr>
                <w:rFonts w:ascii="Arial" w:cs="Arial" w:eastAsia="Arial" w:hAnsi="Arial"/>
                <w:sz w:val="18"/>
                <w:szCs w:val="18"/>
                <w:color w:val="auto"/>
                <w:w w:val="97"/>
              </w:rPr>
              <w:t>Timothy Walbert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6"/>
        </w:trPr>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020" w:type="dxa"/>
            <w:vAlign w:val="bottom"/>
          </w:tcPr>
          <w:p>
            <w:pPr>
              <w:jc w:val="center"/>
              <w:ind w:right="151"/>
              <w:spacing w:after="0"/>
              <w:rPr>
                <w:sz w:val="20"/>
                <w:szCs w:val="20"/>
                <w:color w:val="auto"/>
              </w:rPr>
            </w:pPr>
            <w:r>
              <w:rPr>
                <w:rFonts w:ascii="Arial" w:cs="Arial" w:eastAsia="Arial" w:hAnsi="Arial"/>
                <w:sz w:val="18"/>
                <w:szCs w:val="18"/>
                <w:color w:val="auto"/>
                <w:w w:val="99"/>
              </w:rPr>
              <w:t>/s/ Daphne Quimi</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July 10,</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2025</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50"/>
        </w:trPr>
        <w:tc>
          <w:tcPr>
            <w:tcW w:w="240" w:type="dxa"/>
            <w:vAlign w:val="bottom"/>
            <w:tcBorders>
              <w:bottom w:val="single" w:sz="8" w:color="auto"/>
            </w:tcBorders>
            <w:gridSpan w:val="2"/>
            <w:vMerge w:val="continue"/>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320"/>
        <w:spacing w:after="0"/>
        <w:rPr>
          <w:sz w:val="20"/>
          <w:szCs w:val="20"/>
          <w:color w:val="auto"/>
        </w:rPr>
      </w:pPr>
      <w:r>
        <w:rPr>
          <w:rFonts w:ascii="Arial" w:cs="Arial" w:eastAsia="Arial" w:hAnsi="Arial"/>
          <w:sz w:val="18"/>
          <w:szCs w:val="18"/>
          <w:color w:val="auto"/>
        </w:rPr>
        <w:t>Daphne Quimi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1099185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 · ], 20[ ·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8"/>
        </w:trPr>
        <w:tc>
          <w:tcPr>
            <w:tcW w:w="10580" w:type="dxa"/>
            <w:vAlign w:val="bottom"/>
            <w:gridSpan w:val="2"/>
            <w:vMerge w:val="continue"/>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Definitions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Rules of Construction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II. THE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Issuable in Series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2.2.</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2.3.</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2.4.</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Registrar, Paying Agent and Notice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2.5.</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2.6.</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Holder Lists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2.7.</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Transfer and Exchange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2.8.</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2.9.</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2.10.</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2.11.</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Temporary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2.12.</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2.13.</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Defaulted Interest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2.14.</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Global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2.15.</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CUSIP Numbers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III. REDEMPTION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3.1.</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to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3.2.</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3.3.</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of Redemption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3.4.</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3.5.</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3.6.</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IV. COVENANTS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4.1.</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4.2.</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 Reports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4.3.</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Compliance Certificate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4.4.</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V. SUCCESSORS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5.1.</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5.2.</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Events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6.2.</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6.3.</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6.4.</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6.5.</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6.6.</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6.7.</w:t>
            </w: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Limitation on Suits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702"/>
        </w:trPr>
        <w:tc>
          <w:tcPr>
            <w:tcW w:w="130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1"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6.8.</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6.9.</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6.10.</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 by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Past Defaults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6.14.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Undertaking for Costs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VII.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Duties of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of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Trustee’s Disclaimer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Defaults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7.7.</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7.8.</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Replacement of Trustee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7.9.</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7.10.</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7.11.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Covenant Defeasance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to Company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Reinstatement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Consent of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9.7.</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Protected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X. MISCELLANEOUS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10.7.</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Holidays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10.8.</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10.9.</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Counterparts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10.10.</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Successors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10.14.</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10.15.</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10.16.</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Judgment Currency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10.17.</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Force Majeure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10.18.</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U.S.A. Patriot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XI. SINKING FUNDS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11.1.</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11.2.</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11.3.</w:t>
            </w:r>
          </w:p>
        </w:tc>
        <w:tc>
          <w:tcPr>
            <w:tcW w:w="7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702"/>
        </w:trPr>
        <w:tc>
          <w:tcPr>
            <w:tcW w:w="13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44" w:name="page45"/>
    <w:bookmarkEnd w:id="44"/>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20"/>
        </w:trPr>
        <w:tc>
          <w:tcPr>
            <w:tcW w:w="1360" w:type="dxa"/>
            <w:vAlign w:val="bottom"/>
          </w:tcPr>
          <w:p>
            <w:pPr>
              <w:spacing w:after="0"/>
              <w:rPr>
                <w:sz w:val="19"/>
                <w:szCs w:val="19"/>
                <w:color w:val="auto"/>
              </w:rPr>
            </w:pPr>
          </w:p>
        </w:tc>
        <w:tc>
          <w:tcPr>
            <w:tcW w:w="698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CENTURY THERAPEUTICS, INC.</w:t>
            </w:r>
          </w:p>
        </w:tc>
      </w:tr>
      <w:tr>
        <w:trPr>
          <w:trHeight w:val="216"/>
        </w:trPr>
        <w:tc>
          <w:tcPr>
            <w:tcW w:w="1360" w:type="dxa"/>
            <w:vAlign w:val="bottom"/>
          </w:tcPr>
          <w:p>
            <w:pPr>
              <w:spacing w:after="0"/>
              <w:rPr>
                <w:sz w:val="18"/>
                <w:szCs w:val="18"/>
                <w:color w:val="auto"/>
              </w:rPr>
            </w:pPr>
          </w:p>
        </w:tc>
        <w:tc>
          <w:tcPr>
            <w:tcW w:w="69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Reconciliation and tie between Trust Indenture Act of 1939 and</w:t>
            </w:r>
          </w:p>
        </w:tc>
      </w:tr>
      <w:tr>
        <w:trPr>
          <w:trHeight w:val="234"/>
        </w:trPr>
        <w:tc>
          <w:tcPr>
            <w:tcW w:w="1360" w:type="dxa"/>
            <w:vAlign w:val="bottom"/>
          </w:tcPr>
          <w:p>
            <w:pPr>
              <w:spacing w:after="0"/>
              <w:rPr>
                <w:sz w:val="20"/>
                <w:szCs w:val="20"/>
                <w:color w:val="auto"/>
              </w:rPr>
            </w:pPr>
          </w:p>
        </w:tc>
        <w:tc>
          <w:tcPr>
            <w:tcW w:w="698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8"/>
              </w:rPr>
              <w:t>Indenture, dated as of [·], 20[·]</w:t>
            </w:r>
          </w:p>
        </w:tc>
      </w:tr>
      <w:tr>
        <w:trPr>
          <w:trHeight w:val="414"/>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 310(a)(1)</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(a)(2)</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(a)(3)</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(a)(4)</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(a)(5)</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311(a)</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312(a)</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313(a)</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(b)(1)</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(b)(2)</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(c)(1)</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314(a)</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(c)(1)</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(c)(2)</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(c)(3)</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(e)</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(f)</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w w:val="97"/>
              </w:rPr>
              <w:t>Not Applicable</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315(a)</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(c)</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(e)</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316(a)</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(a)(1)(A)</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(a)(1)(B)</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 317(a)(1)</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(a)(2)</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(b)</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318(a)</w:t>
            </w:r>
          </w:p>
        </w:tc>
        <w:tc>
          <w:tcPr>
            <w:tcW w:w="6980" w:type="dxa"/>
            <w:vAlign w:val="bottom"/>
          </w:tcPr>
          <w:p>
            <w:pPr>
              <w:ind w:left="588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45" w:name="page46"/>
    <w:bookmarkEnd w:id="45"/>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Indenture dated as of [·], 20[·] between Century Therapeutics, Inc., a company incorporated under the laws of the State of Delaware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p>
    <w:p>
      <w:pPr>
        <w:spacing w:after="0" w:line="223" w:lineRule="exact"/>
        <w:rPr>
          <w:sz w:val="20"/>
          <w:szCs w:val="20"/>
          <w:color w:val="auto"/>
        </w:rPr>
      </w:pPr>
    </w:p>
    <w:p>
      <w:pPr>
        <w:ind w:right="500" w:firstLine="648"/>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 and delivered to the Trustee.</w:t>
      </w:r>
    </w:p>
    <w:p>
      <w:pPr>
        <w:spacing w:after="0" w:line="22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related to this Indenture shall be principally administered.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passage of time or both would be, an Event of Default.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in the United States of America set forth in the opinions and pronouncements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Security is registered on the Registrar’s books.</w:t>
      </w:r>
    </w:p>
    <w:p>
      <w:pPr>
        <w:spacing w:after="0" w:line="225"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 that meets the requirements of this Indenture.</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58" w:lineRule="exact"/>
        <w:rPr>
          <w:sz w:val="20"/>
          <w:szCs w:val="20"/>
          <w:color w:val="auto"/>
        </w:rPr>
      </w:pPr>
    </w:p>
    <w:p>
      <w:pPr>
        <w:ind w:right="7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15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1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34"/>
        </w:trPr>
        <w:tc>
          <w:tcPr>
            <w:tcW w:w="1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DEFINED IN</w:t>
            </w:r>
          </w:p>
        </w:tc>
        <w:tc>
          <w:tcPr>
            <w:tcW w:w="1680" w:type="dxa"/>
            <w:vAlign w:val="bottom"/>
          </w:tcPr>
          <w:p>
            <w:pPr>
              <w:spacing w:after="0"/>
              <w:rPr>
                <w:sz w:val="24"/>
                <w:szCs w:val="24"/>
                <w:color w:val="auto"/>
              </w:rPr>
            </w:pPr>
          </w:p>
        </w:tc>
      </w:tr>
      <w:tr>
        <w:trPr>
          <w:trHeight w:val="234"/>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tcPr>
          <w:p>
            <w:pPr>
              <w:spacing w:after="0"/>
              <w:rPr>
                <w:sz w:val="20"/>
                <w:szCs w:val="20"/>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680" w:type="dxa"/>
            <w:vAlign w:val="bottom"/>
          </w:tcPr>
          <w:p>
            <w:pPr>
              <w:spacing w:after="0"/>
              <w:rPr>
                <w:sz w:val="20"/>
                <w:szCs w:val="20"/>
                <w:color w:val="auto"/>
              </w:rPr>
            </w:pPr>
          </w:p>
        </w:tc>
      </w:tr>
      <w:tr>
        <w:trPr>
          <w:trHeight w:val="189"/>
        </w:trPr>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2"/>
          </w:tcPr>
          <w:p>
            <w:pPr>
              <w:ind w:left="640"/>
              <w:spacing w:after="0" w:line="18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 Member</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2.14.6</w:t>
            </w:r>
          </w:p>
        </w:tc>
        <w:tc>
          <w:tcPr>
            <w:tcW w:w="1680" w:type="dxa"/>
            <w:vAlign w:val="bottom"/>
          </w:tcPr>
          <w:p>
            <w:pPr>
              <w:spacing w:after="0"/>
              <w:rPr>
                <w:sz w:val="16"/>
                <w:szCs w:val="16"/>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6.1</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6.1</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6.1</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10.16</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5"/>
              </w:rPr>
              <w:t>11.1</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10.16</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2.4</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5"/>
              </w:rPr>
              <w:t>11.1</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2.4</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2.4</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10.16</w:t>
            </w:r>
          </w:p>
        </w:tc>
        <w:tc>
          <w:tcPr>
            <w:tcW w:w="16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10.10</w:t>
            </w:r>
          </w:p>
        </w:tc>
        <w:tc>
          <w:tcPr>
            <w:tcW w:w="1680" w:type="dxa"/>
            <w:vAlign w:val="bottom"/>
          </w:tcPr>
          <w:p>
            <w:pPr>
              <w:spacing w:after="0"/>
              <w:rPr>
                <w:sz w:val="18"/>
                <w:szCs w:val="18"/>
                <w:color w:val="auto"/>
              </w:rPr>
            </w:pPr>
          </w:p>
        </w:tc>
      </w:tr>
      <w:tr>
        <w:trPr>
          <w:trHeight w:val="236"/>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4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5.1</w:t>
            </w:r>
          </w:p>
        </w:tc>
        <w:tc>
          <w:tcPr>
            <w:tcW w:w="1680" w:type="dxa"/>
            <w:vAlign w:val="bottom"/>
          </w:tcPr>
          <w:p>
            <w:pPr>
              <w:spacing w:after="0"/>
              <w:rPr>
                <w:sz w:val="20"/>
                <w:szCs w:val="20"/>
                <w:color w:val="auto"/>
              </w:rPr>
            </w:pPr>
          </w:p>
        </w:tc>
      </w:tr>
      <w:tr>
        <w:trPr>
          <w:trHeight w:val="675"/>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38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540" w:hanging="236"/>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9" w:lineRule="exact"/>
        <w:rPr>
          <w:rFonts w:ascii="Times New Roman" w:cs="Times New Roman" w:eastAsia="Times New Roman" w:hAnsi="Times New Roman"/>
          <w:sz w:val="18"/>
          <w:szCs w:val="18"/>
          <w:color w:val="auto"/>
        </w:rPr>
      </w:pPr>
    </w:p>
    <w:p>
      <w:pPr>
        <w:ind w:left="660" w:firstLine="644"/>
        <w:spacing w:after="0" w:line="250" w:lineRule="auto"/>
        <w:tabs>
          <w:tab w:leader="none" w:pos="15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and the words “to” and “until” each mean “to but excluding”; and</w:t>
      </w:r>
    </w:p>
    <w:p>
      <w:pPr>
        <w:ind w:left="660" w:firstLine="644"/>
        <w:spacing w:after="0" w:line="260" w:lineRule="auto"/>
        <w:tabs>
          <w:tab w:leader="none" w:pos="15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“in writing” as used herein shall be deemed to include PDFs, e-mails and other electronic means of transmission, unless otherwise indicated.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2.2.2. the price or prices (expressed as a percentage of the principal amount thereof) at which the Securities of the Series will be issued;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 shall be issuable;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2.2.17. the provisions, if any, relating to any security provided for the Securities of the Series;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2.2.19. any addition to, deletion of or change in the covenants applicable to Securities of the Series;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2.2.20. 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2.2.23.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facsimile or electronic 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an Officer whose signature is on a Security no longer holds that office at the time the Security is authenticated, the Security shall nevertheless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 relying on:</w:t>
      </w:r>
    </w:p>
    <w:p>
      <w:pPr>
        <w:spacing w:after="0" w:line="27" w:lineRule="exact"/>
        <w:rPr>
          <w:sz w:val="20"/>
          <w:szCs w:val="20"/>
          <w:color w:val="auto"/>
        </w:rPr>
      </w:pPr>
    </w:p>
    <w:p>
      <w:pPr>
        <w:ind w:right="80" w:firstLine="8"/>
        <w:spacing w:after="0" w:line="255" w:lineRule="auto"/>
        <w:tabs>
          <w:tab w:leader="none" w:pos="2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Paying Agent and Notice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 may serve as Registrar or Paying Agent.</w:t>
      </w:r>
    </w:p>
    <w:p>
      <w:pPr>
        <w:spacing w:after="0" w:line="189"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648"/>
        <w:spacing w:after="0" w:line="312"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w:t>
      </w:r>
    </w:p>
    <w:p>
      <w:pPr>
        <w:spacing w:after="0" w:line="27" w:lineRule="exact"/>
        <w:rPr>
          <w:sz w:val="20"/>
          <w:szCs w:val="20"/>
          <w:color w:val="auto"/>
        </w:rPr>
      </w:pPr>
    </w:p>
    <w:p>
      <w:pPr>
        <w:jc w:val="both"/>
        <w:ind w:right="140" w:firstLine="8"/>
        <w:spacing w:after="0" w:line="253"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3" w:name="page54"/>
    <w:bookmarkEnd w:id="53"/>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4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2.14.2.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firstLine="972"/>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addition, so long as the Depository Trust Company (“DTC”) is the Depositary, each Global Security registered in the name of DTC or its nominee shall bear a legend in substantially the following form:</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2"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62"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for a particular Series by a Board Resolution, a supplemental indenture hereto or an Officer’s Certificate, if less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Securities of a Series are to be redeemed, the Securities of the Series to be redeemed will be selected as follows: (a) if the Securities are in the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Global Securities, in accordance with the procedures of the Depositary, (b) if the Securities are listed on any national securities exchange, in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requirements of the principal national securities exchange, if any, on which the Securities are listed or (c) if not otherwise provided for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(a) or (b) in the manner that the Trustee deems fair and appropriate, including by lot or other method, unless otherwise required by law or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exchange requirements, subject, in the case of Global Securities, to the applicable rules and procedures of the Depositary. The Securities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 shall be selected from Securities of the Series outstanding not previously called for redemption. Portions of the principal of Securities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that have denominations larger than $1,000 may be selected for redemption. Securities of the Series and portions of them it selected for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in amounts of $1,000 or whole multiples of $1,000 or, with respect to Securities of any Series issuable in other denominations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2.2.10, the minimum principal denomination for each Series and the authorized integral multiples thereof. Provisions of this Indenture that apply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a Series called for redemption also apply to portions of Securities of that Series called for redemption. Neither the Trustee nor the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shall be liable for any selection made by it in accordance with this paragraph (including the procedures of the Depositary).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225" w:lineRule="exact"/>
        <w:rPr>
          <w:sz w:val="20"/>
          <w:szCs w:val="20"/>
          <w:color w:val="auto"/>
        </w:rPr>
      </w:pPr>
    </w:p>
    <w:p>
      <w:pPr>
        <w:ind w:left="1540" w:hanging="236"/>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660" w:right="160" w:firstLine="644"/>
        <w:spacing w:after="0" w:line="266" w:lineRule="auto"/>
        <w:tabs>
          <w:tab w:leader="none" w:pos="15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7" w:name="page58"/>
    <w:bookmarkEnd w:id="57"/>
    <w:p>
      <w:pPr>
        <w:ind w:left="1540" w:hanging="236"/>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660" w:right="220" w:firstLine="644"/>
        <w:spacing w:after="0" w:line="282" w:lineRule="auto"/>
        <w:tabs>
          <w:tab w:leader="none" w:pos="15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 unless the Company defaults in the deposit of the redemption price;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8" w:name="page59"/>
    <w:bookmarkEnd w:id="58"/>
    <w:p>
      <w:pPr>
        <w:ind w:firstLine="648"/>
        <w:spacing w:after="0" w:line="25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ind w:left="660" w:right="140" w:firstLine="644"/>
        <w:spacing w:after="0" w:line="266" w:lineRule="auto"/>
        <w:tabs>
          <w:tab w:leader="none" w:pos="15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a corporation organized and validly existing under the laws of any U.S. domestic jurisdiction and expressly assumes by supplemental indenture the Company’s obligations on the Securities and under this Indenture; and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color w:val="auto"/>
        </w:rPr>
        <w:t>,” wherever used herein with respect to Securities of any Series, means any one of the following events, unless in the establishing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Resolution, supplemental indenture or Officer’s Certificate it is provided that such Series shall not have the benefit of said Event of Default:</w:t>
      </w:r>
    </w:p>
    <w:p>
      <w:pPr>
        <w:spacing w:after="0" w:line="207" w:lineRule="exact"/>
        <w:rPr>
          <w:sz w:val="20"/>
          <w:szCs w:val="20"/>
          <w:color w:val="auto"/>
        </w:rPr>
      </w:pPr>
    </w:p>
    <w:p>
      <w:pPr>
        <w:ind w:left="660" w:right="240" w:firstLine="644"/>
        <w:spacing w:after="0" w:line="266" w:lineRule="auto"/>
        <w:tabs>
          <w:tab w:leader="none" w:pos="15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ind w:left="660" w:right="100" w:firstLine="644"/>
        <w:spacing w:after="0" w:line="256" w:lineRule="auto"/>
        <w:tabs>
          <w:tab w:leader="none" w:pos="15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0" w:name="page61"/>
    <w:bookmarkEnd w:id="60"/>
    <w:p>
      <w:pPr>
        <w:ind w:left="660" w:right="80" w:firstLine="644"/>
        <w:spacing w:after="0" w:line="282" w:lineRule="auto"/>
        <w:tabs>
          <w:tab w:leader="none" w:pos="153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w:t>
      </w:r>
    </w:p>
    <w:p>
      <w:pPr>
        <w:spacing w:after="0" w:line="5" w:lineRule="exact"/>
        <w:rPr>
          <w:sz w:val="20"/>
          <w:szCs w:val="20"/>
          <w:color w:val="auto"/>
        </w:rPr>
      </w:pPr>
    </w:p>
    <w:p>
      <w:pPr>
        <w:ind w:right="160" w:firstLine="8"/>
        <w:spacing w:after="0" w:line="260"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occur, the principal amount (or specified amount) of and accrued and unpaid interest, if any, on all outstanding Securities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become and be immediately due and payable without any declaration or other act on the part of the Trustee or any Holder.</w:t>
      </w:r>
    </w:p>
    <w:p>
      <w:pPr>
        <w:spacing w:after="0" w:line="18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left="660" w:right="740" w:firstLine="644"/>
        <w:spacing w:after="0" w:line="282" w:lineRule="auto"/>
        <w:tabs>
          <w:tab w:leader="none" w:pos="155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if any, when and as due by the terms of a Security,</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then, </w:t>
      </w: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3" w:lineRule="exact"/>
        <w:rPr>
          <w:sz w:val="20"/>
          <w:szCs w:val="20"/>
          <w:color w:val="auto"/>
        </w:rPr>
      </w:pPr>
    </w:p>
    <w:p>
      <w:pPr>
        <w:jc w:val="both"/>
        <w:ind w:left="660" w:right="120" w:firstLine="644"/>
        <w:spacing w:after="0" w:line="261" w:lineRule="auto"/>
        <w:tabs>
          <w:tab w:leader="none" w:pos="15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79" w:lineRule="exact"/>
        <w:rPr>
          <w:rFonts w:ascii="Times New Roman" w:cs="Times New Roman" w:eastAsia="Times New Roman" w:hAnsi="Times New Roman"/>
          <w:sz w:val="18"/>
          <w:szCs w:val="18"/>
          <w:color w:val="auto"/>
        </w:rPr>
      </w:pPr>
    </w:p>
    <w:p>
      <w:pPr>
        <w:ind w:left="660" w:right="60" w:firstLine="644"/>
        <w:spacing w:after="0" w:line="258" w:lineRule="auto"/>
        <w:tabs>
          <w:tab w:leader="none" w:pos="15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to the Trustee under Section 7.7; and</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such Holder has previously given written notice to the Trustee of a continuing Event of Default with respect to the Securities of that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left="660" w:firstLine="644"/>
        <w:spacing w:after="0" w:line="282" w:lineRule="auto"/>
        <w:tabs>
          <w:tab w:leader="none" w:pos="15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5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left="660" w:right="540" w:firstLine="644"/>
        <w:spacing w:after="0" w:line="282" w:lineRule="auto"/>
        <w:tabs>
          <w:tab w:leader="none" w:pos="15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6" w:lineRule="exact"/>
        <w:rPr>
          <w:sz w:val="20"/>
          <w:szCs w:val="20"/>
          <w:color w:val="auto"/>
        </w:rPr>
      </w:pPr>
    </w:p>
    <w:p>
      <w:pPr>
        <w:ind w:left="1540" w:hanging="236"/>
        <w:spacing w:after="0"/>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her or its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ind w:right="600"/>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4"/>
        <w:spacing w:after="0" w:line="266" w:lineRule="auto"/>
        <w:tabs>
          <w:tab w:leader="none" w:pos="8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left="640" w:right="400" w:firstLine="652"/>
        <w:spacing w:after="0" w:line="282" w:lineRule="auto"/>
        <w:tabs>
          <w:tab w:leader="none" w:pos="15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will be read into this Indenture against the Trustee.</w:t>
      </w:r>
    </w:p>
    <w:p>
      <w:pPr>
        <w:spacing w:after="0" w:line="161" w:lineRule="exact"/>
        <w:rPr>
          <w:rFonts w:ascii="Times New Roman" w:cs="Times New Roman" w:eastAsia="Times New Roman" w:hAnsi="Times New Roman"/>
          <w:sz w:val="18"/>
          <w:szCs w:val="18"/>
          <w:color w:val="auto"/>
        </w:rPr>
      </w:pPr>
    </w:p>
    <w:p>
      <w:pPr>
        <w:ind w:left="640" w:right="40" w:firstLine="652"/>
        <w:spacing w:after="0" w:line="258" w:lineRule="auto"/>
        <w:tabs>
          <w:tab w:leader="none" w:pos="155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83" w:lineRule="exact"/>
        <w:rPr>
          <w:rFonts w:ascii="Times New Roman" w:cs="Times New Roman" w:eastAsia="Times New Roman" w:hAnsi="Times New Roman"/>
          <w:sz w:val="18"/>
          <w:szCs w:val="18"/>
          <w:color w:val="auto"/>
        </w:rPr>
      </w:pPr>
    </w:p>
    <w:p>
      <w:pPr>
        <w:ind w:right="740" w:firstLine="644"/>
        <w:spacing w:after="0" w:line="282" w:lineRule="auto"/>
        <w:tabs>
          <w:tab w:leader="none" w:pos="8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ind w:left="640" w:right="40" w:firstLine="652"/>
        <w:spacing w:after="0" w:line="258" w:lineRule="auto"/>
        <w:tabs>
          <w:tab w:leader="none" w:pos="16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83"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225" w:lineRule="exact"/>
        <w:rPr>
          <w:rFonts w:ascii="Times New Roman" w:cs="Times New Roman" w:eastAsia="Times New Roman" w:hAnsi="Times New Roman"/>
          <w:sz w:val="18"/>
          <w:szCs w:val="18"/>
          <w:color w:val="auto"/>
        </w:rPr>
      </w:pPr>
    </w:p>
    <w:p>
      <w:pPr>
        <w:ind w:right="200" w:firstLine="644"/>
        <w:spacing w:after="0" w:line="282" w:lineRule="auto"/>
        <w:tabs>
          <w:tab w:leader="none" w:pos="8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65" w:name="page66"/>
    <w:bookmarkEnd w:id="65"/>
    <w:p>
      <w:pPr>
        <w:ind w:right="100" w:firstLine="644"/>
        <w:spacing w:after="0" w:line="282" w:lineRule="auto"/>
        <w:tabs>
          <w:tab w:leader="none" w:pos="8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right="500" w:firstLine="644"/>
        <w:spacing w:after="0" w:line="266" w:lineRule="auto"/>
        <w:tabs>
          <w:tab w:leader="none" w:pos="9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75" w:lineRule="exact"/>
        <w:rPr>
          <w:rFonts w:ascii="Times New Roman" w:cs="Times New Roman" w:eastAsia="Times New Roman" w:hAnsi="Times New Roman"/>
          <w:sz w:val="18"/>
          <w:szCs w:val="18"/>
          <w:color w:val="auto"/>
        </w:rPr>
      </w:pPr>
    </w:p>
    <w:p>
      <w:pPr>
        <w:ind w:right="580" w:firstLine="644"/>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Notice Agent, the Registrar, any authenticating agent and the Trustee when acting in any other capacity hereunder shall be entitled to the protections and immunities as are set forth in this Article VII.</w:t>
      </w:r>
    </w:p>
    <w:p>
      <w:pPr>
        <w:spacing w:after="0" w:line="161" w:lineRule="exact"/>
        <w:rPr>
          <w:rFonts w:ascii="Times New Roman" w:cs="Times New Roman" w:eastAsia="Times New Roman" w:hAnsi="Times New Roman"/>
          <w:sz w:val="18"/>
          <w:szCs w:val="18"/>
          <w:color w:val="auto"/>
        </w:rPr>
      </w:pPr>
    </w:p>
    <w:p>
      <w:pPr>
        <w:ind w:right="80" w:firstLine="644"/>
        <w:spacing w:after="0" w:line="282" w:lineRule="auto"/>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4"/>
        <w:spacing w:after="0" w:line="266" w:lineRule="auto"/>
        <w:tabs>
          <w:tab w:leader="none" w:pos="8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75" w:lineRule="exact"/>
        <w:rPr>
          <w:rFonts w:ascii="Times New Roman" w:cs="Times New Roman" w:eastAsia="Times New Roman" w:hAnsi="Times New Roman"/>
          <w:sz w:val="18"/>
          <w:szCs w:val="18"/>
          <w:color w:val="auto"/>
        </w:rPr>
      </w:pPr>
    </w:p>
    <w:p>
      <w:pPr>
        <w:ind w:right="140" w:firstLine="644"/>
        <w:spacing w:after="0" w:line="282" w:lineRule="auto"/>
        <w:tabs>
          <w:tab w:leader="none" w:pos="9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61" w:lineRule="exact"/>
        <w:rPr>
          <w:rFonts w:ascii="Times New Roman" w:cs="Times New Roman" w:eastAsia="Times New Roman" w:hAnsi="Times New Roman"/>
          <w:sz w:val="18"/>
          <w:szCs w:val="18"/>
          <w:color w:val="auto"/>
        </w:rPr>
      </w:pPr>
    </w:p>
    <w:p>
      <w:pPr>
        <w:ind w:right="200" w:firstLine="644"/>
        <w:spacing w:after="0" w:line="312" w:lineRule="auto"/>
        <w:tabs>
          <w:tab w:leader="none" w:pos="88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39" w:lineRule="exact"/>
        <w:rPr>
          <w:rFonts w:ascii="Times New Roman" w:cs="Times New Roman" w:eastAsia="Times New Roman" w:hAnsi="Times New Roman"/>
          <w:sz w:val="17"/>
          <w:szCs w:val="17"/>
          <w:color w:val="auto"/>
        </w:rPr>
      </w:pPr>
    </w:p>
    <w:p>
      <w:pPr>
        <w:ind w:right="360" w:firstLine="644"/>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w:t>
      </w:r>
    </w:p>
    <w:p>
      <w:pPr>
        <w:spacing w:after="0" w:line="161" w:lineRule="exact"/>
        <w:rPr>
          <w:rFonts w:ascii="Times New Roman" w:cs="Times New Roman" w:eastAsia="Times New Roman" w:hAnsi="Times New Roman"/>
          <w:sz w:val="18"/>
          <w:szCs w:val="18"/>
          <w:color w:val="auto"/>
        </w:rPr>
      </w:pPr>
    </w:p>
    <w:p>
      <w:pPr>
        <w:ind w:right="820" w:firstLine="644"/>
        <w:spacing w:after="0" w:line="312" w:lineRule="auto"/>
        <w:tabs>
          <w:tab w:leader="none" w:pos="88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39" w:lineRule="exact"/>
        <w:rPr>
          <w:rFonts w:ascii="Times New Roman" w:cs="Times New Roman" w:eastAsia="Times New Roman" w:hAnsi="Times New Roman"/>
          <w:sz w:val="17"/>
          <w:szCs w:val="17"/>
          <w:color w:val="auto"/>
        </w:rPr>
      </w:pPr>
    </w:p>
    <w:p>
      <w:pPr>
        <w:ind w:firstLine="644"/>
        <w:spacing w:after="0" w:line="266" w:lineRule="auto"/>
        <w:tabs>
          <w:tab w:leader="none" w:pos="8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jc w:val="both"/>
        <w:ind w:right="440" w:firstLine="644"/>
        <w:spacing w:after="0" w:line="289" w:lineRule="auto"/>
        <w:tabs>
          <w:tab w:leader="none" w:pos="9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57" w:lineRule="exact"/>
        <w:rPr>
          <w:rFonts w:ascii="Times New Roman" w:cs="Times New Roman" w:eastAsia="Times New Roman" w:hAnsi="Times New Roman"/>
          <w:sz w:val="17"/>
          <w:szCs w:val="17"/>
          <w:color w:val="auto"/>
        </w:rPr>
      </w:pPr>
    </w:p>
    <w:p>
      <w:pPr>
        <w:ind w:right="20" w:firstLine="644"/>
        <w:spacing w:after="0" w:line="289" w:lineRule="auto"/>
        <w:tabs>
          <w:tab w:leader="none" w:pos="9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157" w:lineRule="exact"/>
        <w:rPr>
          <w:rFonts w:ascii="Times New Roman" w:cs="Times New Roman" w:eastAsia="Times New Roman" w:hAnsi="Times New Roman"/>
          <w:sz w:val="17"/>
          <w:szCs w:val="17"/>
          <w:color w:val="auto"/>
        </w:rPr>
      </w:pPr>
    </w:p>
    <w:p>
      <w:pPr>
        <w:ind w:right="220" w:firstLine="644"/>
        <w:spacing w:after="0" w:line="282" w:lineRule="auto"/>
        <w:tabs>
          <w:tab w:leader="none" w:pos="8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8"/>
          <w:szCs w:val="18"/>
          <w:color w:val="auto"/>
        </w:rPr>
        <w:t>(j) The permissive right of the Trustee to take the actions permitted by this Indenture shall not be construed as an obligation or duty to do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w:t>
      </w:r>
    </w:p>
    <w:p>
      <w:pPr>
        <w:spacing w:after="0" w:line="207" w:lineRule="exact"/>
        <w:rPr>
          <w:sz w:val="20"/>
          <w:szCs w:val="20"/>
          <w:color w:val="auto"/>
        </w:rPr>
      </w:pPr>
    </w:p>
    <w:p>
      <w:pPr>
        <w:ind w:left="660" w:right="1220" w:firstLine="644"/>
        <w:spacing w:after="0" w:line="500" w:lineRule="auto"/>
        <w:tabs>
          <w:tab w:leader="none" w:pos="1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not be required to give any bond or surety in respect of the execution of this Indenture or otherwise. 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Within 60 days after each [[●] commencing [●], [●]], the Trustee shall transmit by mail to all Holders, as their names and addresses appear on the register kept by the Registrar, a brief report dated as of such anniversary date, in accordance with, and to the extent required under, TIA § 313.</w:t>
      </w:r>
    </w:p>
    <w:p>
      <w:pPr>
        <w:spacing w:after="0" w:line="162"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7" w:name="page68"/>
    <w:bookmarkEnd w:id="67"/>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6" w:lineRule="exact"/>
        <w:rPr>
          <w:sz w:val="20"/>
          <w:szCs w:val="20"/>
          <w:color w:val="auto"/>
        </w:rPr>
      </w:pPr>
    </w:p>
    <w:p>
      <w:pPr>
        <w:ind w:left="1540" w:hanging="236"/>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540" w:hanging="236"/>
        <w:spacing w:after="0"/>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76" w:lineRule="exact"/>
        <w:rPr>
          <w:sz w:val="20"/>
          <w:szCs w:val="20"/>
          <w:color w:val="auto"/>
        </w:rPr>
      </w:pPr>
    </w:p>
    <w:p>
      <w:pPr>
        <w:ind w:left="1540" w:hanging="236"/>
        <w:spacing w:after="0"/>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300" w:right="260" w:firstLine="652"/>
        <w:spacing w:after="0" w:line="282" w:lineRule="auto"/>
        <w:tabs>
          <w:tab w:leader="none" w:pos="216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sending a notice of redemption or otherwise,</w:t>
      </w:r>
    </w:p>
    <w:p>
      <w:pPr>
        <w:spacing w:after="0" w:line="22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w:t>
      </w:r>
    </w:p>
    <w:p>
      <w:pPr>
        <w:spacing w:after="0" w:line="225" w:lineRule="exact"/>
        <w:rPr>
          <w:rFonts w:ascii="Times New Roman" w:cs="Times New Roman" w:eastAsia="Times New Roman" w:hAnsi="Times New Roman"/>
          <w:sz w:val="18"/>
          <w:szCs w:val="18"/>
          <w:color w:val="auto"/>
        </w:rPr>
      </w:pPr>
    </w:p>
    <w:p>
      <w:pPr>
        <w:ind w:left="1960" w:right="100" w:firstLine="640"/>
        <w:spacing w:after="0" w:line="312" w:lineRule="auto"/>
        <w:tabs>
          <w:tab w:leader="none" w:pos="2863"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39" w:lineRule="exact"/>
        <w:rPr>
          <w:rFonts w:ascii="Times New Roman" w:cs="Times New Roman" w:eastAsia="Times New Roman" w:hAnsi="Times New Roman"/>
          <w:sz w:val="17"/>
          <w:szCs w:val="17"/>
          <w:color w:val="auto"/>
        </w:rPr>
      </w:pPr>
    </w:p>
    <w:p>
      <w:pPr>
        <w:ind w:left="2860" w:hanging="260"/>
        <w:spacing w:after="0"/>
        <w:tabs>
          <w:tab w:leader="none" w:pos="28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1560" w:hanging="256"/>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660" w:right="700" w:firstLine="644"/>
        <w:spacing w:after="0" w:line="282" w:lineRule="auto"/>
        <w:tabs>
          <w:tab w:leader="none" w:pos="15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80" w:firstLine="644"/>
        <w:spacing w:after="0" w:line="255" w:lineRule="auto"/>
        <w:tabs>
          <w:tab w:leader="none" w:pos="15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88" w:lineRule="exact"/>
        <w:rPr>
          <w:rFonts w:ascii="Times New Roman" w:cs="Times New Roman" w:eastAsia="Times New Roman" w:hAnsi="Times New Roman"/>
          <w:sz w:val="18"/>
          <w:szCs w:val="18"/>
          <w:color w:val="auto"/>
        </w:rPr>
      </w:pPr>
    </w:p>
    <w:p>
      <w:pPr>
        <w:ind w:left="660" w:firstLine="644"/>
        <w:spacing w:after="0" w:line="266" w:lineRule="auto"/>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56" w:lineRule="auto"/>
        <w:tabs>
          <w:tab w:leader="none" w:pos="15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64" w:lineRule="exact"/>
        <w:rPr>
          <w:sz w:val="20"/>
          <w:szCs w:val="20"/>
          <w:color w:val="auto"/>
        </w:rPr>
      </w:pPr>
    </w:p>
    <w:p>
      <w:pPr>
        <w:ind w:left="660" w:right="80" w:firstLine="644"/>
        <w:spacing w:after="0" w:line="261" w:lineRule="auto"/>
        <w:tabs>
          <w:tab w:leader="none" w:pos="15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0" w:name="page71"/>
    <w:bookmarkEnd w:id="70"/>
    <w:p>
      <w:pPr>
        <w:ind w:left="1560" w:hanging="256"/>
        <w:spacing w:after="0"/>
        <w:tabs>
          <w:tab w:leader="none" w:pos="1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2.5, 2.7, 2.8, 7.7, 8.2, 8.3, 8.5 and 8.6; and</w:t>
      </w:r>
    </w:p>
    <w:p>
      <w:pPr>
        <w:spacing w:after="0" w:line="225" w:lineRule="exact"/>
        <w:rPr>
          <w:rFonts w:ascii="Times New Roman" w:cs="Times New Roman" w:eastAsia="Times New Roman" w:hAnsi="Times New Roman"/>
          <w:sz w:val="18"/>
          <w:szCs w:val="18"/>
          <w:color w:val="auto"/>
        </w:rPr>
      </w:pPr>
    </w:p>
    <w:p>
      <w:pPr>
        <w:ind w:right="880" w:firstLine="1304"/>
        <w:spacing w:after="0" w:line="500" w:lineRule="auto"/>
        <w:tabs>
          <w:tab w:leader="none" w:pos="15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 provided that, the following conditions shall have been satisfied:</w:t>
      </w:r>
    </w:p>
    <w:p>
      <w:pPr>
        <w:spacing w:after="0" w:line="1" w:lineRule="exact"/>
        <w:rPr>
          <w:rFonts w:ascii="Times New Roman" w:cs="Times New Roman" w:eastAsia="Times New Roman" w:hAnsi="Times New Roman"/>
          <w:sz w:val="18"/>
          <w:szCs w:val="18"/>
          <w:color w:val="auto"/>
        </w:rPr>
      </w:pPr>
    </w:p>
    <w:p>
      <w:pPr>
        <w:ind w:left="660" w:right="180" w:firstLine="644"/>
        <w:spacing w:after="0" w:line="257" w:lineRule="auto"/>
        <w:tabs>
          <w:tab w:leader="none" w:pos="15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w:t>
      </w:r>
    </w:p>
    <w:p>
      <w:pPr>
        <w:spacing w:after="0" w:line="1" w:lineRule="exact"/>
        <w:rPr>
          <w:rFonts w:ascii="Times New Roman" w:cs="Times New Roman" w:eastAsia="Times New Roman" w:hAnsi="Times New Roman"/>
          <w:sz w:val="18"/>
          <w:szCs w:val="18"/>
          <w:color w:val="auto"/>
        </w:rPr>
      </w:pPr>
    </w:p>
    <w:p>
      <w:pPr>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9" w:lineRule="exact"/>
        <w:rPr>
          <w:rFonts w:ascii="Times New Roman" w:cs="Times New Roman" w:eastAsia="Times New Roman" w:hAnsi="Times New Roman"/>
          <w:sz w:val="18"/>
          <w:szCs w:val="18"/>
          <w:color w:val="auto"/>
        </w:rPr>
      </w:pPr>
    </w:p>
    <w:p>
      <w:pPr>
        <w:ind w:left="660" w:right="740" w:firstLine="644"/>
        <w:spacing w:after="0" w:line="282" w:lineRule="auto"/>
        <w:tabs>
          <w:tab w:leader="none" w:pos="155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660" w:right="120" w:firstLine="644"/>
        <w:spacing w:after="0" w:line="282" w:lineRule="auto"/>
        <w:tabs>
          <w:tab w:leader="none" w:pos="15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ind w:left="660" w:right="60" w:firstLine="644"/>
        <w:spacing w:after="0" w:line="256" w:lineRule="auto"/>
        <w:tabs>
          <w:tab w:leader="none" w:pos="15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87"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5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61"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5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1" w:name="page72"/>
    <w:bookmarkEnd w:id="71"/>
    <w:p>
      <w:pPr>
        <w:ind w:left="660" w:firstLine="644"/>
        <w:spacing w:after="0" w:line="253" w:lineRule="auto"/>
        <w:tabs>
          <w:tab w:leader="none" w:pos="15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194" w:lineRule="exact"/>
        <w:rPr>
          <w:rFonts w:ascii="Times New Roman" w:cs="Times New Roman" w:eastAsia="Times New Roman" w:hAnsi="Times New Roman"/>
          <w:sz w:val="18"/>
          <w:szCs w:val="18"/>
          <w:color w:val="auto"/>
        </w:rPr>
      </w:pPr>
    </w:p>
    <w:p>
      <w:pPr>
        <w:ind w:left="660" w:right="740" w:firstLine="644"/>
        <w:spacing w:after="0" w:line="282" w:lineRule="auto"/>
        <w:tabs>
          <w:tab w:leader="none" w:pos="15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w:t>
      </w:r>
    </w:p>
    <w:p>
      <w:pPr>
        <w:spacing w:after="0" w:line="206" w:lineRule="exact"/>
        <w:rPr>
          <w:rFonts w:ascii="Times New Roman" w:cs="Times New Roman" w:eastAsia="Times New Roman" w:hAnsi="Times New Roman"/>
          <w:sz w:val="18"/>
          <w:szCs w:val="18"/>
          <w:color w:val="auto"/>
        </w:rPr>
      </w:pPr>
    </w:p>
    <w:p>
      <w:pPr>
        <w:ind w:left="660" w:right="220" w:firstLine="644"/>
        <w:spacing w:after="0" w:line="261" w:lineRule="auto"/>
        <w:tabs>
          <w:tab w:leader="none" w:pos="15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79" w:lineRule="exact"/>
        <w:rPr>
          <w:rFonts w:ascii="Times New Roman" w:cs="Times New Roman" w:eastAsia="Times New Roman" w:hAnsi="Times New Roman"/>
          <w:sz w:val="18"/>
          <w:szCs w:val="18"/>
          <w:color w:val="auto"/>
        </w:rPr>
      </w:pPr>
    </w:p>
    <w:p>
      <w:pPr>
        <w:ind w:left="660" w:right="200" w:firstLine="644"/>
        <w:spacing w:after="0" w:line="282" w:lineRule="auto"/>
        <w:tabs>
          <w:tab w:leader="none" w:pos="15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61" w:lineRule="exact"/>
        <w:rPr>
          <w:rFonts w:ascii="Times New Roman" w:cs="Times New Roman" w:eastAsia="Times New Roman" w:hAnsi="Times New Roman"/>
          <w:sz w:val="18"/>
          <w:szCs w:val="18"/>
          <w:color w:val="auto"/>
        </w:rPr>
      </w:pPr>
    </w:p>
    <w:p>
      <w:pPr>
        <w:ind w:left="660" w:right="200" w:firstLine="644"/>
        <w:spacing w:after="0" w:line="282" w:lineRule="auto"/>
        <w:tabs>
          <w:tab w:leader="none" w:pos="15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 Holder:</w:t>
      </w:r>
    </w:p>
    <w:p>
      <w:pPr>
        <w:spacing w:after="0" w:line="225" w:lineRule="exact"/>
        <w:rPr>
          <w:sz w:val="20"/>
          <w:szCs w:val="20"/>
          <w:color w:val="auto"/>
        </w:rPr>
      </w:pPr>
    </w:p>
    <w:p>
      <w:pPr>
        <w:ind w:left="1540" w:hanging="236"/>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jc w:val="both"/>
        <w:ind w:left="660" w:right="220" w:firstLine="644"/>
        <w:spacing w:after="0" w:line="266" w:lineRule="auto"/>
        <w:tabs>
          <w:tab w:leader="none" w:pos="152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each Holder affected, an amendment or waiver may not:</w:t>
      </w:r>
    </w:p>
    <w:p>
      <w:pPr>
        <w:spacing w:after="0" w:line="225" w:lineRule="exact"/>
        <w:rPr>
          <w:sz w:val="20"/>
          <w:szCs w:val="20"/>
          <w:color w:val="auto"/>
        </w:rPr>
      </w:pPr>
    </w:p>
    <w:p>
      <w:pPr>
        <w:ind w:left="1540" w:hanging="236"/>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225" w:lineRule="exact"/>
        <w:rPr>
          <w:rFonts w:ascii="Times New Roman" w:cs="Times New Roman" w:eastAsia="Times New Roman" w:hAnsi="Times New Roman"/>
          <w:sz w:val="18"/>
          <w:szCs w:val="18"/>
          <w:color w:val="auto"/>
        </w:rPr>
      </w:pPr>
    </w:p>
    <w:p>
      <w:pPr>
        <w:ind w:left="660" w:right="640" w:firstLine="644"/>
        <w:spacing w:after="0" w:line="282" w:lineRule="auto"/>
        <w:tabs>
          <w:tab w:leader="none" w:pos="155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225" w:lineRule="exact"/>
        <w:rPr>
          <w:rFonts w:ascii="Times New Roman" w:cs="Times New Roman" w:eastAsia="Times New Roman" w:hAnsi="Times New Roman"/>
          <w:sz w:val="18"/>
          <w:szCs w:val="18"/>
          <w:color w:val="auto"/>
        </w:rPr>
      </w:pPr>
    </w:p>
    <w:p>
      <w:pPr>
        <w:ind w:left="660" w:right="500" w:firstLine="644"/>
        <w:spacing w:after="0" w:line="266" w:lineRule="auto"/>
        <w:tabs>
          <w:tab w:leader="none" w:pos="155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225" w:lineRule="exact"/>
        <w:rPr>
          <w:rFonts w:ascii="Times New Roman" w:cs="Times New Roman" w:eastAsia="Times New Roman" w:hAnsi="Times New Roman"/>
          <w:sz w:val="18"/>
          <w:szCs w:val="18"/>
          <w:color w:val="auto"/>
        </w:rPr>
      </w:pPr>
    </w:p>
    <w:p>
      <w:pPr>
        <w:ind w:left="660" w:right="800" w:firstLine="644"/>
        <w:spacing w:after="0" w:line="500" w:lineRule="auto"/>
        <w:tabs>
          <w:tab w:leader="none" w:pos="15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 redemption payment with respect to any Security, provided that such redemption is made at the Company’s option. 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her or its Security or portion of a Security if the Trustee receives the notice of revocation before the date of the supplemental indenture or the date the waiver becomes effective.</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25 North 38th Street, 11th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(267) 817-5790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Goodwin Procter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3025 John F Kennedy Blvd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Rachael M. Bushey, Esq., Jennifer L. Porter, Esq. and Justin Platt,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(445) 207-7800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Holder receives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sends a notice or communication to Holders, it shall send a copy to the Trustee and each Agent at the same time.</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187"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225" w:lineRule="exact"/>
        <w:rPr>
          <w:sz w:val="20"/>
          <w:szCs w:val="20"/>
          <w:color w:val="auto"/>
        </w:rPr>
      </w:pPr>
    </w:p>
    <w:p>
      <w:pPr>
        <w:ind w:left="660" w:right="560" w:firstLine="644"/>
        <w:spacing w:after="0" w:line="282" w:lineRule="auto"/>
        <w:tabs>
          <w:tab w:leader="none" w:pos="15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660" w:right="860" w:firstLine="644"/>
        <w:spacing w:after="0" w:line="500" w:lineRule="auto"/>
        <w:tabs>
          <w:tab w:leader="none" w:pos="15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stating that, in the opinion of such counsel, all such conditions precedent have been complied with. 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62" w:lineRule="exact"/>
        <w:rPr>
          <w:sz w:val="20"/>
          <w:szCs w:val="20"/>
          <w:color w:val="auto"/>
        </w:rPr>
      </w:pPr>
    </w:p>
    <w:p>
      <w:pPr>
        <w:ind w:left="5540" w:right="2560" w:hanging="4236"/>
        <w:spacing w:after="0" w:line="783" w:lineRule="auto"/>
        <w:tabs>
          <w:tab w:leader="none" w:pos="15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6" w:name="page77"/>
    <w:bookmarkEnd w:id="76"/>
    <w:p>
      <w:pPr>
        <w:ind w:left="660" w:right="240" w:firstLine="644"/>
        <w:spacing w:after="0" w:line="282" w:lineRule="auto"/>
        <w:tabs>
          <w:tab w:leader="none" w:pos="15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Holders of one or more Series. Any Agent may make reasonable rules and set reasonable requirements for its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If a payment date for any payment made under this Indenture is not a Business Day, payment may be made on the next succeeding Business Day, and no interest shall accrue for the intervening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83"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 Waiver of Jury Trial; Consent to Jurisdiction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460" w:firstLine="1296"/>
        <w:spacing w:after="0" w:line="317" w:lineRule="auto"/>
        <w:rPr>
          <w:sz w:val="20"/>
          <w:szCs w:val="20"/>
          <w:color w:val="auto"/>
        </w:rPr>
      </w:pPr>
      <w:r>
        <w:rPr>
          <w:rFonts w:ascii="Times New Roman" w:cs="Times New Roman" w:eastAsia="Times New Roman" w:hAnsi="Times New Roman"/>
          <w:sz w:val="17"/>
          <w:szCs w:val="17"/>
          <w:b w:val="1"/>
          <w:bCs w:val="1"/>
          <w:color w:val="auto"/>
        </w:rPr>
        <w:t>THIS INDENTURE AND THE SECURITIES, INCLUDING ANY CLAIM OR CONTROVERSY ARISING OUT OF OR RELATING TO THE INDENTURE OR THE SECURITIES, SHALL BE GOVERNED BY THE LAWS OF THE STATE OF NEW YORK.</w:t>
      </w:r>
    </w:p>
    <w:p>
      <w:pPr>
        <w:spacing w:after="0" w:line="132" w:lineRule="exact"/>
        <w:rPr>
          <w:sz w:val="20"/>
          <w:szCs w:val="20"/>
          <w:color w:val="auto"/>
        </w:rPr>
      </w:pPr>
    </w:p>
    <w:p>
      <w:pPr>
        <w:ind w:right="2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7" w:name="page78"/>
    <w:bookmarkEnd w:id="77"/>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SINKING FUNDS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11.2. Each sinking fund payment shall be applied to the redemption of Securities of any Series as provided for by the terms of the Securities of such Series.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particular Series of Securities) prior to each sinking fund payment date for any Series of Securities, the Company will deliver to the Trustee an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specifying the amount of the next ensuing mandatory sinking fund payment for that Series pursuant to the terms of that Series, the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if any, which is to be satisfied by payment of cash and the portion thereof, if any, which is to be satisfied by delivering and crediting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that Series pursuant to Section 11.2, and the optional amount, if any, to be added in cash to the next ensuing mandatory sinking fund payment,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thereupon be obligated to pay the amount therein specified. Not less than 30 days (unless otherwise indicated in the Board Resolution,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 or supplemental indenture in respect of a particular Series of Securities) before each such sinking fund payment date the Securities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redeemed upon such sinking fund payment date will be selected in the manner specified in Section 3.2, and the Company shall send or cause to be sent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the redemption thereof to be given in the name of and at the expense of the Company in the manner provided in and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3.3. Such notice having been duly given, the redemption of such Securities shall be made upon the terms and in the manner stated in Sections 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and 3.6.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day and year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048510" cy="462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2048510" cy="462915"/>
                    </a:xfrm>
                    <a:prstGeom prst="rect">
                      <a:avLst/>
                    </a:prstGeom>
                    <a:noFill/>
                  </pic:spPr>
                </pic:pic>
              </a:graphicData>
            </a:graphic>
          </wp:anchor>
        </w:drawing>
      </w:r>
    </w:p>
    <w:p>
      <w:pPr>
        <w:spacing w:after="0" w:line="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One Commerce Square</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2005 Market Street, 32nd Floor</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gooodwinlaw.com</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+1 445 207 7800</w:t>
      </w:r>
    </w:p>
    <w:p>
      <w:pPr>
        <w:spacing w:after="0" w:line="20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July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North 38th Street,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19104</w:t>
      </w:r>
    </w:p>
    <w:p>
      <w:pPr>
        <w:spacing w:after="0" w:line="20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Re:</w:t>
        <w:tab/>
        <w:t>Securities Being Registered under Registration Statement on Form S-3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(as amended or supplemented, the “Registration Statement”) pursuant to the Securities Act of 1933, as amended (the “Securities Act”), relating to the offering by Century Therapeutics, Inc., a Delaware corporation (the “Company”), of up to $200,000,000 of any combination of (i) the Company’s common stock, par value $0.0001 per share (“Common Stock”), (ii) the Company’s preferred stock, par value $0.0001 per share (“Preferred Stock”), (iii) the Company’s debt securities (“Debt Securities”),</w:t>
      </w:r>
    </w:p>
    <w:p>
      <w:pPr>
        <w:spacing w:after="0" w:line="3" w:lineRule="exact"/>
        <w:rPr>
          <w:sz w:val="20"/>
          <w:szCs w:val="20"/>
          <w:color w:val="auto"/>
        </w:rPr>
      </w:pPr>
    </w:p>
    <w:p>
      <w:pPr>
        <w:jc w:val="both"/>
        <w:ind w:firstLine="8"/>
        <w:spacing w:after="0" w:line="252" w:lineRule="auto"/>
        <w:tabs>
          <w:tab w:leader="none" w:pos="31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Preferred Stock or Debt Securities (“Warrants”), (v) units comprised of Common Stock, Preferred Stock, Debt Securities, Warrants, or Subscription Rights (as defined below) in any combination (“Units”), and (vi) subscription rights to purchase Common Stock, Preferred Stock or Debt Securities (“Subscription Rights”). The Common Stock, Preferred Stock, Debt Securities, Warrants, Units and Subscription Rights are sometimes referred to collectively herein as the “Securities.” Securities may be issued in an unspecified number (with respect to Common Stock, Preferred Stock, Warrants, Units and Subscription Rights)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the law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the opinions set forth below, without limiting any other exceptions or qualifications set forth herein, we have assumed that (i) each of the Debt Securities, Warrants, Units and Subscription Rights, and the indentures, warrant agreements, unit agreements, subscription rights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opinions set forth below, we refer to the following as the “Future Approval and Issuance” of Securities:</w:t>
      </w:r>
    </w:p>
    <w:p>
      <w:pPr>
        <w:spacing w:after="0" w:line="225" w:lineRule="exact"/>
        <w:rPr>
          <w:sz w:val="20"/>
          <w:szCs w:val="20"/>
          <w:color w:val="auto"/>
        </w:rPr>
      </w:pPr>
    </w:p>
    <w:p>
      <w:pPr>
        <w:jc w:val="both"/>
        <w:ind w:left="1300" w:hanging="320"/>
        <w:spacing w:after="0" w:line="261"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Units or Subscription Rights,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Upon the Future Approval and Issuance of shares of Common Stock, such shares of Common Stock will be validly issued, fully paid and nonassessable.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Upon the Future Approval and Issuance of shares of Preferred Stock, such shares of Preferred Stock will be validly issued, fully paid and nonassessable.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Upon the Future Approval and Issuance of Debt Securities, such Debt Securities will be valid and binding obligations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Upon the Future Approval and Issuance of Warrants, such Warrants will be valid and binding obligations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Upon the Future Approval and Issuance of Units, such Units will be valid and binding obligations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            Upon the Future Approval and Issuance of Subscription Rights, such Subscription Rights will be valid and binding obligations of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letter and the opinions it contains shall be interpreted in accordance with the Core Opinion Principles as published in 74 Business Lawyer 815 (Summer 2019).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Goodwin Procter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Century Therapeutics, Inc. for the registration of its common stock, preferred stock, debt securities, warrants, units and subscription rights, and to the incorporation by reference therein of our report dated March 19, 2025, with respect to the consolidated financial statements of Century Therapeutics, Inc., included in its Annual Report (Form 10-K) for the year ended December 31, 2024,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4" w:name="page85"/>
    <w:bookmarkEnd w:id="84"/>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60" w:type="dxa"/>
            <w:vAlign w:val="bottom"/>
            <w:tcBorders>
              <w:top w:val="single" w:sz="8" w:color="auto"/>
              <w:left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5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Filing Fee</w:t>
            </w: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Paid In</w:t>
            </w: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1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Connection</w:t>
            </w: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Calculation</w:t>
            </w: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Forward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 Unsold</w:t>
            </w: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Carry</w:t>
            </w: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Initial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to</w:t>
            </w: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Registration</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 Carried</w:t>
            </w:r>
          </w:p>
        </w:tc>
      </w:tr>
      <w:tr>
        <w:trPr>
          <w:trHeight w:val="234"/>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Registered (1)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 (2)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r>
      <w:tr>
        <w:trPr>
          <w:trHeight w:val="209"/>
        </w:trPr>
        <w:tc>
          <w:tcPr>
            <w:tcW w:w="56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09"/>
        </w:trPr>
        <w:tc>
          <w:tcPr>
            <w:tcW w:w="560" w:type="dxa"/>
            <w:vAlign w:val="bottom"/>
            <w:tcBorders>
              <w:left w:val="single" w:sz="8" w:color="auto"/>
              <w:bottom w:val="single" w:sz="8" w:color="auto"/>
            </w:tcBorders>
          </w:tcPr>
          <w:p>
            <w:pPr>
              <w:spacing w:after="0"/>
              <w:rPr>
                <w:sz w:val="18"/>
                <w:szCs w:val="18"/>
                <w:color w:val="auto"/>
              </w:rPr>
            </w:pPr>
          </w:p>
        </w:tc>
        <w:tc>
          <w:tcPr>
            <w:tcW w:w="27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Primary Offering of Securities:</w:t>
            </w: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191"/>
        </w:trPr>
        <w:tc>
          <w:tcPr>
            <w:tcW w:w="56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10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Fees</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4"/>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 (3)</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1"/>
        </w:trPr>
        <w:tc>
          <w:tcPr>
            <w:tcW w:w="56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Preferred</w:t>
            </w:r>
          </w:p>
        </w:tc>
        <w:tc>
          <w:tcPr>
            <w:tcW w:w="10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Fees</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4"/>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 (4)</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1"/>
        </w:trPr>
        <w:tc>
          <w:tcPr>
            <w:tcW w:w="5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Fees</w:t>
            </w: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Debt</w:t>
            </w:r>
          </w:p>
        </w:tc>
        <w:tc>
          <w:tcPr>
            <w:tcW w:w="10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16"/>
        </w:trPr>
        <w:tc>
          <w:tcPr>
            <w:tcW w:w="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4"/>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1"/>
        </w:trPr>
        <w:tc>
          <w:tcPr>
            <w:tcW w:w="5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Fees</w:t>
            </w: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16"/>
        </w:trPr>
        <w:tc>
          <w:tcPr>
            <w:tcW w:w="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4"/>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 (6)</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1"/>
        </w:trPr>
        <w:tc>
          <w:tcPr>
            <w:tcW w:w="5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Fees</w:t>
            </w: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16"/>
        </w:trPr>
        <w:tc>
          <w:tcPr>
            <w:tcW w:w="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4"/>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 (7)</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1"/>
        </w:trPr>
        <w:tc>
          <w:tcPr>
            <w:tcW w:w="5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Fees</w:t>
            </w: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16"/>
        </w:trPr>
        <w:tc>
          <w:tcPr>
            <w:tcW w:w="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 Be</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Subscription</w:t>
            </w: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4"/>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Rights</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695"/>
        </w:trPr>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85" w:name="page86"/>
    <w:bookmarkEnd w:id="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980" w:type="dxa"/>
            <w:vAlign w:val="bottom"/>
            <w:tcBorders>
              <w:top w:val="single" w:sz="8" w:color="auto"/>
              <w:left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1000" w:type="dxa"/>
            <w:vAlign w:val="bottom"/>
            <w:tcBorders>
              <w:top w:val="single" w:sz="8" w:color="auto"/>
              <w:right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c>
          <w:tcPr>
            <w:tcW w:w="60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60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right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00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0.0001531</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10"/>
        </w:trPr>
        <w:tc>
          <w:tcPr>
            <w:tcW w:w="98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color w:val="auto"/>
              </w:rPr>
              <w:t>Carry Forward Securities</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191"/>
        </w:trPr>
        <w:tc>
          <w:tcPr>
            <w:tcW w:w="9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6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6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6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$0.0001 per</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13,</w:t>
            </w:r>
          </w:p>
        </w:tc>
        <w:tc>
          <w:tcPr>
            <w:tcW w:w="76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4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265975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60" w:type="dxa"/>
            <w:vAlign w:val="bottom"/>
            <w:tcBorders>
              <w:bottom w:val="single" w:sz="8" w:color="auto"/>
              <w:right w:val="single" w:sz="8" w:color="auto"/>
            </w:tcBorders>
          </w:tcPr>
          <w:p>
            <w:pPr>
              <w:spacing w:after="0"/>
              <w:rPr>
                <w:sz w:val="20"/>
                <w:szCs w:val="20"/>
                <w:color w:val="auto"/>
              </w:rPr>
            </w:pPr>
          </w:p>
        </w:tc>
      </w:tr>
      <w:tr>
        <w:trPr>
          <w:trHeight w:val="191"/>
        </w:trPr>
        <w:tc>
          <w:tcPr>
            <w:tcW w:w="9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Preferred</w:t>
            </w:r>
          </w:p>
        </w:tc>
        <w:tc>
          <w:tcPr>
            <w:tcW w:w="6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6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6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$0.0001 per</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13,</w:t>
            </w:r>
          </w:p>
        </w:tc>
        <w:tc>
          <w:tcPr>
            <w:tcW w:w="76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4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265975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60" w:type="dxa"/>
            <w:vAlign w:val="bottom"/>
            <w:tcBorders>
              <w:bottom w:val="single" w:sz="8" w:color="auto"/>
              <w:right w:val="single" w:sz="8" w:color="auto"/>
            </w:tcBorders>
          </w:tcPr>
          <w:p>
            <w:pPr>
              <w:spacing w:after="0"/>
              <w:rPr>
                <w:sz w:val="20"/>
                <w:szCs w:val="20"/>
                <w:color w:val="auto"/>
              </w:rPr>
            </w:pPr>
          </w:p>
        </w:tc>
      </w:tr>
      <w:tr>
        <w:trPr>
          <w:trHeight w:val="191"/>
        </w:trPr>
        <w:tc>
          <w:tcPr>
            <w:tcW w:w="9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Carry</w:t>
            </w: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13,</w:t>
            </w:r>
          </w:p>
        </w:tc>
        <w:tc>
          <w:tcPr>
            <w:tcW w:w="76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4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265975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60" w:type="dxa"/>
            <w:vAlign w:val="bottom"/>
            <w:tcBorders>
              <w:bottom w:val="single" w:sz="8" w:color="auto"/>
              <w:right w:val="single" w:sz="8" w:color="auto"/>
            </w:tcBorders>
          </w:tcPr>
          <w:p>
            <w:pPr>
              <w:spacing w:after="0"/>
              <w:rPr>
                <w:sz w:val="20"/>
                <w:szCs w:val="20"/>
                <w:color w:val="auto"/>
              </w:rPr>
            </w:pPr>
          </w:p>
        </w:tc>
      </w:tr>
      <w:tr>
        <w:trPr>
          <w:trHeight w:val="191"/>
        </w:trPr>
        <w:tc>
          <w:tcPr>
            <w:tcW w:w="9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Carry</w:t>
            </w: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13,</w:t>
            </w:r>
          </w:p>
        </w:tc>
        <w:tc>
          <w:tcPr>
            <w:tcW w:w="76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4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265975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60" w:type="dxa"/>
            <w:vAlign w:val="bottom"/>
            <w:tcBorders>
              <w:bottom w:val="single" w:sz="8" w:color="auto"/>
              <w:right w:val="single" w:sz="8" w:color="auto"/>
            </w:tcBorders>
          </w:tcPr>
          <w:p>
            <w:pPr>
              <w:spacing w:after="0"/>
              <w:rPr>
                <w:sz w:val="20"/>
                <w:szCs w:val="20"/>
                <w:color w:val="auto"/>
              </w:rPr>
            </w:pPr>
          </w:p>
        </w:tc>
      </w:tr>
      <w:tr>
        <w:trPr>
          <w:trHeight w:val="191"/>
        </w:trPr>
        <w:tc>
          <w:tcPr>
            <w:tcW w:w="9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Carry</w:t>
            </w: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13,</w:t>
            </w:r>
          </w:p>
        </w:tc>
        <w:tc>
          <w:tcPr>
            <w:tcW w:w="76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4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265975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60" w:type="dxa"/>
            <w:vAlign w:val="bottom"/>
            <w:tcBorders>
              <w:bottom w:val="single" w:sz="8" w:color="auto"/>
              <w:right w:val="single" w:sz="8" w:color="auto"/>
            </w:tcBorders>
          </w:tcPr>
          <w:p>
            <w:pPr>
              <w:spacing w:after="0"/>
              <w:rPr>
                <w:sz w:val="20"/>
                <w:szCs w:val="20"/>
                <w:color w:val="auto"/>
              </w:rPr>
            </w:pPr>
          </w:p>
        </w:tc>
      </w:tr>
      <w:tr>
        <w:trPr>
          <w:trHeight w:val="191"/>
        </w:trPr>
        <w:tc>
          <w:tcPr>
            <w:tcW w:w="9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Carry</w:t>
            </w: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Subscription</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13,</w:t>
            </w:r>
          </w:p>
        </w:tc>
        <w:tc>
          <w:tcPr>
            <w:tcW w:w="76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Rights</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4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265975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60" w:type="dxa"/>
            <w:vAlign w:val="bottom"/>
            <w:tcBorders>
              <w:bottom w:val="single" w:sz="8" w:color="auto"/>
              <w:right w:val="single" w:sz="8" w:color="auto"/>
            </w:tcBorders>
          </w:tcPr>
          <w:p>
            <w:pPr>
              <w:spacing w:after="0"/>
              <w:rPr>
                <w:sz w:val="20"/>
                <w:szCs w:val="20"/>
                <w:color w:val="auto"/>
              </w:rPr>
            </w:pPr>
          </w:p>
        </w:tc>
      </w:tr>
      <w:tr>
        <w:trPr>
          <w:trHeight w:val="191"/>
        </w:trPr>
        <w:tc>
          <w:tcPr>
            <w:tcW w:w="9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Carry</w:t>
            </w:r>
          </w:p>
        </w:tc>
        <w:tc>
          <w:tcPr>
            <w:tcW w:w="9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Unallocated</w:t>
            </w:r>
          </w:p>
        </w:tc>
        <w:tc>
          <w:tcPr>
            <w:tcW w:w="10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0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14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13,</w:t>
            </w:r>
          </w:p>
        </w:tc>
        <w:tc>
          <w:tcPr>
            <w:tcW w:w="76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00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4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$200,000,000(8)</w:t>
            </w:r>
          </w:p>
        </w:tc>
        <w:tc>
          <w:tcPr>
            <w:tcW w:w="8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265975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$18,540</w:t>
            </w:r>
          </w:p>
        </w:tc>
      </w:tr>
      <w:tr>
        <w:trPr>
          <w:trHeight w:val="210"/>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10"/>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$200,000,000</w:t>
            </w:r>
          </w:p>
        </w:tc>
        <w:tc>
          <w:tcPr>
            <w:tcW w:w="8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10"/>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09"/>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 Fee Offsets</w:t>
            </w:r>
          </w:p>
        </w:tc>
        <w:tc>
          <w:tcPr>
            <w:tcW w:w="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10"/>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Net Fee Due</w:t>
            </w:r>
          </w:p>
        </w:tc>
        <w:tc>
          <w:tcPr>
            <w:tcW w:w="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668"/>
        </w:trPr>
        <w:tc>
          <w:tcPr>
            <w:tcW w:w="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86" w:name="page87"/>
    <w:bookmarkEnd w:id="86"/>
    <w:p>
      <w:pPr>
        <w:jc w:val="both"/>
        <w:ind w:left="452" w:hanging="452"/>
        <w:spacing w:after="0" w:line="254" w:lineRule="auto"/>
        <w:tabs>
          <w:tab w:leader="none" w:pos="4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registered consists of up to $200,000,000 of an indeterminate amount of common stock, preferred stock, debt securities, warrants, units and/or subscription rights.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or preferred stock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88" w:lineRule="exact"/>
        <w:rPr>
          <w:rFonts w:ascii="Times New Roman" w:cs="Times New Roman" w:eastAsia="Times New Roman" w:hAnsi="Times New Roman"/>
          <w:sz w:val="18"/>
          <w:szCs w:val="18"/>
          <w:color w:val="auto"/>
        </w:rPr>
      </w:pPr>
    </w:p>
    <w:p>
      <w:pPr>
        <w:jc w:val="both"/>
        <w:ind w:left="452" w:right="20" w:hanging="452"/>
        <w:spacing w:after="0" w:line="266" w:lineRule="auto"/>
        <w:tabs>
          <w:tab w:leader="none" w:pos="4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75" w:lineRule="exact"/>
        <w:rPr>
          <w:rFonts w:ascii="Times New Roman" w:cs="Times New Roman" w:eastAsia="Times New Roman" w:hAnsi="Times New Roman"/>
          <w:sz w:val="18"/>
          <w:szCs w:val="18"/>
          <w:color w:val="auto"/>
        </w:rPr>
      </w:pPr>
    </w:p>
    <w:p>
      <w:pPr>
        <w:ind w:left="452" w:hanging="452"/>
        <w:spacing w:after="0" w:line="282" w:lineRule="auto"/>
        <w:tabs>
          <w:tab w:leader="none" w:pos="4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spacing w:after="0" w:line="161" w:lineRule="exact"/>
        <w:rPr>
          <w:rFonts w:ascii="Times New Roman" w:cs="Times New Roman" w:eastAsia="Times New Roman" w:hAnsi="Times New Roman"/>
          <w:sz w:val="18"/>
          <w:szCs w:val="18"/>
          <w:color w:val="auto"/>
        </w:rPr>
      </w:pPr>
    </w:p>
    <w:p>
      <w:pPr>
        <w:ind w:left="452" w:hanging="452"/>
        <w:spacing w:after="0" w:line="282" w:lineRule="auto"/>
        <w:tabs>
          <w:tab w:leader="none" w:pos="4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spacing w:after="0" w:line="161" w:lineRule="exact"/>
        <w:rPr>
          <w:rFonts w:ascii="Times New Roman" w:cs="Times New Roman" w:eastAsia="Times New Roman" w:hAnsi="Times New Roman"/>
          <w:sz w:val="18"/>
          <w:szCs w:val="18"/>
          <w:color w:val="auto"/>
        </w:rPr>
      </w:pPr>
    </w:p>
    <w:p>
      <w:pPr>
        <w:ind w:left="452" w:hanging="452"/>
        <w:spacing w:after="0" w:line="282" w:lineRule="auto"/>
        <w:tabs>
          <w:tab w:leader="none" w:pos="4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such indeterminate principal amount of debt securities as may be issued from time to time at indeterminate prices or upon exercise of warrants registered hereby, as the case may be.</w:t>
      </w:r>
    </w:p>
    <w:p>
      <w:pPr>
        <w:spacing w:after="0" w:line="161" w:lineRule="exact"/>
        <w:rPr>
          <w:rFonts w:ascii="Times New Roman" w:cs="Times New Roman" w:eastAsia="Times New Roman" w:hAnsi="Times New Roman"/>
          <w:sz w:val="18"/>
          <w:szCs w:val="18"/>
          <w:color w:val="auto"/>
        </w:rPr>
      </w:pPr>
    </w:p>
    <w:p>
      <w:pPr>
        <w:jc w:val="both"/>
        <w:ind w:left="452" w:hanging="452"/>
        <w:spacing w:after="0" w:line="266" w:lineRule="auto"/>
        <w:tabs>
          <w:tab w:leader="none" w:pos="4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w:t>
      </w:r>
    </w:p>
    <w:p>
      <w:pPr>
        <w:spacing w:after="0" w:line="175" w:lineRule="exact"/>
        <w:rPr>
          <w:rFonts w:ascii="Times New Roman" w:cs="Times New Roman" w:eastAsia="Times New Roman" w:hAnsi="Times New Roman"/>
          <w:sz w:val="18"/>
          <w:szCs w:val="18"/>
          <w:color w:val="auto"/>
        </w:rPr>
      </w:pPr>
    </w:p>
    <w:p>
      <w:pPr>
        <w:jc w:val="both"/>
        <w:ind w:left="452" w:hanging="452"/>
        <w:spacing w:after="0" w:line="266" w:lineRule="auto"/>
        <w:tabs>
          <w:tab w:leader="none" w:pos="4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p>
      <w:pPr>
        <w:spacing w:after="0" w:line="175" w:lineRule="exact"/>
        <w:rPr>
          <w:rFonts w:ascii="Times New Roman" w:cs="Times New Roman" w:eastAsia="Times New Roman" w:hAnsi="Times New Roman"/>
          <w:sz w:val="18"/>
          <w:szCs w:val="18"/>
          <w:color w:val="auto"/>
        </w:rPr>
      </w:pPr>
    </w:p>
    <w:p>
      <w:pPr>
        <w:jc w:val="both"/>
        <w:ind w:left="452" w:hanging="452"/>
        <w:spacing w:after="0" w:line="252" w:lineRule="auto"/>
        <w:tabs>
          <w:tab w:leader="none" w:pos="4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415(a)(6) under the Securities Act, the securities registered pursuant to this registration statement include $200,000,000 of unsold securities (the “Unsold Securities”) previously registered by the registrant pursuant to the registration statement on Form S-3 (File No. 333-265975) (the “Prior Registration Statement”), which was filed with the Securities and Exchange Commission (the “SEC”) on July 1, 2022 and declared effective by the SEC on July 13, 2022. The registrant previously paid a fee of $46,350 in connection with the filing of the Prior Registration Statement, of which $18,540 relates to the $200,000,000 Unsold Securities (based on the filing fee rate in effect at the time of the filing of the Prior Registration Statement). The previously paid filing fee relating to such Unsold Securities under the Prior Registration Statement will continue to be applied to such Unsold Securities registered on this registration statement and no additional filing fee is due with respect to the Unsold Securities in connection with the filing of this registration statement.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the Unsold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32"/>
      </w:cols>
      <w:pgMar w:left="328"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1)"/>
      <w:numFmt w:val="decimal"/>
      <w:start w:val="2"/>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1)"/>
      <w:numFmt w:val="lowerLetter"/>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374A3FE6"/>
    <w:multiLevelType w:val="hybridMultilevel"/>
    <w:lvl w:ilvl="0">
      <w:lvlJc w:val="left"/>
      <w:lvlText w:val="(%1)"/>
      <w:numFmt w:val="decimal"/>
      <w:start w:val="2"/>
    </w:lvl>
  </w:abstractNum>
  <w:abstractNum w:abstractNumId="35">
    <w:nsid w:val="4F4EF005"/>
    <w:multiLevelType w:val="hybridMultilevel"/>
    <w:lvl w:ilvl="0">
      <w:lvlJc w:val="left"/>
      <w:lvlText w:val="(%1)"/>
      <w:numFmt w:val="decimal"/>
      <w:start w:val="5"/>
    </w:lvl>
    <w:lvl w:ilvl="1">
      <w:lvlJc w:val="left"/>
      <w:lvlText w:val="(%2)"/>
      <w:numFmt w:val="lowerRoman"/>
      <w:start w:val="1"/>
    </w:lvl>
  </w:abstractNum>
  <w:abstractNum w:abstractNumId="36">
    <w:nsid w:val="23F9C13C"/>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7">
    <w:nsid w:val="649BB77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8">
    <w:nsid w:val="275AC794"/>
    <w:multiLevelType w:val="hybridMultilevel"/>
    <w:lvl w:ilvl="0">
      <w:lvlJc w:val="left"/>
      <w:lvlText w:val="(%1)"/>
      <w:numFmt w:val="lowerLetter"/>
      <w:start w:val="8"/>
    </w:lvl>
  </w:abstractNum>
  <w:abstractNum w:abstractNumId="39">
    <w:nsid w:val="39386575"/>
    <w:multiLevelType w:val="hybridMultilevel"/>
    <w:lvl w:ilvl="0">
      <w:lvlJc w:val="left"/>
      <w:lvlText w:val="(%1)"/>
      <w:numFmt w:val="lowerLetter"/>
      <w:start w:val="10"/>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Roman"/>
      <w:start w:val="2"/>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5"/>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Letter"/>
      <w:start w:val="1"/>
    </w:lvl>
    <w:lvl w:ilvl="1">
      <w:lvlJc w:val="left"/>
      <w:lvlText w:val="(%2)"/>
      <w:numFmt w:val="lowerRoman"/>
      <w:start w:val="1"/>
    </w:lvl>
  </w:abstractNum>
  <w:abstractNum w:abstractNumId="47">
    <w:nsid w:val="D34B6A8"/>
    <w:multiLevelType w:val="hybridMultilevel"/>
    <w:lvl w:ilvl="0">
      <w:lvlJc w:val="left"/>
      <w:lvlText w:val="(%1)"/>
      <w:numFmt w:val="lowerLetter"/>
      <w:start w:val="6"/>
    </w:lvl>
  </w:abstractNum>
  <w:abstractNum w:abstractNumId="48">
    <w:nsid w:val="10233C99"/>
    <w:multiLevelType w:val="hybridMultilevel"/>
    <w:lvl w:ilvl="0">
      <w:lvlJc w:val="left"/>
      <w:lvlText w:val="(%1)"/>
      <w:numFmt w:val="lowerLetter"/>
      <w:start w:val="5"/>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2"/>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1"/>
    </w:lvl>
    <w:lvl w:ilvl="1">
      <w:lvlJc w:val="left"/>
      <w:lvlText w:val="(%2)"/>
      <w:numFmt w:val="lowerRoman"/>
      <w:start w:val="1"/>
    </w:lvl>
  </w:abstractNum>
  <w:abstractNum w:abstractNumId="54">
    <w:nsid w:val="310C50B3"/>
    <w:multiLevelType w:val="hybridMultilevel"/>
    <w:lvl w:ilvl="0">
      <w:lvlJc w:val="left"/>
      <w:lvlText w:val="(%1)"/>
      <w:numFmt w:val="lowerLetter"/>
      <w:start w:val="6"/>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lowerLetter"/>
      <w:start w:val="11"/>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3"/>
    </w:lvl>
  </w:abstractNum>
  <w:abstractNum w:abstractNumId="59">
    <w:nsid w:val="4AD084E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0">
    <w:nsid w:val="1F48EAA1"/>
    <w:multiLevelType w:val="hybridMultilevel"/>
    <w:lvl w:ilvl="0">
      <w:lvlJc w:val="left"/>
      <w:lvlText w:val="(%1)"/>
      <w:numFmt w:val="lowerLetter"/>
      <w:start w:val="2"/>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2"/>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lowerLetter"/>
      <w:start w:val="2"/>
    </w:lvl>
  </w:abstractNum>
  <w:abstractNum w:abstractNumId="70">
    <w:nsid w:val="42C296BD"/>
    <w:multiLevelType w:val="hybridMultilevel"/>
    <w:lvl w:ilvl="0">
      <w:lvlJc w:val="left"/>
      <w:lvlText w:val="(%1)"/>
      <w:numFmt w:val="lowerRoman"/>
      <w:start w:val="4"/>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jpe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26" Type="http://schemas.openxmlformats.org/officeDocument/2006/relationships/hyperlink" Target="http://www.sec.gov/ix?doc=/Archives/edgar/data/1850119/000155837025003299/ipsc-20241231x10k.htm" TargetMode="External"/><Relationship Id="rId27" Type="http://schemas.openxmlformats.org/officeDocument/2006/relationships/hyperlink" Target="http://www.sec.gov/ix?doc=/Archives/edgar/data/1850119/000155837025007885/ipsc-20250331x10q.htm" TargetMode="External"/><Relationship Id="rId28" Type="http://schemas.openxmlformats.org/officeDocument/2006/relationships/hyperlink" Target="http://www.sec.gov/ix?doc=/Archives/edgar/data/1850119/000110465925037419/tm252479-4_def14a.htm" TargetMode="External"/><Relationship Id="rId29" Type="http://schemas.openxmlformats.org/officeDocument/2006/relationships/hyperlink" Target="http://www.sec.gov/ix?doc=/Archives/edgar/data/1850119/000110465925019145/tm257938d1_8k.htm" TargetMode="External"/><Relationship Id="rId30" Type="http://schemas.openxmlformats.org/officeDocument/2006/relationships/hyperlink" Target="http://www.sec.gov/ix?doc=/Archives/edgar/data/1850119/000110465925059950/tm2518111d1_8k.htm" TargetMode="External"/><Relationship Id="rId31" Type="http://schemas.openxmlformats.org/officeDocument/2006/relationships/hyperlink" Target="https://www.sec.gov/ix?doc=/Archives/edgar/data/1850119/000110465925066091/tm2519717d1_8k.htm" TargetMode="External"/><Relationship Id="rId32" Type="http://schemas.openxmlformats.org/officeDocument/2006/relationships/hyperlink" Target="http://www.sec.gov/Archives/edgar/data/1850119/000110465921080760/tm218551d12_8a12b.htm" TargetMode="External"/><Relationship Id="rId64" Type="http://schemas.openxmlformats.org/officeDocument/2006/relationships/hyperlink" Target="https://www.sec.gov/ix?doc=/Archives/edgar/data/1850119/000155837025003299/ipsc-20241231x10k.htm" TargetMode="External"/><Relationship Id="rId68" Type="http://schemas.openxmlformats.org/officeDocument/2006/relationships/hyperlink" Target="https://www.sec.gov/Archives/edgar/data/1850119/000110465921085744/tm2120666d1_ex3-1.htm" TargetMode="External"/><Relationship Id="rId69" Type="http://schemas.openxmlformats.org/officeDocument/2006/relationships/hyperlink" Target="https://www.sec.gov/Archives/edgar/data/1850119/000110465921085744/tm2120666d1_ex3-2.htm" TargetMode="External"/><Relationship Id="rId70" Type="http://schemas.openxmlformats.org/officeDocument/2006/relationships/hyperlink" Target="https://www.sec.gov/Archives/edgar/data/1850119/000110465921080429/tm218551d10_ex4-1.htm" TargetMode="External"/><Relationship Id="rId71" Type="http://schemas.openxmlformats.org/officeDocument/2006/relationships/hyperlink" Target="https://www.sec.gov/Archives/edgar/data/1850119/000110465921074278/tm218551d7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2025-07-10T15:57:19Z</dcterms:created>
  <dcterms:modified xsi:type="dcterms:W3CDTF">2025-07-10T15:57:19Z</dcterms:modified>
</cp:coreProperties>
</file>