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60"/>
        <w:spacing w:after="0"/>
        <w:rPr>
          <w:sz w:val="20"/>
          <w:szCs w:val="20"/>
          <w:color w:val="auto"/>
        </w:rPr>
      </w:pPr>
      <w:r>
        <w:rPr>
          <w:rFonts w:ascii="Arial" w:cs="Arial" w:eastAsia="Arial" w:hAnsi="Arial"/>
          <w:sz w:val="25"/>
          <w:szCs w:val="25"/>
          <w:color w:val="auto"/>
        </w:rPr>
        <w:t>UNITED STATES</w:t>
      </w:r>
    </w:p>
    <w:p>
      <w:pPr>
        <w:spacing w:after="0" w:line="145" w:lineRule="exact"/>
        <w:rPr>
          <w:sz w:val="24"/>
          <w:szCs w:val="24"/>
          <w:color w:val="auto"/>
        </w:rPr>
      </w:pPr>
    </w:p>
    <w:p>
      <w:pPr>
        <w:jc w:val="center"/>
        <w:ind w:right="-860"/>
        <w:spacing w:after="0"/>
        <w:rPr>
          <w:sz w:val="20"/>
          <w:szCs w:val="20"/>
          <w:color w:val="auto"/>
        </w:rPr>
      </w:pPr>
      <w:r>
        <w:rPr>
          <w:rFonts w:ascii="Arial" w:cs="Arial" w:eastAsia="Arial" w:hAnsi="Arial"/>
          <w:sz w:val="25"/>
          <w:szCs w:val="25"/>
          <w:color w:val="auto"/>
        </w:rPr>
        <w:t>SECURITIES AND EXCHANGE COMMISSION</w:t>
      </w:r>
    </w:p>
    <w:p>
      <w:pPr>
        <w:spacing w:after="0" w:line="148"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ind w:left="4420"/>
        <w:spacing w:after="0"/>
        <w:rPr>
          <w:sz w:val="20"/>
          <w:szCs w:val="20"/>
          <w:color w:val="auto"/>
        </w:rPr>
      </w:pPr>
      <w:r>
        <w:rPr>
          <w:rFonts w:ascii="Arial" w:cs="Arial" w:eastAsia="Arial" w:hAnsi="Arial"/>
          <w:sz w:val="25"/>
          <w:szCs w:val="25"/>
          <w:b w:val="1"/>
          <w:bCs w:val="1"/>
          <w:color w:val="auto"/>
        </w:rPr>
        <w:t>SCHEDULE 14A</w:t>
      </w:r>
    </w:p>
    <w:p>
      <w:pPr>
        <w:spacing w:after="0" w:line="150" w:lineRule="exact"/>
        <w:rPr>
          <w:sz w:val="24"/>
          <w:szCs w:val="24"/>
          <w:color w:val="auto"/>
        </w:rPr>
      </w:pPr>
    </w:p>
    <w:tbl>
      <w:tblPr>
        <w:tblLayout w:type="fixed"/>
        <w:tblInd w:w="1270" w:type="dxa"/>
        <w:tblCellMar>
          <w:top w:w="0" w:type="dxa"/>
          <w:left w:w="0" w:type="dxa"/>
          <w:bottom w:w="0" w:type="dxa"/>
          <w:right w:w="0" w:type="dxa"/>
        </w:tblCellMar>
      </w:tblPr>
      <w:tr>
        <w:trPr>
          <w:trHeight w:val="239"/>
        </w:trPr>
        <w:tc>
          <w:tcPr>
            <w:tcW w:w="7740" w:type="dxa"/>
            <w:vAlign w:val="bottom"/>
          </w:tcPr>
          <w:p>
            <w:pPr>
              <w:ind w:left="840"/>
              <w:spacing w:after="0"/>
              <w:rPr>
                <w:sz w:val="20"/>
                <w:szCs w:val="20"/>
                <w:color w:val="auto"/>
              </w:rPr>
            </w:pPr>
            <w:r>
              <w:rPr>
                <w:rFonts w:ascii="Arial" w:cs="Arial" w:eastAsia="Arial" w:hAnsi="Arial"/>
                <w:sz w:val="18"/>
                <w:szCs w:val="18"/>
                <w:color w:val="auto"/>
              </w:rPr>
              <w:t>Proxy Statement Pursuant to Section 14(a) of the Securities Exchange Act of 1934</w:t>
            </w:r>
          </w:p>
        </w:tc>
        <w:tc>
          <w:tcPr>
            <w:tcW w:w="480" w:type="dxa"/>
            <w:vAlign w:val="bottom"/>
          </w:tcPr>
          <w:p>
            <w:pPr>
              <w:spacing w:after="0"/>
              <w:rPr>
                <w:sz w:val="20"/>
                <w:szCs w:val="20"/>
                <w:color w:val="auto"/>
              </w:rPr>
            </w:pPr>
          </w:p>
        </w:tc>
      </w:tr>
      <w:tr>
        <w:trPr>
          <w:trHeight w:val="367"/>
        </w:trPr>
        <w:tc>
          <w:tcPr>
            <w:tcW w:w="77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w:t>
            </w:r>
          </w:p>
        </w:tc>
        <w:tc>
          <w:tcPr>
            <w:tcW w:w="480" w:type="dxa"/>
            <w:vAlign w:val="bottom"/>
          </w:tcPr>
          <w:p>
            <w:pPr>
              <w:spacing w:after="0"/>
              <w:rPr>
                <w:sz w:val="24"/>
                <w:szCs w:val="24"/>
                <w:color w:val="auto"/>
              </w:rPr>
            </w:pPr>
          </w:p>
        </w:tc>
      </w:tr>
      <w:tr>
        <w:trPr>
          <w:trHeight w:val="169"/>
        </w:trPr>
        <w:tc>
          <w:tcPr>
            <w:tcW w:w="77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r>
      <w:tr>
        <w:trPr>
          <w:trHeight w:val="304"/>
        </w:trPr>
        <w:tc>
          <w:tcPr>
            <w:tcW w:w="7740" w:type="dxa"/>
            <w:vAlign w:val="bottom"/>
            <w:tcBorders>
              <w:left w:val="single" w:sz="8" w:color="auto"/>
              <w:bottom w:val="single" w:sz="8" w:color="auto"/>
            </w:tcBorders>
          </w:tcPr>
          <w:p>
            <w:pPr>
              <w:ind w:left="20"/>
              <w:spacing w:after="0" w:line="304"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Check the appropriate box:</w:t>
            </w:r>
          </w:p>
        </w:tc>
        <w:tc>
          <w:tcPr>
            <w:tcW w:w="4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r>
      <w:tr>
        <w:trPr>
          <w:trHeight w:val="204"/>
        </w:trPr>
        <w:tc>
          <w:tcPr>
            <w:tcW w:w="7740" w:type="dxa"/>
            <w:vAlign w:val="bottom"/>
            <w:tcBorders>
              <w:left w:val="single" w:sz="8" w:color="auto"/>
            </w:tcBorders>
          </w:tcPr>
          <w:p>
            <w:pPr>
              <w:ind w:left="20"/>
              <w:spacing w:after="0" w:line="204"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23"/>
                <w:szCs w:val="23"/>
                <w:color w:val="auto"/>
                <w:vertAlign w:val="superscript"/>
              </w:rPr>
              <w:t>​ ​</w:t>
            </w:r>
            <w:r>
              <w:rPr>
                <w:rFonts w:ascii="Arial" w:cs="Arial" w:eastAsia="Arial" w:hAnsi="Arial"/>
                <w:sz w:val="14"/>
                <w:szCs w:val="14"/>
                <w:b w:val="1"/>
                <w:bCs w:val="1"/>
                <w:color w:val="auto"/>
              </w:rPr>
              <w:t xml:space="preserve"> Preliminary Proxy Statement</w:t>
            </w:r>
          </w:p>
        </w:tc>
        <w:tc>
          <w:tcPr>
            <w:tcW w:w="480" w:type="dxa"/>
            <w:vAlign w:val="bottom"/>
            <w:tcBorders>
              <w:right w:val="single" w:sz="8" w:color="auto"/>
            </w:tcBorders>
          </w:tcPr>
          <w:p>
            <w:pPr>
              <w:ind w:left="360"/>
              <w:spacing w:after="0" w:line="204" w:lineRule="exact"/>
              <w:rPr>
                <w:sz w:val="20"/>
                <w:szCs w:val="20"/>
                <w:color w:val="auto"/>
              </w:rPr>
            </w:pPr>
            <w:r>
              <w:rPr>
                <w:rFonts w:ascii="Arial" w:cs="Arial" w:eastAsia="Arial" w:hAnsi="Arial"/>
                <w:sz w:val="18"/>
                <w:szCs w:val="18"/>
                <w:color w:val="auto"/>
              </w:rPr>
              <w:t>​</w:t>
            </w:r>
          </w:p>
        </w:tc>
      </w:tr>
      <w:tr>
        <w:trPr>
          <w:trHeight w:val="257"/>
        </w:trPr>
        <w:tc>
          <w:tcPr>
            <w:tcW w:w="7740" w:type="dxa"/>
            <w:vAlign w:val="bottom"/>
            <w:tcBorders>
              <w:left w:val="single" w:sz="8" w:color="auto"/>
            </w:tcBorders>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Confidential, for Use of the Commission Only (as permitted by Rule 14a-6(e)(2))</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Borders>
              <w:left w:val="single" w:sz="8" w:color="auto"/>
            </w:tcBorders>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Definitive Proxy Statement</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Borders>
              <w:left w:val="single" w:sz="8" w:color="auto"/>
            </w:tcBorders>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b w:val="1"/>
                <w:bCs w:val="1"/>
                <w:color w:val="auto"/>
              </w:rPr>
              <w:t xml:space="preserve"> </w:t>
            </w:r>
            <w:r>
              <w:rPr>
                <w:rFonts w:ascii="MS PGothic" w:cs="MS PGothic" w:eastAsia="MS PGothic" w:hAnsi="MS PGothic"/>
                <w:sz w:val="16"/>
                <w:szCs w:val="16"/>
                <w:color w:val="auto"/>
              </w:rPr>
              <w:t>☐</w:t>
            </w:r>
            <w:r>
              <w:rPr>
                <w:rFonts w:ascii="Arial" w:cs="Arial" w:eastAsia="Arial" w:hAnsi="Arial"/>
                <w:sz w:val="29"/>
                <w:szCs w:val="29"/>
                <w:color w:val="auto"/>
                <w:vertAlign w:val="superscript"/>
              </w:rPr>
              <w:t>​ ​</w:t>
            </w:r>
            <w:r>
              <w:rPr>
                <w:rFonts w:ascii="Arial" w:cs="Arial" w:eastAsia="Arial" w:hAnsi="Arial"/>
                <w:sz w:val="16"/>
                <w:szCs w:val="16"/>
                <w:b w:val="1"/>
                <w:bCs w:val="1"/>
                <w:color w:val="auto"/>
              </w:rPr>
              <w:t xml:space="preserve"> Definitive Additional Materials</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397"/>
        </w:trPr>
        <w:tc>
          <w:tcPr>
            <w:tcW w:w="7740" w:type="dxa"/>
            <w:vAlign w:val="bottom"/>
            <w:tcBorders>
              <w:left w:val="single" w:sz="8" w:color="auto"/>
              <w:bottom w:val="single" w:sz="8" w:color="auto"/>
            </w:tcBorders>
          </w:tcPr>
          <w:p>
            <w:pPr>
              <w:ind w:left="20"/>
              <w:spacing w:after="0" w:line="396"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w:t>
            </w:r>
            <w:r>
              <w:rPr>
                <w:rFonts w:ascii="MS PGothic" w:cs="MS PGothic" w:eastAsia="MS PGothic" w:hAnsi="MS PGothic"/>
                <w:sz w:val="18"/>
                <w:szCs w:val="18"/>
                <w:color w:val="auto"/>
              </w:rPr>
              <w:t>☐</w:t>
            </w:r>
            <w:r>
              <w:rPr>
                <w:rFonts w:ascii="Arial" w:cs="Arial" w:eastAsia="Arial" w:hAnsi="Arial"/>
                <w:sz w:val="35"/>
                <w:szCs w:val="35"/>
                <w:b w:val="1"/>
                <w:bCs w:val="1"/>
                <w:color w:val="auto"/>
                <w:vertAlign w:val="superscript"/>
              </w:rPr>
              <w:t>​ ​</w:t>
            </w:r>
            <w:r>
              <w:rPr>
                <w:rFonts w:ascii="Arial" w:cs="Arial" w:eastAsia="Arial" w:hAnsi="Arial"/>
                <w:sz w:val="18"/>
                <w:szCs w:val="18"/>
                <w:b w:val="1"/>
                <w:bCs w:val="1"/>
                <w:color w:val="auto"/>
              </w:rPr>
              <w:t xml:space="preserve"> Soliciting Material under §240.14a-12</w:t>
            </w:r>
          </w:p>
        </w:tc>
        <w:tc>
          <w:tcPr>
            <w:tcW w:w="4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2171700</wp:posOffset>
            </wp:positionH>
            <wp:positionV relativeFrom="paragraph">
              <wp:posOffset>154305</wp:posOffset>
            </wp:positionV>
            <wp:extent cx="2468880"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440"/>
        <w:spacing w:after="0"/>
        <w:rPr>
          <w:sz w:val="20"/>
          <w:szCs w:val="20"/>
          <w:color w:val="auto"/>
        </w:rPr>
      </w:pPr>
      <w:r>
        <w:rPr>
          <w:rFonts w:ascii="Arial" w:cs="Arial" w:eastAsia="Arial" w:hAnsi="Arial"/>
          <w:sz w:val="25"/>
          <w:szCs w:val="25"/>
          <w:b w:val="1"/>
          <w:bCs w:val="1"/>
          <w:color w:val="auto"/>
        </w:rPr>
        <w:t>CENTURY THERAPEUTICS, INC.</w:t>
      </w:r>
    </w:p>
    <w:p>
      <w:pPr>
        <w:spacing w:after="0" w:line="60"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(Name of Registrant as Specified In Its Charter)</w:t>
      </w:r>
    </w:p>
    <w:p>
      <w:pPr>
        <w:spacing w:after="0" w:line="178" w:lineRule="exact"/>
        <w:rPr>
          <w:sz w:val="24"/>
          <w:szCs w:val="24"/>
          <w:color w:val="auto"/>
        </w:rPr>
      </w:pPr>
    </w:p>
    <w:tbl>
      <w:tblPr>
        <w:tblLayout w:type="fixed"/>
        <w:tblInd w:w="1270" w:type="dxa"/>
        <w:tblCellMar>
          <w:top w:w="0" w:type="dxa"/>
          <w:left w:w="0" w:type="dxa"/>
          <w:bottom w:w="0" w:type="dxa"/>
          <w:right w:w="0" w:type="dxa"/>
        </w:tblCellMar>
      </w:tblPr>
      <w:tr>
        <w:trPr>
          <w:trHeight w:val="325"/>
        </w:trPr>
        <w:tc>
          <w:tcPr>
            <w:tcW w:w="7720" w:type="dxa"/>
            <w:vAlign w:val="bottom"/>
            <w:tcBorders>
              <w:top w:val="single" w:sz="8" w:color="auto"/>
              <w:left w:val="single" w:sz="8" w:color="auto"/>
              <w:bottom w:val="single" w:sz="8" w:color="auto"/>
            </w:tcBorders>
          </w:tcPr>
          <w:p>
            <w:pPr>
              <w:ind w:left="20"/>
              <w:spacing w:after="0" w:line="32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Payment of Filing Fee (Check all boxes that apply):</w:t>
            </w:r>
          </w:p>
        </w:tc>
        <w:tc>
          <w:tcPr>
            <w:tcW w:w="50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w:t>
            </w:r>
          </w:p>
        </w:tc>
      </w:tr>
      <w:tr>
        <w:trPr>
          <w:trHeight w:val="204"/>
        </w:trPr>
        <w:tc>
          <w:tcPr>
            <w:tcW w:w="7720" w:type="dxa"/>
            <w:vAlign w:val="bottom"/>
            <w:tcBorders>
              <w:left w:val="single" w:sz="8" w:color="auto"/>
            </w:tcBorders>
          </w:tcPr>
          <w:p>
            <w:pPr>
              <w:ind w:left="20"/>
              <w:spacing w:after="0" w:line="204"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23"/>
                <w:szCs w:val="23"/>
                <w:color w:val="auto"/>
                <w:vertAlign w:val="superscript"/>
              </w:rPr>
              <w:t>​ ​</w:t>
            </w:r>
            <w:r>
              <w:rPr>
                <w:rFonts w:ascii="Arial" w:cs="Arial" w:eastAsia="Arial" w:hAnsi="Arial"/>
                <w:sz w:val="14"/>
                <w:szCs w:val="14"/>
                <w:b w:val="1"/>
                <w:bCs w:val="1"/>
                <w:color w:val="auto"/>
              </w:rPr>
              <w:t xml:space="preserve"> No fee required</w:t>
            </w:r>
          </w:p>
        </w:tc>
        <w:tc>
          <w:tcPr>
            <w:tcW w:w="500" w:type="dxa"/>
            <w:vAlign w:val="bottom"/>
            <w:tcBorders>
              <w:right w:val="single" w:sz="8" w:color="auto"/>
            </w:tcBorders>
          </w:tcPr>
          <w:p>
            <w:pPr>
              <w:ind w:left="380"/>
              <w:spacing w:after="0" w:line="204" w:lineRule="exact"/>
              <w:rPr>
                <w:sz w:val="20"/>
                <w:szCs w:val="20"/>
                <w:color w:val="auto"/>
              </w:rPr>
            </w:pPr>
            <w:r>
              <w:rPr>
                <w:rFonts w:ascii="Arial" w:cs="Arial" w:eastAsia="Arial" w:hAnsi="Arial"/>
                <w:sz w:val="18"/>
                <w:szCs w:val="18"/>
                <w:color w:val="auto"/>
              </w:rPr>
              <w:t>​</w:t>
            </w:r>
          </w:p>
        </w:tc>
      </w:tr>
      <w:tr>
        <w:trPr>
          <w:trHeight w:val="269"/>
        </w:trPr>
        <w:tc>
          <w:tcPr>
            <w:tcW w:w="7720" w:type="dxa"/>
            <w:vAlign w:val="bottom"/>
            <w:tcBorders>
              <w:left w:val="single" w:sz="8" w:color="auto"/>
            </w:tcBorders>
          </w:tcPr>
          <w:p>
            <w:pPr>
              <w:ind w:left="2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b w:val="1"/>
                <w:bCs w:val="1"/>
                <w:color w:val="auto"/>
              </w:rPr>
              <w:t xml:space="preserve"> </w:t>
            </w:r>
            <w:r>
              <w:rPr>
                <w:rFonts w:ascii="MS PGothic" w:cs="MS PGothic" w:eastAsia="MS PGothic" w:hAnsi="MS PGothic"/>
                <w:sz w:val="17"/>
                <w:szCs w:val="17"/>
                <w:color w:val="auto"/>
              </w:rPr>
              <w:t>☐</w:t>
            </w:r>
            <w:r>
              <w:rPr>
                <w:rFonts w:ascii="Arial" w:cs="Arial" w:eastAsia="Arial" w:hAnsi="Arial"/>
                <w:sz w:val="31"/>
                <w:szCs w:val="31"/>
                <w:color w:val="auto"/>
                <w:vertAlign w:val="superscript"/>
              </w:rPr>
              <w:t>​ ​</w:t>
            </w:r>
            <w:r>
              <w:rPr>
                <w:rFonts w:ascii="Arial" w:cs="Arial" w:eastAsia="Arial" w:hAnsi="Arial"/>
                <w:sz w:val="17"/>
                <w:szCs w:val="17"/>
                <w:b w:val="1"/>
                <w:bCs w:val="1"/>
                <w:color w:val="auto"/>
              </w:rPr>
              <w:t xml:space="preserve"> Fee paid previously with preliminary materials</w:t>
            </w:r>
          </w:p>
        </w:tc>
        <w:tc>
          <w:tcPr>
            <w:tcW w:w="5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w:t>
            </w:r>
          </w:p>
        </w:tc>
      </w:tr>
      <w:tr>
        <w:trPr>
          <w:trHeight w:val="244"/>
        </w:trPr>
        <w:tc>
          <w:tcPr>
            <w:tcW w:w="7720" w:type="dxa"/>
            <w:vAlign w:val="bottom"/>
            <w:tcBorders>
              <w:left w:val="single" w:sz="8" w:color="auto"/>
            </w:tcBorders>
          </w:tcPr>
          <w:p>
            <w:pPr>
              <w:ind w:left="2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 </w:t>
            </w:r>
            <w:r>
              <w:rPr>
                <w:rFonts w:ascii="Arial" w:cs="Arial" w:eastAsia="Arial" w:hAnsi="Arial"/>
                <w:sz w:val="18"/>
                <w:szCs w:val="18"/>
                <w:b w:val="1"/>
                <w:bCs w:val="1"/>
                <w:color w:val="auto"/>
              </w:rPr>
              <w:t>Fee computed on table in exhibit required by Item 25(b) per Exchange Act Rules</w:t>
            </w:r>
          </w:p>
        </w:tc>
        <w:tc>
          <w:tcPr>
            <w:tcW w:w="50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w:t>
            </w:r>
          </w:p>
        </w:tc>
      </w:tr>
      <w:tr>
        <w:trPr>
          <w:trHeight w:val="247"/>
        </w:trPr>
        <w:tc>
          <w:tcPr>
            <w:tcW w:w="7720" w:type="dxa"/>
            <w:vAlign w:val="bottom"/>
            <w:tcBorders>
              <w:left w:val="single" w:sz="8" w:color="auto"/>
            </w:tcBorders>
          </w:tcPr>
          <w:p>
            <w:pPr>
              <w:ind w:left="520"/>
              <w:spacing w:after="0"/>
              <w:rPr>
                <w:sz w:val="20"/>
                <w:szCs w:val="20"/>
                <w:color w:val="auto"/>
              </w:rPr>
            </w:pPr>
            <w:r>
              <w:rPr>
                <w:rFonts w:ascii="Arial" w:cs="Arial" w:eastAsia="Arial" w:hAnsi="Arial"/>
                <w:sz w:val="18"/>
                <w:szCs w:val="18"/>
                <w:b w:val="1"/>
                <w:bCs w:val="1"/>
                <w:color w:val="auto"/>
              </w:rPr>
              <w:t>14a-6(i)(1) and 0-11</w:t>
            </w:r>
          </w:p>
        </w:tc>
        <w:tc>
          <w:tcPr>
            <w:tcW w:w="500" w:type="dxa"/>
            <w:vAlign w:val="bottom"/>
            <w:tcBorders>
              <w:right w:val="single" w:sz="8" w:color="auto"/>
            </w:tcBorders>
          </w:tcPr>
          <w:p>
            <w:pPr>
              <w:spacing w:after="0"/>
              <w:rPr>
                <w:sz w:val="21"/>
                <w:szCs w:val="21"/>
                <w:color w:val="auto"/>
              </w:rPr>
            </w:pPr>
          </w:p>
        </w:tc>
      </w:tr>
      <w:tr>
        <w:trPr>
          <w:trHeight w:val="123"/>
        </w:trPr>
        <w:tc>
          <w:tcPr>
            <w:tcW w:w="7720" w:type="dxa"/>
            <w:vAlign w:val="bottom"/>
            <w:tcBorders>
              <w:left w:val="single" w:sz="8" w:color="auto"/>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3004820</wp:posOffset>
            </wp:positionV>
            <wp:extent cx="68319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1015365</wp:posOffset>
            </wp:positionV>
            <wp:extent cx="2468880" cy="711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3675 Market Street</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Philadelphia, Pennsylvania 19104</w:t>
      </w:r>
    </w:p>
    <w:p>
      <w:pPr>
        <w:spacing w:after="0" w:line="20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2022 ANNUAL MEETING OF STOCKHOLDERS</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To be Held on June 9, 2022</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April 21, 2022</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jc w:val="both"/>
        <w:ind w:left="880" w:right="20"/>
        <w:spacing w:after="0" w:line="256" w:lineRule="auto"/>
        <w:rPr>
          <w:sz w:val="20"/>
          <w:szCs w:val="20"/>
          <w:color w:val="auto"/>
        </w:rPr>
      </w:pPr>
      <w:r>
        <w:rPr>
          <w:rFonts w:ascii="Arial" w:cs="Arial" w:eastAsia="Arial" w:hAnsi="Arial"/>
          <w:sz w:val="18"/>
          <w:szCs w:val="18"/>
          <w:color w:val="auto"/>
        </w:rPr>
        <w:t>We are pleased to invite you to attend the 2022 Annual Meeting of Stockholders of Century Therapeutics, Inc., or the Annual Meeting, which will be held at 9:00 a.m., Eastern Time, on Thursday, June 9, 2022. The Annual Meeting will be held in virtual meeting format only. You will not be able to attend the Annual Meeting physically. We believe that the virtual meeting format enables stockholders to attend and participate from any location around the world at no cost, provides for cost savings to Century Therapeutics, Inc. and reduces the environmental impact of our Annual Meeting. The Annual Meeting can be accessed via the Internet at https://web.lumiagm.com/265375813.</w:t>
      </w:r>
    </w:p>
    <w:p>
      <w:pPr>
        <w:spacing w:after="0" w:line="102" w:lineRule="exact"/>
        <w:rPr>
          <w:sz w:val="20"/>
          <w:szCs w:val="20"/>
          <w:color w:val="auto"/>
        </w:rPr>
      </w:pPr>
    </w:p>
    <w:p>
      <w:pPr>
        <w:jc w:val="both"/>
        <w:ind w:left="880" w:right="20"/>
        <w:spacing w:after="0" w:line="257" w:lineRule="auto"/>
        <w:rPr>
          <w:sz w:val="20"/>
          <w:szCs w:val="20"/>
          <w:color w:val="auto"/>
        </w:rPr>
      </w:pPr>
      <w:r>
        <w:rPr>
          <w:rFonts w:ascii="Arial" w:cs="Arial" w:eastAsia="Arial" w:hAnsi="Arial"/>
          <w:sz w:val="18"/>
          <w:szCs w:val="18"/>
          <w:color w:val="auto"/>
        </w:rPr>
        <w:t>Details regarding the business to be conducted at the Annual Meeting are more fully described in the accompanying Notice of 2022 Annual Meeting of Stockholders, or the Notice, and 2022 Annual Meeting Proxy Statement, or the Proxy Statement. Other than the proposals described in the Proxy Statement, our Board of Directors is not aware of any other matters to be presented for a vote at the Annual Meeting. We are pleased to take advantage of the Securities and Exchange Commission, or SEC, rules that allow companies to furnish their proxy materials over the Internet.</w:t>
      </w:r>
    </w:p>
    <w:p>
      <w:pPr>
        <w:spacing w:after="0" w:line="115" w:lineRule="exact"/>
        <w:rPr>
          <w:sz w:val="20"/>
          <w:szCs w:val="20"/>
          <w:color w:val="auto"/>
        </w:rPr>
      </w:pPr>
    </w:p>
    <w:p>
      <w:pPr>
        <w:jc w:val="both"/>
        <w:ind w:left="880" w:right="40"/>
        <w:spacing w:after="0" w:line="268" w:lineRule="auto"/>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 Whether or not you plan to virtually attend the Annual Meeting, we encourage you to</w:t>
      </w:r>
      <w:r>
        <w:rPr>
          <w:rFonts w:ascii="Arial" w:cs="Arial" w:eastAsia="Arial" w:hAnsi="Arial"/>
          <w:sz w:val="18"/>
          <w:szCs w:val="18"/>
          <w:b w:val="1"/>
          <w:bCs w:val="1"/>
          <w:color w:val="auto"/>
        </w:rPr>
        <w:t xml:space="preserve"> </w:t>
      </w:r>
      <w:r>
        <w:rPr>
          <w:rFonts w:ascii="Arial" w:cs="Arial" w:eastAsia="Arial" w:hAnsi="Arial"/>
          <w:sz w:val="18"/>
          <w:szCs w:val="18"/>
          <w:color w:val="auto"/>
        </w:rPr>
        <w:t>vote as soon as possible to ensure that your shares are represented. Information about voting methods is set forth in the accompanying Notice and Proxy Statement.</w:t>
      </w:r>
    </w:p>
    <w:p>
      <w:pPr>
        <w:spacing w:after="0" w:line="103" w:lineRule="exact"/>
        <w:rPr>
          <w:sz w:val="20"/>
          <w:szCs w:val="20"/>
          <w:color w:val="auto"/>
        </w:rPr>
      </w:pPr>
    </w:p>
    <w:p>
      <w:pPr>
        <w:jc w:val="both"/>
        <w:ind w:left="880" w:right="40"/>
        <w:spacing w:after="0" w:line="287" w:lineRule="auto"/>
        <w:rPr>
          <w:sz w:val="20"/>
          <w:szCs w:val="20"/>
          <w:color w:val="auto"/>
        </w:rPr>
      </w:pPr>
      <w:r>
        <w:rPr>
          <w:rFonts w:ascii="Arial" w:cs="Arial" w:eastAsia="Arial" w:hAnsi="Arial"/>
          <w:sz w:val="18"/>
          <w:szCs w:val="18"/>
          <w:color w:val="auto"/>
        </w:rPr>
        <w:t>If you have any questions with respect to voting, please call our Chief Business Officer, Michael Diem, at (267) 817-5790.</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9880"/>
          </w:cols>
          <w:pgMar w:left="580" w:top="97" w:right="1439" w:bottom="1440" w:gutter="0" w:footer="0" w:header="0"/>
        </w:sectPr>
      </w:pPr>
    </w:p>
    <w:p>
      <w:pPr>
        <w:spacing w:after="0" w:line="1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/s/ Joseph Jimenez</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Joseph Jimenez</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Chairman of the Board of Directors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 /s/ Osvaldo Flores, Ph.D.</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Osvaldo Flores, Ph.D.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8" w:lineRule="exact"/>
        <w:rPr>
          <w:sz w:val="20"/>
          <w:szCs w:val="20"/>
          <w:color w:val="auto"/>
        </w:rPr>
      </w:pPr>
    </w:p>
    <w:p>
      <w:pPr>
        <w:sectPr>
          <w:pgSz w:w="11900" w:h="16838" w:orient="portrait"/>
          <w:cols w:equalWidth="0" w:num="3">
            <w:col w:w="4520" w:space="720"/>
            <w:col w:w="3880" w:space="720"/>
            <w:col w:w="40"/>
          </w:cols>
          <w:pgMar w:left="580" w:top="97" w:right="1439" w:bottom="1440" w:gutter="0" w:footer="0" w:header="0"/>
          <w:type w:val="continuous"/>
        </w:sectPr>
      </w:pPr>
    </w:p>
    <w:p>
      <w:pPr>
        <w:spacing w:after="0" w:line="32" w:lineRule="exact"/>
        <w:rPr>
          <w:sz w:val="20"/>
          <w:szCs w:val="20"/>
          <w:color w:val="auto"/>
        </w:rPr>
      </w:pPr>
    </w:p>
    <w:p>
      <w:pPr>
        <w:ind w:left="2620" w:right="1780" w:firstLine="29"/>
        <w:spacing w:after="0" w:line="328" w:lineRule="auto"/>
        <w:rPr>
          <w:sz w:val="20"/>
          <w:szCs w:val="20"/>
          <w:color w:val="auto"/>
        </w:rPr>
      </w:pPr>
      <w:r>
        <w:rPr>
          <w:rFonts w:ascii="Arial" w:cs="Arial" w:eastAsia="Arial" w:hAnsi="Arial"/>
          <w:sz w:val="17"/>
          <w:szCs w:val="17"/>
          <w:b w:val="1"/>
          <w:bCs w:val="1"/>
          <w:color w:val="auto"/>
        </w:rPr>
        <w:t>THIS PROXY STATEMENT AND ENCLOSED PROXY CARD ARE FIRST BEING MADE AVAILABLE ON OR ABOUT APRIL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1708785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1015365</wp:posOffset>
            </wp:positionV>
            <wp:extent cx="2468880" cy="711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88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NOTICE OF 2022 ANNUAL MEETING OF STOCKHOLDERS</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To be Held on June 9, 2022</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Dear Stockholders:</w:t>
      </w:r>
    </w:p>
    <w:p>
      <w:pPr>
        <w:spacing w:after="0" w:line="144" w:lineRule="exact"/>
        <w:rPr>
          <w:sz w:val="20"/>
          <w:szCs w:val="20"/>
          <w:color w:val="auto"/>
        </w:rPr>
      </w:pPr>
    </w:p>
    <w:p>
      <w:pPr>
        <w:jc w:val="both"/>
        <w:ind w:left="880" w:right="40"/>
        <w:spacing w:after="0" w:line="261"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2022 Annual Meeting of Stockholders of Century Therapeutics, Inc., or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will be held on Thursday, June 9, 2022, at 9:00 a.m. Eastern Time. The Annual Meeting will be held in a virtual meeting format only. We are holding the meeting for the purpose of considering and acting upon:</w:t>
      </w:r>
    </w:p>
    <w:p>
      <w:pPr>
        <w:spacing w:after="0" w:line="67" w:lineRule="exact"/>
        <w:rPr>
          <w:sz w:val="20"/>
          <w:szCs w:val="20"/>
          <w:color w:val="auto"/>
        </w:rPr>
      </w:pPr>
    </w:p>
    <w:p>
      <w:pPr>
        <w:ind w:left="1600" w:right="60" w:hanging="370"/>
        <w:spacing w:after="0" w:line="287"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election of the three director nominees that are set forth in the attached 2022 Annual Meeting Proxy Statement, or the Proxy Statement, to serve as Class I directors, whose term will expire in 2025;</w:t>
      </w:r>
    </w:p>
    <w:p>
      <w:pPr>
        <w:spacing w:after="0" w:line="58" w:lineRule="exact"/>
        <w:rPr>
          <w:rFonts w:ascii="Arial" w:cs="Arial" w:eastAsia="Arial" w:hAnsi="Arial"/>
          <w:sz w:val="18"/>
          <w:szCs w:val="18"/>
          <w:color w:val="auto"/>
        </w:rPr>
      </w:pPr>
    </w:p>
    <w:p>
      <w:pPr>
        <w:ind w:left="1600" w:right="60" w:hanging="370"/>
        <w:spacing w:after="0" w:line="287"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or EY, as our independent registered public accounting firm for the 2022 fiscal year; and</w:t>
      </w:r>
    </w:p>
    <w:p>
      <w:pPr>
        <w:spacing w:after="0" w:line="58" w:lineRule="exact"/>
        <w:rPr>
          <w:rFonts w:ascii="Arial" w:cs="Arial" w:eastAsia="Arial" w:hAnsi="Arial"/>
          <w:sz w:val="18"/>
          <w:szCs w:val="18"/>
          <w:color w:val="auto"/>
        </w:rPr>
      </w:pPr>
    </w:p>
    <w:p>
      <w:pPr>
        <w:ind w:left="1600" w:right="60" w:hanging="370"/>
        <w:spacing w:after="0" w:line="287" w:lineRule="auto"/>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other matters that may properly be brought before the Annual Meeting or any adjournment or postponement thereof.</w:t>
      </w:r>
    </w:p>
    <w:p>
      <w:pPr>
        <w:spacing w:after="0" w:line="72" w:lineRule="exact"/>
        <w:rPr>
          <w:sz w:val="20"/>
          <w:szCs w:val="20"/>
          <w:color w:val="auto"/>
        </w:rPr>
      </w:pPr>
    </w:p>
    <w:p>
      <w:pPr>
        <w:ind w:left="880" w:right="40"/>
        <w:spacing w:after="0" w:line="287"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of 2022 Annual Meeting of Stockholders, or the Notice.</w:t>
      </w:r>
    </w:p>
    <w:p>
      <w:pPr>
        <w:sectPr>
          <w:pgSz w:w="11900" w:h="16838" w:orient="portrait"/>
          <w:cols w:equalWidth="0" w:num="1">
            <w:col w:w="9900"/>
          </w:cols>
          <w:pgMar w:left="580" w:top="97" w:right="1419" w:bottom="1440" w:gutter="0" w:footer="0" w:header="0"/>
        </w:sectPr>
      </w:pPr>
    </w:p>
    <w:p>
      <w:pPr>
        <w:spacing w:after="0" w:line="139"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MEETING INFORMATION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p>
    <w:p>
      <w:pPr>
        <w:ind w:left="880"/>
        <w:spacing w:after="0" w:line="184"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b w:val="1"/>
          <w:bCs w:val="1"/>
          <w:color w:val="auto"/>
        </w:rPr>
        <w:t>Time:</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Website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10" w:hanging="110"/>
        <w:spacing w:after="0"/>
        <w:tabs>
          <w:tab w:leader="none" w:pos="110" w:val="left"/>
        </w:tabs>
        <w:numPr>
          <w:ilvl w:val="0"/>
          <w:numId w:val="2"/>
        </w:numPr>
        <w:rPr>
          <w:rFonts w:ascii="Arial" w:cs="Arial" w:eastAsia="Arial" w:hAnsi="Arial"/>
          <w:sz w:val="18"/>
          <w:szCs w:val="18"/>
          <w:color w:val="auto"/>
        </w:rPr>
      </w:pPr>
      <w:r>
        <w:rPr>
          <w:rFonts w:ascii="Arial" w:cs="Arial" w:eastAsia="Arial" w:hAnsi="Arial"/>
          <w:sz w:val="18"/>
          <w:szCs w:val="18"/>
          <w:color w:val="auto"/>
        </w:rPr>
        <w:t>​ June 9, 2022</w:t>
      </w:r>
    </w:p>
    <w:p>
      <w:pPr>
        <w:spacing w:after="0" w:line="31" w:lineRule="exact"/>
        <w:rPr>
          <w:rFonts w:ascii="Arial" w:cs="Arial" w:eastAsia="Arial" w:hAnsi="Arial"/>
          <w:sz w:val="18"/>
          <w:szCs w:val="18"/>
          <w:color w:val="auto"/>
        </w:rPr>
      </w:pPr>
    </w:p>
    <w:p>
      <w:pPr>
        <w:ind w:left="110" w:hanging="110"/>
        <w:spacing w:after="0" w:line="181" w:lineRule="auto"/>
        <w:tabs>
          <w:tab w:leader="none" w:pos="110" w:val="left"/>
        </w:tabs>
        <w:numPr>
          <w:ilvl w:val="0"/>
          <w:numId w:val="2"/>
        </w:numPr>
        <w:rPr>
          <w:rFonts w:ascii="Arial" w:cs="Arial" w:eastAsia="Arial" w:hAnsi="Arial"/>
          <w:sz w:val="32"/>
          <w:szCs w:val="32"/>
          <w:color w:val="auto"/>
          <w:vertAlign w:val="superscript"/>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9:00 a.m., Eastern Time</w:t>
      </w:r>
    </w:p>
    <w:p>
      <w:pPr>
        <w:spacing w:after="0" w:line="1" w:lineRule="exact"/>
        <w:rPr>
          <w:rFonts w:ascii="Arial" w:cs="Arial" w:eastAsia="Arial" w:hAnsi="Arial"/>
          <w:sz w:val="32"/>
          <w:szCs w:val="32"/>
          <w:color w:val="auto"/>
          <w:vertAlign w:val="superscript"/>
        </w:rPr>
      </w:pPr>
    </w:p>
    <w:p>
      <w:pPr>
        <w:ind w:left="210" w:hanging="210"/>
        <w:spacing w:after="0" w:line="252" w:lineRule="auto"/>
        <w:tabs>
          <w:tab w:leader="none" w:pos="102" w:val="left"/>
        </w:tabs>
        <w:numPr>
          <w:ilvl w:val="0"/>
          <w:numId w:val="2"/>
        </w:numPr>
        <w:rPr>
          <w:rFonts w:ascii="Arial" w:cs="Arial" w:eastAsia="Arial" w:hAnsi="Arial"/>
          <w:sz w:val="18"/>
          <w:szCs w:val="18"/>
          <w:color w:val="auto"/>
        </w:rPr>
      </w:pPr>
      <w:r>
        <w:rPr>
          <w:rFonts w:ascii="Arial" w:cs="Arial" w:eastAsia="Arial" w:hAnsi="Arial"/>
          <w:sz w:val="18"/>
          <w:szCs w:val="18"/>
          <w:color w:val="auto"/>
        </w:rPr>
        <w:t>​ The meeting can be accessed by visiting https://web.lumiagm.com/265375813, where you will be able to listen to the meeting live, submit questions and vote online. There will be no physical location for stockholders to attend.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91" w:lineRule="exact"/>
        <w:rPr>
          <w:sz w:val="20"/>
          <w:szCs w:val="20"/>
          <w:color w:val="auto"/>
        </w:rPr>
      </w:pPr>
    </w:p>
    <w:p>
      <w:pPr>
        <w:sectPr>
          <w:pgSz w:w="11900" w:h="16838" w:orient="portrait"/>
          <w:cols w:equalWidth="0" w:num="3">
            <w:col w:w="2980" w:space="50"/>
            <w:col w:w="6470" w:space="340"/>
            <w:col w:w="60"/>
          </w:cols>
          <w:pgMar w:left="580" w:top="97" w:right="1419" w:bottom="1440" w:gutter="0" w:footer="0" w:header="0"/>
          <w:type w:val="continuous"/>
        </w:sectPr>
      </w:pPr>
    </w:p>
    <w:tbl>
      <w:tblPr>
        <w:tblLayout w:type="fixed"/>
        <w:tblInd w:w="880" w:type="dxa"/>
        <w:tblCellMar>
          <w:top w:w="0" w:type="dxa"/>
          <w:left w:w="0" w:type="dxa"/>
          <w:bottom w:w="0" w:type="dxa"/>
          <w:right w:w="0" w:type="dxa"/>
        </w:tblCellMar>
      </w:tblPr>
      <w:tr>
        <w:trPr>
          <w:trHeight w:val="172"/>
        </w:trPr>
        <w:tc>
          <w:tcPr>
            <w:tcW w:w="1620" w:type="dxa"/>
            <w:vAlign w:val="bottom"/>
          </w:tcPr>
          <w:p>
            <w:pPr>
              <w:spacing w:after="0" w:line="172" w:lineRule="exact"/>
              <w:rPr>
                <w:sz w:val="20"/>
                <w:szCs w:val="20"/>
                <w:color w:val="auto"/>
              </w:rPr>
            </w:pPr>
            <w:r>
              <w:rPr>
                <w:rFonts w:ascii="Arial" w:cs="Arial" w:eastAsia="Arial" w:hAnsi="Arial"/>
                <w:sz w:val="18"/>
                <w:szCs w:val="18"/>
                <w:color w:val="auto"/>
              </w:rPr>
              <w:t>​</w:t>
            </w:r>
          </w:p>
        </w:tc>
        <w:tc>
          <w:tcPr>
            <w:tcW w:w="720" w:type="dxa"/>
            <w:vAlign w:val="bottom"/>
          </w:tcPr>
          <w:p>
            <w:pPr>
              <w:ind w:left="540"/>
              <w:spacing w:after="0" w:line="172" w:lineRule="exact"/>
              <w:rPr>
                <w:sz w:val="20"/>
                <w:szCs w:val="20"/>
                <w:color w:val="auto"/>
              </w:rPr>
            </w:pPr>
            <w:r>
              <w:rPr>
                <w:rFonts w:ascii="Arial" w:cs="Arial" w:eastAsia="Arial" w:hAnsi="Arial"/>
                <w:sz w:val="18"/>
                <w:szCs w:val="18"/>
                <w:color w:val="auto"/>
              </w:rPr>
              <w:t>​ ​</w:t>
            </w:r>
          </w:p>
        </w:tc>
        <w:tc>
          <w:tcPr>
            <w:tcW w:w="5300" w:type="dxa"/>
            <w:vAlign w:val="bottom"/>
            <w:vMerge w:val="restart"/>
          </w:tcPr>
          <w:p>
            <w:pPr>
              <w:ind w:left="20"/>
              <w:spacing w:after="0"/>
              <w:rPr>
                <w:sz w:val="20"/>
                <w:szCs w:val="20"/>
                <w:color w:val="auto"/>
              </w:rPr>
            </w:pPr>
            <w:r>
              <w:rPr>
                <w:rFonts w:ascii="Arial" w:cs="Arial" w:eastAsia="Arial" w:hAnsi="Arial"/>
                <w:sz w:val="18"/>
                <w:szCs w:val="18"/>
                <w:color w:val="auto"/>
                <w:w w:val="98"/>
              </w:rPr>
              <w:t>You can vote if you were a stockholder of record on April 18, 2022.</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7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94" w:lineRule="exact"/>
        <w:rPr>
          <w:sz w:val="20"/>
          <w:szCs w:val="20"/>
          <w:color w:val="auto"/>
        </w:rPr>
      </w:pPr>
    </w:p>
    <w:p>
      <w:pPr>
        <w:sectPr>
          <w:pgSz w:w="11900" w:h="16838" w:orient="portrait"/>
          <w:cols w:equalWidth="0" w:num="2">
            <w:col w:w="9120" w:space="720"/>
            <w:col w:w="60"/>
          </w:cols>
          <w:pgMar w:left="580" w:top="97" w:right="1419" w:bottom="1440" w:gutter="0" w:footer="0" w:header="0"/>
          <w:type w:val="continuous"/>
        </w:sectPr>
      </w:pPr>
    </w:p>
    <w:p>
      <w:pPr>
        <w:jc w:val="both"/>
        <w:ind w:left="880" w:right="40"/>
        <w:spacing w:after="0" w:line="250" w:lineRule="auto"/>
        <w:rPr>
          <w:sz w:val="20"/>
          <w:szCs w:val="20"/>
          <w:color w:val="auto"/>
        </w:rPr>
      </w:pPr>
      <w:r>
        <w:rPr>
          <w:rFonts w:ascii="Arial" w:cs="Arial" w:eastAsia="Arial" w:hAnsi="Arial"/>
          <w:sz w:val="18"/>
          <w:szCs w:val="18"/>
          <w:b w:val="1"/>
          <w:bCs w:val="1"/>
          <w:i w:val="1"/>
          <w:iCs w:val="1"/>
          <w:color w:val="auto"/>
        </w:rPr>
        <w:t>Your vote matters</w:t>
      </w:r>
      <w:r>
        <w:rPr>
          <w:rFonts w:ascii="Arial" w:cs="Arial" w:eastAsia="Arial" w:hAnsi="Arial"/>
          <w:sz w:val="18"/>
          <w:szCs w:val="18"/>
          <w:i w:val="1"/>
          <w:iCs w:val="1"/>
          <w:color w:val="auto"/>
        </w:rPr>
        <w:t>. Whether or not you plan to virtually attend the Annual Meeting, please ensure that your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shares are represented by voting, signing, dating and returning your proxy in the enclosed envelope, which requires no postage if mailed in the United States.</w:t>
      </w:r>
    </w:p>
    <w:p>
      <w:pPr>
        <w:spacing w:after="0" w:line="10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Douglas Carr</w:t>
      </w:r>
    </w:p>
    <w:p>
      <w:pPr>
        <w:spacing w:after="0" w:line="14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Douglas Carr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i w:val="1"/>
          <w:iCs w:val="1"/>
          <w:color w:val="auto"/>
        </w:rPr>
        <w:t>Vice President, Finance and Operations, and</w:t>
      </w:r>
    </w:p>
    <w:p>
      <w:pPr>
        <w:ind w:left="5920"/>
        <w:spacing w:after="0" w:line="234" w:lineRule="auto"/>
        <w:rPr>
          <w:sz w:val="20"/>
          <w:szCs w:val="20"/>
          <w:color w:val="auto"/>
        </w:rPr>
      </w:pPr>
      <w:r>
        <w:rPr>
          <w:rFonts w:ascii="Arial" w:cs="Arial" w:eastAsia="Arial" w:hAnsi="Arial"/>
          <w:sz w:val="18"/>
          <w:szCs w:val="18"/>
          <w:i w:val="1"/>
          <w:iCs w:val="1"/>
          <w:color w:val="auto"/>
        </w:rPr>
        <w:t>Secretary</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April 21, 2022</w:t>
      </w:r>
    </w:p>
    <w:p>
      <w:pPr>
        <w:spacing w:after="0" w:line="207" w:lineRule="exact"/>
        <w:rPr>
          <w:sz w:val="20"/>
          <w:szCs w:val="20"/>
          <w:color w:val="auto"/>
        </w:rPr>
      </w:pPr>
    </w:p>
    <w:p>
      <w:pPr>
        <w:jc w:val="both"/>
        <w:ind w:left="880" w:right="40"/>
        <w:spacing w:after="0" w:line="245"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JUNE 9, 2022. This Proxy Statement and the proxy card are being furnished to our stockholders on or about April 21, 2022. This Proxy Statement and our Annual Report on Form 10-K for the fiscal year ended December 31, 2021 are available to holders of our common stock at www.astproxyportal.com/ast/24419. If you would like to receive, without charge, a paper copy of our Annual Report on Form 10-K for the fiscal year ended December 31, 2021, including the financial statements, please send your request to Chief Business Officer, Century Therapeutics, Inc., 3675 Market Street, Philadelphia, PA 19104.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451485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​SUMMARY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248ED8"/>
        </w:rPr>
        <w:t>This summary highlights information contained elsewhere in this Proxy Statement and our Annual Report on Form 10-K for the fiscal year ended December 31, 2021, or the 2021 Annual Report. This summary does not contain all of the information you should consider and we encourage you to read this Proxy Statement and the 2021 Annual Report carefully before voting.</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2022 Annual Meeting of Stockholders</w:t>
      </w:r>
    </w:p>
    <w:p>
      <w:pPr>
        <w:spacing w:after="0" w:line="183"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bottom w:val="single" w:sz="8" w:color="auto"/>
            </w:tcBorders>
            <w:shd w:val="clear" w:color="auto" w:fill="248ED8"/>
          </w:tcPr>
          <w:p>
            <w:pPr>
              <w:ind w:left="80"/>
              <w:spacing w:after="0"/>
              <w:rPr>
                <w:sz w:val="20"/>
                <w:szCs w:val="20"/>
                <w:color w:val="auto"/>
              </w:rPr>
            </w:pPr>
            <w:r>
              <w:rPr>
                <w:rFonts w:ascii="Arial" w:cs="Arial" w:eastAsia="Arial" w:hAnsi="Arial"/>
                <w:sz w:val="16"/>
                <w:szCs w:val="16"/>
                <w:b w:val="1"/>
                <w:bCs w:val="1"/>
                <w:color w:val="FFFFFF"/>
              </w:rPr>
              <w:t>​</w:t>
            </w:r>
          </w:p>
        </w:tc>
        <w:tc>
          <w:tcPr>
            <w:tcW w:w="1740" w:type="dxa"/>
            <w:vAlign w:val="bottom"/>
            <w:tcBorders>
              <w:top w:val="single" w:sz="8" w:color="auto"/>
              <w:bottom w:val="single" w:sz="8" w:color="auto"/>
            </w:tcBorders>
            <w:shd w:val="clear" w:color="auto" w:fill="248ED8"/>
          </w:tcPr>
          <w:p>
            <w:pPr>
              <w:ind w:left="340"/>
              <w:spacing w:after="0"/>
              <w:rPr>
                <w:sz w:val="20"/>
                <w:szCs w:val="20"/>
                <w:color w:val="auto"/>
              </w:rPr>
            </w:pPr>
            <w:r>
              <w:rPr>
                <w:rFonts w:ascii="Arial" w:cs="Arial" w:eastAsia="Arial" w:hAnsi="Arial"/>
                <w:sz w:val="16"/>
                <w:szCs w:val="16"/>
                <w:b w:val="1"/>
                <w:bCs w:val="1"/>
                <w:color w:val="FFFFFF"/>
              </w:rPr>
              <w:t>TIME AND DATE</w:t>
            </w:r>
          </w:p>
        </w:tc>
        <w:tc>
          <w:tcPr>
            <w:tcW w:w="1800" w:type="dxa"/>
            <w:vAlign w:val="bottom"/>
            <w:tcBorders>
              <w:top w:val="single" w:sz="8" w:color="auto"/>
              <w:bottom w:val="single" w:sz="8" w:color="auto"/>
            </w:tcBorders>
            <w:shd w:val="clear" w:color="auto" w:fill="248ED8"/>
          </w:tcPr>
          <w:p>
            <w:pPr>
              <w:ind w:left="26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RECORD DATE </w:t>
            </w:r>
            <w:r>
              <w:rPr>
                <w:rFonts w:ascii="Arial" w:cs="Arial" w:eastAsia="Arial" w:hAnsi="Arial"/>
                <w:sz w:val="31"/>
                <w:szCs w:val="31"/>
                <w:b w:val="1"/>
                <w:bCs w:val="1"/>
                <w:color w:val="FFFFFF"/>
                <w:vertAlign w:val="subscript"/>
              </w:rPr>
              <w:t>​ ​</w:t>
            </w:r>
          </w:p>
        </w:tc>
        <w:tc>
          <w:tcPr>
            <w:tcW w:w="960" w:type="dxa"/>
            <w:vAlign w:val="bottom"/>
            <w:tcBorders>
              <w:top w:val="single" w:sz="8" w:color="auto"/>
              <w:bottom w:val="single" w:sz="8" w:color="auto"/>
            </w:tcBorders>
            <w:shd w:val="clear" w:color="auto" w:fill="248ED8"/>
          </w:tcPr>
          <w:p>
            <w:pPr>
              <w:spacing w:after="0"/>
              <w:rPr>
                <w:sz w:val="23"/>
                <w:szCs w:val="23"/>
                <w:color w:val="auto"/>
              </w:rPr>
            </w:pPr>
          </w:p>
        </w:tc>
        <w:tc>
          <w:tcPr>
            <w:tcW w:w="360" w:type="dxa"/>
            <w:vAlign w:val="bottom"/>
            <w:tcBorders>
              <w:top w:val="single" w:sz="8" w:color="auto"/>
              <w:bottom w:val="single" w:sz="8" w:color="auto"/>
            </w:tcBorders>
            <w:shd w:val="clear" w:color="auto" w:fill="248ED8"/>
          </w:tcPr>
          <w:p>
            <w:pPr>
              <w:spacing w:after="0"/>
              <w:rPr>
                <w:sz w:val="23"/>
                <w:szCs w:val="23"/>
                <w:color w:val="auto"/>
              </w:rPr>
            </w:pPr>
          </w:p>
        </w:tc>
        <w:tc>
          <w:tcPr>
            <w:tcW w:w="400" w:type="dxa"/>
            <w:vAlign w:val="bottom"/>
            <w:tcBorders>
              <w:top w:val="single" w:sz="8" w:color="auto"/>
              <w:bottom w:val="single" w:sz="8" w:color="auto"/>
            </w:tcBorders>
            <w:shd w:val="clear" w:color="auto" w:fill="248ED8"/>
          </w:tcPr>
          <w:p>
            <w:pPr>
              <w:spacing w:after="0"/>
              <w:rPr>
                <w:sz w:val="23"/>
                <w:szCs w:val="23"/>
                <w:color w:val="auto"/>
              </w:rPr>
            </w:pPr>
          </w:p>
        </w:tc>
        <w:tc>
          <w:tcPr>
            <w:tcW w:w="2040" w:type="dxa"/>
            <w:vAlign w:val="bottom"/>
            <w:tcBorders>
              <w:top w:val="single" w:sz="8" w:color="auto"/>
              <w:bottom w:val="single" w:sz="8" w:color="auto"/>
            </w:tcBorders>
            <w:gridSpan w:val="2"/>
            <w:shd w:val="clear" w:color="auto" w:fill="248ED8"/>
          </w:tcPr>
          <w:p>
            <w:pPr>
              <w:jc w:val="center"/>
              <w:ind w:right="175"/>
              <w:spacing w:after="0"/>
              <w:rPr>
                <w:sz w:val="20"/>
                <w:szCs w:val="20"/>
                <w:color w:val="auto"/>
              </w:rPr>
            </w:pPr>
            <w:r>
              <w:rPr>
                <w:rFonts w:ascii="Arial" w:cs="Arial" w:eastAsia="Arial" w:hAnsi="Arial"/>
                <w:sz w:val="16"/>
                <w:szCs w:val="16"/>
                <w:b w:val="1"/>
                <w:bCs w:val="1"/>
                <w:color w:val="FFFFFF"/>
              </w:rPr>
              <w:t>WEBSITE ADDRESS</w:t>
            </w:r>
          </w:p>
        </w:tc>
        <w:tc>
          <w:tcPr>
            <w:tcW w:w="1440" w:type="dxa"/>
            <w:vAlign w:val="bottom"/>
            <w:tcBorders>
              <w:top w:val="single" w:sz="8" w:color="auto"/>
              <w:bottom w:val="single" w:sz="8" w:color="auto"/>
            </w:tcBorders>
            <w:shd w:val="clear" w:color="auto" w:fill="248ED8"/>
          </w:tcPr>
          <w:p>
            <w:pPr>
              <w:spacing w:after="0"/>
              <w:rPr>
                <w:sz w:val="23"/>
                <w:szCs w:val="23"/>
                <w:color w:val="auto"/>
              </w:rPr>
            </w:pPr>
          </w:p>
        </w:tc>
        <w:tc>
          <w:tcPr>
            <w:tcW w:w="140" w:type="dxa"/>
            <w:vAlign w:val="bottom"/>
            <w:tcBorders>
              <w:top w:val="single" w:sz="8" w:color="auto"/>
              <w:bottom w:val="single" w:sz="8" w:color="auto"/>
              <w:right w:val="single" w:sz="8" w:color="auto"/>
            </w:tcBorders>
            <w:shd w:val="clear" w:color="auto" w:fill="248ED8"/>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4"/>
        </w:trPr>
        <w:tc>
          <w:tcPr>
            <w:tcW w:w="3660" w:type="dxa"/>
            <w:vAlign w:val="bottom"/>
            <w:tcBorders>
              <w:left w:val="single" w:sz="8" w:color="auto"/>
            </w:tcBorders>
            <w:gridSpan w:val="3"/>
          </w:tcPr>
          <w:p>
            <w:pPr>
              <w:ind w:left="20"/>
              <w:spacing w:after="0" w:line="204" w:lineRule="exact"/>
              <w:rPr>
                <w:sz w:val="20"/>
                <w:szCs w:val="20"/>
                <w:color w:val="auto"/>
              </w:rPr>
            </w:pPr>
            <w:r>
              <w:rPr>
                <w:rFonts w:ascii="Arial" w:cs="Arial" w:eastAsia="Arial" w:hAnsi="Arial"/>
                <w:sz w:val="18"/>
                <w:szCs w:val="18"/>
                <w:color w:val="auto"/>
              </w:rPr>
              <w:t>​ Thursday, June 9, 2022 ​ ​ April 18, 2022 ​ ​</w:t>
            </w:r>
          </w:p>
        </w:tc>
        <w:tc>
          <w:tcPr>
            <w:tcW w:w="960" w:type="dxa"/>
            <w:vAlign w:val="bottom"/>
          </w:tcPr>
          <w:p>
            <w:pPr>
              <w:spacing w:after="0"/>
              <w:rPr>
                <w:sz w:val="17"/>
                <w:szCs w:val="17"/>
                <w:color w:val="auto"/>
              </w:rPr>
            </w:pPr>
          </w:p>
        </w:tc>
        <w:tc>
          <w:tcPr>
            <w:tcW w:w="4240" w:type="dxa"/>
            <w:vAlign w:val="bottom"/>
            <w:gridSpan w:val="5"/>
          </w:tcPr>
          <w:p>
            <w:pPr>
              <w:jc w:val="center"/>
              <w:ind w:right="894"/>
              <w:spacing w:after="0" w:line="204" w:lineRule="exact"/>
              <w:rPr>
                <w:sz w:val="20"/>
                <w:szCs w:val="20"/>
                <w:color w:val="auto"/>
              </w:rPr>
            </w:pPr>
            <w:r>
              <w:rPr>
                <w:rFonts w:ascii="Arial" w:cs="Arial" w:eastAsia="Arial" w:hAnsi="Arial"/>
                <w:sz w:val="18"/>
                <w:szCs w:val="18"/>
                <w:color w:val="auto"/>
                <w:w w:val="99"/>
              </w:rPr>
              <w:t>The meeting can be accessed by visiting</w:t>
            </w:r>
          </w:p>
        </w:tc>
        <w:tc>
          <w:tcPr>
            <w:tcW w:w="140" w:type="dxa"/>
            <w:vAlign w:val="bottom"/>
            <w:tcBorders>
              <w:right w:val="single" w:sz="8" w:color="auto"/>
            </w:tcBorders>
          </w:tcPr>
          <w:p>
            <w:pPr>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9:00 a.m., Eastern Time</w:t>
            </w:r>
          </w:p>
        </w:tc>
        <w:tc>
          <w:tcPr>
            <w:tcW w:w="5200" w:type="dxa"/>
            <w:vAlign w:val="bottom"/>
            <w:gridSpan w:val="6"/>
          </w:tcPr>
          <w:p>
            <w:pPr>
              <w:jc w:val="center"/>
              <w:spacing w:after="0"/>
              <w:rPr>
                <w:sz w:val="20"/>
                <w:szCs w:val="20"/>
                <w:color w:val="auto"/>
              </w:rPr>
            </w:pPr>
            <w:r>
              <w:rPr>
                <w:rFonts w:ascii="Arial" w:cs="Arial" w:eastAsia="Arial" w:hAnsi="Arial"/>
                <w:sz w:val="18"/>
                <w:szCs w:val="18"/>
                <w:color w:val="auto"/>
                <w:w w:val="99"/>
              </w:rPr>
              <w:t>https://web.lumiagm.com/265375813, where you will be able to</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0" w:type="dxa"/>
            <w:vAlign w:val="bottom"/>
            <w:gridSpan w:val="6"/>
          </w:tcPr>
          <w:p>
            <w:pPr>
              <w:jc w:val="center"/>
              <w:spacing w:after="0"/>
              <w:rPr>
                <w:sz w:val="20"/>
                <w:szCs w:val="20"/>
                <w:color w:val="auto"/>
              </w:rPr>
            </w:pPr>
            <w:r>
              <w:rPr>
                <w:rFonts w:ascii="Arial" w:cs="Arial" w:eastAsia="Arial" w:hAnsi="Arial"/>
                <w:sz w:val="18"/>
                <w:szCs w:val="18"/>
                <w:color w:val="auto"/>
                <w:w w:val="99"/>
              </w:rPr>
              <w:t>listen to the meeting live, submit questions and vote online. There</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200" w:type="dxa"/>
            <w:vAlign w:val="bottom"/>
            <w:gridSpan w:val="6"/>
          </w:tcPr>
          <w:p>
            <w:pPr>
              <w:jc w:val="center"/>
              <w:spacing w:after="0"/>
              <w:rPr>
                <w:sz w:val="20"/>
                <w:szCs w:val="20"/>
                <w:color w:val="auto"/>
              </w:rPr>
            </w:pPr>
            <w:r>
              <w:rPr>
                <w:rFonts w:ascii="Arial" w:cs="Arial" w:eastAsia="Arial" w:hAnsi="Arial"/>
                <w:sz w:val="18"/>
                <w:szCs w:val="18"/>
                <w:color w:val="auto"/>
                <w:w w:val="99"/>
              </w:rPr>
              <w:t>will be no physical location for stockholders to attend.</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3660" w:type="dxa"/>
            <w:vAlign w:val="bottom"/>
            <w:tcBorders>
              <w:left w:val="single" w:sz="8" w:color="auto"/>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4"/>
        </w:trPr>
        <w:tc>
          <w:tcPr>
            <w:tcW w:w="3660" w:type="dxa"/>
            <w:vAlign w:val="bottom"/>
            <w:gridSpan w:val="3"/>
          </w:tcPr>
          <w:p>
            <w:pPr>
              <w:ind w:left="20"/>
              <w:spacing w:after="0"/>
              <w:rPr>
                <w:sz w:val="20"/>
                <w:szCs w:val="20"/>
                <w:color w:val="auto"/>
              </w:rPr>
            </w:pPr>
            <w:r>
              <w:rPr>
                <w:rFonts w:ascii="Arial" w:cs="Arial" w:eastAsia="Arial" w:hAnsi="Arial"/>
                <w:sz w:val="18"/>
                <w:szCs w:val="18"/>
                <w:b w:val="1"/>
                <w:bCs w:val="1"/>
                <w:color w:val="auto"/>
              </w:rPr>
              <w:t>Summary of Stockholder Voting Matters</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20" w:type="dxa"/>
            <w:vAlign w:val="bottom"/>
            <w:tcBorders>
              <w:left w:val="single" w:sz="8" w:color="auto"/>
            </w:tcBorders>
            <w:vMerge w:val="restart"/>
            <w:shd w:val="clear" w:color="auto" w:fill="248ED8"/>
          </w:tcPr>
          <w:p>
            <w:pPr>
              <w:ind w:left="80"/>
              <w:spacing w:after="0"/>
              <w:rPr>
                <w:sz w:val="20"/>
                <w:szCs w:val="20"/>
                <w:color w:val="auto"/>
              </w:rPr>
            </w:pPr>
            <w:r>
              <w:rPr>
                <w:rFonts w:ascii="Arial" w:cs="Arial" w:eastAsia="Arial" w:hAnsi="Arial"/>
                <w:sz w:val="16"/>
                <w:szCs w:val="16"/>
                <w:b w:val="1"/>
                <w:bCs w:val="1"/>
                <w:color w:val="FFFFFF"/>
              </w:rPr>
              <w:t>​</w:t>
            </w:r>
          </w:p>
        </w:tc>
        <w:tc>
          <w:tcPr>
            <w:tcW w:w="1740" w:type="dxa"/>
            <w:vAlign w:val="bottom"/>
            <w:shd w:val="clear" w:color="auto" w:fill="248ED8"/>
          </w:tcPr>
          <w:p>
            <w:pPr>
              <w:spacing w:after="0"/>
              <w:rPr>
                <w:sz w:val="20"/>
                <w:szCs w:val="20"/>
                <w:color w:val="auto"/>
              </w:rPr>
            </w:pPr>
          </w:p>
        </w:tc>
        <w:tc>
          <w:tcPr>
            <w:tcW w:w="1800" w:type="dxa"/>
            <w:vAlign w:val="bottom"/>
            <w:vMerge w:val="restart"/>
            <w:shd w:val="clear" w:color="auto" w:fill="248ED8"/>
          </w:tcPr>
          <w:p>
            <w:pPr>
              <w:ind w:left="20"/>
              <w:spacing w:after="0"/>
              <w:rPr>
                <w:sz w:val="20"/>
                <w:szCs w:val="20"/>
                <w:color w:val="auto"/>
              </w:rPr>
            </w:pPr>
            <w:r>
              <w:rPr>
                <w:rFonts w:ascii="Arial" w:cs="Arial" w:eastAsia="Arial" w:hAnsi="Arial"/>
                <w:sz w:val="16"/>
                <w:szCs w:val="16"/>
                <w:b w:val="1"/>
                <w:bCs w:val="1"/>
                <w:color w:val="FFFFFF"/>
              </w:rPr>
              <w:t>VOTING MATTERS</w:t>
            </w:r>
          </w:p>
        </w:tc>
        <w:tc>
          <w:tcPr>
            <w:tcW w:w="960" w:type="dxa"/>
            <w:vAlign w:val="bottom"/>
            <w:shd w:val="clear" w:color="auto" w:fill="248ED8"/>
          </w:tcPr>
          <w:p>
            <w:pPr>
              <w:spacing w:after="0"/>
              <w:rPr>
                <w:sz w:val="20"/>
                <w:szCs w:val="20"/>
                <w:color w:val="auto"/>
              </w:rPr>
            </w:pPr>
          </w:p>
        </w:tc>
        <w:tc>
          <w:tcPr>
            <w:tcW w:w="360" w:type="dxa"/>
            <w:vAlign w:val="bottom"/>
            <w:shd w:val="clear" w:color="auto" w:fill="248ED8"/>
          </w:tcPr>
          <w:p>
            <w:pPr>
              <w:spacing w:after="0"/>
              <w:rPr>
                <w:sz w:val="20"/>
                <w:szCs w:val="20"/>
                <w:color w:val="auto"/>
              </w:rPr>
            </w:pPr>
          </w:p>
        </w:tc>
        <w:tc>
          <w:tcPr>
            <w:tcW w:w="400" w:type="dxa"/>
            <w:vAlign w:val="bottom"/>
            <w:vMerge w:val="restart"/>
            <w:shd w:val="clear" w:color="auto" w:fill="248ED8"/>
          </w:tcPr>
          <w:p>
            <w:pPr>
              <w:ind w:left="140"/>
              <w:spacing w:after="0"/>
              <w:rPr>
                <w:sz w:val="20"/>
                <w:szCs w:val="20"/>
                <w:color w:val="auto"/>
              </w:rPr>
            </w:pPr>
            <w:r>
              <w:rPr>
                <w:rFonts w:ascii="Arial" w:cs="Arial" w:eastAsia="Arial" w:hAnsi="Arial"/>
                <w:sz w:val="16"/>
                <w:szCs w:val="16"/>
                <w:b w:val="1"/>
                <w:bCs w:val="1"/>
                <w:color w:val="FFFFFF"/>
              </w:rPr>
              <w:t>​ ​</w:t>
            </w:r>
          </w:p>
        </w:tc>
        <w:tc>
          <w:tcPr>
            <w:tcW w:w="144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w w:val="99"/>
              </w:rPr>
              <w:t>FOR MORE</w:t>
            </w:r>
          </w:p>
        </w:tc>
        <w:tc>
          <w:tcPr>
            <w:tcW w:w="600" w:type="dxa"/>
            <w:vAlign w:val="bottom"/>
            <w:vMerge w:val="restart"/>
            <w:shd w:val="clear" w:color="auto" w:fill="248ED8"/>
          </w:tcPr>
          <w:p>
            <w:pPr>
              <w:ind w:left="180"/>
              <w:spacing w:after="0"/>
              <w:rPr>
                <w:sz w:val="20"/>
                <w:szCs w:val="20"/>
                <w:color w:val="auto"/>
              </w:rPr>
            </w:pPr>
            <w:r>
              <w:rPr>
                <w:rFonts w:ascii="Arial" w:cs="Arial" w:eastAsia="Arial" w:hAnsi="Arial"/>
                <w:sz w:val="16"/>
                <w:szCs w:val="16"/>
                <w:b w:val="1"/>
                <w:bCs w:val="1"/>
                <w:color w:val="FFFFFF"/>
              </w:rPr>
              <w:t>​ ​</w:t>
            </w:r>
          </w:p>
        </w:tc>
        <w:tc>
          <w:tcPr>
            <w:tcW w:w="1440" w:type="dxa"/>
            <w:vAlign w:val="bottom"/>
            <w:shd w:val="clear" w:color="auto" w:fill="248ED8"/>
          </w:tcPr>
          <w:p>
            <w:pPr>
              <w:ind w:left="140"/>
              <w:spacing w:after="0"/>
              <w:rPr>
                <w:sz w:val="20"/>
                <w:szCs w:val="20"/>
                <w:color w:val="auto"/>
              </w:rPr>
            </w:pPr>
            <w:r>
              <w:rPr>
                <w:rFonts w:ascii="Arial" w:cs="Arial" w:eastAsia="Arial" w:hAnsi="Arial"/>
                <w:sz w:val="16"/>
                <w:szCs w:val="16"/>
                <w:b w:val="1"/>
                <w:bCs w:val="1"/>
                <w:color w:val="FFFFFF"/>
              </w:rPr>
              <w:t>BOARD OF</w:t>
            </w:r>
          </w:p>
        </w:tc>
        <w:tc>
          <w:tcPr>
            <w:tcW w:w="140" w:type="dxa"/>
            <w:vAlign w:val="bottom"/>
            <w:tcBorders>
              <w:right w:val="single" w:sz="8" w:color="auto"/>
            </w:tcBorders>
            <w:vMerge w:val="restart"/>
            <w:shd w:val="clear" w:color="auto" w:fill="248ED8"/>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62"/>
        </w:trPr>
        <w:tc>
          <w:tcPr>
            <w:tcW w:w="120" w:type="dxa"/>
            <w:vAlign w:val="bottom"/>
            <w:tcBorders>
              <w:left w:val="single" w:sz="8" w:color="auto"/>
            </w:tcBorders>
            <w:vMerge w:val="continue"/>
            <w:shd w:val="clear" w:color="auto" w:fill="248ED8"/>
          </w:tcPr>
          <w:p>
            <w:pPr>
              <w:spacing w:after="0"/>
              <w:rPr>
                <w:sz w:val="14"/>
                <w:szCs w:val="14"/>
                <w:color w:val="auto"/>
              </w:rPr>
            </w:pPr>
          </w:p>
        </w:tc>
        <w:tc>
          <w:tcPr>
            <w:tcW w:w="1740" w:type="dxa"/>
            <w:vAlign w:val="bottom"/>
            <w:shd w:val="clear" w:color="auto" w:fill="248ED8"/>
          </w:tcPr>
          <w:p>
            <w:pPr>
              <w:spacing w:after="0"/>
              <w:rPr>
                <w:sz w:val="14"/>
                <w:szCs w:val="14"/>
                <w:color w:val="auto"/>
              </w:rPr>
            </w:pPr>
          </w:p>
        </w:tc>
        <w:tc>
          <w:tcPr>
            <w:tcW w:w="1800" w:type="dxa"/>
            <w:vAlign w:val="bottom"/>
            <w:vMerge w:val="continue"/>
            <w:shd w:val="clear" w:color="auto" w:fill="248ED8"/>
          </w:tcPr>
          <w:p>
            <w:pPr>
              <w:spacing w:after="0"/>
              <w:rPr>
                <w:sz w:val="14"/>
                <w:szCs w:val="14"/>
                <w:color w:val="auto"/>
              </w:rPr>
            </w:pPr>
          </w:p>
        </w:tc>
        <w:tc>
          <w:tcPr>
            <w:tcW w:w="960" w:type="dxa"/>
            <w:vAlign w:val="bottom"/>
            <w:shd w:val="clear" w:color="auto" w:fill="248ED8"/>
          </w:tcPr>
          <w:p>
            <w:pPr>
              <w:spacing w:after="0"/>
              <w:rPr>
                <w:sz w:val="14"/>
                <w:szCs w:val="14"/>
                <w:color w:val="auto"/>
              </w:rPr>
            </w:pPr>
          </w:p>
        </w:tc>
        <w:tc>
          <w:tcPr>
            <w:tcW w:w="360" w:type="dxa"/>
            <w:vAlign w:val="bottom"/>
            <w:shd w:val="clear" w:color="auto" w:fill="248ED8"/>
          </w:tcPr>
          <w:p>
            <w:pPr>
              <w:spacing w:after="0"/>
              <w:rPr>
                <w:sz w:val="14"/>
                <w:szCs w:val="14"/>
                <w:color w:val="auto"/>
              </w:rPr>
            </w:pPr>
          </w:p>
        </w:tc>
        <w:tc>
          <w:tcPr>
            <w:tcW w:w="400" w:type="dxa"/>
            <w:vAlign w:val="bottom"/>
            <w:vMerge w:val="continue"/>
            <w:shd w:val="clear" w:color="auto" w:fill="248ED8"/>
          </w:tcPr>
          <w:p>
            <w:pPr>
              <w:spacing w:after="0"/>
              <w:rPr>
                <w:sz w:val="14"/>
                <w:szCs w:val="14"/>
                <w:color w:val="auto"/>
              </w:rPr>
            </w:pPr>
          </w:p>
        </w:tc>
        <w:tc>
          <w:tcPr>
            <w:tcW w:w="1440" w:type="dxa"/>
            <w:vAlign w:val="bottom"/>
            <w:shd w:val="clear" w:color="auto" w:fill="248ED8"/>
          </w:tcPr>
          <w:p>
            <w:pPr>
              <w:jc w:val="center"/>
              <w:spacing w:after="0" w:line="162" w:lineRule="exact"/>
              <w:rPr>
                <w:sz w:val="20"/>
                <w:szCs w:val="20"/>
                <w:color w:val="auto"/>
              </w:rPr>
            </w:pPr>
            <w:r>
              <w:rPr>
                <w:rFonts w:ascii="Arial" w:cs="Arial" w:eastAsia="Arial" w:hAnsi="Arial"/>
                <w:sz w:val="16"/>
                <w:szCs w:val="16"/>
                <w:b w:val="1"/>
                <w:bCs w:val="1"/>
                <w:color w:val="FFFFFF"/>
              </w:rPr>
              <w:t>INFORMATION</w:t>
            </w:r>
          </w:p>
        </w:tc>
        <w:tc>
          <w:tcPr>
            <w:tcW w:w="600" w:type="dxa"/>
            <w:vAlign w:val="bottom"/>
            <w:vMerge w:val="continue"/>
            <w:shd w:val="clear" w:color="auto" w:fill="248ED8"/>
          </w:tcPr>
          <w:p>
            <w:pPr>
              <w:spacing w:after="0"/>
              <w:rPr>
                <w:sz w:val="14"/>
                <w:szCs w:val="14"/>
                <w:color w:val="auto"/>
              </w:rPr>
            </w:pPr>
          </w:p>
        </w:tc>
        <w:tc>
          <w:tcPr>
            <w:tcW w:w="1440" w:type="dxa"/>
            <w:vAlign w:val="bottom"/>
            <w:shd w:val="clear" w:color="auto" w:fill="248ED8"/>
          </w:tcPr>
          <w:p>
            <w:pPr>
              <w:ind w:left="100"/>
              <w:spacing w:after="0" w:line="162" w:lineRule="exact"/>
              <w:rPr>
                <w:sz w:val="20"/>
                <w:szCs w:val="20"/>
                <w:color w:val="auto"/>
              </w:rPr>
            </w:pPr>
            <w:r>
              <w:rPr>
                <w:rFonts w:ascii="Arial" w:cs="Arial" w:eastAsia="Arial" w:hAnsi="Arial"/>
                <w:sz w:val="16"/>
                <w:szCs w:val="16"/>
                <w:b w:val="1"/>
                <w:bCs w:val="1"/>
                <w:color w:val="FFFFFF"/>
              </w:rPr>
              <w:t>DIRECTORS</w:t>
            </w:r>
          </w:p>
        </w:tc>
        <w:tc>
          <w:tcPr>
            <w:tcW w:w="140" w:type="dxa"/>
            <w:vAlign w:val="bottom"/>
            <w:tcBorders>
              <w:right w:val="single" w:sz="8" w:color="auto"/>
            </w:tcBorders>
            <w:vMerge w:val="continue"/>
            <w:shd w:val="clear" w:color="auto" w:fill="248ED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 w:type="dxa"/>
            <w:vAlign w:val="bottom"/>
            <w:tcBorders>
              <w:left w:val="single" w:sz="8" w:color="auto"/>
              <w:bottom w:val="single" w:sz="8" w:color="auto"/>
            </w:tcBorders>
            <w:shd w:val="clear" w:color="auto" w:fill="248ED8"/>
          </w:tcPr>
          <w:p>
            <w:pPr>
              <w:spacing w:after="0"/>
              <w:rPr>
                <w:sz w:val="12"/>
                <w:szCs w:val="12"/>
                <w:color w:val="auto"/>
              </w:rPr>
            </w:pPr>
          </w:p>
        </w:tc>
        <w:tc>
          <w:tcPr>
            <w:tcW w:w="1740" w:type="dxa"/>
            <w:vAlign w:val="bottom"/>
            <w:tcBorders>
              <w:bottom w:val="single" w:sz="8" w:color="auto"/>
            </w:tcBorders>
            <w:shd w:val="clear" w:color="auto" w:fill="248ED8"/>
          </w:tcPr>
          <w:p>
            <w:pPr>
              <w:spacing w:after="0"/>
              <w:rPr>
                <w:sz w:val="12"/>
                <w:szCs w:val="12"/>
                <w:color w:val="auto"/>
              </w:rPr>
            </w:pPr>
          </w:p>
        </w:tc>
        <w:tc>
          <w:tcPr>
            <w:tcW w:w="1800" w:type="dxa"/>
            <w:vAlign w:val="bottom"/>
            <w:tcBorders>
              <w:bottom w:val="single" w:sz="8" w:color="auto"/>
            </w:tcBorders>
            <w:shd w:val="clear" w:color="auto" w:fill="248ED8"/>
          </w:tcPr>
          <w:p>
            <w:pPr>
              <w:spacing w:after="0"/>
              <w:rPr>
                <w:sz w:val="12"/>
                <w:szCs w:val="12"/>
                <w:color w:val="auto"/>
              </w:rPr>
            </w:pPr>
          </w:p>
        </w:tc>
        <w:tc>
          <w:tcPr>
            <w:tcW w:w="960" w:type="dxa"/>
            <w:vAlign w:val="bottom"/>
            <w:tcBorders>
              <w:bottom w:val="single" w:sz="8" w:color="auto"/>
            </w:tcBorders>
            <w:shd w:val="clear" w:color="auto" w:fill="248ED8"/>
          </w:tcPr>
          <w:p>
            <w:pPr>
              <w:spacing w:after="0"/>
              <w:rPr>
                <w:sz w:val="12"/>
                <w:szCs w:val="12"/>
                <w:color w:val="auto"/>
              </w:rPr>
            </w:pPr>
          </w:p>
        </w:tc>
        <w:tc>
          <w:tcPr>
            <w:tcW w:w="360" w:type="dxa"/>
            <w:vAlign w:val="bottom"/>
            <w:tcBorders>
              <w:bottom w:val="single" w:sz="8" w:color="auto"/>
            </w:tcBorders>
            <w:shd w:val="clear" w:color="auto" w:fill="248ED8"/>
          </w:tcPr>
          <w:p>
            <w:pPr>
              <w:spacing w:after="0"/>
              <w:rPr>
                <w:sz w:val="12"/>
                <w:szCs w:val="12"/>
                <w:color w:val="auto"/>
              </w:rPr>
            </w:pPr>
          </w:p>
        </w:tc>
        <w:tc>
          <w:tcPr>
            <w:tcW w:w="400" w:type="dxa"/>
            <w:vAlign w:val="bottom"/>
            <w:tcBorders>
              <w:bottom w:val="single" w:sz="8" w:color="auto"/>
            </w:tcBorders>
            <w:shd w:val="clear" w:color="auto" w:fill="248ED8"/>
          </w:tcPr>
          <w:p>
            <w:pPr>
              <w:spacing w:after="0"/>
              <w:rPr>
                <w:sz w:val="12"/>
                <w:szCs w:val="12"/>
                <w:color w:val="auto"/>
              </w:rPr>
            </w:pPr>
          </w:p>
        </w:tc>
        <w:tc>
          <w:tcPr>
            <w:tcW w:w="1440" w:type="dxa"/>
            <w:vAlign w:val="bottom"/>
            <w:tcBorders>
              <w:bottom w:val="single" w:sz="8" w:color="auto"/>
            </w:tcBorders>
            <w:shd w:val="clear" w:color="auto" w:fill="248ED8"/>
          </w:tcPr>
          <w:p>
            <w:pPr>
              <w:spacing w:after="0"/>
              <w:rPr>
                <w:sz w:val="12"/>
                <w:szCs w:val="12"/>
                <w:color w:val="auto"/>
              </w:rPr>
            </w:pPr>
          </w:p>
        </w:tc>
        <w:tc>
          <w:tcPr>
            <w:tcW w:w="2040" w:type="dxa"/>
            <w:vAlign w:val="bottom"/>
            <w:tcBorders>
              <w:bottom w:val="single" w:sz="8" w:color="auto"/>
            </w:tcBorders>
            <w:gridSpan w:val="2"/>
            <w:shd w:val="clear" w:color="auto" w:fill="248ED8"/>
          </w:tcPr>
          <w:p>
            <w:pPr>
              <w:ind w:left="420"/>
              <w:spacing w:after="0" w:line="148" w:lineRule="exact"/>
              <w:rPr>
                <w:sz w:val="20"/>
                <w:szCs w:val="20"/>
                <w:color w:val="auto"/>
              </w:rPr>
            </w:pPr>
            <w:r>
              <w:rPr>
                <w:rFonts w:ascii="Arial" w:cs="Arial" w:eastAsia="Arial" w:hAnsi="Arial"/>
                <w:sz w:val="16"/>
                <w:szCs w:val="16"/>
                <w:b w:val="1"/>
                <w:bCs w:val="1"/>
                <w:color w:val="FFFFFF"/>
              </w:rPr>
              <w:t>RECOMMENDATION</w:t>
            </w:r>
          </w:p>
        </w:tc>
        <w:tc>
          <w:tcPr>
            <w:tcW w:w="140" w:type="dxa"/>
            <w:vAlign w:val="bottom"/>
            <w:tcBorders>
              <w:bottom w:val="single" w:sz="8" w:color="auto"/>
              <w:right w:val="single" w:sz="8" w:color="auto"/>
            </w:tcBorders>
            <w:shd w:val="clear" w:color="auto" w:fill="248ED8"/>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12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4860" w:type="dxa"/>
            <w:vAlign w:val="bottom"/>
            <w:gridSpan w:val="4"/>
          </w:tcPr>
          <w:p>
            <w:pPr>
              <w:spacing w:after="0"/>
              <w:rPr>
                <w:sz w:val="20"/>
                <w:szCs w:val="20"/>
                <w:color w:val="auto"/>
              </w:rPr>
            </w:pPr>
            <w:r>
              <w:rPr>
                <w:rFonts w:ascii="Arial" w:cs="Arial" w:eastAsia="Arial" w:hAnsi="Arial"/>
                <w:sz w:val="18"/>
                <w:szCs w:val="18"/>
                <w:b w:val="1"/>
                <w:bCs w:val="1"/>
                <w:color w:val="27A770"/>
                <w:w w:val="99"/>
              </w:rPr>
              <w:t>PROPOSAL 1</w:t>
            </w:r>
            <w:r>
              <w:rPr>
                <w:rFonts w:ascii="Arial" w:cs="Arial" w:eastAsia="Arial" w:hAnsi="Arial"/>
                <w:sz w:val="18"/>
                <w:szCs w:val="18"/>
                <w:color w:val="27A770"/>
                <w:w w:val="99"/>
              </w:rPr>
              <w:t>: Election of Class I Directors for a Three-Year</w:t>
            </w:r>
          </w:p>
        </w:tc>
        <w:tc>
          <w:tcPr>
            <w:tcW w:w="400" w:type="dxa"/>
            <w:vAlign w:val="bottom"/>
            <w:vMerge w:val="restart"/>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35"/>
                <w:szCs w:val="35"/>
                <w:color w:val="auto"/>
                <w:vertAlign w:val="subscript"/>
              </w:rPr>
              <w:t>​</w:t>
            </w:r>
          </w:p>
        </w:tc>
        <w:tc>
          <w:tcPr>
            <w:tcW w:w="1440" w:type="dxa"/>
            <w:vAlign w:val="bottom"/>
          </w:tcPr>
          <w:p>
            <w:pPr>
              <w:spacing w:after="0"/>
              <w:rPr>
                <w:sz w:val="21"/>
                <w:szCs w:val="21"/>
                <w:color w:val="auto"/>
              </w:rPr>
            </w:pPr>
          </w:p>
        </w:tc>
        <w:tc>
          <w:tcPr>
            <w:tcW w:w="600" w:type="dxa"/>
            <w:vAlign w:val="bottom"/>
            <w:vMerge w:val="restart"/>
          </w:tcPr>
          <w:p>
            <w:pPr>
              <w:ind w:left="120"/>
              <w:spacing w:after="0" w:line="403" w:lineRule="exact"/>
              <w:rPr>
                <w:sz w:val="20"/>
                <w:szCs w:val="20"/>
                <w:color w:val="auto"/>
              </w:rPr>
            </w:pPr>
            <w:r>
              <w:rPr>
                <w:rFonts w:ascii="Arial" w:cs="Arial" w:eastAsia="Arial" w:hAnsi="Arial"/>
                <w:sz w:val="18"/>
                <w:szCs w:val="18"/>
                <w:color w:val="auto"/>
              </w:rPr>
              <w:t xml:space="preserve">​ ​ </w:t>
            </w:r>
            <w:r>
              <w:rPr>
                <w:rFonts w:ascii="MS PGothic" w:cs="MS PGothic" w:eastAsia="MS PGothic" w:hAnsi="MS PGothic"/>
                <w:sz w:val="35"/>
                <w:szCs w:val="35"/>
                <w:color w:val="auto"/>
                <w:highlight w:val="black"/>
                <w:vertAlign w:val="superscript"/>
              </w:rPr>
              <w:t>✓</w:t>
            </w:r>
          </w:p>
        </w:tc>
        <w:tc>
          <w:tcPr>
            <w:tcW w:w="14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FOR Each</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20" w:type="dxa"/>
            <w:vAlign w:val="bottom"/>
            <w:tcBorders>
              <w:left w:val="single" w:sz="8" w:color="auto"/>
            </w:tcBorders>
            <w:vMerge w:val="continue"/>
          </w:tcPr>
          <w:p>
            <w:pPr>
              <w:spacing w:after="0"/>
              <w:rPr>
                <w:sz w:val="16"/>
                <w:szCs w:val="16"/>
                <w:color w:val="auto"/>
              </w:rPr>
            </w:pPr>
          </w:p>
        </w:tc>
        <w:tc>
          <w:tcPr>
            <w:tcW w:w="1740" w:type="dxa"/>
            <w:vAlign w:val="bottom"/>
          </w:tcPr>
          <w:p>
            <w:pPr>
              <w:spacing w:after="0" w:line="195" w:lineRule="exact"/>
              <w:rPr>
                <w:sz w:val="20"/>
                <w:szCs w:val="20"/>
                <w:color w:val="auto"/>
              </w:rPr>
            </w:pPr>
            <w:r>
              <w:rPr>
                <w:rFonts w:ascii="Arial" w:cs="Arial" w:eastAsia="Arial" w:hAnsi="Arial"/>
                <w:sz w:val="18"/>
                <w:szCs w:val="18"/>
                <w:color w:val="27A770"/>
                <w:w w:val="97"/>
              </w:rPr>
              <w:t>Term Expiring in 2025</w:t>
            </w:r>
          </w:p>
        </w:tc>
        <w:tc>
          <w:tcPr>
            <w:tcW w:w="1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440" w:type="dxa"/>
            <w:vAlign w:val="bottom"/>
          </w:tcPr>
          <w:p>
            <w:pPr>
              <w:jc w:val="center"/>
              <w:spacing w:after="0" w:line="195" w:lineRule="exact"/>
              <w:rPr>
                <w:sz w:val="20"/>
                <w:szCs w:val="20"/>
                <w:color w:val="auto"/>
              </w:rPr>
            </w:pPr>
            <w:r>
              <w:rPr>
                <w:rFonts w:ascii="Arial" w:cs="Arial" w:eastAsia="Arial" w:hAnsi="Arial"/>
                <w:sz w:val="18"/>
                <w:szCs w:val="18"/>
                <w:color w:val="auto"/>
                <w:w w:val="98"/>
              </w:rPr>
              <w:t>Page 40</w:t>
            </w:r>
          </w:p>
        </w:tc>
        <w:tc>
          <w:tcPr>
            <w:tcW w:w="60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120" w:type="dxa"/>
            <w:vAlign w:val="bottom"/>
            <w:tcBorders>
              <w:left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5260" w:type="dxa"/>
            <w:vAlign w:val="bottom"/>
            <w:gridSpan w:val="5"/>
            <w:vMerge w:val="restart"/>
          </w:tcPr>
          <w:p>
            <w:pPr>
              <w:spacing w:after="0"/>
              <w:rPr>
                <w:sz w:val="20"/>
                <w:szCs w:val="20"/>
                <w:color w:val="auto"/>
              </w:rPr>
            </w:pPr>
            <w:r>
              <w:rPr>
                <w:rFonts w:ascii="Arial" w:cs="Arial" w:eastAsia="Arial" w:hAnsi="Arial"/>
                <w:sz w:val="18"/>
                <w:szCs w:val="18"/>
                <w:color w:val="auto"/>
              </w:rPr>
              <w:t>Eli Casdin   ​ ​ Osvaldo Flores, Ph.D. ​ ​ Carlo Rizzuto, Ph.D. ​</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tcPr>
          <w:p>
            <w:pPr>
              <w:ind w:left="120"/>
              <w:spacing w:after="0"/>
              <w:rPr>
                <w:sz w:val="20"/>
                <w:szCs w:val="20"/>
                <w:color w:val="auto"/>
              </w:rPr>
            </w:pPr>
            <w:r>
              <w:rPr>
                <w:rFonts w:ascii="Arial" w:cs="Arial" w:eastAsia="Arial" w:hAnsi="Arial"/>
                <w:sz w:val="18"/>
                <w:szCs w:val="18"/>
                <w:b w:val="1"/>
                <w:bCs w:val="1"/>
                <w:color w:val="auto"/>
              </w:rPr>
              <w:t>Nominee</w:t>
            </w:r>
          </w:p>
        </w:tc>
        <w:tc>
          <w:tcPr>
            <w:tcW w:w="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6"/>
        </w:trPr>
        <w:tc>
          <w:tcPr>
            <w:tcW w:w="120" w:type="dxa"/>
            <w:vAlign w:val="bottom"/>
            <w:tcBorders>
              <w:left w:val="single" w:sz="8" w:color="auto"/>
              <w:bottom w:val="single" w:sz="8" w:color="auto"/>
            </w:tcBorders>
            <w:vMerge w:val="continue"/>
          </w:tcPr>
          <w:p>
            <w:pPr>
              <w:spacing w:after="0"/>
              <w:rPr>
                <w:sz w:val="7"/>
                <w:szCs w:val="7"/>
                <w:color w:val="auto"/>
              </w:rPr>
            </w:pPr>
          </w:p>
        </w:tc>
        <w:tc>
          <w:tcPr>
            <w:tcW w:w="5260" w:type="dxa"/>
            <w:vAlign w:val="bottom"/>
            <w:tcBorders>
              <w:bottom w:val="single" w:sz="8" w:color="auto"/>
            </w:tcBorders>
            <w:gridSpan w:val="5"/>
            <w:vMerge w:val="continue"/>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500" w:type="dxa"/>
            <w:vAlign w:val="bottom"/>
            <w:gridSpan w:val="3"/>
          </w:tcPr>
          <w:p>
            <w:pPr>
              <w:spacing w:after="0"/>
              <w:rPr>
                <w:sz w:val="20"/>
                <w:szCs w:val="20"/>
                <w:color w:val="auto"/>
              </w:rPr>
            </w:pPr>
            <w:r>
              <w:rPr>
                <w:rFonts w:ascii="Arial" w:cs="Arial" w:eastAsia="Arial" w:hAnsi="Arial"/>
                <w:sz w:val="18"/>
                <w:szCs w:val="18"/>
                <w:b w:val="1"/>
                <w:bCs w:val="1"/>
                <w:color w:val="27A770"/>
              </w:rPr>
              <w:t>PROPOSAL 2</w:t>
            </w:r>
            <w:r>
              <w:rPr>
                <w:rFonts w:ascii="Arial" w:cs="Arial" w:eastAsia="Arial" w:hAnsi="Arial"/>
                <w:sz w:val="18"/>
                <w:szCs w:val="18"/>
                <w:color w:val="27A770"/>
              </w:rPr>
              <w:t>: Ratification of Appointment of EY as our</w:t>
            </w:r>
          </w:p>
        </w:tc>
        <w:tc>
          <w:tcPr>
            <w:tcW w:w="36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 ​</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Page 41</w:t>
            </w:r>
          </w:p>
        </w:tc>
        <w:tc>
          <w:tcPr>
            <w:tcW w:w="60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 ​ </w:t>
            </w:r>
            <w:r>
              <w:rPr>
                <w:rFonts w:ascii="MS PGothic" w:cs="MS PGothic" w:eastAsia="MS PGothic" w:hAnsi="MS PGothic"/>
                <w:sz w:val="18"/>
                <w:szCs w:val="18"/>
                <w:color w:val="auto"/>
                <w:highlight w:val="black"/>
              </w:rPr>
              <w:t>✓</w:t>
            </w:r>
          </w:p>
        </w:tc>
        <w:tc>
          <w:tcPr>
            <w:tcW w:w="1440" w:type="dxa"/>
            <w:vAlign w:val="bottom"/>
          </w:tcPr>
          <w:p>
            <w:pPr>
              <w:ind w:left="120"/>
              <w:spacing w:after="0"/>
              <w:rPr>
                <w:sz w:val="20"/>
                <w:szCs w:val="20"/>
                <w:color w:val="auto"/>
              </w:rPr>
            </w:pPr>
            <w:r>
              <w:rPr>
                <w:rFonts w:ascii="Arial" w:cs="Arial" w:eastAsia="Arial" w:hAnsi="Arial"/>
                <w:sz w:val="18"/>
                <w:szCs w:val="18"/>
                <w:b w:val="1"/>
                <w:bCs w:val="1"/>
                <w:color w:val="auto"/>
              </w:rPr>
              <w:t>FOR</w:t>
            </w:r>
          </w:p>
        </w:tc>
        <w:tc>
          <w:tcPr>
            <w:tcW w:w="1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20" w:type="dxa"/>
            <w:vAlign w:val="bottom"/>
            <w:tcBorders>
              <w:left w:val="single" w:sz="8" w:color="auto"/>
              <w:bottom w:val="single" w:sz="8" w:color="auto"/>
            </w:tcBorders>
          </w:tcPr>
          <w:p>
            <w:pPr>
              <w:spacing w:after="0"/>
              <w:rPr>
                <w:sz w:val="17"/>
                <w:szCs w:val="17"/>
                <w:color w:val="auto"/>
              </w:rPr>
            </w:pPr>
          </w:p>
        </w:tc>
        <w:tc>
          <w:tcPr>
            <w:tcW w:w="450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color w:val="27A770"/>
                <w:w w:val="99"/>
              </w:rPr>
              <w:t>Independent Registered Public Accounting Firm for 2022</w:t>
            </w:r>
          </w:p>
        </w:tc>
        <w:tc>
          <w:tcPr>
            <w:tcW w:w="3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Our Director Nominees</w:t>
      </w:r>
    </w:p>
    <w:p>
      <w:pPr>
        <w:spacing w:after="0" w:line="158" w:lineRule="exact"/>
        <w:rPr>
          <w:sz w:val="20"/>
          <w:szCs w:val="20"/>
          <w:color w:val="auto"/>
        </w:rPr>
      </w:pPr>
    </w:p>
    <w:p>
      <w:pPr>
        <w:jc w:val="both"/>
        <w:ind w:left="880" w:right="19"/>
        <w:spacing w:after="0" w:line="259" w:lineRule="auto"/>
        <w:rPr>
          <w:sz w:val="20"/>
          <w:szCs w:val="20"/>
          <w:color w:val="auto"/>
        </w:rPr>
      </w:pPr>
      <w:r>
        <w:rPr>
          <w:rFonts w:ascii="Arial" w:cs="Arial" w:eastAsia="Arial" w:hAnsi="Arial"/>
          <w:sz w:val="18"/>
          <w:szCs w:val="18"/>
          <w:color w:val="auto"/>
        </w:rPr>
        <w:t>You are being asked to vote on the election of Eli Casdin, Osvaldo Flores, Ph.D. and Carlo Rizzuto, Ph.D. as Class I directors, each to serve for a three-year term expiring at our 2025 Annual Meeting of Stockholders. The number of members of our Board of Directors, or the Board, is currently set at seven members and is divided into three classes, each of which has a three-year term. Class I consists of three directors and Class II and Class III each consist of two directors.</w:t>
      </w:r>
    </w:p>
    <w:p>
      <w:pPr>
        <w:spacing w:after="0" w:line="98"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The term of office of our Class I directors expires at the Annual Meeting. We are nominating Eli Casdin, Osvaldo Flores, Ph.D. and Carlo Rizzuto, Ph.D. for election at our Annual Meeting to serve until the 2025 Annual Meeting of Stockholders and until their successors, if any, are elected or appointed, or their earlier death, resignation, retirement, disqualification or removal. Directors are elected by a plurality of the votes cast by our stockholders at the Annual Meeting. The three nominees receiving the most FOR votes (among votes properly cast online at the meeting or by proxy) will be elected. If no contrary indication is made, shares represented by executed proxies will be voted FOR the election of Eli Casdin, Osvaldo Flores, Ph.D. and Carlo Rizzuto, Ph.D. Each nominee has agreed to serve as a director if elected, and we have no reason to believe that any nominee will be unable to serve.</w:t>
      </w:r>
    </w:p>
    <w:p>
      <w:pPr>
        <w:spacing w:after="0" w:line="153" w:lineRule="exact"/>
        <w:rPr>
          <w:sz w:val="20"/>
          <w:szCs w:val="20"/>
          <w:color w:val="auto"/>
        </w:rPr>
      </w:pPr>
    </w:p>
    <w:tbl>
      <w:tblPr>
        <w:tblLayout w:type="fixed"/>
        <w:tblInd w:w="870" w:type="dxa"/>
        <w:tblCellMar>
          <w:top w:w="0" w:type="dxa"/>
          <w:left w:w="0" w:type="dxa"/>
          <w:bottom w:w="0" w:type="dxa"/>
          <w:right w:w="0" w:type="dxa"/>
        </w:tblCellMar>
      </w:tblPr>
      <w:tr>
        <w:trPr>
          <w:trHeight w:val="216"/>
        </w:trPr>
        <w:tc>
          <w:tcPr>
            <w:tcW w:w="140" w:type="dxa"/>
            <w:vAlign w:val="bottom"/>
            <w:tcBorders>
              <w:top w:val="single" w:sz="8" w:color="auto"/>
              <w:left w:val="single" w:sz="8" w:color="auto"/>
              <w:bottom w:val="single" w:sz="8" w:color="auto"/>
            </w:tcBorders>
            <w:vMerge w:val="restart"/>
            <w:shd w:val="clear" w:color="auto" w:fill="248ED8"/>
          </w:tcPr>
          <w:p>
            <w:pPr>
              <w:ind w:left="60"/>
              <w:spacing w:after="0"/>
              <w:rPr>
                <w:sz w:val="20"/>
                <w:szCs w:val="20"/>
                <w:color w:val="auto"/>
              </w:rPr>
            </w:pPr>
            <w:r>
              <w:rPr>
                <w:rFonts w:ascii="Arial" w:cs="Arial" w:eastAsia="Arial" w:hAnsi="Arial"/>
                <w:sz w:val="16"/>
                <w:szCs w:val="16"/>
                <w:b w:val="1"/>
                <w:bCs w:val="1"/>
                <w:color w:val="FFFFFF"/>
              </w:rPr>
              <w:t>​</w:t>
            </w:r>
          </w:p>
        </w:tc>
        <w:tc>
          <w:tcPr>
            <w:tcW w:w="1440" w:type="dxa"/>
            <w:vAlign w:val="bottom"/>
            <w:tcBorders>
              <w:top w:val="single" w:sz="8" w:color="auto"/>
              <w:bottom w:val="single" w:sz="8" w:color="auto"/>
            </w:tcBorders>
            <w:vMerge w:val="restart"/>
            <w:shd w:val="clear" w:color="auto" w:fill="248ED8"/>
          </w:tcPr>
          <w:p>
            <w:pPr>
              <w:jc w:val="center"/>
              <w:spacing w:after="0"/>
              <w:rPr>
                <w:sz w:val="20"/>
                <w:szCs w:val="20"/>
                <w:color w:val="auto"/>
              </w:rPr>
            </w:pPr>
            <w:r>
              <w:rPr>
                <w:rFonts w:ascii="Arial" w:cs="Arial" w:eastAsia="Arial" w:hAnsi="Arial"/>
                <w:sz w:val="16"/>
                <w:szCs w:val="16"/>
                <w:b w:val="1"/>
                <w:bCs w:val="1"/>
                <w:color w:val="FFFFFF"/>
              </w:rPr>
              <w:t>NAME</w:t>
            </w:r>
          </w:p>
        </w:tc>
        <w:tc>
          <w:tcPr>
            <w:tcW w:w="1680" w:type="dxa"/>
            <w:vAlign w:val="bottom"/>
            <w:tcBorders>
              <w:top w:val="single" w:sz="8" w:color="auto"/>
              <w:bottom w:val="single" w:sz="8" w:color="auto"/>
            </w:tcBorders>
            <w:gridSpan w:val="4"/>
            <w:vMerge w:val="restart"/>
            <w:shd w:val="clear" w:color="auto" w:fill="248ED8"/>
          </w:tcPr>
          <w:p>
            <w:pPr>
              <w:ind w:left="60"/>
              <w:spacing w:after="0" w:line="283" w:lineRule="exact"/>
              <w:rPr>
                <w:sz w:val="20"/>
                <w:szCs w:val="20"/>
                <w:color w:val="auto"/>
              </w:rPr>
            </w:pPr>
            <w:r>
              <w:rPr>
                <w:rFonts w:ascii="Arial" w:cs="Arial" w:eastAsia="Arial" w:hAnsi="Arial"/>
                <w:sz w:val="16"/>
                <w:szCs w:val="16"/>
                <w:b w:val="1"/>
                <w:bCs w:val="1"/>
                <w:color w:val="FFFFFF"/>
                <w:w w:val="97"/>
              </w:rPr>
              <w:t xml:space="preserve">​ ​AGE ​ ​ </w:t>
            </w:r>
            <w:r>
              <w:rPr>
                <w:rFonts w:ascii="Arial" w:cs="Arial" w:eastAsia="Arial" w:hAnsi="Arial"/>
                <w:sz w:val="32"/>
                <w:szCs w:val="32"/>
                <w:b w:val="1"/>
                <w:bCs w:val="1"/>
                <w:color w:val="FFFFFF"/>
                <w:w w:val="97"/>
                <w:vertAlign w:val="superscript"/>
              </w:rPr>
              <w:t>DIRECTOR</w:t>
            </w:r>
          </w:p>
        </w:tc>
        <w:tc>
          <w:tcPr>
            <w:tcW w:w="220" w:type="dxa"/>
            <w:vAlign w:val="bottom"/>
            <w:tcBorders>
              <w:top w:val="single" w:sz="8" w:color="auto"/>
              <w:bottom w:val="single" w:sz="8" w:color="auto"/>
            </w:tcBorders>
            <w:vMerge w:val="restart"/>
            <w:shd w:val="clear" w:color="auto" w:fill="248ED8"/>
          </w:tcPr>
          <w:p>
            <w:pPr>
              <w:ind w:left="60"/>
              <w:spacing w:after="0"/>
              <w:rPr>
                <w:sz w:val="20"/>
                <w:szCs w:val="20"/>
                <w:color w:val="auto"/>
              </w:rPr>
            </w:pPr>
            <w:r>
              <w:rPr>
                <w:rFonts w:ascii="Arial" w:cs="Arial" w:eastAsia="Arial" w:hAnsi="Arial"/>
                <w:sz w:val="16"/>
                <w:szCs w:val="16"/>
                <w:b w:val="1"/>
                <w:bCs w:val="1"/>
                <w:color w:val="FFFFFF"/>
              </w:rPr>
              <w:t>​ ​</w:t>
            </w:r>
          </w:p>
        </w:tc>
        <w:tc>
          <w:tcPr>
            <w:tcW w:w="1520" w:type="dxa"/>
            <w:vAlign w:val="bottom"/>
            <w:tcBorders>
              <w:top w:val="single" w:sz="8" w:color="auto"/>
              <w:bottom w:val="single" w:sz="8" w:color="auto"/>
            </w:tcBorders>
            <w:vMerge w:val="restart"/>
            <w:shd w:val="clear" w:color="auto" w:fill="248ED8"/>
          </w:tcPr>
          <w:p>
            <w:pPr>
              <w:jc w:val="center"/>
              <w:spacing w:after="0"/>
              <w:rPr>
                <w:sz w:val="20"/>
                <w:szCs w:val="20"/>
                <w:color w:val="auto"/>
              </w:rPr>
            </w:pPr>
            <w:r>
              <w:rPr>
                <w:rFonts w:ascii="Arial" w:cs="Arial" w:eastAsia="Arial" w:hAnsi="Arial"/>
                <w:sz w:val="16"/>
                <w:szCs w:val="16"/>
                <w:b w:val="1"/>
                <w:bCs w:val="1"/>
                <w:color w:val="FFFFFF"/>
                <w:w w:val="98"/>
              </w:rPr>
              <w:t>OCCUPATION</w:t>
            </w:r>
          </w:p>
        </w:tc>
        <w:tc>
          <w:tcPr>
            <w:tcW w:w="1480" w:type="dxa"/>
            <w:vAlign w:val="bottom"/>
            <w:tcBorders>
              <w:top w:val="single" w:sz="8" w:color="auto"/>
              <w:bottom w:val="single" w:sz="8" w:color="auto"/>
            </w:tcBorders>
            <w:gridSpan w:val="3"/>
            <w:vMerge w:val="restart"/>
            <w:shd w:val="clear" w:color="auto" w:fill="248ED8"/>
          </w:tcPr>
          <w:p>
            <w:pPr>
              <w:ind w:left="60"/>
              <w:spacing w:after="0"/>
              <w:rPr>
                <w:sz w:val="20"/>
                <w:szCs w:val="20"/>
                <w:color w:val="auto"/>
              </w:rPr>
            </w:pPr>
            <w:r>
              <w:rPr>
                <w:rFonts w:ascii="Arial" w:cs="Arial" w:eastAsia="Arial" w:hAnsi="Arial"/>
                <w:sz w:val="16"/>
                <w:szCs w:val="16"/>
                <w:b w:val="1"/>
                <w:bCs w:val="1"/>
                <w:color w:val="FFFFFF"/>
              </w:rPr>
              <w:t>​ ​INDEPENDENT ​</w:t>
            </w:r>
          </w:p>
        </w:tc>
        <w:tc>
          <w:tcPr>
            <w:tcW w:w="80" w:type="dxa"/>
            <w:vAlign w:val="bottom"/>
            <w:tcBorders>
              <w:top w:val="single" w:sz="8" w:color="auto"/>
              <w:bottom w:val="single" w:sz="8" w:color="auto"/>
            </w:tcBorders>
            <w:shd w:val="clear" w:color="auto" w:fill="248ED8"/>
          </w:tcPr>
          <w:p>
            <w:pPr>
              <w:jc w:val="right"/>
              <w:spacing w:after="0"/>
              <w:rPr>
                <w:sz w:val="20"/>
                <w:szCs w:val="20"/>
                <w:color w:val="auto"/>
              </w:rPr>
            </w:pPr>
            <w:r>
              <w:rPr>
                <w:rFonts w:ascii="Arial" w:cs="Arial" w:eastAsia="Arial" w:hAnsi="Arial"/>
                <w:sz w:val="16"/>
                <w:szCs w:val="16"/>
                <w:b w:val="1"/>
                <w:bCs w:val="1"/>
                <w:color w:val="FFFFFF"/>
              </w:rPr>
              <w:t>​</w:t>
            </w:r>
          </w:p>
        </w:tc>
        <w:tc>
          <w:tcPr>
            <w:tcW w:w="2440" w:type="dxa"/>
            <w:vAlign w:val="bottom"/>
            <w:tcBorders>
              <w:top w:val="single" w:sz="8" w:color="auto"/>
              <w:bottom w:val="single" w:sz="8" w:color="auto"/>
              <w:right w:val="single" w:sz="8" w:color="auto"/>
            </w:tcBorders>
            <w:gridSpan w:val="7"/>
            <w:shd w:val="clear" w:color="auto" w:fill="248ED8"/>
          </w:tcPr>
          <w:p>
            <w:pPr>
              <w:jc w:val="right"/>
              <w:spacing w:after="0"/>
              <w:rPr>
                <w:sz w:val="20"/>
                <w:szCs w:val="20"/>
                <w:color w:val="auto"/>
              </w:rPr>
            </w:pPr>
            <w:r>
              <w:rPr>
                <w:rFonts w:ascii="Arial" w:cs="Arial" w:eastAsia="Arial" w:hAnsi="Arial"/>
                <w:sz w:val="16"/>
                <w:szCs w:val="16"/>
                <w:b w:val="1"/>
                <w:bCs w:val="1"/>
                <w:color w:val="FFFFFF"/>
                <w:shd w:val="clear" w:color="auto" w:fill="248ED8"/>
              </w:rPr>
              <w:t>COMMITTEE MEMBERSHIPS ​</w:t>
            </w:r>
          </w:p>
        </w:tc>
        <w:tc>
          <w:tcPr>
            <w:tcW w:w="0" w:type="dxa"/>
            <w:vAlign w:val="bottom"/>
          </w:tcPr>
          <w:p>
            <w:pPr>
              <w:spacing w:after="0"/>
              <w:rPr>
                <w:sz w:val="1"/>
                <w:szCs w:val="1"/>
                <w:color w:val="auto"/>
              </w:rPr>
            </w:pPr>
          </w:p>
        </w:tc>
      </w:tr>
      <w:tr>
        <w:trPr>
          <w:trHeight w:val="48"/>
        </w:trPr>
        <w:tc>
          <w:tcPr>
            <w:tcW w:w="140" w:type="dxa"/>
            <w:vAlign w:val="bottom"/>
            <w:tcBorders>
              <w:left w:val="single" w:sz="8" w:color="auto"/>
            </w:tcBorders>
            <w:vMerge w:val="continue"/>
            <w:shd w:val="clear" w:color="auto" w:fill="248ED8"/>
          </w:tcPr>
          <w:p>
            <w:pPr>
              <w:spacing w:after="0"/>
              <w:rPr>
                <w:sz w:val="4"/>
                <w:szCs w:val="4"/>
                <w:color w:val="auto"/>
              </w:rPr>
            </w:pPr>
          </w:p>
        </w:tc>
        <w:tc>
          <w:tcPr>
            <w:tcW w:w="1440" w:type="dxa"/>
            <w:vAlign w:val="bottom"/>
            <w:vMerge w:val="continue"/>
            <w:shd w:val="clear" w:color="auto" w:fill="248ED8"/>
          </w:tcPr>
          <w:p>
            <w:pPr>
              <w:spacing w:after="0"/>
              <w:rPr>
                <w:sz w:val="4"/>
                <w:szCs w:val="4"/>
                <w:color w:val="auto"/>
              </w:rPr>
            </w:pPr>
          </w:p>
        </w:tc>
        <w:tc>
          <w:tcPr>
            <w:tcW w:w="1680" w:type="dxa"/>
            <w:vAlign w:val="bottom"/>
            <w:gridSpan w:val="4"/>
            <w:vMerge w:val="continue"/>
            <w:shd w:val="clear" w:color="auto" w:fill="248ED8"/>
          </w:tcPr>
          <w:p>
            <w:pPr>
              <w:spacing w:after="0"/>
              <w:rPr>
                <w:sz w:val="4"/>
                <w:szCs w:val="4"/>
                <w:color w:val="auto"/>
              </w:rPr>
            </w:pPr>
          </w:p>
        </w:tc>
        <w:tc>
          <w:tcPr>
            <w:tcW w:w="220" w:type="dxa"/>
            <w:vAlign w:val="bottom"/>
            <w:vMerge w:val="continue"/>
            <w:shd w:val="clear" w:color="auto" w:fill="248ED8"/>
          </w:tcPr>
          <w:p>
            <w:pPr>
              <w:spacing w:after="0"/>
              <w:rPr>
                <w:sz w:val="4"/>
                <w:szCs w:val="4"/>
                <w:color w:val="auto"/>
              </w:rPr>
            </w:pPr>
          </w:p>
        </w:tc>
        <w:tc>
          <w:tcPr>
            <w:tcW w:w="1520" w:type="dxa"/>
            <w:vAlign w:val="bottom"/>
            <w:vMerge w:val="continue"/>
            <w:shd w:val="clear" w:color="auto" w:fill="248ED8"/>
          </w:tcPr>
          <w:p>
            <w:pPr>
              <w:spacing w:after="0"/>
              <w:rPr>
                <w:sz w:val="4"/>
                <w:szCs w:val="4"/>
                <w:color w:val="auto"/>
              </w:rPr>
            </w:pPr>
          </w:p>
        </w:tc>
        <w:tc>
          <w:tcPr>
            <w:tcW w:w="1480" w:type="dxa"/>
            <w:vAlign w:val="bottom"/>
            <w:gridSpan w:val="3"/>
            <w:vMerge w:val="continue"/>
            <w:shd w:val="clear" w:color="auto" w:fill="248ED8"/>
          </w:tcPr>
          <w:p>
            <w:pPr>
              <w:spacing w:after="0"/>
              <w:rPr>
                <w:sz w:val="4"/>
                <w:szCs w:val="4"/>
                <w:color w:val="auto"/>
              </w:rPr>
            </w:pPr>
          </w:p>
        </w:tc>
        <w:tc>
          <w:tcPr>
            <w:tcW w:w="80" w:type="dxa"/>
            <w:vAlign w:val="bottom"/>
            <w:vMerge w:val="restart"/>
            <w:shd w:val="clear" w:color="auto" w:fill="248ED8"/>
          </w:tcPr>
          <w:p>
            <w:pPr>
              <w:jc w:val="right"/>
              <w:spacing w:after="0"/>
              <w:rPr>
                <w:sz w:val="20"/>
                <w:szCs w:val="20"/>
                <w:color w:val="auto"/>
              </w:rPr>
            </w:pPr>
            <w:r>
              <w:rPr>
                <w:rFonts w:ascii="Arial" w:cs="Arial" w:eastAsia="Arial" w:hAnsi="Arial"/>
                <w:sz w:val="16"/>
                <w:szCs w:val="16"/>
                <w:b w:val="1"/>
                <w:bCs w:val="1"/>
                <w:color w:val="FFFFFF"/>
              </w:rPr>
              <w:t>​</w:t>
            </w:r>
          </w:p>
        </w:tc>
        <w:tc>
          <w:tcPr>
            <w:tcW w:w="80" w:type="dxa"/>
            <w:vAlign w:val="bottom"/>
            <w:shd w:val="clear" w:color="auto" w:fill="248ED8"/>
          </w:tcPr>
          <w:p>
            <w:pPr>
              <w:spacing w:after="0"/>
              <w:rPr>
                <w:sz w:val="4"/>
                <w:szCs w:val="4"/>
                <w:color w:val="auto"/>
              </w:rPr>
            </w:pPr>
          </w:p>
        </w:tc>
        <w:tc>
          <w:tcPr>
            <w:tcW w:w="420" w:type="dxa"/>
            <w:vAlign w:val="bottom"/>
            <w:vMerge w:val="restart"/>
            <w:shd w:val="clear" w:color="auto" w:fill="248ED8"/>
          </w:tcPr>
          <w:p>
            <w:pPr>
              <w:jc w:val="center"/>
              <w:spacing w:after="0"/>
              <w:rPr>
                <w:sz w:val="20"/>
                <w:szCs w:val="20"/>
                <w:color w:val="auto"/>
              </w:rPr>
            </w:pPr>
            <w:r>
              <w:rPr>
                <w:rFonts w:ascii="Arial" w:cs="Arial" w:eastAsia="Arial" w:hAnsi="Arial"/>
                <w:sz w:val="16"/>
                <w:szCs w:val="16"/>
                <w:b w:val="1"/>
                <w:bCs w:val="1"/>
                <w:color w:val="FFFFFF"/>
              </w:rPr>
              <w:t>AC</w:t>
            </w:r>
          </w:p>
        </w:tc>
        <w:tc>
          <w:tcPr>
            <w:tcW w:w="320" w:type="dxa"/>
            <w:vAlign w:val="bottom"/>
            <w:vMerge w:val="restart"/>
            <w:shd w:val="clear" w:color="auto" w:fill="248ED8"/>
          </w:tcPr>
          <w:p>
            <w:pPr>
              <w:ind w:left="100"/>
              <w:spacing w:after="0"/>
              <w:rPr>
                <w:sz w:val="20"/>
                <w:szCs w:val="20"/>
                <w:color w:val="auto"/>
              </w:rPr>
            </w:pPr>
            <w:r>
              <w:rPr>
                <w:rFonts w:ascii="Arial" w:cs="Arial" w:eastAsia="Arial" w:hAnsi="Arial"/>
                <w:sz w:val="16"/>
                <w:szCs w:val="16"/>
                <w:b w:val="1"/>
                <w:bCs w:val="1"/>
                <w:color w:val="FFFFFF"/>
              </w:rPr>
              <w:t>​ ​</w:t>
            </w:r>
          </w:p>
        </w:tc>
        <w:tc>
          <w:tcPr>
            <w:tcW w:w="420" w:type="dxa"/>
            <w:vAlign w:val="bottom"/>
            <w:vMerge w:val="restart"/>
            <w:shd w:val="clear" w:color="auto" w:fill="248ED8"/>
          </w:tcPr>
          <w:p>
            <w:pPr>
              <w:jc w:val="center"/>
              <w:spacing w:after="0"/>
              <w:rPr>
                <w:sz w:val="20"/>
                <w:szCs w:val="20"/>
                <w:color w:val="auto"/>
              </w:rPr>
            </w:pPr>
            <w:r>
              <w:rPr>
                <w:rFonts w:ascii="Arial" w:cs="Arial" w:eastAsia="Arial" w:hAnsi="Arial"/>
                <w:sz w:val="16"/>
                <w:szCs w:val="16"/>
                <w:b w:val="1"/>
                <w:bCs w:val="1"/>
                <w:color w:val="FFFFFF"/>
              </w:rPr>
              <w:t>CC</w:t>
            </w:r>
          </w:p>
        </w:tc>
        <w:tc>
          <w:tcPr>
            <w:tcW w:w="340" w:type="dxa"/>
            <w:vAlign w:val="bottom"/>
            <w:vMerge w:val="restart"/>
            <w:shd w:val="clear" w:color="auto" w:fill="248ED8"/>
          </w:tcPr>
          <w:p>
            <w:pPr>
              <w:ind w:left="100"/>
              <w:spacing w:after="0"/>
              <w:rPr>
                <w:sz w:val="20"/>
                <w:szCs w:val="20"/>
                <w:color w:val="auto"/>
              </w:rPr>
            </w:pPr>
            <w:r>
              <w:rPr>
                <w:rFonts w:ascii="Arial" w:cs="Arial" w:eastAsia="Arial" w:hAnsi="Arial"/>
                <w:sz w:val="16"/>
                <w:szCs w:val="16"/>
                <w:b w:val="1"/>
                <w:bCs w:val="1"/>
                <w:color w:val="FFFFFF"/>
              </w:rPr>
              <w:t>​ ​</w:t>
            </w:r>
          </w:p>
        </w:tc>
        <w:tc>
          <w:tcPr>
            <w:tcW w:w="680" w:type="dxa"/>
            <w:vAlign w:val="bottom"/>
            <w:vMerge w:val="restart"/>
            <w:shd w:val="clear" w:color="auto" w:fill="248ED8"/>
          </w:tcPr>
          <w:p>
            <w:pPr>
              <w:jc w:val="center"/>
              <w:spacing w:after="0"/>
              <w:rPr>
                <w:sz w:val="20"/>
                <w:szCs w:val="20"/>
                <w:color w:val="auto"/>
              </w:rPr>
            </w:pPr>
            <w:r>
              <w:rPr>
                <w:rFonts w:ascii="Arial" w:cs="Arial" w:eastAsia="Arial" w:hAnsi="Arial"/>
                <w:sz w:val="16"/>
                <w:szCs w:val="16"/>
                <w:b w:val="1"/>
                <w:bCs w:val="1"/>
                <w:color w:val="FFFFFF"/>
                <w:w w:val="97"/>
              </w:rPr>
              <w:t>NCGC</w:t>
            </w:r>
          </w:p>
        </w:tc>
        <w:tc>
          <w:tcPr>
            <w:tcW w:w="180" w:type="dxa"/>
            <w:vAlign w:val="bottom"/>
            <w:tcBorders>
              <w:right w:val="single" w:sz="8" w:color="auto"/>
            </w:tcBorders>
            <w:vMerge w:val="restart"/>
            <w:shd w:val="clear" w:color="auto" w:fill="248ED8"/>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89"/>
        </w:trPr>
        <w:tc>
          <w:tcPr>
            <w:tcW w:w="140" w:type="dxa"/>
            <w:vAlign w:val="bottom"/>
            <w:tcBorders>
              <w:left w:val="single" w:sz="8" w:color="auto"/>
              <w:bottom w:val="single" w:sz="8" w:color="auto"/>
            </w:tcBorders>
            <w:shd w:val="clear" w:color="auto" w:fill="248ED8"/>
          </w:tcPr>
          <w:p>
            <w:pPr>
              <w:spacing w:after="0"/>
              <w:rPr>
                <w:sz w:val="16"/>
                <w:szCs w:val="16"/>
                <w:color w:val="auto"/>
              </w:rPr>
            </w:pPr>
          </w:p>
        </w:tc>
        <w:tc>
          <w:tcPr>
            <w:tcW w:w="1440" w:type="dxa"/>
            <w:vAlign w:val="bottom"/>
            <w:tcBorders>
              <w:bottom w:val="single" w:sz="8" w:color="auto"/>
            </w:tcBorders>
            <w:shd w:val="clear" w:color="auto" w:fill="248ED8"/>
          </w:tcPr>
          <w:p>
            <w:pPr>
              <w:spacing w:after="0"/>
              <w:rPr>
                <w:sz w:val="16"/>
                <w:szCs w:val="16"/>
                <w:color w:val="auto"/>
              </w:rPr>
            </w:pPr>
          </w:p>
        </w:tc>
        <w:tc>
          <w:tcPr>
            <w:tcW w:w="240" w:type="dxa"/>
            <w:vAlign w:val="bottom"/>
            <w:tcBorders>
              <w:bottom w:val="single" w:sz="8" w:color="auto"/>
            </w:tcBorders>
            <w:shd w:val="clear" w:color="auto" w:fill="248ED8"/>
          </w:tcPr>
          <w:p>
            <w:pPr>
              <w:spacing w:after="0"/>
              <w:rPr>
                <w:sz w:val="16"/>
                <w:szCs w:val="16"/>
                <w:color w:val="auto"/>
              </w:rPr>
            </w:pPr>
          </w:p>
        </w:tc>
        <w:tc>
          <w:tcPr>
            <w:tcW w:w="320" w:type="dxa"/>
            <w:vAlign w:val="bottom"/>
            <w:tcBorders>
              <w:bottom w:val="single" w:sz="8" w:color="auto"/>
            </w:tcBorders>
            <w:shd w:val="clear" w:color="auto" w:fill="248ED8"/>
          </w:tcPr>
          <w:p>
            <w:pPr>
              <w:spacing w:after="0"/>
              <w:rPr>
                <w:sz w:val="16"/>
                <w:szCs w:val="16"/>
                <w:color w:val="auto"/>
              </w:rPr>
            </w:pPr>
          </w:p>
        </w:tc>
        <w:tc>
          <w:tcPr>
            <w:tcW w:w="320" w:type="dxa"/>
            <w:vAlign w:val="bottom"/>
            <w:tcBorders>
              <w:bottom w:val="single" w:sz="8" w:color="auto"/>
            </w:tcBorders>
            <w:shd w:val="clear" w:color="auto" w:fill="248ED8"/>
          </w:tcPr>
          <w:p>
            <w:pPr>
              <w:spacing w:after="0"/>
              <w:rPr>
                <w:sz w:val="16"/>
                <w:szCs w:val="16"/>
                <w:color w:val="auto"/>
              </w:rPr>
            </w:pPr>
          </w:p>
        </w:tc>
        <w:tc>
          <w:tcPr>
            <w:tcW w:w="800" w:type="dxa"/>
            <w:vAlign w:val="bottom"/>
            <w:tcBorders>
              <w:bottom w:val="single" w:sz="8" w:color="auto"/>
            </w:tcBorders>
            <w:shd w:val="clear" w:color="auto" w:fill="248ED8"/>
          </w:tcPr>
          <w:p>
            <w:pPr>
              <w:jc w:val="center"/>
              <w:ind w:right="12"/>
              <w:spacing w:after="0"/>
              <w:rPr>
                <w:sz w:val="20"/>
                <w:szCs w:val="20"/>
                <w:color w:val="auto"/>
              </w:rPr>
            </w:pPr>
            <w:r>
              <w:rPr>
                <w:rFonts w:ascii="Arial" w:cs="Arial" w:eastAsia="Arial" w:hAnsi="Arial"/>
                <w:sz w:val="16"/>
                <w:szCs w:val="16"/>
                <w:b w:val="1"/>
                <w:bCs w:val="1"/>
                <w:color w:val="FFFFFF"/>
              </w:rPr>
              <w:t>SINCE</w:t>
            </w:r>
          </w:p>
        </w:tc>
        <w:tc>
          <w:tcPr>
            <w:tcW w:w="220" w:type="dxa"/>
            <w:vAlign w:val="bottom"/>
            <w:tcBorders>
              <w:bottom w:val="single" w:sz="8" w:color="auto"/>
            </w:tcBorders>
            <w:shd w:val="clear" w:color="auto" w:fill="248ED8"/>
          </w:tcPr>
          <w:p>
            <w:pPr>
              <w:spacing w:after="0"/>
              <w:rPr>
                <w:sz w:val="16"/>
                <w:szCs w:val="16"/>
                <w:color w:val="auto"/>
              </w:rPr>
            </w:pPr>
          </w:p>
        </w:tc>
        <w:tc>
          <w:tcPr>
            <w:tcW w:w="1520" w:type="dxa"/>
            <w:vAlign w:val="bottom"/>
            <w:tcBorders>
              <w:bottom w:val="single" w:sz="8" w:color="auto"/>
            </w:tcBorders>
            <w:shd w:val="clear" w:color="auto" w:fill="248ED8"/>
          </w:tcPr>
          <w:p>
            <w:pPr>
              <w:spacing w:after="0"/>
              <w:rPr>
                <w:sz w:val="16"/>
                <w:szCs w:val="16"/>
                <w:color w:val="auto"/>
              </w:rPr>
            </w:pPr>
          </w:p>
        </w:tc>
        <w:tc>
          <w:tcPr>
            <w:tcW w:w="420" w:type="dxa"/>
            <w:vAlign w:val="bottom"/>
            <w:tcBorders>
              <w:bottom w:val="single" w:sz="8" w:color="auto"/>
            </w:tcBorders>
            <w:shd w:val="clear" w:color="auto" w:fill="248ED8"/>
          </w:tcPr>
          <w:p>
            <w:pPr>
              <w:spacing w:after="0"/>
              <w:rPr>
                <w:sz w:val="16"/>
                <w:szCs w:val="16"/>
                <w:color w:val="auto"/>
              </w:rPr>
            </w:pPr>
          </w:p>
        </w:tc>
        <w:tc>
          <w:tcPr>
            <w:tcW w:w="760" w:type="dxa"/>
            <w:vAlign w:val="bottom"/>
            <w:tcBorders>
              <w:bottom w:val="single" w:sz="8" w:color="auto"/>
            </w:tcBorders>
            <w:shd w:val="clear" w:color="auto" w:fill="248ED8"/>
          </w:tcPr>
          <w:p>
            <w:pPr>
              <w:spacing w:after="0"/>
              <w:rPr>
                <w:sz w:val="16"/>
                <w:szCs w:val="16"/>
                <w:color w:val="auto"/>
              </w:rPr>
            </w:pPr>
          </w:p>
        </w:tc>
        <w:tc>
          <w:tcPr>
            <w:tcW w:w="300" w:type="dxa"/>
            <w:vAlign w:val="bottom"/>
            <w:tcBorders>
              <w:bottom w:val="single" w:sz="8" w:color="auto"/>
            </w:tcBorders>
            <w:shd w:val="clear" w:color="auto" w:fill="248ED8"/>
          </w:tcPr>
          <w:p>
            <w:pPr>
              <w:spacing w:after="0"/>
              <w:rPr>
                <w:sz w:val="16"/>
                <w:szCs w:val="16"/>
                <w:color w:val="auto"/>
              </w:rPr>
            </w:pPr>
          </w:p>
        </w:tc>
        <w:tc>
          <w:tcPr>
            <w:tcW w:w="80" w:type="dxa"/>
            <w:vAlign w:val="bottom"/>
            <w:tcBorders>
              <w:bottom w:val="single" w:sz="8" w:color="auto"/>
            </w:tcBorders>
            <w:vMerge w:val="continue"/>
            <w:shd w:val="clear" w:color="auto" w:fill="248ED8"/>
          </w:tcPr>
          <w:p>
            <w:pPr>
              <w:spacing w:after="0"/>
              <w:rPr>
                <w:sz w:val="16"/>
                <w:szCs w:val="16"/>
                <w:color w:val="auto"/>
              </w:rPr>
            </w:pPr>
          </w:p>
        </w:tc>
        <w:tc>
          <w:tcPr>
            <w:tcW w:w="80" w:type="dxa"/>
            <w:vAlign w:val="bottom"/>
            <w:tcBorders>
              <w:bottom w:val="single" w:sz="8" w:color="auto"/>
            </w:tcBorders>
            <w:shd w:val="clear" w:color="auto" w:fill="248ED8"/>
          </w:tcPr>
          <w:p>
            <w:pPr>
              <w:spacing w:after="0"/>
              <w:rPr>
                <w:sz w:val="16"/>
                <w:szCs w:val="16"/>
                <w:color w:val="auto"/>
              </w:rPr>
            </w:pPr>
          </w:p>
        </w:tc>
        <w:tc>
          <w:tcPr>
            <w:tcW w:w="420" w:type="dxa"/>
            <w:vAlign w:val="bottom"/>
            <w:tcBorders>
              <w:bottom w:val="single" w:sz="8" w:color="auto"/>
            </w:tcBorders>
            <w:vMerge w:val="continue"/>
            <w:shd w:val="clear" w:color="auto" w:fill="248ED8"/>
          </w:tcPr>
          <w:p>
            <w:pPr>
              <w:spacing w:after="0"/>
              <w:rPr>
                <w:sz w:val="16"/>
                <w:szCs w:val="16"/>
                <w:color w:val="auto"/>
              </w:rPr>
            </w:pPr>
          </w:p>
        </w:tc>
        <w:tc>
          <w:tcPr>
            <w:tcW w:w="320" w:type="dxa"/>
            <w:vAlign w:val="bottom"/>
            <w:tcBorders>
              <w:bottom w:val="single" w:sz="8" w:color="auto"/>
            </w:tcBorders>
            <w:vMerge w:val="continue"/>
            <w:shd w:val="clear" w:color="auto" w:fill="248ED8"/>
          </w:tcPr>
          <w:p>
            <w:pPr>
              <w:spacing w:after="0"/>
              <w:rPr>
                <w:sz w:val="16"/>
                <w:szCs w:val="16"/>
                <w:color w:val="auto"/>
              </w:rPr>
            </w:pPr>
          </w:p>
        </w:tc>
        <w:tc>
          <w:tcPr>
            <w:tcW w:w="420" w:type="dxa"/>
            <w:vAlign w:val="bottom"/>
            <w:tcBorders>
              <w:bottom w:val="single" w:sz="8" w:color="auto"/>
            </w:tcBorders>
            <w:vMerge w:val="continue"/>
            <w:shd w:val="clear" w:color="auto" w:fill="248ED8"/>
          </w:tcPr>
          <w:p>
            <w:pPr>
              <w:spacing w:after="0"/>
              <w:rPr>
                <w:sz w:val="16"/>
                <w:szCs w:val="16"/>
                <w:color w:val="auto"/>
              </w:rPr>
            </w:pPr>
          </w:p>
        </w:tc>
        <w:tc>
          <w:tcPr>
            <w:tcW w:w="340" w:type="dxa"/>
            <w:vAlign w:val="bottom"/>
            <w:tcBorders>
              <w:bottom w:val="single" w:sz="8" w:color="auto"/>
            </w:tcBorders>
            <w:vMerge w:val="continue"/>
            <w:shd w:val="clear" w:color="auto" w:fill="248ED8"/>
          </w:tcPr>
          <w:p>
            <w:pPr>
              <w:spacing w:after="0"/>
              <w:rPr>
                <w:sz w:val="16"/>
                <w:szCs w:val="16"/>
                <w:color w:val="auto"/>
              </w:rPr>
            </w:pPr>
          </w:p>
        </w:tc>
        <w:tc>
          <w:tcPr>
            <w:tcW w:w="680" w:type="dxa"/>
            <w:vAlign w:val="bottom"/>
            <w:tcBorders>
              <w:bottom w:val="single" w:sz="8" w:color="auto"/>
            </w:tcBorders>
            <w:vMerge w:val="continue"/>
            <w:shd w:val="clear" w:color="auto" w:fill="248ED8"/>
          </w:tcPr>
          <w:p>
            <w:pPr>
              <w:spacing w:after="0"/>
              <w:rPr>
                <w:sz w:val="16"/>
                <w:szCs w:val="16"/>
                <w:color w:val="auto"/>
              </w:rPr>
            </w:pPr>
          </w:p>
        </w:tc>
        <w:tc>
          <w:tcPr>
            <w:tcW w:w="180" w:type="dxa"/>
            <w:vAlign w:val="bottom"/>
            <w:tcBorders>
              <w:bottom w:val="single" w:sz="8" w:color="auto"/>
              <w:right w:val="single" w:sz="8" w:color="auto"/>
            </w:tcBorders>
            <w:vMerge w:val="continue"/>
            <w:shd w:val="clear" w:color="auto" w:fill="248ED8"/>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40" w:type="dxa"/>
            <w:vAlign w:val="bottom"/>
            <w:tcBorders>
              <w:left w:val="single" w:sz="8" w:color="auto"/>
            </w:tcBorders>
            <w:vMerge w:val="restart"/>
          </w:tcPr>
          <w:p>
            <w:pPr>
              <w:ind w:left="60"/>
              <w:spacing w:after="0"/>
              <w:rPr>
                <w:sz w:val="20"/>
                <w:szCs w:val="20"/>
                <w:color w:val="auto"/>
              </w:rPr>
            </w:pPr>
            <w:r>
              <w:rPr>
                <w:rFonts w:ascii="Arial" w:cs="Arial" w:eastAsia="Arial" w:hAnsi="Arial"/>
                <w:sz w:val="18"/>
                <w:szCs w:val="18"/>
                <w:color w:val="auto"/>
              </w:rPr>
              <w:t>​</w:t>
            </w: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Eli Casdin</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3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800" w:type="dxa"/>
            <w:vAlign w:val="bottom"/>
            <w:vMerge w:val="restart"/>
          </w:tcPr>
          <w:p>
            <w:pPr>
              <w:jc w:val="center"/>
              <w:ind w:right="32"/>
              <w:spacing w:after="0"/>
              <w:rPr>
                <w:sz w:val="20"/>
                <w:szCs w:val="20"/>
                <w:color w:val="auto"/>
              </w:rPr>
            </w:pPr>
            <w:r>
              <w:rPr>
                <w:rFonts w:ascii="Arial" w:cs="Arial" w:eastAsia="Arial" w:hAnsi="Arial"/>
                <w:sz w:val="18"/>
                <w:szCs w:val="18"/>
                <w:color w:val="auto"/>
                <w:w w:val="99"/>
              </w:rPr>
              <w:t>2021</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Chief Investment</w:t>
            </w:r>
          </w:p>
        </w:tc>
        <w:tc>
          <w:tcPr>
            <w:tcW w:w="4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96"/>
              </w:rPr>
              <w:t>Yes</w:t>
            </w:r>
          </w:p>
        </w:tc>
        <w:tc>
          <w:tcPr>
            <w:tcW w:w="460" w:type="dxa"/>
            <w:vAlign w:val="bottom"/>
            <w:gridSpan w:val="3"/>
            <w:vMerge w:val="restart"/>
          </w:tcPr>
          <w:p>
            <w:pPr>
              <w:jc w:val="right"/>
              <w:spacing w:after="0"/>
              <w:rPr>
                <w:sz w:val="20"/>
                <w:szCs w:val="20"/>
                <w:color w:val="auto"/>
              </w:rPr>
            </w:pPr>
            <w:r>
              <w:rPr>
                <w:rFonts w:ascii="Arial" w:cs="Arial" w:eastAsia="Arial" w:hAnsi="Arial"/>
                <w:sz w:val="18"/>
                <w:szCs w:val="18"/>
                <w:color w:val="auto"/>
              </w:rPr>
              <w:t>​ ​</w:t>
            </w:r>
          </w:p>
        </w:tc>
        <w:tc>
          <w:tcPr>
            <w:tcW w:w="42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ind w:left="100"/>
              <w:spacing w:after="0"/>
              <w:rPr>
                <w:sz w:val="20"/>
                <w:szCs w:val="20"/>
                <w:color w:val="auto"/>
              </w:rPr>
            </w:pPr>
            <w:r>
              <w:rPr>
                <w:rFonts w:ascii="Arial" w:cs="Arial" w:eastAsia="Arial" w:hAnsi="Arial"/>
                <w:sz w:val="18"/>
                <w:szCs w:val="18"/>
                <w:color w:val="auto"/>
              </w:rPr>
              <w:t>​ ​</w:t>
            </w:r>
          </w:p>
        </w:tc>
        <w:tc>
          <w:tcPr>
            <w:tcW w:w="420" w:type="dxa"/>
            <w:vAlign w:val="bottom"/>
            <w:vMerge w:val="restart"/>
          </w:tcPr>
          <w:p>
            <w:pPr>
              <w:jc w:val="center"/>
              <w:spacing w:after="0"/>
              <w:rPr>
                <w:sz w:val="20"/>
                <w:szCs w:val="20"/>
                <w:color w:val="auto"/>
              </w:rPr>
            </w:pPr>
            <w:r>
              <w:rPr>
                <w:rFonts w:ascii="Arial" w:cs="Arial" w:eastAsia="Arial" w:hAnsi="Arial"/>
                <w:sz w:val="18"/>
                <w:szCs w:val="18"/>
                <w:color w:val="auto"/>
              </w:rPr>
              <w:t>M</w:t>
            </w:r>
          </w:p>
        </w:tc>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 ​</w:t>
            </w: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3"/>
              </w:rPr>
              <w:t>M</w:t>
            </w: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0" w:type="dxa"/>
            <w:vAlign w:val="bottom"/>
            <w:tcBorders>
              <w:left w:val="single" w:sz="8" w:color="auto"/>
            </w:tcBorders>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Officer of Casdin</w:t>
            </w:r>
          </w:p>
        </w:tc>
        <w:tc>
          <w:tcPr>
            <w:tcW w:w="4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40" w:type="dxa"/>
            <w:vAlign w:val="bottom"/>
            <w:tcBorders>
              <w:left w:val="single" w:sz="8" w:color="auto"/>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Capital</w:t>
            </w: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0" w:type="dxa"/>
            <w:vAlign w:val="bottom"/>
            <w:tcBorders>
              <w:left w:val="single" w:sz="8" w:color="auto"/>
            </w:tcBorders>
          </w:tcPr>
          <w:p>
            <w:pPr>
              <w:spacing w:after="0"/>
              <w:rPr>
                <w:sz w:val="21"/>
                <w:szCs w:val="21"/>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Osvaldo Flores,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President and</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40" w:type="dxa"/>
            <w:vAlign w:val="bottom"/>
            <w:vMerge w:val="continue"/>
          </w:tcPr>
          <w:p>
            <w:pPr>
              <w:spacing w:after="0"/>
              <w:rPr>
                <w:sz w:val="22"/>
                <w:szCs w:val="22"/>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 ​</w:t>
            </w:r>
          </w:p>
        </w:tc>
        <w:tc>
          <w:tcPr>
            <w:tcW w:w="32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ind w:left="60"/>
              <w:spacing w:after="0"/>
              <w:rPr>
                <w:sz w:val="20"/>
                <w:szCs w:val="20"/>
                <w:color w:val="auto"/>
              </w:rPr>
            </w:pPr>
            <w:r>
              <w:rPr>
                <w:rFonts w:ascii="Arial" w:cs="Arial" w:eastAsia="Arial" w:hAnsi="Arial"/>
                <w:sz w:val="18"/>
                <w:szCs w:val="18"/>
                <w:color w:val="auto"/>
              </w:rPr>
              <w:t>​ ​</w:t>
            </w: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9"/>
              </w:rPr>
              <w:t>2018</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520" w:type="dxa"/>
            <w:vAlign w:val="bottom"/>
          </w:tcPr>
          <w:p>
            <w:pPr>
              <w:jc w:val="center"/>
              <w:spacing w:after="0"/>
              <w:rPr>
                <w:sz w:val="20"/>
                <w:szCs w:val="20"/>
                <w:color w:val="auto"/>
              </w:rPr>
            </w:pPr>
            <w:r>
              <w:rPr>
                <w:rFonts w:ascii="Arial" w:cs="Arial" w:eastAsia="Arial" w:hAnsi="Arial"/>
                <w:sz w:val="18"/>
                <w:szCs w:val="18"/>
                <w:color w:val="auto"/>
              </w:rPr>
              <w:t>Chief Executive</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0"/>
        </w:trPr>
        <w:tc>
          <w:tcPr>
            <w:tcW w:w="140" w:type="dxa"/>
            <w:vAlign w:val="bottom"/>
            <w:tcBorders>
              <w:left w:val="single" w:sz="8" w:color="auto"/>
            </w:tcBorders>
          </w:tcPr>
          <w:p>
            <w:pPr>
              <w:spacing w:after="0"/>
              <w:rPr>
                <w:sz w:val="14"/>
                <w:szCs w:val="14"/>
                <w:color w:val="auto"/>
              </w:rPr>
            </w:pPr>
          </w:p>
        </w:tc>
        <w:tc>
          <w:tcPr>
            <w:tcW w:w="144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99"/>
              </w:rPr>
              <w:t>Ph.D.</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spacing w:after="0" w:line="170" w:lineRule="exact"/>
              <w:rPr>
                <w:sz w:val="20"/>
                <w:szCs w:val="20"/>
                <w:color w:val="auto"/>
              </w:rPr>
            </w:pPr>
            <w:r>
              <w:rPr>
                <w:rFonts w:ascii="Arial" w:cs="Arial" w:eastAsia="Arial" w:hAnsi="Arial"/>
                <w:sz w:val="18"/>
                <w:szCs w:val="18"/>
                <w:color w:val="auto"/>
                <w:w w:val="99"/>
              </w:rPr>
              <w:t>Officer of Century</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 w:type="dxa"/>
            <w:vAlign w:val="bottom"/>
            <w:tcBorders>
              <w:left w:val="single" w:sz="8" w:color="auto"/>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Therapeutics, Inc.</w:t>
            </w: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14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8"/>
              </w:rPr>
              <w:t>Carlo Rizzuto,</w:t>
            </w:r>
          </w:p>
        </w:tc>
        <w:tc>
          <w:tcPr>
            <w:tcW w:w="240" w:type="dxa"/>
            <w:vAlign w:val="bottom"/>
          </w:tcPr>
          <w:p>
            <w:pPr>
              <w:ind w:left="60"/>
              <w:spacing w:after="0"/>
              <w:rPr>
                <w:sz w:val="20"/>
                <w:szCs w:val="20"/>
                <w:color w:val="auto"/>
              </w:rPr>
            </w:pPr>
            <w:r>
              <w:rPr>
                <w:rFonts w:ascii="Arial" w:cs="Arial" w:eastAsia="Arial" w:hAnsi="Arial"/>
                <w:sz w:val="18"/>
                <w:szCs w:val="18"/>
                <w:color w:val="auto"/>
              </w:rPr>
              <w:t>​ ​</w:t>
            </w: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ind w:left="60"/>
              <w:spacing w:after="0"/>
              <w:rPr>
                <w:sz w:val="20"/>
                <w:szCs w:val="20"/>
                <w:color w:val="auto"/>
              </w:rPr>
            </w:pPr>
            <w:r>
              <w:rPr>
                <w:rFonts w:ascii="Arial" w:cs="Arial" w:eastAsia="Arial" w:hAnsi="Arial"/>
                <w:sz w:val="18"/>
                <w:szCs w:val="18"/>
                <w:color w:val="auto"/>
              </w:rPr>
              <w:t>​ ​</w:t>
            </w: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99"/>
              </w:rPr>
              <w:t>2018</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Partner at Versant</w:t>
            </w:r>
          </w:p>
        </w:tc>
        <w:tc>
          <w:tcPr>
            <w:tcW w:w="420" w:type="dxa"/>
            <w:vAlign w:val="bottom"/>
          </w:tcPr>
          <w:p>
            <w:pPr>
              <w:ind w:left="60"/>
              <w:spacing w:after="0"/>
              <w:rPr>
                <w:sz w:val="20"/>
                <w:szCs w:val="20"/>
                <w:color w:val="auto"/>
              </w:rPr>
            </w:pPr>
            <w:r>
              <w:rPr>
                <w:rFonts w:ascii="Arial" w:cs="Arial" w:eastAsia="Arial" w:hAnsi="Arial"/>
                <w:sz w:val="18"/>
                <w:szCs w:val="18"/>
                <w:color w:val="auto"/>
              </w:rPr>
              <w:t>​ ​</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M</w:t>
            </w: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0" w:type="dxa"/>
            <w:vAlign w:val="bottom"/>
            <w:tcBorders>
              <w:left w:val="single" w:sz="8" w:color="auto"/>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Ph.D.</w:t>
            </w: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Ventures</w:t>
            </w: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05"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6420" w:type="dxa"/>
            <w:vAlign w:val="bottom"/>
            <w:gridSpan w:val="2"/>
            <w:shd w:val="clear" w:color="auto" w:fill="27A770"/>
          </w:tcPr>
          <w:p>
            <w:pPr>
              <w:ind w:left="20"/>
              <w:spacing w:after="0"/>
              <w:rPr>
                <w:sz w:val="20"/>
                <w:szCs w:val="20"/>
                <w:color w:val="auto"/>
              </w:rPr>
            </w:pPr>
            <w:r>
              <w:rPr>
                <w:rFonts w:ascii="Arial" w:cs="Arial" w:eastAsia="Arial" w:hAnsi="Arial"/>
                <w:sz w:val="32"/>
                <w:szCs w:val="32"/>
                <w:b w:val="1"/>
                <w:bCs w:val="1"/>
                <w:color w:val="FFFFFF"/>
              </w:rPr>
              <w:t>​SUMMARY INFORMATION</w:t>
            </w:r>
          </w:p>
        </w:tc>
        <w:tc>
          <w:tcPr>
            <w:tcW w:w="1800" w:type="dxa"/>
            <w:vAlign w:val="bottom"/>
            <w:shd w:val="clear" w:color="auto" w:fill="27A770"/>
          </w:tcPr>
          <w:p>
            <w:pPr>
              <w:spacing w:after="0"/>
              <w:rPr>
                <w:sz w:val="24"/>
                <w:szCs w:val="24"/>
                <w:color w:val="auto"/>
              </w:rPr>
            </w:pPr>
          </w:p>
        </w:tc>
        <w:tc>
          <w:tcPr>
            <w:tcW w:w="760" w:type="dxa"/>
            <w:vAlign w:val="bottom"/>
            <w:shd w:val="clear" w:color="auto" w:fill="27A770"/>
          </w:tcPr>
          <w:p>
            <w:pPr>
              <w:ind w:left="660"/>
              <w:spacing w:after="0"/>
              <w:rPr>
                <w:sz w:val="20"/>
                <w:szCs w:val="20"/>
                <w:color w:val="auto"/>
              </w:rPr>
            </w:pPr>
            <w:r>
              <w:rPr>
                <w:rFonts w:ascii="Arial" w:cs="Arial" w:eastAsia="Arial" w:hAnsi="Arial"/>
                <w:sz w:val="32"/>
                <w:szCs w:val="32"/>
                <w:b w:val="1"/>
                <w:bCs w:val="1"/>
                <w:color w:val="FFFFFF"/>
              </w:rPr>
              <w:t>​</w:t>
            </w:r>
          </w:p>
        </w:tc>
      </w:tr>
      <w:tr>
        <w:trPr>
          <w:trHeight w:val="481"/>
        </w:trPr>
        <w:tc>
          <w:tcPr>
            <w:tcW w:w="56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5860" w:type="dxa"/>
            <w:vAlign w:val="bottom"/>
          </w:tcPr>
          <w:p>
            <w:pPr>
              <w:jc w:val="right"/>
              <w:ind w:right="345"/>
              <w:spacing w:after="0"/>
              <w:rPr>
                <w:sz w:val="20"/>
                <w:szCs w:val="20"/>
                <w:color w:val="auto"/>
              </w:rPr>
            </w:pPr>
            <w:r>
              <w:rPr>
                <w:rFonts w:ascii="Arial" w:cs="Arial" w:eastAsia="Arial" w:hAnsi="Arial"/>
                <w:sz w:val="18"/>
                <w:szCs w:val="18"/>
                <w:b w:val="1"/>
                <w:bCs w:val="1"/>
                <w:color w:val="auto"/>
              </w:rPr>
              <w:t xml:space="preserve">AC </w:t>
            </w:r>
            <w:r>
              <w:rPr>
                <w:rFonts w:ascii="Arial" w:cs="Arial" w:eastAsia="Arial" w:hAnsi="Arial"/>
                <w:sz w:val="18"/>
                <w:szCs w:val="18"/>
                <w:color w:val="auto"/>
              </w:rPr>
              <w:t>= Audit Committee</w:t>
            </w:r>
            <w:r>
              <w:rPr>
                <w:rFonts w:ascii="Arial" w:cs="Arial" w:eastAsia="Arial" w:hAnsi="Arial"/>
                <w:sz w:val="18"/>
                <w:szCs w:val="18"/>
                <w:b w:val="1"/>
                <w:bCs w:val="1"/>
                <w:color w:val="auto"/>
              </w:rPr>
              <w:t xml:space="preserve">​ ​ CC </w:t>
            </w:r>
            <w:r>
              <w:rPr>
                <w:rFonts w:ascii="Arial" w:cs="Arial" w:eastAsia="Arial" w:hAnsi="Arial"/>
                <w:sz w:val="18"/>
                <w:szCs w:val="18"/>
                <w:color w:val="auto"/>
              </w:rPr>
              <w:t>= Compensation Committee</w:t>
            </w:r>
            <w:r>
              <w:rPr>
                <w:rFonts w:ascii="Arial" w:cs="Arial" w:eastAsia="Arial" w:hAnsi="Arial"/>
                <w:sz w:val="18"/>
                <w:szCs w:val="18"/>
                <w:b w:val="1"/>
                <w:bCs w:val="1"/>
                <w:color w:val="auto"/>
              </w:rPr>
              <w:t xml:space="preserve"> ​ ​</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 xml:space="preserve">C </w:t>
            </w:r>
            <w:r>
              <w:rPr>
                <w:rFonts w:ascii="Arial" w:cs="Arial" w:eastAsia="Arial" w:hAnsi="Arial"/>
                <w:sz w:val="18"/>
                <w:szCs w:val="18"/>
                <w:color w:val="auto"/>
                <w:w w:val="99"/>
              </w:rPr>
              <w:t>= Chair</w:t>
            </w:r>
          </w:p>
        </w:tc>
        <w:tc>
          <w:tcPr>
            <w:tcW w:w="760" w:type="dxa"/>
            <w:vAlign w:val="bottom"/>
          </w:tcPr>
          <w:p>
            <w:pPr>
              <w:ind w:left="400"/>
              <w:spacing w:after="0"/>
              <w:rPr>
                <w:sz w:val="20"/>
                <w:szCs w:val="20"/>
                <w:color w:val="auto"/>
              </w:rPr>
            </w:pPr>
            <w:r>
              <w:rPr>
                <w:rFonts w:ascii="Arial" w:cs="Arial" w:eastAsia="Arial" w:hAnsi="Arial"/>
                <w:sz w:val="18"/>
                <w:szCs w:val="18"/>
                <w:b w:val="1"/>
                <w:bCs w:val="1"/>
                <w:color w:val="auto"/>
              </w:rPr>
              <w:t>​</w:t>
            </w:r>
          </w:p>
        </w:tc>
      </w:tr>
      <w:tr>
        <w:trPr>
          <w:trHeight w:val="491"/>
        </w:trPr>
        <w:tc>
          <w:tcPr>
            <w:tcW w:w="56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5860" w:type="dxa"/>
            <w:vAlign w:val="bottom"/>
          </w:tcPr>
          <w:p>
            <w:pPr>
              <w:jc w:val="right"/>
              <w:ind w:right="345"/>
              <w:spacing w:after="0"/>
              <w:rPr>
                <w:sz w:val="20"/>
                <w:szCs w:val="20"/>
                <w:color w:val="auto"/>
              </w:rPr>
            </w:pPr>
            <w:r>
              <w:rPr>
                <w:rFonts w:ascii="Arial" w:cs="Arial" w:eastAsia="Arial" w:hAnsi="Arial"/>
                <w:sz w:val="18"/>
                <w:szCs w:val="18"/>
                <w:b w:val="1"/>
                <w:bCs w:val="1"/>
                <w:color w:val="auto"/>
              </w:rPr>
              <w:t xml:space="preserve">NCGC </w:t>
            </w:r>
            <w:r>
              <w:rPr>
                <w:rFonts w:ascii="Arial" w:cs="Arial" w:eastAsia="Arial" w:hAnsi="Arial"/>
                <w:sz w:val="18"/>
                <w:szCs w:val="18"/>
                <w:color w:val="auto"/>
              </w:rPr>
              <w:t>= Nominating and Corporate Governance Committee</w:t>
            </w:r>
            <w:r>
              <w:rPr>
                <w:rFonts w:ascii="Arial" w:cs="Arial" w:eastAsia="Arial" w:hAnsi="Arial"/>
                <w:sz w:val="36"/>
                <w:szCs w:val="36"/>
                <w:b w:val="1"/>
                <w:bCs w:val="1"/>
                <w:color w:val="auto"/>
                <w:vertAlign w:val="superscript"/>
              </w:rPr>
              <w:t>​ ​</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8"/>
              </w:rPr>
              <w:t xml:space="preserve">M </w:t>
            </w:r>
            <w:r>
              <w:rPr>
                <w:rFonts w:ascii="Arial" w:cs="Arial" w:eastAsia="Arial" w:hAnsi="Arial"/>
                <w:sz w:val="18"/>
                <w:szCs w:val="18"/>
                <w:color w:val="auto"/>
                <w:w w:val="98"/>
              </w:rPr>
              <w:t>= Member</w:t>
            </w:r>
          </w:p>
        </w:tc>
        <w:tc>
          <w:tcPr>
            <w:tcW w:w="760" w:type="dxa"/>
            <w:vAlign w:val="bottom"/>
          </w:tcPr>
          <w:p>
            <w:pPr>
              <w:ind w:left="400"/>
              <w:spacing w:after="0"/>
              <w:rPr>
                <w:sz w:val="20"/>
                <w:szCs w:val="20"/>
                <w:color w:val="auto"/>
              </w:rPr>
            </w:pPr>
            <w:r>
              <w:rPr>
                <w:rFonts w:ascii="Arial" w:cs="Arial" w:eastAsia="Arial" w:hAnsi="Arial"/>
                <w:sz w:val="18"/>
                <w:szCs w:val="18"/>
                <w:b w:val="1"/>
                <w:bCs w:val="1"/>
                <w:color w:val="auto"/>
              </w:rPr>
              <w:t>​</w:t>
            </w:r>
          </w:p>
        </w:tc>
      </w:tr>
    </w:tbl>
    <w:p>
      <w:pPr>
        <w:ind w:left="880"/>
        <w:spacing w:after="0"/>
        <w:rPr>
          <w:sz w:val="20"/>
          <w:szCs w:val="20"/>
          <w:color w:val="auto"/>
        </w:rPr>
      </w:pPr>
      <w:r>
        <w:rPr>
          <w:rFonts w:ascii="Arial" w:cs="Arial" w:eastAsia="Arial" w:hAnsi="Arial"/>
          <w:sz w:val="18"/>
          <w:szCs w:val="18"/>
          <w:b w:val="1"/>
          <w:bCs w:val="1"/>
          <w:color w:val="auto"/>
        </w:rPr>
        <w:t>CORPORATE GOVERNANCE HIGHLIGHTS</w:t>
      </w:r>
    </w:p>
    <w:p>
      <w:pPr>
        <w:spacing w:after="0" w:line="139"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The following table summarizes our current Board structure and key elements of our corporate governance framework:</w:t>
      </w:r>
    </w:p>
    <w:p>
      <w:pPr>
        <w:spacing w:after="0" w:line="98"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3300" w:type="dxa"/>
            <w:vAlign w:val="bottom"/>
            <w:tcBorders>
              <w:top w:val="single" w:sz="8" w:color="auto"/>
              <w:left w:val="single" w:sz="8" w:color="auto"/>
              <w:bottom w:val="single" w:sz="8" w:color="auto"/>
            </w:tcBorders>
            <w:shd w:val="clear" w:color="auto" w:fill="248ED8"/>
          </w:tcPr>
          <w:p>
            <w:pPr>
              <w:ind w:left="80"/>
              <w:spacing w:after="0"/>
              <w:rPr>
                <w:sz w:val="20"/>
                <w:szCs w:val="20"/>
                <w:color w:val="auto"/>
              </w:rPr>
            </w:pPr>
            <w:r>
              <w:rPr>
                <w:rFonts w:ascii="Arial" w:cs="Arial" w:eastAsia="Arial" w:hAnsi="Arial"/>
                <w:sz w:val="16"/>
                <w:szCs w:val="16"/>
                <w:b w:val="1"/>
                <w:bCs w:val="1"/>
                <w:color w:val="FFFFFF"/>
              </w:rPr>
              <w:t>​</w:t>
            </w:r>
          </w:p>
        </w:tc>
        <w:tc>
          <w:tcPr>
            <w:tcW w:w="3160" w:type="dxa"/>
            <w:vAlign w:val="bottom"/>
            <w:tcBorders>
              <w:top w:val="single" w:sz="8" w:color="auto"/>
              <w:bottom w:val="single" w:sz="8" w:color="auto"/>
            </w:tcBorders>
            <w:shd w:val="clear" w:color="auto" w:fill="248ED8"/>
          </w:tcPr>
          <w:p>
            <w:pPr>
              <w:ind w:left="340"/>
              <w:spacing w:after="0"/>
              <w:rPr>
                <w:sz w:val="20"/>
                <w:szCs w:val="20"/>
                <w:color w:val="auto"/>
              </w:rPr>
            </w:pPr>
            <w:r>
              <w:rPr>
                <w:rFonts w:ascii="Arial" w:cs="Arial" w:eastAsia="Arial" w:hAnsi="Arial"/>
                <w:sz w:val="16"/>
                <w:szCs w:val="16"/>
                <w:b w:val="1"/>
                <w:bCs w:val="1"/>
                <w:color w:val="FFFFFF"/>
              </w:rPr>
              <w:t>GOVERNANCE ITEMS</w:t>
            </w:r>
          </w:p>
        </w:tc>
        <w:tc>
          <w:tcPr>
            <w:tcW w:w="1400" w:type="dxa"/>
            <w:vAlign w:val="bottom"/>
            <w:tcBorders>
              <w:top w:val="single" w:sz="8" w:color="auto"/>
              <w:bottom w:val="single" w:sz="8" w:color="auto"/>
            </w:tcBorders>
            <w:shd w:val="clear" w:color="auto" w:fill="248ED8"/>
          </w:tcPr>
          <w:p>
            <w:pPr>
              <w:spacing w:after="0"/>
              <w:rPr>
                <w:sz w:val="23"/>
                <w:szCs w:val="23"/>
                <w:color w:val="auto"/>
              </w:rPr>
            </w:pPr>
          </w:p>
        </w:tc>
        <w:tc>
          <w:tcPr>
            <w:tcW w:w="900" w:type="dxa"/>
            <w:vAlign w:val="bottom"/>
            <w:tcBorders>
              <w:top w:val="single" w:sz="8" w:color="auto"/>
              <w:bottom w:val="single" w:sz="8" w:color="auto"/>
            </w:tcBorders>
            <w:shd w:val="clear" w:color="auto" w:fill="248ED8"/>
          </w:tcPr>
          <w:p>
            <w:pPr>
              <w:spacing w:after="0"/>
              <w:rPr>
                <w:sz w:val="23"/>
                <w:szCs w:val="23"/>
                <w:color w:val="auto"/>
              </w:rPr>
            </w:pPr>
          </w:p>
        </w:tc>
        <w:tc>
          <w:tcPr>
            <w:tcW w:w="240" w:type="dxa"/>
            <w:vAlign w:val="bottom"/>
            <w:tcBorders>
              <w:top w:val="single" w:sz="8" w:color="auto"/>
              <w:bottom w:val="single" w:sz="8" w:color="auto"/>
              <w:right w:val="single" w:sz="8" w:color="auto"/>
            </w:tcBorders>
            <w:shd w:val="clear" w:color="auto" w:fill="248ED8"/>
          </w:tcPr>
          <w:p>
            <w:pPr>
              <w:ind w:left="160"/>
              <w:spacing w:after="0"/>
              <w:rPr>
                <w:sz w:val="20"/>
                <w:szCs w:val="20"/>
                <w:color w:val="auto"/>
              </w:rPr>
            </w:pPr>
            <w:r>
              <w:rPr>
                <w:rFonts w:ascii="Arial" w:cs="Arial" w:eastAsia="Arial" w:hAnsi="Arial"/>
                <w:sz w:val="16"/>
                <w:szCs w:val="16"/>
                <w:b w:val="1"/>
                <w:bCs w:val="1"/>
                <w:color w:val="FFFFFF"/>
              </w:rPr>
              <w:t>​</w:t>
            </w:r>
          </w:p>
        </w:tc>
      </w:tr>
      <w:tr>
        <w:trPr>
          <w:trHeight w:val="250"/>
        </w:trPr>
        <w:tc>
          <w:tcPr>
            <w:tcW w:w="330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Size of Board (set by the Board)</w:t>
            </w:r>
          </w:p>
        </w:tc>
        <w:tc>
          <w:tcPr>
            <w:tcW w:w="3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330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Number of Independent Directors</w:t>
            </w:r>
          </w:p>
        </w:tc>
        <w:tc>
          <w:tcPr>
            <w:tcW w:w="3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330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Independent Chairman of the Board</w:t>
            </w:r>
          </w:p>
        </w:tc>
        <w:tc>
          <w:tcPr>
            <w:tcW w:w="3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330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Board Self-Evaluation</w:t>
            </w:r>
          </w:p>
        </w:tc>
        <w:tc>
          <w:tcPr>
            <w:tcW w:w="3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Annual</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330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Review of Independence of Board</w:t>
            </w:r>
          </w:p>
        </w:tc>
        <w:tc>
          <w:tcPr>
            <w:tcW w:w="3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Annual</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646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Independent Directors Meet Without Management Present</w:t>
            </w: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646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Voting Standard for Election of Directors in Uncontested Elections</w:t>
            </w: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Plurality</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50"/>
        </w:trPr>
        <w:tc>
          <w:tcPr>
            <w:tcW w:w="646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Diversity of Board background, gender, experience and skills</w:t>
            </w:r>
          </w:p>
        </w:tc>
        <w:tc>
          <w:tcPr>
            <w:tcW w:w="14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bl>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RECENT CORPORATE HIGHLIGHTS</w:t>
      </w:r>
    </w:p>
    <w:p>
      <w:pPr>
        <w:spacing w:after="0" w:line="117" w:lineRule="exact"/>
        <w:rPr>
          <w:sz w:val="20"/>
          <w:szCs w:val="20"/>
          <w:color w:val="auto"/>
        </w:rPr>
      </w:pPr>
    </w:p>
    <w:p>
      <w:pPr>
        <w:jc w:val="both"/>
        <w:ind w:left="1420" w:right="39" w:hanging="190"/>
        <w:spacing w:after="0" w:line="268"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2021, we closed our initial public offering, or IPO, in which we issued and sold 12,132,500 shares of our common stock at a public offering price of $20.00 per share. We received net proceeds of $221.2 million after deducting underwriting discounts, commissions and other offering expenses.</w:t>
      </w:r>
    </w:p>
    <w:p>
      <w:pPr>
        <w:spacing w:after="0" w:line="62" w:lineRule="exact"/>
        <w:rPr>
          <w:rFonts w:ascii="Arial" w:cs="Arial" w:eastAsia="Arial" w:hAnsi="Arial"/>
          <w:sz w:val="18"/>
          <w:szCs w:val="18"/>
          <w:color w:val="auto"/>
        </w:rPr>
      </w:pPr>
    </w:p>
    <w:p>
      <w:pPr>
        <w:ind w:left="1420" w:right="39" w:hanging="190"/>
        <w:spacing w:after="0" w:line="287"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2021, we were added to the small-cap Russell 2000® Index as a part of the third quarter of 2021 Russell Indexes IPO additions.</w:t>
      </w:r>
    </w:p>
    <w:p>
      <w:pPr>
        <w:spacing w:after="0" w:line="31" w:lineRule="exact"/>
        <w:rPr>
          <w:rFonts w:ascii="Arial" w:cs="Arial" w:eastAsia="Arial" w:hAnsi="Arial"/>
          <w:sz w:val="18"/>
          <w:szCs w:val="18"/>
          <w:color w:val="auto"/>
        </w:rPr>
      </w:pPr>
    </w:p>
    <w:p>
      <w:pPr>
        <w:ind w:left="1420" w:hanging="190"/>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December 2021, we were selected for addition to the Nasdaq Stock Market LLC Biotechnology Index.</w:t>
      </w:r>
    </w:p>
    <w:p>
      <w:pPr>
        <w:spacing w:after="0" w:line="117" w:lineRule="exact"/>
        <w:rPr>
          <w:rFonts w:ascii="Arial" w:cs="Arial" w:eastAsia="Arial" w:hAnsi="Arial"/>
          <w:sz w:val="18"/>
          <w:szCs w:val="18"/>
          <w:color w:val="auto"/>
        </w:rPr>
      </w:pPr>
    </w:p>
    <w:p>
      <w:pPr>
        <w:jc w:val="both"/>
        <w:ind w:left="1420" w:right="19" w:hanging="190"/>
        <w:spacing w:after="0" w:line="256"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December 2021, we announced that, subject to U.S. Food and Drug Administration, or FDA, acceptance of our Investigational New Drug, or IND, application, we plan to initiate a Phase 1 trial, ELiPSE-1, to assess our lead product candidate, CNTY-101, in patients with relapsed/refractory aggressive lymphoma or indolent lymphoma after at least two prior lines of therapy, including patients who have received prior CAR T cell therapy. In vivo data presented at the Annual Society of Hematology (ASH) Annual Meeting in December demonstrated strong antitumor activity against human lymphoma cell lines with CNTY-101.</w:t>
      </w:r>
    </w:p>
    <w:p>
      <w:pPr>
        <w:spacing w:after="0" w:line="74" w:lineRule="exact"/>
        <w:rPr>
          <w:rFonts w:ascii="Arial" w:cs="Arial" w:eastAsia="Arial" w:hAnsi="Arial"/>
          <w:sz w:val="18"/>
          <w:szCs w:val="18"/>
          <w:color w:val="auto"/>
        </w:rPr>
      </w:pPr>
    </w:p>
    <w:p>
      <w:pPr>
        <w:jc w:val="both"/>
        <w:ind w:left="1420" w:right="19" w:hanging="190"/>
        <w:spacing w:after="0" w:line="259"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January 2022, we entered into a strategic collaboration with Bristol Myers Squibb to develop and commercialize up to four induced pluripotent stem cells, or iPSC, -derived, engineered natural killer cell, or iNK, and/or iPSC-derived T cells, or iT cells, programs for hematologic malignancies and solid tumors. Under the terms of the collaboration, we received a $100 million upfront payment and Bristol Myers Squibb made a $50 million equity investment in our common stock.</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2021 Corporate Reorganization</w:t>
      </w:r>
    </w:p>
    <w:p>
      <w:pPr>
        <w:spacing w:after="0" w:line="158" w:lineRule="exact"/>
        <w:rPr>
          <w:sz w:val="20"/>
          <w:szCs w:val="20"/>
          <w:color w:val="auto"/>
        </w:rPr>
      </w:pPr>
    </w:p>
    <w:p>
      <w:pPr>
        <w:jc w:val="both"/>
        <w:ind w:left="880" w:right="19"/>
        <w:spacing w:after="0" w:line="242" w:lineRule="auto"/>
        <w:rPr>
          <w:sz w:val="20"/>
          <w:szCs w:val="20"/>
          <w:color w:val="auto"/>
        </w:rPr>
      </w:pPr>
      <w:r>
        <w:rPr>
          <w:rFonts w:ascii="Arial" w:cs="Arial" w:eastAsia="Arial" w:hAnsi="Arial"/>
          <w:sz w:val="18"/>
          <w:szCs w:val="18"/>
          <w:color w:val="auto"/>
        </w:rPr>
        <w:t>We were formed in 2018 as Century Therapeutics, Inc., or Prior Century. In 2019, in connection with our investment from Bayer Healthcare LLC, or Bayer, Prior Century contributed substantially all of its operating assets and cash to a newly formed entity, Century Therapeutics, LLC, or the LLC Entity. We refer to this transaction as the 2019 Reorganization. Until February 2021, our business was operated through the LLC Entity. In February 2021, the LLC Entity converted from a Delaware limited liability company to a Delaware C corporation. Upon completion of this conversion, Prior Century, whose only significant asset was its equity investment in the LLC Entity, merged with the C corporation, and in connection therewith the C corporation changed its name to “Century Therapeutics, Inc.” We refer to these transactions as the 2021 Reorganization. As used in this Proxy Statement, unless the context otherwise requires, references to “we,” “us,” “our,” “the Company,” “Century,” and similar references refer to: (i) on or prior to June 2019, Prior Century, (ii) from June 2019 to the completion of the 2021 Reorganization, to the LLC Entity, and (iii) upon completion of the 2021 Reorganization, to Century Therapeutics, Inc.</w:t>
      </w:r>
    </w:p>
    <w:p>
      <w:pPr>
        <w:spacing w:after="0" w:line="290"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20" w:type="dxa"/>
            <w:vAlign w:val="bottom"/>
            <w:shd w:val="clear" w:color="auto" w:fill="27A770"/>
          </w:tcPr>
          <w:p>
            <w:pPr>
              <w:spacing w:after="0"/>
              <w:rPr>
                <w:sz w:val="24"/>
                <w:szCs w:val="24"/>
                <w:color w:val="auto"/>
              </w:rPr>
            </w:pPr>
          </w:p>
        </w:tc>
        <w:tc>
          <w:tcPr>
            <w:tcW w:w="8160" w:type="dxa"/>
            <w:vAlign w:val="bottom"/>
            <w:gridSpan w:val="30"/>
            <w:shd w:val="clear" w:color="auto" w:fill="27A770"/>
          </w:tcPr>
          <w:p>
            <w:pPr>
              <w:spacing w:after="0"/>
              <w:rPr>
                <w:sz w:val="20"/>
                <w:szCs w:val="20"/>
                <w:color w:val="auto"/>
              </w:rPr>
            </w:pPr>
            <w:r>
              <w:rPr>
                <w:rFonts w:ascii="Arial" w:cs="Arial" w:eastAsia="Arial" w:hAnsi="Arial"/>
                <w:sz w:val="32"/>
                <w:szCs w:val="32"/>
                <w:b w:val="1"/>
                <w:bCs w:val="1"/>
                <w:color w:val="FFFFFF"/>
              </w:rPr>
              <w:t>​TABLE OF CONTENTS</w:t>
            </w:r>
          </w:p>
        </w:tc>
        <w:tc>
          <w:tcPr>
            <w:tcW w:w="720" w:type="dxa"/>
            <w:vAlign w:val="bottom"/>
            <w:tcBorders>
              <w:right w:val="single" w:sz="8" w:color="27A770"/>
            </w:tcBorders>
            <w:shd w:val="clear" w:color="auto" w:fill="27A770"/>
          </w:tcPr>
          <w:p>
            <w:pPr>
              <w:spacing w:after="0"/>
              <w:rPr>
                <w:sz w:val="24"/>
                <w:szCs w:val="24"/>
                <w:color w:val="auto"/>
              </w:rPr>
            </w:pPr>
          </w:p>
        </w:tc>
        <w:tc>
          <w:tcPr>
            <w:tcW w:w="80" w:type="dxa"/>
            <w:vAlign w:val="bottom"/>
            <w:shd w:val="clear" w:color="auto" w:fill="27A770"/>
          </w:tcPr>
          <w:p>
            <w:pPr>
              <w:spacing w:after="0"/>
              <w:rPr>
                <w:sz w:val="20"/>
                <w:szCs w:val="20"/>
                <w:color w:val="auto"/>
              </w:rPr>
            </w:pPr>
            <w:r>
              <w:rPr>
                <w:rFonts w:ascii="Arial" w:cs="Arial" w:eastAsia="Arial" w:hAnsi="Arial"/>
                <w:sz w:val="32"/>
                <w:szCs w:val="32"/>
                <w:b w:val="1"/>
                <w:bCs w:val="1"/>
                <w:color w:val="FFFFFF"/>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0000EE"/>
            </w:tcBorders>
            <w:gridSpan w:val="3"/>
            <w:shd w:val="clear" w:color="auto" w:fill="CCEEFF"/>
          </w:tcPr>
          <w:p>
            <w:pPr>
              <w:spacing w:after="0" w:line="189" w:lineRule="exact"/>
              <w:rPr>
                <w:sz w:val="20"/>
                <w:szCs w:val="20"/>
                <w:color w:val="auto"/>
              </w:rPr>
            </w:pPr>
            <w:r>
              <w:rPr>
                <w:rFonts w:ascii="Arial" w:cs="Arial" w:eastAsia="Arial" w:hAnsi="Arial"/>
                <w:sz w:val="18"/>
                <w:szCs w:val="18"/>
                <w:color w:val="0000EE"/>
                <w:w w:val="97"/>
              </w:rPr>
              <w:t>SUMMARY</w:t>
            </w:r>
            <w:r>
              <w:rPr>
                <w:rFonts w:ascii="Arial" w:cs="Arial" w:eastAsia="Arial" w:hAnsi="Arial"/>
                <w:sz w:val="18"/>
                <w:szCs w:val="18"/>
                <w:color w:val="000000"/>
                <w:w w:val="97"/>
              </w:rPr>
              <w:t>​</w:t>
            </w:r>
          </w:p>
        </w:tc>
        <w:tc>
          <w:tcPr>
            <w:tcW w:w="1280" w:type="dxa"/>
            <w:vAlign w:val="bottom"/>
            <w:tcBorders>
              <w:bottom w:val="single" w:sz="8" w:color="0000EE"/>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0000EE"/>
                <w:w w:val="96"/>
              </w:rPr>
              <w:t>INFORMATION</w:t>
            </w:r>
          </w:p>
        </w:tc>
        <w:tc>
          <w:tcPr>
            <w:tcW w:w="5960" w:type="dxa"/>
            <w:vAlign w:val="bottom"/>
            <w:tcBorders>
              <w:bottom w:val="single" w:sz="8" w:color="CCEEFF"/>
            </w:tcBorders>
            <w:gridSpan w:val="24"/>
            <w:shd w:val="clear" w:color="auto" w:fill="CCEEFF"/>
          </w:tcPr>
          <w:p>
            <w:pPr>
              <w:spacing w:after="0"/>
              <w:rPr>
                <w:sz w:val="16"/>
                <w:szCs w:val="16"/>
                <w:color w:val="auto"/>
              </w:rPr>
            </w:pPr>
          </w:p>
        </w:tc>
        <w:tc>
          <w:tcPr>
            <w:tcW w:w="720" w:type="dxa"/>
            <w:vAlign w:val="bottom"/>
            <w:tcBorders>
              <w:bottom w:val="single" w:sz="8" w:color="CCEEFF"/>
              <w:right w:val="single" w:sz="8" w:color="CCEEFF"/>
            </w:tcBorders>
            <w:shd w:val="clear" w:color="auto" w:fill="CCEEFF"/>
          </w:tcPr>
          <w:p>
            <w:pPr>
              <w:ind w:left="380"/>
              <w:spacing w:after="0" w:line="189" w:lineRule="exact"/>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u w:val="single" w:color="auto"/>
                <w:color w:val="0000EE"/>
                <w:w w:val="98"/>
              </w:rPr>
              <w:t>i</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7440" w:type="dxa"/>
            <w:vAlign w:val="bottom"/>
            <w:gridSpan w:val="29"/>
          </w:tcPr>
          <w:p>
            <w:pPr>
              <w:spacing w:after="0"/>
              <w:rPr>
                <w:sz w:val="20"/>
                <w:szCs w:val="20"/>
                <w:color w:val="auto"/>
              </w:rPr>
            </w:pPr>
            <w:r>
              <w:rPr>
                <w:rFonts w:ascii="Arial" w:cs="Arial" w:eastAsia="Arial" w:hAnsi="Arial"/>
                <w:sz w:val="18"/>
                <w:szCs w:val="18"/>
                <w:color w:val="0000EE"/>
              </w:rPr>
              <w:t>CORPORATE GOVERNANCE HIGHLIGHTS</w:t>
            </w:r>
          </w:p>
        </w:tc>
        <w:tc>
          <w:tcPr>
            <w:tcW w:w="720" w:type="dxa"/>
            <w:vAlign w:val="bottom"/>
          </w:tcPr>
          <w:p>
            <w:pPr>
              <w:ind w:left="380"/>
              <w:spacing w:after="0"/>
              <w:rPr>
                <w:sz w:val="20"/>
                <w:szCs w:val="20"/>
                <w:color w:val="auto"/>
              </w:rPr>
            </w:pPr>
            <w:r>
              <w:rPr>
                <w:rFonts w:ascii="Arial" w:cs="Arial" w:eastAsia="Arial" w:hAnsi="Arial"/>
                <w:sz w:val="18"/>
                <w:szCs w:val="18"/>
                <w:color w:val="auto"/>
              </w:rPr>
              <w:t>​ ​​</w:t>
            </w:r>
          </w:p>
        </w:tc>
        <w:tc>
          <w:tcPr>
            <w:tcW w:w="140" w:type="dxa"/>
            <w:vAlign w:val="bottom"/>
            <w:gridSpan w:val="2"/>
          </w:tcPr>
          <w:p>
            <w:pPr>
              <w:jc w:val="center"/>
              <w:spacing w:after="0"/>
              <w:rPr>
                <w:sz w:val="20"/>
                <w:szCs w:val="20"/>
                <w:color w:val="auto"/>
              </w:rPr>
            </w:pPr>
            <w:r>
              <w:rPr>
                <w:rFonts w:ascii="Arial" w:cs="Arial" w:eastAsia="Arial" w:hAnsi="Arial"/>
                <w:sz w:val="18"/>
                <w:szCs w:val="18"/>
                <w:color w:val="0000EE"/>
              </w:rPr>
              <w:t>ii</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54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RECENT CORPORATE HIGHLIGHTS</w:t>
            </w:r>
          </w:p>
        </w:tc>
        <w:tc>
          <w:tcPr>
            <w:tcW w:w="3900" w:type="dxa"/>
            <w:vAlign w:val="bottom"/>
            <w:tcBorders>
              <w:left w:val="single" w:sz="8" w:color="CCEEFF"/>
            </w:tcBorders>
            <w:gridSpan w:val="12"/>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0000EE"/>
                <w:w w:val="99"/>
              </w:rPr>
              <w:t>ii</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3040" w:type="dxa"/>
            <w:vAlign w:val="bottom"/>
            <w:gridSpan w:val="14"/>
          </w:tcPr>
          <w:p>
            <w:pPr>
              <w:spacing w:after="0"/>
              <w:rPr>
                <w:sz w:val="20"/>
                <w:szCs w:val="20"/>
                <w:color w:val="auto"/>
              </w:rPr>
            </w:pPr>
            <w:r>
              <w:rPr>
                <w:rFonts w:ascii="Arial" w:cs="Arial" w:eastAsia="Arial" w:hAnsi="Arial"/>
                <w:sz w:val="18"/>
                <w:szCs w:val="18"/>
                <w:color w:val="0000EE"/>
              </w:rPr>
              <w:t>PROXY STATEMENT</w:t>
            </w:r>
          </w:p>
        </w:tc>
        <w:tc>
          <w:tcPr>
            <w:tcW w:w="4400" w:type="dxa"/>
            <w:vAlign w:val="bottom"/>
            <w:gridSpan w:val="15"/>
          </w:tcPr>
          <w:p>
            <w:pPr>
              <w:spacing w:after="0"/>
              <w:rPr>
                <w:sz w:val="20"/>
                <w:szCs w:val="20"/>
                <w:color w:val="auto"/>
              </w:rPr>
            </w:pPr>
          </w:p>
        </w:tc>
        <w:tc>
          <w:tcPr>
            <w:tcW w:w="720" w:type="dxa"/>
            <w:vAlign w:val="bottom"/>
          </w:tcPr>
          <w:p>
            <w:pPr>
              <w:ind w:left="380"/>
              <w:spacing w:after="0"/>
              <w:rPr>
                <w:sz w:val="20"/>
                <w:szCs w:val="20"/>
                <w:color w:val="auto"/>
              </w:rPr>
            </w:pPr>
            <w:r>
              <w:rPr>
                <w:rFonts w:ascii="Arial" w:cs="Arial" w:eastAsia="Arial" w:hAnsi="Arial"/>
                <w:sz w:val="18"/>
                <w:szCs w:val="18"/>
                <w:color w:val="auto"/>
              </w:rPr>
              <w:t>​ ​​</w:t>
            </w:r>
          </w:p>
        </w:tc>
        <w:tc>
          <w:tcPr>
            <w:tcW w:w="140" w:type="dxa"/>
            <w:vAlign w:val="bottom"/>
            <w:gridSpan w:val="2"/>
          </w:tcPr>
          <w:p>
            <w:pPr>
              <w:jc w:val="center"/>
              <w:spacing w:after="0"/>
              <w:rPr>
                <w:sz w:val="20"/>
                <w:szCs w:val="20"/>
                <w:color w:val="auto"/>
              </w:rPr>
            </w:pPr>
            <w:r>
              <w:rPr>
                <w:rFonts w:ascii="Arial" w:cs="Arial" w:eastAsia="Arial" w:hAnsi="Arial"/>
                <w:sz w:val="18"/>
                <w:szCs w:val="18"/>
                <w:color w:val="0000EE"/>
              </w:rPr>
              <w:t>iv</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0000EE"/>
                <w:w w:val="78"/>
              </w:rPr>
              <w:t>GENERAL</w:t>
            </w:r>
            <w:r>
              <w:rPr>
                <w:rFonts w:ascii="Arial" w:cs="Arial" w:eastAsia="Arial" w:hAnsi="Arial"/>
                <w:sz w:val="18"/>
                <w:szCs w:val="18"/>
                <w:color w:val="000000"/>
                <w:w w:val="78"/>
              </w:rPr>
              <w:t>​</w:t>
            </w:r>
          </w:p>
        </w:tc>
        <w:tc>
          <w:tcPr>
            <w:tcW w:w="160" w:type="dxa"/>
            <w:vAlign w:val="bottom"/>
            <w:shd w:val="clear" w:color="auto" w:fill="CCEEFF"/>
          </w:tcPr>
          <w:p>
            <w:pPr>
              <w:spacing w:after="0"/>
              <w:rPr>
                <w:sz w:val="24"/>
                <w:szCs w:val="24"/>
                <w:color w:val="auto"/>
              </w:rPr>
            </w:pPr>
          </w:p>
        </w:tc>
        <w:tc>
          <w:tcPr>
            <w:tcW w:w="3140" w:type="dxa"/>
            <w:vAlign w:val="bottom"/>
            <w:gridSpan w:val="15"/>
            <w:shd w:val="clear" w:color="auto" w:fill="CCEEFF"/>
          </w:tcPr>
          <w:p>
            <w:pPr>
              <w:ind w:left="20"/>
              <w:spacing w:after="0"/>
              <w:rPr>
                <w:sz w:val="20"/>
                <w:szCs w:val="20"/>
                <w:color w:val="auto"/>
              </w:rPr>
            </w:pPr>
            <w:r>
              <w:rPr>
                <w:rFonts w:ascii="Arial" w:cs="Arial" w:eastAsia="Arial" w:hAnsi="Arial"/>
                <w:sz w:val="18"/>
                <w:szCs w:val="18"/>
                <w:color w:val="0000EE"/>
                <w:w w:val="95"/>
              </w:rPr>
              <w:t>INFORMATION ABOUT THE MEETING</w:t>
            </w:r>
          </w:p>
        </w:tc>
        <w:tc>
          <w:tcPr>
            <w:tcW w:w="4140" w:type="dxa"/>
            <w:vAlign w:val="bottom"/>
            <w:tcBorders>
              <w:left w:val="single" w:sz="8" w:color="CCEEFF"/>
            </w:tcBorders>
            <w:gridSpan w:val="13"/>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0000EE"/>
                <w:w w:val="79"/>
              </w:rPr>
              <w:t>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gridSpan w:val="16"/>
          </w:tcPr>
          <w:p>
            <w:pPr>
              <w:spacing w:after="0"/>
              <w:rPr>
                <w:sz w:val="20"/>
                <w:szCs w:val="20"/>
                <w:color w:val="auto"/>
              </w:rPr>
            </w:pPr>
            <w:r>
              <w:rPr>
                <w:rFonts w:ascii="Arial" w:cs="Arial" w:eastAsia="Arial" w:hAnsi="Arial"/>
                <w:sz w:val="18"/>
                <w:szCs w:val="18"/>
                <w:color w:val="0000EE"/>
              </w:rPr>
              <w:t>PROXY SOLICITATION</w:t>
            </w:r>
          </w:p>
        </w:tc>
        <w:tc>
          <w:tcPr>
            <w:tcW w:w="4140" w:type="dxa"/>
            <w:vAlign w:val="bottom"/>
            <w:gridSpan w:val="13"/>
          </w:tcPr>
          <w:p>
            <w:pPr>
              <w:spacing w:after="0"/>
              <w:rPr>
                <w:sz w:val="20"/>
                <w:szCs w:val="20"/>
                <w:color w:val="auto"/>
              </w:rPr>
            </w:pPr>
          </w:p>
        </w:tc>
        <w:tc>
          <w:tcPr>
            <w:tcW w:w="720" w:type="dxa"/>
            <w:vAlign w:val="bottom"/>
          </w:tcPr>
          <w:p>
            <w:pPr>
              <w:ind w:left="380"/>
              <w:spacing w:after="0"/>
              <w:rPr>
                <w:sz w:val="20"/>
                <w:szCs w:val="20"/>
                <w:color w:val="auto"/>
              </w:rPr>
            </w:pPr>
            <w:r>
              <w:rPr>
                <w:rFonts w:ascii="Arial" w:cs="Arial" w:eastAsia="Arial" w:hAnsi="Arial"/>
                <w:sz w:val="18"/>
                <w:szCs w:val="18"/>
                <w:color w:val="auto"/>
              </w:rPr>
              <w:t>​ ​​</w:t>
            </w:r>
          </w:p>
        </w:tc>
        <w:tc>
          <w:tcPr>
            <w:tcW w:w="140" w:type="dxa"/>
            <w:vAlign w:val="bottom"/>
            <w:gridSpan w:val="2"/>
          </w:tcPr>
          <w:p>
            <w:pPr>
              <w:jc w:val="right"/>
              <w:spacing w:after="0"/>
              <w:rPr>
                <w:sz w:val="20"/>
                <w:szCs w:val="20"/>
                <w:color w:val="auto"/>
              </w:rPr>
            </w:pPr>
            <w:r>
              <w:rPr>
                <w:rFonts w:ascii="Arial" w:cs="Arial" w:eastAsia="Arial" w:hAnsi="Arial"/>
                <w:sz w:val="18"/>
                <w:szCs w:val="18"/>
                <w:color w:val="0000EE"/>
              </w:rPr>
              <w:t>1</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40" w:type="dxa"/>
            <w:vAlign w:val="bottom"/>
            <w:gridSpan w:val="29"/>
            <w:shd w:val="clear" w:color="auto" w:fill="CCEEFF"/>
          </w:tcPr>
          <w:p>
            <w:pPr>
              <w:spacing w:after="0"/>
              <w:rPr>
                <w:sz w:val="20"/>
                <w:szCs w:val="20"/>
                <w:color w:val="auto"/>
              </w:rPr>
            </w:pPr>
            <w:r>
              <w:rPr>
                <w:rFonts w:ascii="Arial" w:cs="Arial" w:eastAsia="Arial" w:hAnsi="Arial"/>
                <w:sz w:val="18"/>
                <w:szCs w:val="18"/>
                <w:color w:val="0000EE"/>
              </w:rPr>
              <w:t>STOCKHOLDERS ENTITLED TO VOTE</w:t>
            </w:r>
          </w:p>
        </w:tc>
        <w:tc>
          <w:tcPr>
            <w:tcW w:w="7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0000EE"/>
                <w:w w:val="79"/>
              </w:rPr>
              <w:t>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3220" w:type="dxa"/>
            <w:vAlign w:val="bottom"/>
            <w:gridSpan w:val="15"/>
          </w:tcPr>
          <w:p>
            <w:pPr>
              <w:spacing w:after="0"/>
              <w:rPr>
                <w:sz w:val="20"/>
                <w:szCs w:val="20"/>
                <w:color w:val="auto"/>
              </w:rPr>
            </w:pPr>
            <w:r>
              <w:rPr>
                <w:rFonts w:ascii="Arial" w:cs="Arial" w:eastAsia="Arial" w:hAnsi="Arial"/>
                <w:sz w:val="18"/>
                <w:szCs w:val="18"/>
                <w:color w:val="0000EE"/>
              </w:rPr>
              <w:t>VOTING METHODS</w:t>
            </w:r>
          </w:p>
        </w:tc>
        <w:tc>
          <w:tcPr>
            <w:tcW w:w="4220" w:type="dxa"/>
            <w:vAlign w:val="bottom"/>
            <w:gridSpan w:val="14"/>
          </w:tcPr>
          <w:p>
            <w:pPr>
              <w:spacing w:after="0"/>
              <w:rPr>
                <w:sz w:val="20"/>
                <w:szCs w:val="20"/>
                <w:color w:val="auto"/>
              </w:rPr>
            </w:pPr>
          </w:p>
        </w:tc>
        <w:tc>
          <w:tcPr>
            <w:tcW w:w="720" w:type="dxa"/>
            <w:vAlign w:val="bottom"/>
          </w:tcPr>
          <w:p>
            <w:pPr>
              <w:ind w:left="380"/>
              <w:spacing w:after="0"/>
              <w:rPr>
                <w:sz w:val="20"/>
                <w:szCs w:val="20"/>
                <w:color w:val="auto"/>
              </w:rPr>
            </w:pPr>
            <w:r>
              <w:rPr>
                <w:rFonts w:ascii="Arial" w:cs="Arial" w:eastAsia="Arial" w:hAnsi="Arial"/>
                <w:sz w:val="18"/>
                <w:szCs w:val="18"/>
                <w:color w:val="auto"/>
              </w:rPr>
              <w:t>​ ​​</w:t>
            </w:r>
          </w:p>
        </w:tc>
        <w:tc>
          <w:tcPr>
            <w:tcW w:w="140" w:type="dxa"/>
            <w:vAlign w:val="bottom"/>
            <w:gridSpan w:val="2"/>
          </w:tcPr>
          <w:p>
            <w:pPr>
              <w:jc w:val="right"/>
              <w:spacing w:after="0"/>
              <w:rPr>
                <w:sz w:val="20"/>
                <w:szCs w:val="20"/>
                <w:color w:val="auto"/>
              </w:rPr>
            </w:pPr>
            <w:r>
              <w:rPr>
                <w:rFonts w:ascii="Arial" w:cs="Arial" w:eastAsia="Arial" w:hAnsi="Arial"/>
                <w:sz w:val="18"/>
                <w:szCs w:val="18"/>
                <w:color w:val="0000EE"/>
              </w:rPr>
              <w:t>1</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40" w:type="dxa"/>
            <w:vAlign w:val="bottom"/>
            <w:gridSpan w:val="29"/>
            <w:shd w:val="clear" w:color="auto" w:fill="CCEEFF"/>
          </w:tcPr>
          <w:p>
            <w:pPr>
              <w:spacing w:after="0"/>
              <w:rPr>
                <w:sz w:val="20"/>
                <w:szCs w:val="20"/>
                <w:color w:val="auto"/>
              </w:rPr>
            </w:pPr>
            <w:r>
              <w:rPr>
                <w:rFonts w:ascii="Arial" w:cs="Arial" w:eastAsia="Arial" w:hAnsi="Arial"/>
                <w:sz w:val="18"/>
                <w:szCs w:val="18"/>
                <w:color w:val="0000EE"/>
              </w:rPr>
              <w:t>HOW YOUR SHARES WILL BE VOTED</w:t>
            </w:r>
          </w:p>
        </w:tc>
        <w:tc>
          <w:tcPr>
            <w:tcW w:w="7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0000EE"/>
                <w:w w:val="79"/>
              </w:rPr>
              <w:t>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5580" w:type="dxa"/>
            <w:vAlign w:val="bottom"/>
            <w:gridSpan w:val="24"/>
          </w:tcPr>
          <w:p>
            <w:pPr>
              <w:spacing w:after="0"/>
              <w:rPr>
                <w:sz w:val="20"/>
                <w:szCs w:val="20"/>
                <w:color w:val="auto"/>
              </w:rPr>
            </w:pPr>
            <w:r>
              <w:rPr>
                <w:rFonts w:ascii="Arial" w:cs="Arial" w:eastAsia="Arial" w:hAnsi="Arial"/>
                <w:sz w:val="18"/>
                <w:szCs w:val="18"/>
                <w:color w:val="0000EE"/>
                <w:w w:val="99"/>
              </w:rPr>
              <w:t>BROKER VOTING AND VOTES REQUIRED FOR EACH PROPOSAL</w:t>
            </w:r>
          </w:p>
        </w:tc>
        <w:tc>
          <w:tcPr>
            <w:tcW w:w="1860" w:type="dxa"/>
            <w:vAlign w:val="bottom"/>
            <w:gridSpan w:val="5"/>
          </w:tcPr>
          <w:p>
            <w:pPr>
              <w:spacing w:after="0"/>
              <w:rPr>
                <w:sz w:val="21"/>
                <w:szCs w:val="21"/>
                <w:color w:val="auto"/>
              </w:rPr>
            </w:pPr>
          </w:p>
        </w:tc>
        <w:tc>
          <w:tcPr>
            <w:tcW w:w="720" w:type="dxa"/>
            <w:vAlign w:val="bottom"/>
          </w:tcPr>
          <w:p>
            <w:pPr>
              <w:ind w:left="380"/>
              <w:spacing w:after="0"/>
              <w:rPr>
                <w:sz w:val="20"/>
                <w:szCs w:val="20"/>
                <w:color w:val="auto"/>
              </w:rPr>
            </w:pPr>
            <w:r>
              <w:rPr>
                <w:rFonts w:ascii="Arial" w:cs="Arial" w:eastAsia="Arial" w:hAnsi="Arial"/>
                <w:sz w:val="18"/>
                <w:szCs w:val="18"/>
                <w:color w:val="auto"/>
              </w:rPr>
              <w:t>​ ​​</w:t>
            </w:r>
          </w:p>
        </w:tc>
        <w:tc>
          <w:tcPr>
            <w:tcW w:w="140" w:type="dxa"/>
            <w:vAlign w:val="bottom"/>
            <w:gridSpan w:val="2"/>
          </w:tcPr>
          <w:p>
            <w:pPr>
              <w:jc w:val="right"/>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5580" w:type="dxa"/>
            <w:vAlign w:val="bottom"/>
            <w:gridSpan w:val="24"/>
            <w:shd w:val="clear" w:color="auto" w:fill="CCEEFF"/>
          </w:tcPr>
          <w:p>
            <w:pPr>
              <w:spacing w:after="0"/>
              <w:rPr>
                <w:sz w:val="20"/>
                <w:szCs w:val="20"/>
                <w:color w:val="auto"/>
              </w:rPr>
            </w:pPr>
            <w:r>
              <w:rPr>
                <w:rFonts w:ascii="Arial" w:cs="Arial" w:eastAsia="Arial" w:hAnsi="Arial"/>
                <w:sz w:val="18"/>
                <w:szCs w:val="18"/>
                <w:color w:val="0000EE"/>
              </w:rPr>
              <w:t>QUORUM</w:t>
            </w:r>
          </w:p>
        </w:tc>
        <w:tc>
          <w:tcPr>
            <w:tcW w:w="1860" w:type="dxa"/>
            <w:vAlign w:val="bottom"/>
            <w:gridSpan w:val="5"/>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0000EE"/>
                <w:w w:val="79"/>
              </w:rPr>
              <w:t>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gridSpan w:val="12"/>
          </w:tcPr>
          <w:p>
            <w:pPr>
              <w:spacing w:after="0"/>
              <w:rPr>
                <w:sz w:val="20"/>
                <w:szCs w:val="20"/>
                <w:color w:val="auto"/>
              </w:rPr>
            </w:pPr>
            <w:r>
              <w:rPr>
                <w:rFonts w:ascii="Arial" w:cs="Arial" w:eastAsia="Arial" w:hAnsi="Arial"/>
                <w:sz w:val="18"/>
                <w:szCs w:val="18"/>
                <w:color w:val="0000EE"/>
                <w:w w:val="94"/>
              </w:rPr>
              <w:t>PROXY SOLICITATION COSTS</w:t>
            </w:r>
          </w:p>
        </w:tc>
        <w:tc>
          <w:tcPr>
            <w:tcW w:w="4940" w:type="dxa"/>
            <w:vAlign w:val="bottom"/>
            <w:gridSpan w:val="17"/>
          </w:tcPr>
          <w:p>
            <w:pPr>
              <w:spacing w:after="0"/>
              <w:rPr>
                <w:sz w:val="21"/>
                <w:szCs w:val="21"/>
                <w:color w:val="auto"/>
              </w:rPr>
            </w:pPr>
          </w:p>
        </w:tc>
        <w:tc>
          <w:tcPr>
            <w:tcW w:w="720" w:type="dxa"/>
            <w:vAlign w:val="bottom"/>
          </w:tcPr>
          <w:p>
            <w:pPr>
              <w:ind w:left="380"/>
              <w:spacing w:after="0"/>
              <w:rPr>
                <w:sz w:val="20"/>
                <w:szCs w:val="20"/>
                <w:color w:val="auto"/>
              </w:rPr>
            </w:pPr>
            <w:r>
              <w:rPr>
                <w:rFonts w:ascii="Arial" w:cs="Arial" w:eastAsia="Arial" w:hAnsi="Arial"/>
                <w:sz w:val="18"/>
                <w:szCs w:val="18"/>
                <w:color w:val="auto"/>
              </w:rPr>
              <w:t>​ ​​</w:t>
            </w:r>
          </w:p>
        </w:tc>
        <w:tc>
          <w:tcPr>
            <w:tcW w:w="140" w:type="dxa"/>
            <w:vAlign w:val="bottom"/>
            <w:gridSpan w:val="2"/>
          </w:tcPr>
          <w:p>
            <w:pPr>
              <w:jc w:val="right"/>
              <w:spacing w:after="0"/>
              <w:rPr>
                <w:sz w:val="20"/>
                <w:szCs w:val="20"/>
                <w:color w:val="auto"/>
              </w:rPr>
            </w:pPr>
            <w:r>
              <w:rPr>
                <w:rFonts w:ascii="Arial" w:cs="Arial" w:eastAsia="Arial" w:hAnsi="Arial"/>
                <w:sz w:val="18"/>
                <w:szCs w:val="18"/>
                <w:color w:val="0000EE"/>
              </w:rPr>
              <w:t>2</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0000EE"/>
              </w:rPr>
              <w:t>BOARD</w:t>
            </w:r>
            <w:r>
              <w:rPr>
                <w:rFonts w:ascii="Arial" w:cs="Arial" w:eastAsia="Arial" w:hAnsi="Arial"/>
                <w:sz w:val="18"/>
                <w:szCs w:val="18"/>
                <w:color w:val="000000"/>
              </w:rPr>
              <w:t>​</w:t>
            </w:r>
          </w:p>
        </w:tc>
        <w:tc>
          <w:tcPr>
            <w:tcW w:w="7440" w:type="dxa"/>
            <w:vAlign w:val="bottom"/>
            <w:gridSpan w:val="29"/>
            <w:shd w:val="clear" w:color="auto" w:fill="CCEEFF"/>
          </w:tcPr>
          <w:p>
            <w:pPr>
              <w:spacing w:after="0"/>
              <w:rPr>
                <w:sz w:val="20"/>
                <w:szCs w:val="20"/>
                <w:color w:val="auto"/>
              </w:rPr>
            </w:pPr>
            <w:r>
              <w:rPr>
                <w:rFonts w:ascii="Arial" w:cs="Arial" w:eastAsia="Arial" w:hAnsi="Arial"/>
                <w:sz w:val="18"/>
                <w:szCs w:val="18"/>
                <w:color w:val="0000EE"/>
              </w:rPr>
              <w:t>OF DIRECTORS</w:t>
            </w:r>
          </w:p>
        </w:tc>
        <w:tc>
          <w:tcPr>
            <w:tcW w:w="7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0000EE"/>
                <w:w w:val="79"/>
              </w:rPr>
              <w:t>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3540" w:type="dxa"/>
            <w:vAlign w:val="bottom"/>
            <w:gridSpan w:val="17"/>
          </w:tcPr>
          <w:p>
            <w:pPr>
              <w:spacing w:after="0"/>
              <w:rPr>
                <w:sz w:val="20"/>
                <w:szCs w:val="20"/>
                <w:color w:val="auto"/>
              </w:rPr>
            </w:pPr>
            <w:r>
              <w:rPr>
                <w:rFonts w:ascii="Arial" w:cs="Arial" w:eastAsia="Arial" w:hAnsi="Arial"/>
                <w:sz w:val="18"/>
                <w:szCs w:val="18"/>
                <w:color w:val="0000EE"/>
                <w:w w:val="98"/>
              </w:rPr>
              <w:t>BOARD STRUCTURE AND COMPOSITION</w:t>
            </w:r>
          </w:p>
        </w:tc>
        <w:tc>
          <w:tcPr>
            <w:tcW w:w="3900" w:type="dxa"/>
            <w:vAlign w:val="bottom"/>
            <w:gridSpan w:val="12"/>
          </w:tcPr>
          <w:p>
            <w:pPr>
              <w:spacing w:after="0"/>
              <w:rPr>
                <w:sz w:val="21"/>
                <w:szCs w:val="21"/>
                <w:color w:val="auto"/>
              </w:rPr>
            </w:pPr>
          </w:p>
        </w:tc>
        <w:tc>
          <w:tcPr>
            <w:tcW w:w="720" w:type="dxa"/>
            <w:vAlign w:val="bottom"/>
          </w:tcPr>
          <w:p>
            <w:pPr>
              <w:ind w:left="380"/>
              <w:spacing w:after="0"/>
              <w:rPr>
                <w:sz w:val="20"/>
                <w:szCs w:val="20"/>
                <w:color w:val="auto"/>
              </w:rPr>
            </w:pPr>
            <w:r>
              <w:rPr>
                <w:rFonts w:ascii="Arial" w:cs="Arial" w:eastAsia="Arial" w:hAnsi="Arial"/>
                <w:sz w:val="18"/>
                <w:szCs w:val="18"/>
                <w:color w:val="auto"/>
              </w:rPr>
              <w:t>​ ​​</w:t>
            </w:r>
          </w:p>
        </w:tc>
        <w:tc>
          <w:tcPr>
            <w:tcW w:w="140" w:type="dxa"/>
            <w:vAlign w:val="bottom"/>
            <w:gridSpan w:val="2"/>
          </w:tcPr>
          <w:p>
            <w:pPr>
              <w:jc w:val="right"/>
              <w:spacing w:after="0"/>
              <w:rPr>
                <w:sz w:val="20"/>
                <w:szCs w:val="20"/>
                <w:color w:val="auto"/>
              </w:rPr>
            </w:pPr>
            <w:r>
              <w:rPr>
                <w:rFonts w:ascii="Arial" w:cs="Arial" w:eastAsia="Arial" w:hAnsi="Arial"/>
                <w:sz w:val="18"/>
                <w:szCs w:val="18"/>
                <w:color w:val="0000EE"/>
              </w:rPr>
              <w:t>3</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220" w:type="dxa"/>
            <w:vAlign w:val="bottom"/>
            <w:tcBorders>
              <w:right w:val="single" w:sz="8" w:color="CCEEFF"/>
            </w:tcBorders>
            <w:gridSpan w:val="15"/>
            <w:shd w:val="clear" w:color="auto" w:fill="CCEEFF"/>
          </w:tcPr>
          <w:p>
            <w:pPr>
              <w:spacing w:after="0"/>
              <w:rPr>
                <w:sz w:val="20"/>
                <w:szCs w:val="20"/>
                <w:color w:val="auto"/>
              </w:rPr>
            </w:pPr>
            <w:r>
              <w:rPr>
                <w:rFonts w:ascii="Arial" w:cs="Arial" w:eastAsia="Arial" w:hAnsi="Arial"/>
                <w:sz w:val="18"/>
                <w:szCs w:val="18"/>
                <w:color w:val="0000EE"/>
                <w:w w:val="98"/>
              </w:rPr>
              <w:t>CRITERIA FOR BOARD MEMBERSHIP</w:t>
            </w:r>
          </w:p>
        </w:tc>
        <w:tc>
          <w:tcPr>
            <w:tcW w:w="320" w:type="dxa"/>
            <w:vAlign w:val="bottom"/>
            <w:gridSpan w:val="2"/>
            <w:shd w:val="clear" w:color="auto" w:fill="CCEEFF"/>
          </w:tcPr>
          <w:p>
            <w:pPr>
              <w:spacing w:after="0"/>
              <w:rPr>
                <w:sz w:val="21"/>
                <w:szCs w:val="21"/>
                <w:color w:val="auto"/>
              </w:rPr>
            </w:pPr>
          </w:p>
        </w:tc>
        <w:tc>
          <w:tcPr>
            <w:tcW w:w="3900" w:type="dxa"/>
            <w:vAlign w:val="bottom"/>
            <w:tcBorders>
              <w:left w:val="single" w:sz="8" w:color="CCEEFF"/>
            </w:tcBorders>
            <w:gridSpan w:val="12"/>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0000EE"/>
                <w:w w:val="79"/>
              </w:rPr>
              <w:t>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2500" w:type="dxa"/>
            <w:vAlign w:val="bottom"/>
            <w:gridSpan w:val="12"/>
          </w:tcPr>
          <w:p>
            <w:pPr>
              <w:spacing w:after="0"/>
              <w:rPr>
                <w:sz w:val="20"/>
                <w:szCs w:val="20"/>
                <w:color w:val="auto"/>
              </w:rPr>
            </w:pPr>
            <w:r>
              <w:rPr>
                <w:rFonts w:ascii="Arial" w:cs="Arial" w:eastAsia="Arial" w:hAnsi="Arial"/>
                <w:sz w:val="18"/>
                <w:szCs w:val="18"/>
                <w:color w:val="0000EE"/>
                <w:w w:val="97"/>
              </w:rPr>
              <w:t>SELECTION OF CANDIDATES</w:t>
            </w:r>
          </w:p>
        </w:tc>
        <w:tc>
          <w:tcPr>
            <w:tcW w:w="720" w:type="dxa"/>
            <w:vAlign w:val="bottom"/>
            <w:gridSpan w:val="3"/>
          </w:tcPr>
          <w:p>
            <w:pPr>
              <w:spacing w:after="0"/>
              <w:rPr>
                <w:sz w:val="21"/>
                <w:szCs w:val="21"/>
                <w:color w:val="auto"/>
              </w:rPr>
            </w:pPr>
          </w:p>
        </w:tc>
        <w:tc>
          <w:tcPr>
            <w:tcW w:w="4220" w:type="dxa"/>
            <w:vAlign w:val="bottom"/>
            <w:gridSpan w:val="14"/>
          </w:tcPr>
          <w:p>
            <w:pPr>
              <w:spacing w:after="0"/>
              <w:rPr>
                <w:sz w:val="21"/>
                <w:szCs w:val="21"/>
                <w:color w:val="auto"/>
              </w:rPr>
            </w:pPr>
          </w:p>
        </w:tc>
        <w:tc>
          <w:tcPr>
            <w:tcW w:w="720" w:type="dxa"/>
            <w:vAlign w:val="bottom"/>
          </w:tcPr>
          <w:p>
            <w:pPr>
              <w:ind w:left="380"/>
              <w:spacing w:after="0"/>
              <w:rPr>
                <w:sz w:val="20"/>
                <w:szCs w:val="20"/>
                <w:color w:val="auto"/>
              </w:rPr>
            </w:pPr>
            <w:r>
              <w:rPr>
                <w:rFonts w:ascii="Arial" w:cs="Arial" w:eastAsia="Arial" w:hAnsi="Arial"/>
                <w:sz w:val="18"/>
                <w:szCs w:val="18"/>
                <w:color w:val="auto"/>
              </w:rPr>
              <w:t>​ ​​</w:t>
            </w:r>
          </w:p>
        </w:tc>
        <w:tc>
          <w:tcPr>
            <w:tcW w:w="140" w:type="dxa"/>
            <w:vAlign w:val="bottom"/>
            <w:gridSpan w:val="2"/>
          </w:tcPr>
          <w:p>
            <w:pPr>
              <w:jc w:val="right"/>
              <w:spacing w:after="0"/>
              <w:rPr>
                <w:sz w:val="20"/>
                <w:szCs w:val="20"/>
                <w:color w:val="auto"/>
              </w:rPr>
            </w:pPr>
            <w:r>
              <w:rPr>
                <w:rFonts w:ascii="Arial" w:cs="Arial" w:eastAsia="Arial" w:hAnsi="Arial"/>
                <w:sz w:val="18"/>
                <w:szCs w:val="18"/>
                <w:color w:val="0000EE"/>
              </w:rPr>
              <w:t>3</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500" w:type="dxa"/>
            <w:vAlign w:val="bottom"/>
            <w:gridSpan w:val="12"/>
            <w:shd w:val="clear" w:color="auto" w:fill="CCEEFF"/>
          </w:tcPr>
          <w:p>
            <w:pPr>
              <w:spacing w:after="0"/>
              <w:rPr>
                <w:sz w:val="20"/>
                <w:szCs w:val="20"/>
                <w:color w:val="auto"/>
              </w:rPr>
            </w:pPr>
            <w:r>
              <w:rPr>
                <w:rFonts w:ascii="Arial" w:cs="Arial" w:eastAsia="Arial" w:hAnsi="Arial"/>
                <w:sz w:val="18"/>
                <w:szCs w:val="18"/>
                <w:color w:val="0000EE"/>
              </w:rPr>
              <w:t>BOARD DIVERSITY</w:t>
            </w:r>
          </w:p>
        </w:tc>
        <w:tc>
          <w:tcPr>
            <w:tcW w:w="4940" w:type="dxa"/>
            <w:vAlign w:val="bottom"/>
            <w:tcBorders>
              <w:left w:val="single" w:sz="8" w:color="CCEEFF"/>
            </w:tcBorders>
            <w:gridSpan w:val="17"/>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0000EE"/>
                <w:w w:val="79"/>
              </w:rPr>
              <w:t>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auto"/>
              </w:rPr>
              <w:t>​</w:t>
            </w:r>
          </w:p>
        </w:tc>
        <w:tc>
          <w:tcPr>
            <w:tcW w:w="7440" w:type="dxa"/>
            <w:vAlign w:val="bottom"/>
            <w:gridSpan w:val="29"/>
          </w:tcPr>
          <w:p>
            <w:pPr>
              <w:spacing w:after="0"/>
              <w:rPr>
                <w:sz w:val="20"/>
                <w:szCs w:val="20"/>
                <w:color w:val="auto"/>
              </w:rPr>
            </w:pPr>
            <w:r>
              <w:rPr>
                <w:rFonts w:ascii="Arial" w:cs="Arial" w:eastAsia="Arial" w:hAnsi="Arial"/>
                <w:sz w:val="18"/>
                <w:szCs w:val="18"/>
                <w:color w:val="0000EE"/>
              </w:rPr>
              <w:t>BOARD OVERSIGHT OF COMPANY CULTURE AND ENVIRONMENTAL, SOCIAL AND</w:t>
            </w:r>
          </w:p>
        </w:tc>
        <w:tc>
          <w:tcPr>
            <w:tcW w:w="720" w:type="dxa"/>
            <w:vAlign w:val="bottom"/>
            <w:vMerge w:val="restart"/>
          </w:tcPr>
          <w:p>
            <w:pPr>
              <w:ind w:left="380"/>
              <w:spacing w:after="0"/>
              <w:rPr>
                <w:sz w:val="20"/>
                <w:szCs w:val="20"/>
                <w:color w:val="auto"/>
              </w:rPr>
            </w:pPr>
            <w:r>
              <w:rPr>
                <w:rFonts w:ascii="Arial" w:cs="Arial" w:eastAsia="Arial" w:hAnsi="Arial"/>
                <w:sz w:val="18"/>
                <w:szCs w:val="18"/>
                <w:color w:val="auto"/>
              </w:rPr>
              <w:t>​ ​​</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0000EE"/>
              </w:rPr>
              <w:t>6</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7040" w:type="dxa"/>
            <w:vAlign w:val="bottom"/>
            <w:tcBorders>
              <w:top w:val="single" w:sz="8" w:color="0000EE"/>
            </w:tcBorders>
            <w:gridSpan w:val="28"/>
          </w:tcPr>
          <w:p>
            <w:pPr>
              <w:spacing w:after="0" w:line="196" w:lineRule="exact"/>
              <w:rPr>
                <w:sz w:val="20"/>
                <w:szCs w:val="20"/>
                <w:color w:val="auto"/>
              </w:rPr>
            </w:pPr>
            <w:r>
              <w:rPr>
                <w:rFonts w:ascii="Arial" w:cs="Arial" w:eastAsia="Arial" w:hAnsi="Arial"/>
                <w:sz w:val="18"/>
                <w:szCs w:val="18"/>
                <w:color w:val="0000EE"/>
              </w:rPr>
              <w:t>GOVERNANCE HIGHLIGHTS</w:t>
            </w:r>
          </w:p>
        </w:tc>
        <w:tc>
          <w:tcPr>
            <w:tcW w:w="4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40" w:type="dxa"/>
            <w:vAlign w:val="bottom"/>
            <w:gridSpan w:val="29"/>
            <w:shd w:val="clear" w:color="auto" w:fill="CCEEFF"/>
          </w:tcPr>
          <w:p>
            <w:pPr>
              <w:spacing w:after="0"/>
              <w:rPr>
                <w:sz w:val="20"/>
                <w:szCs w:val="20"/>
                <w:color w:val="auto"/>
              </w:rPr>
            </w:pPr>
            <w:r>
              <w:rPr>
                <w:rFonts w:ascii="Arial" w:cs="Arial" w:eastAsia="Arial" w:hAnsi="Arial"/>
                <w:sz w:val="18"/>
                <w:szCs w:val="18"/>
                <w:color w:val="0000EE"/>
              </w:rPr>
              <w:t>DIRECTOR NOMINEES</w:t>
            </w:r>
          </w:p>
        </w:tc>
        <w:tc>
          <w:tcPr>
            <w:tcW w:w="7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0000EE"/>
                <w:w w:val="79"/>
              </w:rPr>
              <w:t>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7440" w:type="dxa"/>
            <w:vAlign w:val="bottom"/>
            <w:gridSpan w:val="29"/>
          </w:tcPr>
          <w:p>
            <w:pPr>
              <w:spacing w:after="0"/>
              <w:rPr>
                <w:sz w:val="20"/>
                <w:szCs w:val="20"/>
                <w:color w:val="auto"/>
              </w:rPr>
            </w:pPr>
            <w:r>
              <w:rPr>
                <w:rFonts w:ascii="Arial" w:cs="Arial" w:eastAsia="Arial" w:hAnsi="Arial"/>
                <w:sz w:val="18"/>
                <w:szCs w:val="18"/>
                <w:color w:val="0000EE"/>
              </w:rPr>
              <w:t>CONTINUING DIRECTORS</w:t>
            </w:r>
          </w:p>
        </w:tc>
        <w:tc>
          <w:tcPr>
            <w:tcW w:w="720" w:type="dxa"/>
            <w:vAlign w:val="bottom"/>
          </w:tcPr>
          <w:p>
            <w:pPr>
              <w:ind w:left="380"/>
              <w:spacing w:after="0"/>
              <w:rPr>
                <w:sz w:val="20"/>
                <w:szCs w:val="20"/>
                <w:color w:val="auto"/>
              </w:rPr>
            </w:pPr>
            <w:r>
              <w:rPr>
                <w:rFonts w:ascii="Arial" w:cs="Arial" w:eastAsia="Arial" w:hAnsi="Arial"/>
                <w:sz w:val="18"/>
                <w:szCs w:val="18"/>
                <w:color w:val="auto"/>
              </w:rPr>
              <w:t>​ ​​</w:t>
            </w:r>
          </w:p>
        </w:tc>
        <w:tc>
          <w:tcPr>
            <w:tcW w:w="140" w:type="dxa"/>
            <w:vAlign w:val="bottom"/>
            <w:gridSpan w:val="2"/>
          </w:tcPr>
          <w:p>
            <w:pPr>
              <w:jc w:val="right"/>
              <w:spacing w:after="0"/>
              <w:rPr>
                <w:sz w:val="20"/>
                <w:szCs w:val="20"/>
                <w:color w:val="auto"/>
              </w:rPr>
            </w:pPr>
            <w:r>
              <w:rPr>
                <w:rFonts w:ascii="Arial" w:cs="Arial" w:eastAsia="Arial" w:hAnsi="Arial"/>
                <w:sz w:val="18"/>
                <w:szCs w:val="18"/>
                <w:color w:val="0000EE"/>
              </w:rPr>
              <w:t>8</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8160" w:type="dxa"/>
            <w:vAlign w:val="bottom"/>
            <w:gridSpan w:val="30"/>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EE"/>
              </w:rPr>
              <w:t>CORPORATE GOVERNANCE AND RISK MANAGEMENT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gridSpan w:val="19"/>
          </w:tcPr>
          <w:p>
            <w:pPr>
              <w:spacing w:after="0"/>
              <w:rPr>
                <w:sz w:val="20"/>
                <w:szCs w:val="20"/>
                <w:color w:val="auto"/>
              </w:rPr>
            </w:pPr>
            <w:r>
              <w:rPr>
                <w:rFonts w:ascii="Arial" w:cs="Arial" w:eastAsia="Arial" w:hAnsi="Arial"/>
                <w:sz w:val="18"/>
                <w:szCs w:val="18"/>
                <w:color w:val="0000EE"/>
              </w:rPr>
              <w:t>BOARD INDEPENDENCE</w:t>
            </w:r>
          </w:p>
        </w:tc>
        <w:tc>
          <w:tcPr>
            <w:tcW w:w="3500" w:type="dxa"/>
            <w:vAlign w:val="bottom"/>
            <w:gridSpan w:val="10"/>
          </w:tcPr>
          <w:p>
            <w:pPr>
              <w:spacing w:after="0"/>
              <w:rPr>
                <w:sz w:val="21"/>
                <w:szCs w:val="21"/>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40" w:type="dxa"/>
            <w:vAlign w:val="bottom"/>
            <w:gridSpan w:val="29"/>
            <w:shd w:val="clear" w:color="auto" w:fill="CCEEFF"/>
          </w:tcPr>
          <w:p>
            <w:pPr>
              <w:spacing w:after="0"/>
              <w:rPr>
                <w:sz w:val="20"/>
                <w:szCs w:val="20"/>
                <w:color w:val="auto"/>
              </w:rPr>
            </w:pPr>
            <w:r>
              <w:rPr>
                <w:rFonts w:ascii="Arial" w:cs="Arial" w:eastAsia="Arial" w:hAnsi="Arial"/>
                <w:sz w:val="18"/>
                <w:szCs w:val="18"/>
                <w:color w:val="0000EE"/>
              </w:rPr>
              <w:t>BOARD LEADERSHIP STRUCTURE</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gridSpan w:val="8"/>
          </w:tcPr>
          <w:p>
            <w:pPr>
              <w:spacing w:after="0"/>
              <w:rPr>
                <w:sz w:val="20"/>
                <w:szCs w:val="20"/>
                <w:color w:val="auto"/>
              </w:rPr>
            </w:pPr>
            <w:r>
              <w:rPr>
                <w:rFonts w:ascii="Arial" w:cs="Arial" w:eastAsia="Arial" w:hAnsi="Arial"/>
                <w:sz w:val="18"/>
                <w:szCs w:val="18"/>
                <w:color w:val="0000EE"/>
                <w:w w:val="97"/>
              </w:rPr>
              <w:t>BOARD COMMITTEES</w:t>
            </w:r>
          </w:p>
        </w:tc>
        <w:tc>
          <w:tcPr>
            <w:tcW w:w="1160" w:type="dxa"/>
            <w:vAlign w:val="bottom"/>
            <w:gridSpan w:val="6"/>
          </w:tcPr>
          <w:p>
            <w:pPr>
              <w:spacing w:after="0"/>
              <w:rPr>
                <w:sz w:val="21"/>
                <w:szCs w:val="21"/>
                <w:color w:val="auto"/>
              </w:rPr>
            </w:pPr>
          </w:p>
        </w:tc>
        <w:tc>
          <w:tcPr>
            <w:tcW w:w="4400" w:type="dxa"/>
            <w:vAlign w:val="bottom"/>
            <w:gridSpan w:val="15"/>
          </w:tcPr>
          <w:p>
            <w:pPr>
              <w:spacing w:after="0"/>
              <w:rPr>
                <w:sz w:val="21"/>
                <w:szCs w:val="21"/>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80" w:type="dxa"/>
            <w:vAlign w:val="bottom"/>
            <w:gridSpan w:val="8"/>
            <w:shd w:val="clear" w:color="auto" w:fill="CCEEFF"/>
          </w:tcPr>
          <w:p>
            <w:pPr>
              <w:spacing w:after="0"/>
              <w:rPr>
                <w:sz w:val="20"/>
                <w:szCs w:val="20"/>
                <w:color w:val="auto"/>
              </w:rPr>
            </w:pPr>
            <w:r>
              <w:rPr>
                <w:rFonts w:ascii="Arial" w:cs="Arial" w:eastAsia="Arial" w:hAnsi="Arial"/>
                <w:sz w:val="18"/>
                <w:szCs w:val="18"/>
                <w:color w:val="0000EE"/>
              </w:rPr>
              <w:t>RISK MANAGEMENT</w:t>
            </w:r>
          </w:p>
        </w:tc>
        <w:tc>
          <w:tcPr>
            <w:tcW w:w="5560" w:type="dxa"/>
            <w:vAlign w:val="bottom"/>
            <w:tcBorders>
              <w:left w:val="single" w:sz="8" w:color="CCEEFF"/>
            </w:tcBorders>
            <w:gridSpan w:val="21"/>
            <w:shd w:val="clear" w:color="auto" w:fill="CCEEFF"/>
          </w:tcPr>
          <w:p>
            <w:pPr>
              <w:spacing w:after="0"/>
              <w:rPr>
                <w:sz w:val="21"/>
                <w:szCs w:val="21"/>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7440" w:type="dxa"/>
            <w:vAlign w:val="bottom"/>
            <w:gridSpan w:val="29"/>
          </w:tcPr>
          <w:p>
            <w:pPr>
              <w:spacing w:after="0"/>
              <w:rPr>
                <w:sz w:val="20"/>
                <w:szCs w:val="20"/>
                <w:color w:val="auto"/>
              </w:rPr>
            </w:pPr>
            <w:r>
              <w:rPr>
                <w:rFonts w:ascii="Arial" w:cs="Arial" w:eastAsia="Arial" w:hAnsi="Arial"/>
                <w:sz w:val="18"/>
                <w:szCs w:val="18"/>
                <w:color w:val="0000EE"/>
              </w:rPr>
              <w:t>EVALUATING BOARD EFFECTIVENESS</w:t>
            </w: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40" w:type="dxa"/>
            <w:vAlign w:val="bottom"/>
            <w:gridSpan w:val="29"/>
            <w:shd w:val="clear" w:color="auto" w:fill="CCEEFF"/>
          </w:tcPr>
          <w:p>
            <w:pPr>
              <w:spacing w:after="0"/>
              <w:rPr>
                <w:sz w:val="20"/>
                <w:szCs w:val="20"/>
                <w:color w:val="auto"/>
              </w:rPr>
            </w:pPr>
            <w:r>
              <w:rPr>
                <w:rFonts w:ascii="Arial" w:cs="Arial" w:eastAsia="Arial" w:hAnsi="Arial"/>
                <w:sz w:val="18"/>
                <w:szCs w:val="18"/>
                <w:color w:val="0000EE"/>
              </w:rPr>
              <w:t>CODE OF BUSINESS CONDUCT AND ETHICS</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4880" w:type="dxa"/>
            <w:vAlign w:val="bottom"/>
            <w:gridSpan w:val="22"/>
          </w:tcPr>
          <w:p>
            <w:pPr>
              <w:spacing w:after="0"/>
              <w:rPr>
                <w:sz w:val="20"/>
                <w:szCs w:val="20"/>
                <w:color w:val="auto"/>
              </w:rPr>
            </w:pPr>
            <w:r>
              <w:rPr>
                <w:rFonts w:ascii="Arial" w:cs="Arial" w:eastAsia="Arial" w:hAnsi="Arial"/>
                <w:sz w:val="18"/>
                <w:szCs w:val="18"/>
                <w:color w:val="0000EE"/>
                <w:w w:val="98"/>
              </w:rPr>
              <w:t>DIRECTOR ORIENTATION AND CONTINUING EDUCATION</w:t>
            </w:r>
          </w:p>
        </w:tc>
        <w:tc>
          <w:tcPr>
            <w:tcW w:w="2560" w:type="dxa"/>
            <w:vAlign w:val="bottom"/>
            <w:gridSpan w:val="7"/>
          </w:tcPr>
          <w:p>
            <w:pPr>
              <w:spacing w:after="0"/>
              <w:rPr>
                <w:sz w:val="21"/>
                <w:szCs w:val="21"/>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540" w:type="dxa"/>
            <w:vAlign w:val="bottom"/>
            <w:gridSpan w:val="17"/>
            <w:shd w:val="clear" w:color="auto" w:fill="CCEEFF"/>
          </w:tcPr>
          <w:p>
            <w:pPr>
              <w:spacing w:after="0"/>
              <w:rPr>
                <w:sz w:val="20"/>
                <w:szCs w:val="20"/>
                <w:color w:val="auto"/>
              </w:rPr>
            </w:pPr>
            <w:r>
              <w:rPr>
                <w:rFonts w:ascii="Arial" w:cs="Arial" w:eastAsia="Arial" w:hAnsi="Arial"/>
                <w:sz w:val="18"/>
                <w:szCs w:val="18"/>
                <w:color w:val="0000EE"/>
                <w:w w:val="96"/>
              </w:rPr>
              <w:t>CORPORATE GOVERNANCE GUIDELINES</w:t>
            </w:r>
          </w:p>
        </w:tc>
        <w:tc>
          <w:tcPr>
            <w:tcW w:w="1340" w:type="dxa"/>
            <w:vAlign w:val="bottom"/>
            <w:tcBorders>
              <w:left w:val="single" w:sz="8" w:color="CCEEFF"/>
            </w:tcBorders>
            <w:gridSpan w:val="5"/>
            <w:shd w:val="clear" w:color="auto" w:fill="CCEEFF"/>
          </w:tcPr>
          <w:p>
            <w:pPr>
              <w:spacing w:after="0"/>
              <w:rPr>
                <w:sz w:val="21"/>
                <w:szCs w:val="21"/>
                <w:color w:val="auto"/>
              </w:rPr>
            </w:pPr>
          </w:p>
        </w:tc>
        <w:tc>
          <w:tcPr>
            <w:tcW w:w="2560" w:type="dxa"/>
            <w:vAlign w:val="bottom"/>
            <w:gridSpan w:val="7"/>
            <w:shd w:val="clear" w:color="auto" w:fill="CCEEFF"/>
          </w:tcPr>
          <w:p>
            <w:pPr>
              <w:spacing w:after="0"/>
              <w:rPr>
                <w:sz w:val="21"/>
                <w:szCs w:val="21"/>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7440" w:type="dxa"/>
            <w:vAlign w:val="bottom"/>
            <w:gridSpan w:val="29"/>
          </w:tcPr>
          <w:p>
            <w:pPr>
              <w:spacing w:after="0"/>
              <w:rPr>
                <w:sz w:val="20"/>
                <w:szCs w:val="20"/>
                <w:color w:val="auto"/>
              </w:rPr>
            </w:pPr>
            <w:r>
              <w:rPr>
                <w:rFonts w:ascii="Arial" w:cs="Arial" w:eastAsia="Arial" w:hAnsi="Arial"/>
                <w:sz w:val="18"/>
                <w:szCs w:val="18"/>
                <w:color w:val="0000EE"/>
              </w:rPr>
              <w:t>BOARD ATTENDANCE, COMMITTEE MEETINGS AND COMMITTEE MEMBERSHIP</w:t>
            </w: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840" w:type="dxa"/>
            <w:vAlign w:val="bottom"/>
            <w:gridSpan w:val="27"/>
            <w:shd w:val="clear" w:color="auto" w:fill="CCEEFF"/>
          </w:tcPr>
          <w:p>
            <w:pPr>
              <w:spacing w:after="0"/>
              <w:rPr>
                <w:sz w:val="20"/>
                <w:szCs w:val="20"/>
                <w:color w:val="auto"/>
              </w:rPr>
            </w:pPr>
            <w:r>
              <w:rPr>
                <w:rFonts w:ascii="Arial" w:cs="Arial" w:eastAsia="Arial" w:hAnsi="Arial"/>
                <w:sz w:val="18"/>
                <w:szCs w:val="18"/>
                <w:color w:val="0000EE"/>
              </w:rPr>
              <w:t>COMPENSATION CONSULTANT</w:t>
            </w:r>
          </w:p>
        </w:tc>
        <w:tc>
          <w:tcPr>
            <w:tcW w:w="600" w:type="dxa"/>
            <w:vAlign w:val="bottom"/>
            <w:gridSpan w:val="2"/>
            <w:shd w:val="clear" w:color="auto" w:fill="CCEEFF"/>
          </w:tcPr>
          <w:p>
            <w:pPr>
              <w:spacing w:after="0"/>
              <w:rPr>
                <w:sz w:val="21"/>
                <w:szCs w:val="21"/>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6340" w:type="dxa"/>
            <w:vAlign w:val="bottom"/>
            <w:gridSpan w:val="26"/>
          </w:tcPr>
          <w:p>
            <w:pPr>
              <w:spacing w:after="0"/>
              <w:rPr>
                <w:sz w:val="20"/>
                <w:szCs w:val="20"/>
                <w:color w:val="auto"/>
              </w:rPr>
            </w:pPr>
            <w:r>
              <w:rPr>
                <w:rFonts w:ascii="Arial" w:cs="Arial" w:eastAsia="Arial" w:hAnsi="Arial"/>
                <w:sz w:val="18"/>
                <w:szCs w:val="18"/>
                <w:color w:val="0000EE"/>
                <w:w w:val="98"/>
              </w:rPr>
              <w:t>COMPENSATION COMMITTEE INTERLOCKS AND INSIDER PARTICIPATION</w:t>
            </w:r>
          </w:p>
        </w:tc>
        <w:tc>
          <w:tcPr>
            <w:tcW w:w="1100" w:type="dxa"/>
            <w:vAlign w:val="bottom"/>
            <w:gridSpan w:val="3"/>
          </w:tcPr>
          <w:p>
            <w:pPr>
              <w:spacing w:after="0"/>
              <w:rPr>
                <w:sz w:val="21"/>
                <w:szCs w:val="21"/>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340" w:type="dxa"/>
            <w:vAlign w:val="bottom"/>
            <w:gridSpan w:val="26"/>
            <w:shd w:val="clear" w:color="auto" w:fill="CCEEFF"/>
          </w:tcPr>
          <w:p>
            <w:pPr>
              <w:spacing w:after="0"/>
              <w:rPr>
                <w:sz w:val="20"/>
                <w:szCs w:val="20"/>
                <w:color w:val="auto"/>
              </w:rPr>
            </w:pPr>
            <w:r>
              <w:rPr>
                <w:rFonts w:ascii="Arial" w:cs="Arial" w:eastAsia="Arial" w:hAnsi="Arial"/>
                <w:sz w:val="18"/>
                <w:szCs w:val="18"/>
                <w:color w:val="0000EE"/>
              </w:rPr>
              <w:t>FAMILY RELATIONSHIPS</w:t>
            </w:r>
          </w:p>
        </w:tc>
        <w:tc>
          <w:tcPr>
            <w:tcW w:w="1100" w:type="dxa"/>
            <w:vAlign w:val="bottom"/>
            <w:gridSpan w:val="3"/>
            <w:shd w:val="clear" w:color="auto" w:fill="CCEEFF"/>
          </w:tcPr>
          <w:p>
            <w:pPr>
              <w:spacing w:after="0"/>
              <w:rPr>
                <w:sz w:val="21"/>
                <w:szCs w:val="21"/>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2680" w:type="dxa"/>
            <w:vAlign w:val="bottom"/>
            <w:gridSpan w:val="13"/>
          </w:tcPr>
          <w:p>
            <w:pPr>
              <w:spacing w:after="0"/>
              <w:rPr>
                <w:sz w:val="20"/>
                <w:szCs w:val="20"/>
                <w:color w:val="auto"/>
              </w:rPr>
            </w:pPr>
            <w:r>
              <w:rPr>
                <w:rFonts w:ascii="Arial" w:cs="Arial" w:eastAsia="Arial" w:hAnsi="Arial"/>
                <w:sz w:val="18"/>
                <w:szCs w:val="18"/>
                <w:color w:val="0000EE"/>
                <w:w w:val="97"/>
              </w:rPr>
              <w:t>STOCKHOLDER ENGAGEMENT</w:t>
            </w:r>
          </w:p>
        </w:tc>
        <w:tc>
          <w:tcPr>
            <w:tcW w:w="4760" w:type="dxa"/>
            <w:vAlign w:val="bottom"/>
            <w:gridSpan w:val="16"/>
          </w:tcPr>
          <w:p>
            <w:pPr>
              <w:spacing w:after="0"/>
              <w:rPr>
                <w:sz w:val="21"/>
                <w:szCs w:val="21"/>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2440" w:type="dxa"/>
            <w:vAlign w:val="bottom"/>
            <w:tcBorders>
              <w:righ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EE"/>
                <w:w w:val="97"/>
              </w:rPr>
              <w:t>DIRECTOR COMPENSATION</w:t>
            </w:r>
          </w:p>
        </w:tc>
        <w:tc>
          <w:tcPr>
            <w:tcW w:w="5720" w:type="dxa"/>
            <w:vAlign w:val="bottom"/>
            <w:tcBorders>
              <w:left w:val="single" w:sz="8" w:color="CCEEFF"/>
            </w:tcBorders>
            <w:gridSpan w:val="22"/>
            <w:shd w:val="clear" w:color="auto" w:fill="CCEEFF"/>
          </w:tcPr>
          <w:p>
            <w:pPr>
              <w:spacing w:after="0"/>
              <w:rPr>
                <w:sz w:val="24"/>
                <w:szCs w:val="24"/>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gridSpan w:val="21"/>
          </w:tcPr>
          <w:p>
            <w:pPr>
              <w:spacing w:after="0"/>
              <w:rPr>
                <w:sz w:val="20"/>
                <w:szCs w:val="20"/>
                <w:color w:val="auto"/>
              </w:rPr>
            </w:pPr>
            <w:r>
              <w:rPr>
                <w:rFonts w:ascii="Arial" w:cs="Arial" w:eastAsia="Arial" w:hAnsi="Arial"/>
                <w:sz w:val="18"/>
                <w:szCs w:val="18"/>
                <w:color w:val="0000EE"/>
                <w:w w:val="98"/>
              </w:rPr>
              <w:t>NON-EMPLOYEE DIRECTOR COMPENSATION POLICY</w:t>
            </w:r>
          </w:p>
        </w:tc>
        <w:tc>
          <w:tcPr>
            <w:tcW w:w="2820" w:type="dxa"/>
            <w:vAlign w:val="bottom"/>
            <w:gridSpan w:val="8"/>
          </w:tcPr>
          <w:p>
            <w:pPr>
              <w:spacing w:after="0"/>
              <w:rPr>
                <w:sz w:val="21"/>
                <w:szCs w:val="21"/>
                <w:color w:val="auto"/>
              </w:rPr>
            </w:pP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040" w:type="dxa"/>
            <w:vAlign w:val="bottom"/>
            <w:tcBorders>
              <w:right w:val="single" w:sz="8" w:color="CCEEFF"/>
            </w:tcBorders>
            <w:gridSpan w:val="14"/>
            <w:shd w:val="clear" w:color="auto" w:fill="CCEEFF"/>
          </w:tcPr>
          <w:p>
            <w:pPr>
              <w:spacing w:after="0"/>
              <w:rPr>
                <w:sz w:val="20"/>
                <w:szCs w:val="20"/>
                <w:color w:val="auto"/>
              </w:rPr>
            </w:pPr>
            <w:r>
              <w:rPr>
                <w:rFonts w:ascii="Arial" w:cs="Arial" w:eastAsia="Arial" w:hAnsi="Arial"/>
                <w:sz w:val="18"/>
                <w:szCs w:val="18"/>
                <w:color w:val="0000EE"/>
                <w:w w:val="97"/>
              </w:rPr>
              <w:t>DIRECTOR COMPENSATION TABLE</w:t>
            </w:r>
          </w:p>
        </w:tc>
        <w:tc>
          <w:tcPr>
            <w:tcW w:w="1580" w:type="dxa"/>
            <w:vAlign w:val="bottom"/>
            <w:gridSpan w:val="7"/>
            <w:shd w:val="clear" w:color="auto" w:fill="CCEEFF"/>
          </w:tcPr>
          <w:p>
            <w:pPr>
              <w:spacing w:after="0"/>
              <w:rPr>
                <w:sz w:val="21"/>
                <w:szCs w:val="21"/>
                <w:color w:val="auto"/>
              </w:rPr>
            </w:pPr>
          </w:p>
        </w:tc>
        <w:tc>
          <w:tcPr>
            <w:tcW w:w="2820" w:type="dxa"/>
            <w:vAlign w:val="bottom"/>
            <w:gridSpan w:val="8"/>
            <w:shd w:val="clear" w:color="auto" w:fill="CCEEFF"/>
          </w:tcPr>
          <w:p>
            <w:pPr>
              <w:spacing w:after="0"/>
              <w:rPr>
                <w:sz w:val="21"/>
                <w:szCs w:val="21"/>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18</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8160" w:type="dxa"/>
            <w:vAlign w:val="bottom"/>
            <w:gridSpan w:val="30"/>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EE"/>
              </w:rPr>
              <w:t>INDEPENDENT REGISTERED PUBLIC ACCOUNTING FIRM</w:t>
            </w: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7440" w:type="dxa"/>
            <w:vAlign w:val="bottom"/>
            <w:gridSpan w:val="29"/>
            <w:shd w:val="clear" w:color="auto" w:fill="CCEEFF"/>
          </w:tcPr>
          <w:p>
            <w:pPr>
              <w:spacing w:after="0"/>
              <w:rPr>
                <w:sz w:val="20"/>
                <w:szCs w:val="20"/>
                <w:color w:val="auto"/>
              </w:rPr>
            </w:pPr>
            <w:r>
              <w:rPr>
                <w:rFonts w:ascii="Arial" w:cs="Arial" w:eastAsia="Arial" w:hAnsi="Arial"/>
                <w:sz w:val="18"/>
                <w:szCs w:val="18"/>
                <w:color w:val="0000EE"/>
              </w:rPr>
              <w:t>INDEPENDENT REGISTERED PUBLIC ACCOUNTING FIRM FEES</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7440" w:type="dxa"/>
            <w:vAlign w:val="bottom"/>
            <w:gridSpan w:val="29"/>
          </w:tcPr>
          <w:p>
            <w:pPr>
              <w:spacing w:after="0"/>
              <w:rPr>
                <w:sz w:val="20"/>
                <w:szCs w:val="20"/>
                <w:color w:val="auto"/>
              </w:rPr>
            </w:pPr>
            <w:r>
              <w:rPr>
                <w:rFonts w:ascii="Arial" w:cs="Arial" w:eastAsia="Arial" w:hAnsi="Arial"/>
                <w:sz w:val="18"/>
                <w:szCs w:val="18"/>
                <w:color w:val="0000EE"/>
              </w:rPr>
              <w:t>AUDIT COMMITTEE PRE-APPROVAL POLICIES AND PROCEDURES</w:t>
            </w:r>
          </w:p>
        </w:tc>
        <w:tc>
          <w:tcPr>
            <w:tcW w:w="860" w:type="dxa"/>
            <w:vAlign w:val="bottom"/>
            <w:gridSpan w:val="3"/>
          </w:tcPr>
          <w:p>
            <w:pPr>
              <w:ind w:left="3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19</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880"/>
        <w:spacing w:after="0"/>
        <w:rPr>
          <w:sz w:val="20"/>
          <w:szCs w:val="20"/>
          <w:color w:val="auto"/>
        </w:rPr>
      </w:pPr>
      <w:r>
        <w:rPr>
          <w:rFonts w:ascii="Arial" w:cs="Arial" w:eastAsia="Arial" w:hAnsi="Arial"/>
          <w:sz w:val="32"/>
          <w:szCs w:val="32"/>
          <w:b w:val="1"/>
          <w:bCs w:val="1"/>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12"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AUDIT</w:t>
      </w:r>
      <w:r>
        <w:rPr>
          <w:rFonts w:ascii="Arial" w:cs="Arial" w:eastAsia="Arial" w:hAnsi="Arial"/>
          <w:sz w:val="18"/>
          <w:szCs w:val="18"/>
          <w:color w:val="000000"/>
        </w:rPr>
        <w:t>​</w:t>
      </w:r>
      <w:r>
        <w:rPr>
          <w:rFonts w:ascii="Arial" w:cs="Arial" w:eastAsia="Arial" w:hAnsi="Arial"/>
          <w:sz w:val="18"/>
          <w:szCs w:val="18"/>
          <w:color w:val="0000EE"/>
        </w:rPr>
        <w:t xml:space="preserve">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-110490</wp:posOffset>
            </wp:positionV>
            <wp:extent cx="5700395"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0395" cy="120015"/>
                    </a:xfrm>
                    <a:prstGeom prst="rect">
                      <a:avLst/>
                    </a:prstGeom>
                    <a:noFill/>
                  </pic:spPr>
                </pic:pic>
              </a:graphicData>
            </a:graphic>
          </wp:anchor>
        </w:drawing>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EXECUTIVE</w:t>
      </w:r>
      <w:r>
        <w:rPr>
          <w:rFonts w:ascii="Arial" w:cs="Arial" w:eastAsia="Arial" w:hAnsi="Arial"/>
          <w:sz w:val="18"/>
          <w:szCs w:val="18"/>
          <w:color w:val="000000"/>
        </w:rPr>
        <w:t>​</w:t>
      </w:r>
      <w:r>
        <w:rPr>
          <w:rFonts w:ascii="Arial" w:cs="Arial" w:eastAsia="Arial" w:hAnsi="Arial"/>
          <w:sz w:val="18"/>
          <w:szCs w:val="18"/>
          <w:color w:val="0000EE"/>
        </w:rPr>
        <w:t xml:space="preser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17780</wp:posOffset>
            </wp:positionV>
            <wp:extent cx="570039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552450</wp:posOffset>
            </wp:positionH>
            <wp:positionV relativeFrom="paragraph">
              <wp:posOffset>-7620</wp:posOffset>
            </wp:positionV>
            <wp:extent cx="1251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spacing w:after="0" w:line="39" w:lineRule="exact"/>
        <w:rPr>
          <w:sz w:val="20"/>
          <w:szCs w:val="20"/>
          <w:color w:val="auto"/>
        </w:rPr>
      </w:pPr>
    </w:p>
    <w:p>
      <w:pPr>
        <w:ind w:left="1600" w:hanging="730"/>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SUMMARY COMPENSATION TABLE</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PLEDGING AND HEDGING POLICIES</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OUTSTANDING EQUITY AWARDS AT FISCAL YEAR-END</w:t>
      </w:r>
    </w:p>
    <w:p>
      <w:pPr>
        <w:spacing w:after="0" w:line="49" w:lineRule="exact"/>
        <w:rPr>
          <w:rFonts w:ascii="Arial" w:cs="Arial" w:eastAsia="Arial" w:hAnsi="Arial"/>
          <w:sz w:val="18"/>
          <w:szCs w:val="18"/>
          <w:color w:val="auto"/>
        </w:rPr>
      </w:pPr>
    </w:p>
    <w:p>
      <w:pPr>
        <w:ind w:left="1600" w:hanging="730"/>
        <w:spacing w:after="0"/>
        <w:tabs>
          <w:tab w:leader="none" w:pos="16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0000EE"/>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-313055</wp:posOffset>
            </wp:positionV>
            <wp:extent cx="570039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12065</wp:posOffset>
            </wp:positionV>
            <wp:extent cx="570039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CERTAIN</w:t>
      </w:r>
      <w:r>
        <w:rPr>
          <w:rFonts w:ascii="Arial" w:cs="Arial" w:eastAsia="Arial" w:hAnsi="Arial"/>
          <w:sz w:val="18"/>
          <w:szCs w:val="18"/>
          <w:color w:val="000000"/>
        </w:rPr>
        <w:t>​</w:t>
      </w:r>
      <w:r>
        <w:rPr>
          <w:rFonts w:ascii="Arial" w:cs="Arial" w:eastAsia="Arial" w:hAnsi="Arial"/>
          <w:sz w:val="18"/>
          <w:szCs w:val="18"/>
          <w:color w:val="0000EE"/>
        </w:rPr>
        <w:t xml:space="preserve"> RELATIONSHIPS AND RELATED PARTY TRANSACTIONS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EQUITY</w:t>
      </w:r>
      <w:r>
        <w:rPr>
          <w:rFonts w:ascii="Arial" w:cs="Arial" w:eastAsia="Arial" w:hAnsi="Arial"/>
          <w:sz w:val="18"/>
          <w:szCs w:val="18"/>
          <w:color w:val="000000"/>
        </w:rPr>
        <w:t>​</w:t>
      </w:r>
      <w:r>
        <w:rPr>
          <w:rFonts w:ascii="Arial" w:cs="Arial" w:eastAsia="Arial" w:hAnsi="Arial"/>
          <w:sz w:val="18"/>
          <w:szCs w:val="18"/>
          <w:color w:val="0000EE"/>
        </w:rPr>
        <w:t xml:space="preserve">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24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00395" cy="248920"/>
                    </a:xfrm>
                    <a:prstGeom prst="rect">
                      <a:avLst/>
                    </a:prstGeom>
                    <a:noFill/>
                  </pic:spPr>
                </pic:pic>
              </a:graphicData>
            </a:graphic>
          </wp:anchor>
        </w:drawing>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SECURITY</w:t>
      </w:r>
      <w:r>
        <w:rPr>
          <w:rFonts w:ascii="Arial" w:cs="Arial" w:eastAsia="Arial" w:hAnsi="Arial"/>
          <w:sz w:val="18"/>
          <w:szCs w:val="18"/>
          <w:color w:val="000000"/>
        </w:rPr>
        <w:t>​</w:t>
      </w:r>
      <w:r>
        <w:rPr>
          <w:rFonts w:ascii="Arial" w:cs="Arial" w:eastAsia="Arial" w:hAnsi="Arial"/>
          <w:sz w:val="18"/>
          <w:szCs w:val="18"/>
          <w:color w:val="0000EE"/>
        </w:rPr>
        <w:t xml:space="preserve"> OWNERSHIP OF CERTAIN BENEFICIAL OWNERS AND MANAGEMENT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ITEMS</w:t>
      </w:r>
      <w:r>
        <w:rPr>
          <w:rFonts w:ascii="Arial" w:cs="Arial" w:eastAsia="Arial" w:hAnsi="Arial"/>
          <w:sz w:val="18"/>
          <w:szCs w:val="18"/>
          <w:color w:val="000000"/>
        </w:rPr>
        <w:t>​</w:t>
      </w:r>
      <w:r>
        <w:rPr>
          <w:rFonts w:ascii="Arial" w:cs="Arial" w:eastAsia="Arial" w:hAnsi="Arial"/>
          <w:sz w:val="18"/>
          <w:szCs w:val="18"/>
          <w:color w:val="0000EE"/>
        </w:rPr>
        <w:t xml:space="preserve">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-7620</wp:posOffset>
            </wp:positionV>
            <wp:extent cx="570039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334645"/>
                    </a:xfrm>
                    <a:prstGeom prst="rect">
                      <a:avLst/>
                    </a:prstGeom>
                    <a:noFill/>
                  </pic:spPr>
                </pic:pic>
              </a:graphicData>
            </a:graphic>
          </wp:anchor>
        </w:drawing>
      </w:r>
    </w:p>
    <w:p>
      <w:pPr>
        <w:spacing w:after="0" w:line="39"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0000EE"/>
        </w:rPr>
        <w:t>PROPOSAL 1: ELECTION OF CLASS I DIRECTORS FOR A THREE-YEAR TERM</w:t>
      </w:r>
    </w:p>
    <w:p>
      <w:pPr>
        <w:spacing w:after="0" w:line="18" w:lineRule="exact"/>
        <w:rPr>
          <w:sz w:val="20"/>
          <w:szCs w:val="20"/>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EXPIRING IN 2025</w:t>
      </w:r>
    </w:p>
    <w:p>
      <w:pPr>
        <w:spacing w:after="0" w:line="45"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7"/>
          <w:szCs w:val="17"/>
          <w:u w:val="single" w:color="auto"/>
          <w:color w:val="0000EE"/>
        </w:rPr>
        <w:t>PROPOSAL 2: RATIFICATION OF APPOINTMENT OF ERNST &amp; YOUNG LLP AS OUR</w:t>
      </w:r>
    </w:p>
    <w:p>
      <w:pPr>
        <w:spacing w:after="0" w:line="38" w:lineRule="exact"/>
        <w:rPr>
          <w:rFonts w:ascii="Arial" w:cs="Arial" w:eastAsia="Arial" w:hAnsi="Arial"/>
          <w:sz w:val="18"/>
          <w:szCs w:val="18"/>
          <w:color w:val="auto"/>
        </w:rPr>
      </w:pPr>
    </w:p>
    <w:p>
      <w:pPr>
        <w:ind w:left="1600" w:hanging="730"/>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INDEPENDENT REGISTERED PUBLIC ACCOUNTING FIRM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14605</wp:posOffset>
            </wp:positionV>
            <wp:extent cx="5700395"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222885"/>
                    </a:xfrm>
                    <a:prstGeom prst="rect">
                      <a:avLst/>
                    </a:prstGeom>
                    <a:noFill/>
                  </pic:spPr>
                </pic:pic>
              </a:graphicData>
            </a:graphic>
          </wp:anchor>
        </w:drawing>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8"/>
          <w:szCs w:val="18"/>
          <w:color w:val="0000EE"/>
        </w:rPr>
        <w:t>OTHER</w:t>
      </w:r>
      <w:r>
        <w:rPr>
          <w:rFonts w:ascii="Arial" w:cs="Arial" w:eastAsia="Arial" w:hAnsi="Arial"/>
          <w:sz w:val="18"/>
          <w:szCs w:val="18"/>
          <w:color w:val="000000"/>
        </w:rPr>
        <w:t>​</w:t>
      </w:r>
      <w:r>
        <w:rPr>
          <w:rFonts w:ascii="Arial" w:cs="Arial" w:eastAsia="Arial" w:hAnsi="Arial"/>
          <w:sz w:val="18"/>
          <w:szCs w:val="18"/>
          <w:color w:val="0000EE"/>
        </w:rPr>
        <w:t xml:space="preserve"> INFORMATION</w:t>
      </w:r>
    </w:p>
    <w:p>
      <w:pPr>
        <w:spacing w:after="0" w:line="63" w:lineRule="exact"/>
        <w:rPr>
          <w:sz w:val="20"/>
          <w:szCs w:val="20"/>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OTHER MATTERS</w:t>
      </w:r>
    </w:p>
    <w:p>
      <w:pPr>
        <w:spacing w:after="0" w:line="58"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u w:val="single" w:color="auto"/>
          <w:color w:val="0000EE"/>
        </w:rPr>
        <w:t>REQUIREMENTS FOR SUBMISSION OF STOCKHOLDER PROPOSALS FOR</w:t>
      </w:r>
    </w:p>
    <w:p>
      <w:pPr>
        <w:spacing w:after="0" w:line="17"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NEXT YEAR’S ANNUAL MEETING</w:t>
      </w:r>
    </w:p>
    <w:p>
      <w:pPr>
        <w:spacing w:after="0" w:line="58"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STOCKHOLDER COMMUNICATIONS TO THE BOARD</w:t>
      </w:r>
    </w:p>
    <w:p>
      <w:pPr>
        <w:spacing w:after="0" w:line="63" w:lineRule="exact"/>
        <w:rPr>
          <w:rFonts w:ascii="Arial" w:cs="Arial" w:eastAsia="Arial" w:hAnsi="Arial"/>
          <w:sz w:val="18"/>
          <w:szCs w:val="18"/>
          <w:color w:val="auto"/>
        </w:rPr>
      </w:pPr>
    </w:p>
    <w:p>
      <w:pPr>
        <w:ind w:left="1600" w:hanging="73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AVAILABILITY OF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-633095</wp:posOffset>
            </wp:positionV>
            <wp:extent cx="570039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308610"/>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-153035</wp:posOffset>
            </wp:positionV>
            <wp:extent cx="570039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left="320"/>
        <w:spacing w:after="0"/>
        <w:rPr>
          <w:sz w:val="20"/>
          <w:szCs w:val="20"/>
          <w:color w:val="auto"/>
        </w:rPr>
      </w:pPr>
      <w:r>
        <w:rPr>
          <w:rFonts w:ascii="Arial" w:cs="Arial" w:eastAsia="Arial" w:hAnsi="Arial"/>
          <w:sz w:val="32"/>
          <w:szCs w:val="32"/>
          <w:b w:val="1"/>
          <w:bCs w:val="1"/>
          <w:color w:val="FFFFFF"/>
        </w:rPr>
        <w: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20</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21</w:t>
      </w:r>
      <w:r>
        <w:rPr>
          <w:rFonts w:ascii="Arial" w:cs="Arial" w:eastAsia="Arial" w:hAnsi="Arial"/>
          <w:sz w:val="18"/>
          <w:szCs w:val="18"/>
          <w:color w:val="auto"/>
        </w:rPr>
        <w: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23</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24</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24</w:t>
      </w:r>
      <w:r>
        <w:rPr>
          <w:rFonts w:ascii="Arial" w:cs="Arial" w:eastAsia="Arial" w:hAnsi="Arial"/>
          <w:sz w:val="18"/>
          <w:szCs w:val="18"/>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25</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28</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32</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w:t>
      </w:r>
      <w:r>
        <w:rPr>
          <w:rFonts w:ascii="Arial" w:cs="Arial" w:eastAsia="Arial" w:hAnsi="Arial"/>
          <w:sz w:val="18"/>
          <w:szCs w:val="18"/>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35</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35</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36</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37</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37</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37</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38</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700" w:space="720"/>
            <w:col w:w="480"/>
          </w:cols>
          <w:pgMar w:left="580" w:top="97" w:right="1419" w:bottom="1440" w:gutter="0" w:footer="0" w:header="0"/>
          <w:type w:val="continuous"/>
        </w:sectPr>
      </w:pPr>
    </w:p>
    <w:p>
      <w:pPr>
        <w:spacing w:after="0" w:line="16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STATEMENT</w:t>
      </w:r>
    </w:p>
    <w:p>
      <w:pPr>
        <w:spacing w:after="0" w:line="158" w:lineRule="exact"/>
        <w:rPr>
          <w:sz w:val="20"/>
          <w:szCs w:val="20"/>
          <w:color w:val="auto"/>
        </w:rPr>
      </w:pPr>
    </w:p>
    <w:p>
      <w:pPr>
        <w:jc w:val="both"/>
        <w:ind w:left="880" w:right="40"/>
        <w:spacing w:after="0" w:line="262" w:lineRule="auto"/>
        <w:rPr>
          <w:sz w:val="20"/>
          <w:szCs w:val="20"/>
          <w:color w:val="auto"/>
        </w:rPr>
      </w:pPr>
      <w:r>
        <w:rPr>
          <w:rFonts w:ascii="Arial" w:cs="Arial" w:eastAsia="Arial" w:hAnsi="Arial"/>
          <w:sz w:val="18"/>
          <w:szCs w:val="18"/>
          <w:color w:val="auto"/>
        </w:rPr>
        <w:t>This Proxy Statement, with the enclosed proxy card, is being furnished to stockholders of Century Therapeutics, Inc. in connection with the solicitation by our Board of proxies to be voted at our Annual Meeting and at any postponements or adjournments thereof. The Annual Meeting will be held on Thursday, June 9, 2022, at 9:00 a.m., Eastern Time, via the Internet at https://web.lumiagm.com/265375813.</w:t>
      </w:r>
    </w:p>
    <w:p>
      <w:pPr>
        <w:spacing w:after="0" w:line="109" w:lineRule="exact"/>
        <w:rPr>
          <w:sz w:val="20"/>
          <w:szCs w:val="20"/>
          <w:color w:val="auto"/>
        </w:rPr>
      </w:pPr>
    </w:p>
    <w:p>
      <w:pPr>
        <w:jc w:val="both"/>
        <w:ind w:left="880" w:right="60"/>
        <w:spacing w:after="0" w:line="268" w:lineRule="auto"/>
        <w:rPr>
          <w:sz w:val="20"/>
          <w:szCs w:val="20"/>
          <w:color w:val="auto"/>
        </w:rPr>
      </w:pPr>
      <w:r>
        <w:rPr>
          <w:rFonts w:ascii="Arial" w:cs="Arial" w:eastAsia="Arial" w:hAnsi="Arial"/>
          <w:sz w:val="18"/>
          <w:szCs w:val="18"/>
          <w:color w:val="auto"/>
        </w:rPr>
        <w:t>This Proxy Statement and the enclosed proxy card are first being furnished to our stockholders on or about April 21, 2022. The Notice of Internet Availability of Proxy Materials being mailed to the stockholders is not part of the Proxy Statement.</w:t>
      </w:r>
    </w:p>
    <w:p>
      <w:pPr>
        <w:sectPr>
          <w:pgSz w:w="11900" w:h="16838" w:orient="portrait"/>
          <w:cols w:equalWidth="0" w:num="1">
            <w:col w:w="9900"/>
          </w:cols>
          <w:pgMar w:left="580" w:top="97"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56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​GENERAL INFORMATION ABOUT THE MEETING</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SOLICITATION</w:t>
      </w:r>
    </w:p>
    <w:p>
      <w:pPr>
        <w:spacing w:after="0" w:line="225"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b w:val="1"/>
          <w:bCs w:val="1"/>
          <w:color w:val="auto"/>
        </w:rPr>
        <w:t>Our Board is soliciting your vote on matters that will be presented at the Annual Meeting and at any adjournment or postponement thereof. This Proxy Statement contains information on these matters to assist you in voting your shares.</w:t>
      </w:r>
    </w:p>
    <w:p>
      <w:pPr>
        <w:spacing w:after="0" w:line="91" w:lineRule="exact"/>
        <w:rPr>
          <w:sz w:val="20"/>
          <w:szCs w:val="20"/>
          <w:color w:val="auto"/>
        </w:rPr>
      </w:pPr>
    </w:p>
    <w:p>
      <w:pPr>
        <w:jc w:val="both"/>
        <w:ind w:left="880" w:right="39"/>
        <w:spacing w:after="0" w:line="251" w:lineRule="auto"/>
        <w:rPr>
          <w:sz w:val="20"/>
          <w:szCs w:val="20"/>
          <w:color w:val="auto"/>
        </w:rPr>
      </w:pPr>
      <w:r>
        <w:rPr>
          <w:rFonts w:ascii="Arial" w:cs="Arial" w:eastAsia="Arial" w:hAnsi="Arial"/>
          <w:sz w:val="18"/>
          <w:szCs w:val="18"/>
          <w:color w:val="auto"/>
        </w:rPr>
        <w:t>This Proxy Statement and the proxy card are being furnished to our stockholders on or about April 21, 2022. This Proxy Statement and our 2021 Annual Report are available to holders of our common stock at www.astproxyportal.com/ast/24419. If you would like to receive, without charge, a paper copy of our 2021 Annual Report, including the financial statements, please send your request to Chief Business Officer, Century Therapeutics, Inc., 3675 Market Street, Philadelphia, PA 19104.</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STOCKHOLDERS ENTITLED TO VOTE</w:t>
      </w:r>
    </w:p>
    <w:p>
      <w:pPr>
        <w:spacing w:after="0" w:line="158"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All stockholders of record of our common stock at the close of business on April 18, 2022, or the Record Date, are entitled to receive the Notice and to vote their shares at the Annual Meeting. As of that date, 58,831,828 shares of our common stock were outstanding. Each share is entitled to one vote on each matter properly brought to the meeting.</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VOTING METHODS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may cast your vote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1400175</wp:posOffset>
            </wp:positionH>
            <wp:positionV relativeFrom="paragraph">
              <wp:posOffset>128905</wp:posOffset>
            </wp:positionV>
            <wp:extent cx="4003040" cy="154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030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HOW YOUR SHARES WILL BE VOTED</w:t>
      </w:r>
    </w:p>
    <w:p>
      <w:pPr>
        <w:spacing w:after="0" w:line="158"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w:t>
      </w:r>
    </w:p>
    <w:p>
      <w:pPr>
        <w:spacing w:after="0" w:line="62" w:lineRule="exact"/>
        <w:rPr>
          <w:sz w:val="20"/>
          <w:szCs w:val="20"/>
          <w:color w:val="auto"/>
        </w:rPr>
      </w:pPr>
    </w:p>
    <w:p>
      <w:pPr>
        <w:jc w:val="both"/>
        <w:ind w:left="1420" w:right="39" w:hanging="190"/>
        <w:spacing w:after="0" w:line="268"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over the Internet or by telephone as instructed above. Only your latest Internet or telephone vote is counted. You may not revoke or change your vote over the Internet or by telephone after 11:59 p.m., Eastern Time, on June 8, 2022.</w:t>
      </w:r>
    </w:p>
    <w:p>
      <w:pPr>
        <w:spacing w:after="0" w:line="62" w:lineRule="exact"/>
        <w:rPr>
          <w:rFonts w:ascii="Arial" w:cs="Arial" w:eastAsia="Arial" w:hAnsi="Arial"/>
          <w:sz w:val="18"/>
          <w:szCs w:val="18"/>
          <w:color w:val="auto"/>
        </w:rPr>
      </w:pPr>
    </w:p>
    <w:p>
      <w:pPr>
        <w:ind w:left="1420" w:right="19" w:hanging="190"/>
        <w:spacing w:after="0" w:line="287"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 a new proxy card and submit it by mail, which must be received no later than June 8, 2022. Only your latest dated proxy card will be counted.</w:t>
      </w:r>
    </w:p>
    <w:p>
      <w:pPr>
        <w:spacing w:after="0" w:line="44" w:lineRule="exact"/>
        <w:rPr>
          <w:rFonts w:ascii="Arial" w:cs="Arial" w:eastAsia="Arial" w:hAnsi="Arial"/>
          <w:sz w:val="18"/>
          <w:szCs w:val="18"/>
          <w:color w:val="auto"/>
        </w:rPr>
      </w:pPr>
    </w:p>
    <w:p>
      <w:pPr>
        <w:ind w:left="1420" w:hanging="190"/>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Give our Secretary written notice before or during the meeting that you want to revoke your proxy.</w:t>
      </w:r>
    </w:p>
    <w:p>
      <w:pPr>
        <w:spacing w:after="0" w:line="117" w:lineRule="exact"/>
        <w:rPr>
          <w:rFonts w:ascii="Arial" w:cs="Arial" w:eastAsia="Arial" w:hAnsi="Arial"/>
          <w:sz w:val="18"/>
          <w:szCs w:val="18"/>
          <w:color w:val="auto"/>
        </w:rPr>
      </w:pPr>
    </w:p>
    <w:p>
      <w:pPr>
        <w:ind w:left="1420" w:right="39" w:hanging="190"/>
        <w:spacing w:after="0" w:line="287"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Virtually attend the Annual Meeting at https://web.lumiagm.com/265375813. Virtually attending the Annual Meeting will not by itself revoke a previously granted proxy.</w:t>
      </w:r>
    </w:p>
    <w:p>
      <w:pPr>
        <w:spacing w:after="0" w:line="72"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If your shares are held by your broker, bank or other holder of record as a nominee or agent (i.e., the shares are held in “street name”), you should follow the instructions provided by your broker, bank or other holder of record.</w:t>
      </w:r>
    </w:p>
    <w:p>
      <w:pPr>
        <w:spacing w:after="0" w:line="72" w:lineRule="exact"/>
        <w:rPr>
          <w:sz w:val="20"/>
          <w:szCs w:val="20"/>
          <w:color w:val="auto"/>
        </w:rPr>
      </w:pPr>
    </w:p>
    <w:p>
      <w:pPr>
        <w:ind w:left="880" w:right="19"/>
        <w:spacing w:after="0" w:line="271" w:lineRule="auto"/>
        <w:rPr>
          <w:sz w:val="20"/>
          <w:szCs w:val="20"/>
          <w:color w:val="auto"/>
        </w:rPr>
      </w:pPr>
      <w:r>
        <w:rPr>
          <w:rFonts w:ascii="Arial" w:cs="Arial" w:eastAsia="Arial" w:hAnsi="Arial"/>
          <w:sz w:val="18"/>
          <w:szCs w:val="18"/>
          <w:i w:val="1"/>
          <w:iCs w:val="1"/>
          <w:color w:val="auto"/>
        </w:rPr>
        <w:t>Deadline for Voting</w:t>
      </w:r>
      <w:r>
        <w:rPr>
          <w:rFonts w:ascii="Arial" w:cs="Arial" w:eastAsia="Arial" w:hAnsi="Arial"/>
          <w:sz w:val="18"/>
          <w:szCs w:val="18"/>
          <w:color w:val="auto"/>
        </w:rPr>
        <w:t>. The deadline for voting by telephone or Internet, other than by virtually attending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is 11:59 p.m. Eastern Time on June 8, 2022. If you are a registered stockholder and virtually attend the</w:t>
      </w:r>
    </w:p>
    <w:p>
      <w:pPr>
        <w:spacing w:after="0" w:line="26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​GENERAL INFORMATION ABOUT THE MEETING</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Annual Meeting, you may deliver your vote online during the Annual Meeting. “Street name” stockholders who wish to vote at the Annual Meeting will need to obtain a proxy form from the institution that holds their shares.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BROKER VOTING AND VOTES REQUIRED FOR EACH PROPOSAL</w:t>
      </w:r>
    </w:p>
    <w:p>
      <w:pPr>
        <w:spacing w:after="0" w:line="144" w:lineRule="exact"/>
        <w:rPr>
          <w:sz w:val="20"/>
          <w:szCs w:val="20"/>
          <w:color w:val="auto"/>
        </w:rPr>
      </w:pPr>
    </w:p>
    <w:p>
      <w:pPr>
        <w:jc w:val="both"/>
        <w:ind w:left="880" w:right="19"/>
        <w:spacing w:after="0" w:line="259" w:lineRule="auto"/>
        <w:rPr>
          <w:sz w:val="20"/>
          <w:szCs w:val="20"/>
          <w:color w:val="auto"/>
        </w:rPr>
      </w:pPr>
      <w:r>
        <w:rPr>
          <w:rFonts w:ascii="Arial" w:cs="Arial" w:eastAsia="Arial" w:hAnsi="Arial"/>
          <w:sz w:val="18"/>
          <w:szCs w:val="18"/>
          <w:color w:val="auto"/>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p>
    <w:p>
      <w:pPr>
        <w:spacing w:after="0" w:line="112"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broker non-votes and abstentions are treated with respect to our proposals:</w:t>
      </w:r>
    </w:p>
    <w:p>
      <w:pPr>
        <w:spacing w:after="0" w:line="135" w:lineRule="exact"/>
        <w:rPr>
          <w:sz w:val="20"/>
          <w:szCs w:val="20"/>
          <w:color w:val="auto"/>
        </w:rPr>
      </w:pPr>
    </w:p>
    <w:tbl>
      <w:tblPr>
        <w:tblLayout w:type="fixed"/>
        <w:tblInd w:w="870" w:type="dxa"/>
        <w:tblCellMar>
          <w:top w:w="0" w:type="dxa"/>
          <w:left w:w="0" w:type="dxa"/>
          <w:bottom w:w="0" w:type="dxa"/>
          <w:right w:w="0" w:type="dxa"/>
        </w:tblCellMar>
      </w:tblPr>
      <w:tr>
        <w:trPr>
          <w:trHeight w:val="257"/>
        </w:trPr>
        <w:tc>
          <w:tcPr>
            <w:tcW w:w="2100" w:type="dxa"/>
            <w:vAlign w:val="bottom"/>
            <w:tcBorders>
              <w:top w:val="single" w:sz="8" w:color="auto"/>
              <w:left w:val="single" w:sz="8" w:color="auto"/>
            </w:tcBorders>
            <w:vMerge w:val="restart"/>
            <w:shd w:val="clear" w:color="auto" w:fill="248ED8"/>
          </w:tcPr>
          <w:p>
            <w:pPr>
              <w:ind w:left="80"/>
              <w:spacing w:after="0"/>
              <w:rPr>
                <w:sz w:val="20"/>
                <w:szCs w:val="20"/>
                <w:color w:val="auto"/>
              </w:rPr>
            </w:pPr>
            <w:r>
              <w:rPr>
                <w:rFonts w:ascii="Arial" w:cs="Arial" w:eastAsia="Arial" w:hAnsi="Arial"/>
                <w:sz w:val="16"/>
                <w:szCs w:val="16"/>
                <w:b w:val="1"/>
                <w:bCs w:val="1"/>
                <w:color w:val="FFFFFF"/>
              </w:rPr>
              <w:t>​   VOTING MATTERS</w:t>
            </w:r>
          </w:p>
        </w:tc>
        <w:tc>
          <w:tcPr>
            <w:tcW w:w="2280" w:type="dxa"/>
            <w:vAlign w:val="bottom"/>
            <w:tcBorders>
              <w:top w:val="single" w:sz="8" w:color="auto"/>
            </w:tcBorders>
            <w:vMerge w:val="restart"/>
            <w:shd w:val="clear" w:color="auto" w:fill="248ED8"/>
          </w:tcPr>
          <w:p>
            <w:pPr>
              <w:ind w:left="60"/>
              <w:spacing w:after="0"/>
              <w:rPr>
                <w:sz w:val="20"/>
                <w:szCs w:val="20"/>
                <w:color w:val="auto"/>
              </w:rPr>
            </w:pPr>
            <w:r>
              <w:rPr>
                <w:rFonts w:ascii="Arial" w:cs="Arial" w:eastAsia="Arial" w:hAnsi="Arial"/>
                <w:sz w:val="16"/>
                <w:szCs w:val="16"/>
                <w:b w:val="1"/>
                <w:bCs w:val="1"/>
                <w:color w:val="FFFFFF"/>
              </w:rPr>
              <w:t>​ ​    VOTES REQUIRED</w:t>
            </w:r>
          </w:p>
        </w:tc>
        <w:tc>
          <w:tcPr>
            <w:tcW w:w="220" w:type="dxa"/>
            <w:vAlign w:val="bottom"/>
            <w:tcBorders>
              <w:top w:val="single" w:sz="8" w:color="auto"/>
            </w:tcBorders>
            <w:vMerge w:val="restart"/>
            <w:shd w:val="clear" w:color="auto" w:fill="248ED8"/>
          </w:tcPr>
          <w:p>
            <w:pPr>
              <w:jc w:val="right"/>
              <w:spacing w:after="0"/>
              <w:rPr>
                <w:sz w:val="20"/>
                <w:szCs w:val="20"/>
                <w:color w:val="auto"/>
              </w:rPr>
            </w:pPr>
            <w:r>
              <w:rPr>
                <w:rFonts w:ascii="Arial" w:cs="Arial" w:eastAsia="Arial" w:hAnsi="Arial"/>
                <w:sz w:val="16"/>
                <w:szCs w:val="16"/>
                <w:b w:val="1"/>
                <w:bCs w:val="1"/>
                <w:color w:val="FFFFFF"/>
              </w:rPr>
              <w:t>​ ​</w:t>
            </w:r>
          </w:p>
        </w:tc>
        <w:tc>
          <w:tcPr>
            <w:tcW w:w="2040" w:type="dxa"/>
            <w:vAlign w:val="bottom"/>
            <w:tcBorders>
              <w:top w:val="single" w:sz="8" w:color="auto"/>
            </w:tcBorders>
            <w:shd w:val="clear" w:color="auto" w:fill="248ED8"/>
          </w:tcPr>
          <w:p>
            <w:pPr>
              <w:jc w:val="center"/>
              <w:spacing w:after="0"/>
              <w:rPr>
                <w:sz w:val="20"/>
                <w:szCs w:val="20"/>
                <w:color w:val="auto"/>
              </w:rPr>
            </w:pPr>
            <w:r>
              <w:rPr>
                <w:rFonts w:ascii="Arial" w:cs="Arial" w:eastAsia="Arial" w:hAnsi="Arial"/>
                <w:sz w:val="16"/>
                <w:szCs w:val="16"/>
                <w:b w:val="1"/>
                <w:bCs w:val="1"/>
                <w:color w:val="FFFFFF"/>
              </w:rPr>
              <w:t>TREATMENT OF</w:t>
            </w:r>
          </w:p>
        </w:tc>
        <w:tc>
          <w:tcPr>
            <w:tcW w:w="360" w:type="dxa"/>
            <w:vAlign w:val="bottom"/>
            <w:tcBorders>
              <w:top w:val="single" w:sz="8" w:color="auto"/>
            </w:tcBorders>
            <w:vMerge w:val="restart"/>
            <w:shd w:val="clear" w:color="auto" w:fill="248ED8"/>
          </w:tcPr>
          <w:p>
            <w:pPr>
              <w:ind w:left="40"/>
              <w:spacing w:after="0"/>
              <w:rPr>
                <w:sz w:val="20"/>
                <w:szCs w:val="20"/>
                <w:color w:val="auto"/>
              </w:rPr>
            </w:pPr>
            <w:r>
              <w:rPr>
                <w:rFonts w:ascii="Arial" w:cs="Arial" w:eastAsia="Arial" w:hAnsi="Arial"/>
                <w:sz w:val="16"/>
                <w:szCs w:val="16"/>
                <w:b w:val="1"/>
                <w:bCs w:val="1"/>
                <w:color w:val="FFFFFF"/>
              </w:rPr>
              <w:t>​ ​</w:t>
            </w:r>
          </w:p>
        </w:tc>
        <w:tc>
          <w:tcPr>
            <w:tcW w:w="1700" w:type="dxa"/>
            <w:vAlign w:val="bottom"/>
            <w:tcBorders>
              <w:top w:val="single" w:sz="8" w:color="auto"/>
            </w:tcBorders>
            <w:shd w:val="clear" w:color="auto" w:fill="248ED8"/>
          </w:tcPr>
          <w:p>
            <w:pPr>
              <w:jc w:val="center"/>
              <w:spacing w:after="0"/>
              <w:rPr>
                <w:sz w:val="20"/>
                <w:szCs w:val="20"/>
                <w:color w:val="auto"/>
              </w:rPr>
            </w:pPr>
            <w:r>
              <w:rPr>
                <w:rFonts w:ascii="Arial" w:cs="Arial" w:eastAsia="Arial" w:hAnsi="Arial"/>
                <w:sz w:val="16"/>
                <w:szCs w:val="16"/>
                <w:b w:val="1"/>
                <w:bCs w:val="1"/>
                <w:color w:val="FFFFFF"/>
              </w:rPr>
              <w:t>BROKER</w:t>
            </w:r>
          </w:p>
        </w:tc>
        <w:tc>
          <w:tcPr>
            <w:tcW w:w="300" w:type="dxa"/>
            <w:vAlign w:val="bottom"/>
            <w:tcBorders>
              <w:top w:val="single" w:sz="8" w:color="auto"/>
              <w:right w:val="single" w:sz="8" w:color="auto"/>
            </w:tcBorders>
            <w:vMerge w:val="restart"/>
            <w:shd w:val="clear" w:color="auto" w:fill="248ED8"/>
          </w:tcPr>
          <w:p>
            <w:pPr>
              <w:ind w:left="22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tcBorders>
            <w:vMerge w:val="continue"/>
            <w:shd w:val="clear" w:color="auto" w:fill="248ED8"/>
          </w:tcPr>
          <w:p>
            <w:pPr>
              <w:spacing w:after="0"/>
              <w:rPr>
                <w:sz w:val="14"/>
                <w:szCs w:val="14"/>
                <w:color w:val="auto"/>
              </w:rPr>
            </w:pPr>
          </w:p>
        </w:tc>
        <w:tc>
          <w:tcPr>
            <w:tcW w:w="2280" w:type="dxa"/>
            <w:vAlign w:val="bottom"/>
            <w:vMerge w:val="continue"/>
            <w:shd w:val="clear" w:color="auto" w:fill="248ED8"/>
          </w:tcPr>
          <w:p>
            <w:pPr>
              <w:spacing w:after="0"/>
              <w:rPr>
                <w:sz w:val="14"/>
                <w:szCs w:val="14"/>
                <w:color w:val="auto"/>
              </w:rPr>
            </w:pPr>
          </w:p>
        </w:tc>
        <w:tc>
          <w:tcPr>
            <w:tcW w:w="220" w:type="dxa"/>
            <w:vAlign w:val="bottom"/>
            <w:vMerge w:val="continue"/>
            <w:shd w:val="clear" w:color="auto" w:fill="248ED8"/>
          </w:tcPr>
          <w:p>
            <w:pPr>
              <w:spacing w:after="0"/>
              <w:rPr>
                <w:sz w:val="14"/>
                <w:szCs w:val="14"/>
                <w:color w:val="auto"/>
              </w:rPr>
            </w:pPr>
          </w:p>
        </w:tc>
        <w:tc>
          <w:tcPr>
            <w:tcW w:w="2040" w:type="dxa"/>
            <w:vAlign w:val="bottom"/>
            <w:shd w:val="clear" w:color="auto" w:fill="248ED8"/>
          </w:tcPr>
          <w:p>
            <w:pPr>
              <w:jc w:val="center"/>
              <w:spacing w:after="0" w:line="162" w:lineRule="exact"/>
              <w:rPr>
                <w:sz w:val="20"/>
                <w:szCs w:val="20"/>
                <w:color w:val="auto"/>
              </w:rPr>
            </w:pPr>
            <w:r>
              <w:rPr>
                <w:rFonts w:ascii="Arial" w:cs="Arial" w:eastAsia="Arial" w:hAnsi="Arial"/>
                <w:sz w:val="16"/>
                <w:szCs w:val="16"/>
                <w:b w:val="1"/>
                <w:bCs w:val="1"/>
                <w:color w:val="FFFFFF"/>
              </w:rPr>
              <w:t>ABSTENTIONS AND</w:t>
            </w:r>
          </w:p>
        </w:tc>
        <w:tc>
          <w:tcPr>
            <w:tcW w:w="360" w:type="dxa"/>
            <w:vAlign w:val="bottom"/>
            <w:vMerge w:val="continue"/>
            <w:shd w:val="clear" w:color="auto" w:fill="248ED8"/>
          </w:tcPr>
          <w:p>
            <w:pPr>
              <w:spacing w:after="0"/>
              <w:rPr>
                <w:sz w:val="14"/>
                <w:szCs w:val="14"/>
                <w:color w:val="auto"/>
              </w:rPr>
            </w:pPr>
          </w:p>
        </w:tc>
        <w:tc>
          <w:tcPr>
            <w:tcW w:w="1700" w:type="dxa"/>
            <w:vAlign w:val="bottom"/>
            <w:shd w:val="clear" w:color="auto" w:fill="248ED8"/>
          </w:tcPr>
          <w:p>
            <w:pPr>
              <w:jc w:val="center"/>
              <w:spacing w:after="0" w:line="162" w:lineRule="exact"/>
              <w:rPr>
                <w:sz w:val="20"/>
                <w:szCs w:val="20"/>
                <w:color w:val="auto"/>
              </w:rPr>
            </w:pPr>
            <w:r>
              <w:rPr>
                <w:rFonts w:ascii="Arial" w:cs="Arial" w:eastAsia="Arial" w:hAnsi="Arial"/>
                <w:sz w:val="16"/>
                <w:szCs w:val="16"/>
                <w:b w:val="1"/>
                <w:bCs w:val="1"/>
                <w:color w:val="FFFFFF"/>
              </w:rPr>
              <w:t>DISCRETIONARY</w:t>
            </w:r>
          </w:p>
        </w:tc>
        <w:tc>
          <w:tcPr>
            <w:tcW w:w="300" w:type="dxa"/>
            <w:vAlign w:val="bottom"/>
            <w:tcBorders>
              <w:right w:val="single" w:sz="8" w:color="auto"/>
            </w:tcBorders>
            <w:vMerge w:val="continue"/>
            <w:shd w:val="clear" w:color="auto" w:fill="248ED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Borders>
              <w:left w:val="single" w:sz="8" w:color="auto"/>
            </w:tcBorders>
            <w:shd w:val="clear" w:color="auto" w:fill="248ED8"/>
          </w:tcPr>
          <w:p>
            <w:pPr>
              <w:spacing w:after="0"/>
              <w:rPr>
                <w:sz w:val="14"/>
                <w:szCs w:val="14"/>
                <w:color w:val="auto"/>
              </w:rPr>
            </w:pPr>
          </w:p>
        </w:tc>
        <w:tc>
          <w:tcPr>
            <w:tcW w:w="2280" w:type="dxa"/>
            <w:vAlign w:val="bottom"/>
            <w:shd w:val="clear" w:color="auto" w:fill="248ED8"/>
          </w:tcPr>
          <w:p>
            <w:pPr>
              <w:spacing w:after="0"/>
              <w:rPr>
                <w:sz w:val="14"/>
                <w:szCs w:val="14"/>
                <w:color w:val="auto"/>
              </w:rPr>
            </w:pPr>
          </w:p>
        </w:tc>
        <w:tc>
          <w:tcPr>
            <w:tcW w:w="220" w:type="dxa"/>
            <w:vAlign w:val="bottom"/>
            <w:shd w:val="clear" w:color="auto" w:fill="248ED8"/>
          </w:tcPr>
          <w:p>
            <w:pPr>
              <w:spacing w:after="0"/>
              <w:rPr>
                <w:sz w:val="14"/>
                <w:szCs w:val="14"/>
                <w:color w:val="auto"/>
              </w:rPr>
            </w:pPr>
          </w:p>
        </w:tc>
        <w:tc>
          <w:tcPr>
            <w:tcW w:w="2040" w:type="dxa"/>
            <w:vAlign w:val="bottom"/>
            <w:shd w:val="clear" w:color="auto" w:fill="248ED8"/>
          </w:tcPr>
          <w:p>
            <w:pPr>
              <w:jc w:val="center"/>
              <w:spacing w:after="0" w:line="162" w:lineRule="exact"/>
              <w:rPr>
                <w:sz w:val="20"/>
                <w:szCs w:val="20"/>
                <w:color w:val="auto"/>
              </w:rPr>
            </w:pPr>
            <w:r>
              <w:rPr>
                <w:rFonts w:ascii="Arial" w:cs="Arial" w:eastAsia="Arial" w:hAnsi="Arial"/>
                <w:sz w:val="16"/>
                <w:szCs w:val="16"/>
                <w:b w:val="1"/>
                <w:bCs w:val="1"/>
                <w:color w:val="FFFFFF"/>
              </w:rPr>
              <w:t>BROKER</w:t>
            </w:r>
          </w:p>
        </w:tc>
        <w:tc>
          <w:tcPr>
            <w:tcW w:w="360" w:type="dxa"/>
            <w:vAlign w:val="bottom"/>
            <w:shd w:val="clear" w:color="auto" w:fill="248ED8"/>
          </w:tcPr>
          <w:p>
            <w:pPr>
              <w:spacing w:after="0"/>
              <w:rPr>
                <w:sz w:val="14"/>
                <w:szCs w:val="14"/>
                <w:color w:val="auto"/>
              </w:rPr>
            </w:pPr>
          </w:p>
        </w:tc>
        <w:tc>
          <w:tcPr>
            <w:tcW w:w="1700" w:type="dxa"/>
            <w:vAlign w:val="bottom"/>
            <w:shd w:val="clear" w:color="auto" w:fill="248ED8"/>
          </w:tcPr>
          <w:p>
            <w:pPr>
              <w:jc w:val="center"/>
              <w:spacing w:after="0" w:line="162" w:lineRule="exact"/>
              <w:rPr>
                <w:sz w:val="20"/>
                <w:szCs w:val="20"/>
                <w:color w:val="auto"/>
              </w:rPr>
            </w:pPr>
            <w:r>
              <w:rPr>
                <w:rFonts w:ascii="Arial" w:cs="Arial" w:eastAsia="Arial" w:hAnsi="Arial"/>
                <w:sz w:val="16"/>
                <w:szCs w:val="16"/>
                <w:b w:val="1"/>
                <w:bCs w:val="1"/>
                <w:color w:val="FFFFFF"/>
              </w:rPr>
              <w:t>VOTING</w:t>
            </w:r>
          </w:p>
        </w:tc>
        <w:tc>
          <w:tcPr>
            <w:tcW w:w="300" w:type="dxa"/>
            <w:vAlign w:val="bottom"/>
            <w:tcBorders>
              <w:right w:val="single" w:sz="8" w:color="auto"/>
            </w:tcBorders>
            <w:shd w:val="clear" w:color="auto" w:fill="248ED8"/>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Borders>
              <w:left w:val="single" w:sz="8" w:color="auto"/>
              <w:bottom w:val="single" w:sz="8" w:color="auto"/>
            </w:tcBorders>
            <w:shd w:val="clear" w:color="auto" w:fill="248ED8"/>
          </w:tcPr>
          <w:p>
            <w:pPr>
              <w:spacing w:after="0"/>
              <w:rPr>
                <w:sz w:val="12"/>
                <w:szCs w:val="12"/>
                <w:color w:val="auto"/>
              </w:rPr>
            </w:pPr>
          </w:p>
        </w:tc>
        <w:tc>
          <w:tcPr>
            <w:tcW w:w="2280" w:type="dxa"/>
            <w:vAlign w:val="bottom"/>
            <w:tcBorders>
              <w:bottom w:val="single" w:sz="8" w:color="auto"/>
            </w:tcBorders>
            <w:shd w:val="clear" w:color="auto" w:fill="248ED8"/>
          </w:tcPr>
          <w:p>
            <w:pPr>
              <w:spacing w:after="0"/>
              <w:rPr>
                <w:sz w:val="12"/>
                <w:szCs w:val="12"/>
                <w:color w:val="auto"/>
              </w:rPr>
            </w:pPr>
          </w:p>
        </w:tc>
        <w:tc>
          <w:tcPr>
            <w:tcW w:w="220" w:type="dxa"/>
            <w:vAlign w:val="bottom"/>
            <w:tcBorders>
              <w:bottom w:val="single" w:sz="8" w:color="auto"/>
            </w:tcBorders>
            <w:shd w:val="clear" w:color="auto" w:fill="248ED8"/>
          </w:tcPr>
          <w:p>
            <w:pPr>
              <w:spacing w:after="0"/>
              <w:rPr>
                <w:sz w:val="12"/>
                <w:szCs w:val="12"/>
                <w:color w:val="auto"/>
              </w:rPr>
            </w:pPr>
          </w:p>
        </w:tc>
        <w:tc>
          <w:tcPr>
            <w:tcW w:w="2040" w:type="dxa"/>
            <w:vAlign w:val="bottom"/>
            <w:tcBorders>
              <w:bottom w:val="single" w:sz="8" w:color="auto"/>
            </w:tcBorders>
            <w:shd w:val="clear" w:color="auto" w:fill="248ED8"/>
          </w:tcPr>
          <w:p>
            <w:pPr>
              <w:jc w:val="center"/>
              <w:spacing w:after="0" w:line="148" w:lineRule="exact"/>
              <w:rPr>
                <w:sz w:val="20"/>
                <w:szCs w:val="20"/>
                <w:color w:val="auto"/>
              </w:rPr>
            </w:pPr>
            <w:r>
              <w:rPr>
                <w:rFonts w:ascii="Arial" w:cs="Arial" w:eastAsia="Arial" w:hAnsi="Arial"/>
                <w:sz w:val="16"/>
                <w:szCs w:val="16"/>
                <w:b w:val="1"/>
                <w:bCs w:val="1"/>
                <w:color w:val="FFFFFF"/>
              </w:rPr>
              <w:t>NON-VOTES</w:t>
            </w:r>
          </w:p>
        </w:tc>
        <w:tc>
          <w:tcPr>
            <w:tcW w:w="360" w:type="dxa"/>
            <w:vAlign w:val="bottom"/>
            <w:tcBorders>
              <w:bottom w:val="single" w:sz="8" w:color="auto"/>
            </w:tcBorders>
            <w:shd w:val="clear" w:color="auto" w:fill="248ED8"/>
          </w:tcPr>
          <w:p>
            <w:pPr>
              <w:spacing w:after="0"/>
              <w:rPr>
                <w:sz w:val="12"/>
                <w:szCs w:val="12"/>
                <w:color w:val="auto"/>
              </w:rPr>
            </w:pPr>
          </w:p>
        </w:tc>
        <w:tc>
          <w:tcPr>
            <w:tcW w:w="1700" w:type="dxa"/>
            <w:vAlign w:val="bottom"/>
            <w:tcBorders>
              <w:bottom w:val="single" w:sz="8" w:color="auto"/>
            </w:tcBorders>
            <w:shd w:val="clear" w:color="auto" w:fill="248ED8"/>
          </w:tcPr>
          <w:p>
            <w:pPr>
              <w:spacing w:after="0"/>
              <w:rPr>
                <w:sz w:val="12"/>
                <w:szCs w:val="12"/>
                <w:color w:val="auto"/>
              </w:rPr>
            </w:pPr>
          </w:p>
        </w:tc>
        <w:tc>
          <w:tcPr>
            <w:tcW w:w="300" w:type="dxa"/>
            <w:vAlign w:val="bottom"/>
            <w:tcBorders>
              <w:bottom w:val="single" w:sz="8" w:color="auto"/>
              <w:right w:val="single" w:sz="8" w:color="auto"/>
            </w:tcBorders>
            <w:shd w:val="clear" w:color="auto" w:fill="248ED8"/>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210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b w:val="1"/>
                <w:bCs w:val="1"/>
                <w:color w:val="27A770"/>
              </w:rPr>
              <w:t>PROPOSAL 1</w:t>
            </w:r>
            <w:r>
              <w:rPr>
                <w:rFonts w:ascii="Arial" w:cs="Arial" w:eastAsia="Arial" w:hAnsi="Arial"/>
                <w:sz w:val="18"/>
                <w:szCs w:val="18"/>
                <w:color w:val="27A770"/>
              </w:rPr>
              <w:t>: Election</w:t>
            </w:r>
          </w:p>
        </w:tc>
        <w:tc>
          <w:tcPr>
            <w:tcW w:w="2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Abstentions and broker</w:t>
            </w: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100" w:type="dxa"/>
            <w:vAlign w:val="bottom"/>
            <w:tcBorders>
              <w:left w:val="single" w:sz="8" w:color="auto"/>
            </w:tcBorders>
            <w:vMerge w:val="continue"/>
          </w:tcPr>
          <w:p>
            <w:pPr>
              <w:spacing w:after="0"/>
              <w:rPr>
                <w:sz w:val="7"/>
                <w:szCs w:val="7"/>
                <w:color w:val="auto"/>
              </w:rPr>
            </w:pPr>
          </w:p>
        </w:tc>
        <w:tc>
          <w:tcPr>
            <w:tcW w:w="2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8"/>
              </w:rPr>
              <w:t>non-votes will not be</w:t>
            </w:r>
          </w:p>
        </w:tc>
        <w:tc>
          <w:tcPr>
            <w:tcW w:w="3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00" w:type="dxa"/>
            <w:vAlign w:val="bottom"/>
            <w:tcBorders>
              <w:left w:val="single" w:sz="8" w:color="auto"/>
            </w:tcBorders>
            <w:vMerge w:val="restart"/>
          </w:tcPr>
          <w:p>
            <w:pPr>
              <w:ind w:left="80"/>
              <w:spacing w:after="0" w:line="316"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18"/>
                <w:szCs w:val="18"/>
                <w:color w:val="27A770"/>
              </w:rPr>
              <w:t>of Class I Directors for a</w:t>
            </w:r>
          </w:p>
        </w:tc>
        <w:tc>
          <w:tcPr>
            <w:tcW w:w="2500" w:type="dxa"/>
            <w:vAlign w:val="bottom"/>
            <w:gridSpan w:val="2"/>
            <w:vMerge w:val="restart"/>
          </w:tcPr>
          <w:p>
            <w:pPr>
              <w:jc w:val="right"/>
              <w:spacing w:after="0"/>
              <w:rPr>
                <w:sz w:val="20"/>
                <w:szCs w:val="20"/>
                <w:color w:val="auto"/>
              </w:rPr>
            </w:pPr>
            <w:r>
              <w:rPr>
                <w:rFonts w:ascii="Arial" w:cs="Arial" w:eastAsia="Arial" w:hAnsi="Arial"/>
                <w:sz w:val="18"/>
                <w:szCs w:val="18"/>
                <w:color w:val="auto"/>
              </w:rPr>
              <w:t>​ ​ Plurality of the votes cast ​ ​</w:t>
            </w:r>
          </w:p>
        </w:tc>
        <w:tc>
          <w:tcPr>
            <w:tcW w:w="2040" w:type="dxa"/>
            <w:vAlign w:val="bottom"/>
            <w:vMerge w:val="continue"/>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5"/>
              </w:rPr>
              <w:t>No</w:t>
            </w:r>
          </w:p>
        </w:tc>
        <w:tc>
          <w:tcPr>
            <w:tcW w:w="3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2100" w:type="dxa"/>
            <w:vAlign w:val="bottom"/>
            <w:tcBorders>
              <w:left w:val="single" w:sz="8" w:color="auto"/>
            </w:tcBorders>
            <w:vMerge w:val="continue"/>
          </w:tcPr>
          <w:p>
            <w:pPr>
              <w:spacing w:after="0"/>
              <w:rPr>
                <w:sz w:val="15"/>
                <w:szCs w:val="15"/>
                <w:color w:val="auto"/>
              </w:rPr>
            </w:pPr>
          </w:p>
        </w:tc>
        <w:tc>
          <w:tcPr>
            <w:tcW w:w="2500" w:type="dxa"/>
            <w:vAlign w:val="bottom"/>
            <w:gridSpan w:val="2"/>
            <w:vMerge w:val="continue"/>
          </w:tcPr>
          <w:p>
            <w:pPr>
              <w:spacing w:after="0"/>
              <w:rPr>
                <w:sz w:val="15"/>
                <w:szCs w:val="15"/>
                <w:color w:val="auto"/>
              </w:rPr>
            </w:pPr>
          </w:p>
        </w:tc>
        <w:tc>
          <w:tcPr>
            <w:tcW w:w="2040" w:type="dxa"/>
            <w:vAlign w:val="bottom"/>
          </w:tcPr>
          <w:p>
            <w:pPr>
              <w:jc w:val="center"/>
              <w:spacing w:after="0" w:line="181" w:lineRule="exact"/>
              <w:rPr>
                <w:sz w:val="20"/>
                <w:szCs w:val="20"/>
                <w:color w:val="auto"/>
              </w:rPr>
            </w:pPr>
            <w:r>
              <w:rPr>
                <w:rFonts w:ascii="Arial" w:cs="Arial" w:eastAsia="Arial" w:hAnsi="Arial"/>
                <w:sz w:val="18"/>
                <w:szCs w:val="18"/>
                <w:color w:val="auto"/>
                <w:w w:val="99"/>
              </w:rPr>
              <w:t>taken into account in</w:t>
            </w:r>
          </w:p>
        </w:tc>
        <w:tc>
          <w:tcPr>
            <w:tcW w:w="36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3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100" w:type="dxa"/>
            <w:vAlign w:val="bottom"/>
            <w:tcBorders>
              <w:left w:val="single" w:sz="8" w:color="auto"/>
            </w:tcBorders>
          </w:tcPr>
          <w:p>
            <w:pPr>
              <w:ind w:left="140"/>
              <w:spacing w:after="0" w:line="116" w:lineRule="exact"/>
              <w:rPr>
                <w:sz w:val="20"/>
                <w:szCs w:val="20"/>
                <w:color w:val="auto"/>
              </w:rPr>
            </w:pPr>
            <w:r>
              <w:rPr>
                <w:rFonts w:ascii="Arial" w:cs="Arial" w:eastAsia="Arial" w:hAnsi="Arial"/>
                <w:sz w:val="13"/>
                <w:szCs w:val="13"/>
                <w:color w:val="27A770"/>
              </w:rPr>
              <w:t>Three-Year Term</w:t>
            </w:r>
          </w:p>
        </w:tc>
        <w:tc>
          <w:tcPr>
            <w:tcW w:w="2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9"/>
              </w:rPr>
              <w:t>determining the outcome</w:t>
            </w:r>
          </w:p>
        </w:tc>
        <w:tc>
          <w:tcPr>
            <w:tcW w:w="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tcBorders>
              <w:left w:val="single" w:sz="8" w:color="auto"/>
            </w:tcBorders>
            <w:vMerge w:val="restart"/>
          </w:tcPr>
          <w:p>
            <w:pPr>
              <w:ind w:left="140"/>
              <w:spacing w:after="0"/>
              <w:rPr>
                <w:sz w:val="20"/>
                <w:szCs w:val="20"/>
                <w:color w:val="auto"/>
              </w:rPr>
            </w:pPr>
            <w:r>
              <w:rPr>
                <w:rFonts w:ascii="Arial" w:cs="Arial" w:eastAsia="Arial" w:hAnsi="Arial"/>
                <w:sz w:val="18"/>
                <w:szCs w:val="18"/>
                <w:color w:val="27A770"/>
              </w:rPr>
              <w:t>Expiring in 2025</w:t>
            </w:r>
          </w:p>
        </w:tc>
        <w:tc>
          <w:tcPr>
            <w:tcW w:w="2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100" w:type="dxa"/>
            <w:vAlign w:val="bottom"/>
            <w:tcBorders>
              <w:left w:val="single" w:sz="8" w:color="auto"/>
            </w:tcBorders>
            <w:vMerge w:val="continue"/>
          </w:tcPr>
          <w:p>
            <w:pPr>
              <w:spacing w:after="0"/>
              <w:rPr>
                <w:sz w:val="9"/>
                <w:szCs w:val="9"/>
                <w:color w:val="auto"/>
              </w:rPr>
            </w:pPr>
          </w:p>
        </w:tc>
        <w:tc>
          <w:tcPr>
            <w:tcW w:w="2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9"/>
              </w:rPr>
              <w:t>of the proposal</w:t>
            </w:r>
          </w:p>
        </w:tc>
        <w:tc>
          <w:tcPr>
            <w:tcW w:w="3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100" w:type="dxa"/>
            <w:vAlign w:val="bottom"/>
            <w:tcBorders>
              <w:left w:val="single" w:sz="8" w:color="auto"/>
              <w:bottom w:val="single" w:sz="8" w:color="auto"/>
            </w:tcBorders>
          </w:tcPr>
          <w:p>
            <w:pPr>
              <w:spacing w:after="0"/>
              <w:rPr>
                <w:sz w:val="12"/>
                <w:szCs w:val="12"/>
                <w:color w:val="auto"/>
              </w:rPr>
            </w:pPr>
          </w:p>
        </w:tc>
        <w:tc>
          <w:tcPr>
            <w:tcW w:w="2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3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27A770"/>
              </w:rPr>
              <w:t>PROPOSAL 2</w:t>
            </w:r>
            <w:r>
              <w:rPr>
                <w:rFonts w:ascii="Arial" w:cs="Arial" w:eastAsia="Arial" w:hAnsi="Arial"/>
                <w:sz w:val="18"/>
                <w:szCs w:val="18"/>
                <w:color w:val="27A770"/>
              </w:rPr>
              <w:t>:</w:t>
            </w:r>
          </w:p>
        </w:tc>
        <w:tc>
          <w:tcPr>
            <w:tcW w:w="2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9"/>
              </w:rPr>
              <w:t>Abstentions and broker</w:t>
            </w: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100" w:type="dxa"/>
            <w:vAlign w:val="bottom"/>
            <w:tcBorders>
              <w:left w:val="single" w:sz="8" w:color="auto"/>
            </w:tcBorders>
          </w:tcPr>
          <w:p>
            <w:pPr>
              <w:ind w:left="120"/>
              <w:spacing w:after="0" w:line="202" w:lineRule="exact"/>
              <w:rPr>
                <w:sz w:val="20"/>
                <w:szCs w:val="20"/>
                <w:color w:val="auto"/>
              </w:rPr>
            </w:pPr>
            <w:r>
              <w:rPr>
                <w:rFonts w:ascii="Arial" w:cs="Arial" w:eastAsia="Arial" w:hAnsi="Arial"/>
                <w:sz w:val="18"/>
                <w:szCs w:val="18"/>
                <w:color w:val="27A770"/>
              </w:rPr>
              <w:t>Ratification of</w:t>
            </w:r>
          </w:p>
        </w:tc>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27A770"/>
              </w:rPr>
              <w:t>Appointment of EY as</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8"/>
              </w:rPr>
              <w:t>non-votes will not be</w:t>
            </w: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27A770"/>
              </w:rPr>
              <w:t>our Independent</w:t>
            </w:r>
          </w:p>
        </w:tc>
        <w:tc>
          <w:tcPr>
            <w:tcW w:w="2280" w:type="dxa"/>
            <w:vAlign w:val="bottom"/>
          </w:tcPr>
          <w:p>
            <w:pPr>
              <w:ind w:left="60"/>
              <w:spacing w:after="0"/>
              <w:rPr>
                <w:sz w:val="20"/>
                <w:szCs w:val="20"/>
                <w:color w:val="auto"/>
              </w:rPr>
            </w:pPr>
            <w:r>
              <w:rPr>
                <w:rFonts w:ascii="Arial" w:cs="Arial" w:eastAsia="Arial" w:hAnsi="Arial"/>
                <w:sz w:val="18"/>
                <w:szCs w:val="18"/>
                <w:color w:val="auto"/>
              </w:rPr>
              <w:t>​ ​ Majority of the votes cast</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taken into account in</w:t>
            </w:r>
          </w:p>
        </w:tc>
        <w:tc>
          <w:tcPr>
            <w:tcW w:w="360" w:type="dxa"/>
            <w:vAlign w:val="bottom"/>
          </w:tcPr>
          <w:p>
            <w:pPr>
              <w:ind w:left="40"/>
              <w:spacing w:after="0"/>
              <w:rPr>
                <w:sz w:val="20"/>
                <w:szCs w:val="20"/>
                <w:color w:val="auto"/>
              </w:rPr>
            </w:pPr>
            <w:r>
              <w:rPr>
                <w:rFonts w:ascii="Arial" w:cs="Arial" w:eastAsia="Arial" w:hAnsi="Arial"/>
                <w:sz w:val="18"/>
                <w:szCs w:val="18"/>
                <w:color w:val="auto"/>
              </w:rPr>
              <w:t>​ ​</w:t>
            </w: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Yes</w:t>
            </w:r>
          </w:p>
        </w:tc>
        <w:tc>
          <w:tcPr>
            <w:tcW w:w="3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27A770"/>
              </w:rPr>
              <w:t>Registered Public</w:t>
            </w: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determining the outcome</w:t>
            </w: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27A770"/>
              </w:rPr>
              <w:t>Accounting Firm for</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of the proposal</w:t>
            </w: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27A770"/>
              </w:rPr>
              <w:t>2022</w:t>
            </w: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100" w:type="dxa"/>
            <w:vAlign w:val="bottom"/>
            <w:tcBorders>
              <w:left w:val="single" w:sz="8" w:color="auto"/>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7"/>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QUORUM</w:t>
            </w: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left="880" w:right="39"/>
        <w:spacing w:after="0" w:line="255" w:lineRule="auto"/>
        <w:rPr>
          <w:sz w:val="20"/>
          <w:szCs w:val="20"/>
          <w:color w:val="auto"/>
        </w:rPr>
      </w:pPr>
      <w:r>
        <w:rPr>
          <w:rFonts w:ascii="Arial" w:cs="Arial" w:eastAsia="Arial" w:hAnsi="Arial"/>
          <w:sz w:val="18"/>
          <w:szCs w:val="18"/>
          <w:color w:val="auto"/>
        </w:rPr>
        <w:t>We must have a quorum to conduct business at the Annual Meeting. A quorum consists of the presence at the Annual Meeting, either attending the meeting virtually or represented by proxy, of the holders of shares of capital stock representing a majority of the voting power of all outstanding shares of capital stock entitled to vote. For the purpose of establishing a quorum, abstentions, including brokers holding customers’ shares of record who cause abstentions to be recorded at the meeting, and broker non-votes are considered stockholders who are present and entitled to vote, and count toward the quorum. If there is no quorum, the holders of shares of capital stock representing a majority of the voting power virtually attending the Annual Meeting or represented by proxy or the presiding officer of the meeting may adjourn the Annual Meeting to another date.</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PROXY SOLICITATION COSTS</w:t>
      </w:r>
    </w:p>
    <w:p>
      <w:pPr>
        <w:spacing w:after="0" w:line="158"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71" w:lineRule="auto"/>
        <w:rPr>
          <w:sz w:val="20"/>
          <w:szCs w:val="20"/>
          <w:color w:val="auto"/>
        </w:rPr>
      </w:pPr>
      <w:r>
        <w:rPr>
          <w:rFonts w:ascii="Arial" w:cs="Arial" w:eastAsia="Arial" w:hAnsi="Arial"/>
          <w:sz w:val="18"/>
          <w:szCs w:val="18"/>
          <w:color w:val="248ED8"/>
        </w:rPr>
        <w:t>Our Board has nominated Eli Casdin, Osvaldo Flores, Ph.D. and Carlo Rizzuto, Ph.D. for election as Class I directors at our Annual Meeting to hold office until our 2025 Annual Meeting of Stockholders.</w:t>
      </w:r>
    </w:p>
    <w:p>
      <w:pPr>
        <w:spacing w:after="0" w:line="73"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Our Board is the Company’s ultimate decision-making body, except with respect to those matters reserved to the stockholders. Our Board selects the members of our senior management team, who in turn are responsible for our day-to-day operations. Our Board acts as an advisor and counselor to senior management and oversees their performance.</w:t>
      </w:r>
    </w:p>
    <w:p>
      <w:pPr>
        <w:spacing w:after="0" w:line="89" w:lineRule="exact"/>
        <w:rPr>
          <w:sz w:val="20"/>
          <w:szCs w:val="20"/>
          <w:color w:val="auto"/>
        </w:rPr>
      </w:pPr>
    </w:p>
    <w:p>
      <w:pPr>
        <w:jc w:val="both"/>
        <w:ind w:left="880" w:right="39"/>
        <w:spacing w:after="0" w:line="243" w:lineRule="auto"/>
        <w:rPr>
          <w:sz w:val="20"/>
          <w:szCs w:val="20"/>
          <w:color w:val="auto"/>
        </w:rPr>
      </w:pPr>
      <w:r>
        <w:rPr>
          <w:rFonts w:ascii="Arial" w:cs="Arial" w:eastAsia="Arial" w:hAnsi="Arial"/>
          <w:sz w:val="18"/>
          <w:szCs w:val="18"/>
          <w:color w:val="auto"/>
        </w:rPr>
        <w:t>Our Board consists of directors divided into three classes, with each class holding office for a three-year term. Eli Casdin, Osvaldo Flores, Ph.D. and Carlo Rizzuto, Ph.D., current Class I directors, have been nominated by our Board for election at the Annual Meeting for three-year terms that will expire at the 2025 Annual Meeting of Stockholders and until their successors, if any, are elected or appointed, or their earlier death, resignation, retirement, disqualification or removal. 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STRUCTURE AND COMPOSITION</w:t>
      </w:r>
    </w:p>
    <w:p>
      <w:pPr>
        <w:spacing w:after="0" w:line="144" w:lineRule="exact"/>
        <w:rPr>
          <w:sz w:val="20"/>
          <w:szCs w:val="20"/>
          <w:color w:val="auto"/>
        </w:rPr>
      </w:pPr>
    </w:p>
    <w:p>
      <w:pPr>
        <w:jc w:val="both"/>
        <w:ind w:left="880" w:right="19"/>
        <w:spacing w:after="0" w:line="248" w:lineRule="auto"/>
        <w:rPr>
          <w:sz w:val="20"/>
          <w:szCs w:val="20"/>
          <w:color w:val="auto"/>
        </w:rPr>
      </w:pPr>
      <w:r>
        <w:rPr>
          <w:rFonts w:ascii="Arial" w:cs="Arial" w:eastAsia="Arial" w:hAnsi="Arial"/>
          <w:sz w:val="18"/>
          <w:szCs w:val="18"/>
          <w:color w:val="auto"/>
        </w:rPr>
        <w:t>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are able to apply their experience toward meaningful contributions to our business strategy and oversight of our performance, risk management, organizational development and succession planning.</w:t>
      </w:r>
    </w:p>
    <w:p>
      <w:pPr>
        <w:spacing w:after="0" w:line="94"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Our Amended and Restated Bylaws, or Bylaws, provide that the number of members of our Board shall be fixed by the Board from time to time. Our Board is currently fixed at seven members. Our Board is divided into three classes with staggered three-year terms. The Nominating and Corporate Governance Committee is responsible for identifying individuals that it believes are qualified to become Board members.</w:t>
      </w:r>
    </w:p>
    <w:p>
      <w:pPr>
        <w:spacing w:after="0" w:line="13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CRITERIA FOR BOARD MEMBERSHIP</w:t>
      </w:r>
    </w:p>
    <w:p>
      <w:pPr>
        <w:spacing w:after="0" w:line="144"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The Nominating and Corporate Governance Committee has identified certain criteria that it will consider in identifying director nominees. Important general criteria and considerations for Board membership include:</w:t>
      </w:r>
    </w:p>
    <w:p>
      <w:pPr>
        <w:sectPr>
          <w:pgSz w:w="11900" w:h="16838" w:orient="portrait"/>
          <w:cols w:equalWidth="0" w:num="1">
            <w:col w:w="9879"/>
          </w:cols>
          <w:pgMar w:left="580" w:top="97" w:right="1440" w:bottom="1440" w:gutter="0" w:footer="0" w:header="0"/>
        </w:sectPr>
      </w:pPr>
    </w:p>
    <w:p>
      <w:pPr>
        <w:spacing w:after="0" w:line="170" w:lineRule="exact"/>
        <w:rPr>
          <w:sz w:val="20"/>
          <w:szCs w:val="20"/>
          <w:color w:val="auto"/>
        </w:rPr>
      </w:pPr>
    </w:p>
    <w:p>
      <w:pPr>
        <w:ind w:left="920"/>
        <w:spacing w:after="0"/>
        <w:tabs>
          <w:tab w:leader="none" w:pos="4280" w:val="left"/>
        </w:tabs>
        <w:rPr>
          <w:sz w:val="20"/>
          <w:szCs w:val="20"/>
          <w:color w:val="auto"/>
        </w:rPr>
      </w:pPr>
      <w:r>
        <w:rPr>
          <w:rFonts w:ascii="Arial" w:cs="Arial" w:eastAsia="Arial" w:hAnsi="Arial"/>
          <w:sz w:val="22"/>
          <w:szCs w:val="22"/>
          <w:b w:val="1"/>
          <w:bCs w:val="1"/>
          <w:color w:val="248ED8"/>
        </w:rPr>
        <w:t>​</w:t>
      </w:r>
      <w:r>
        <w:rPr>
          <w:sz w:val="20"/>
          <w:szCs w:val="20"/>
          <w:color w:val="auto"/>
        </w:rPr>
        <w:tab/>
      </w:r>
      <w:r>
        <w:rPr>
          <w:rFonts w:ascii="Arial" w:cs="Arial" w:eastAsia="Arial" w:hAnsi="Arial"/>
          <w:sz w:val="22"/>
          <w:szCs w:val="22"/>
          <w:b w:val="1"/>
          <w:bCs w:val="1"/>
          <w:color w:val="248ED8"/>
        </w:rPr>
        <w:t>GENERAL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20320</wp:posOffset>
            </wp:positionV>
            <wp:extent cx="570039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47" w:lineRule="exact"/>
        <w:rPr>
          <w:sz w:val="20"/>
          <w:szCs w:val="20"/>
          <w:color w:val="auto"/>
        </w:rPr>
      </w:pPr>
    </w:p>
    <w:p>
      <w:pPr>
        <w:ind w:left="1340" w:hanging="470"/>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77470" cy="7683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r>
        <w:rPr>
          <w:rFonts w:ascii="Arial" w:cs="Arial" w:eastAsia="Arial" w:hAnsi="Arial"/>
          <w:sz w:val="18"/>
          <w:szCs w:val="18"/>
          <w:color w:val="auto"/>
        </w:rPr>
        <w:t xml:space="preserve">  Proven integrity</w:t>
      </w:r>
    </w:p>
    <w:p>
      <w:pPr>
        <w:spacing w:after="0" w:line="14" w:lineRule="exact"/>
        <w:rPr>
          <w:sz w:val="20"/>
          <w:szCs w:val="20"/>
          <w:color w:val="auto"/>
        </w:rPr>
      </w:pPr>
    </w:p>
    <w:p>
      <w:pPr>
        <w:ind w:left="1640" w:right="300"/>
        <w:spacing w:after="0" w:line="234" w:lineRule="auto"/>
        <w:rPr>
          <w:sz w:val="20"/>
          <w:szCs w:val="20"/>
          <w:color w:val="auto"/>
        </w:rPr>
      </w:pPr>
      <w:r>
        <w:rPr>
          <w:rFonts w:ascii="Arial" w:cs="Arial" w:eastAsia="Arial" w:hAnsi="Arial"/>
          <w:sz w:val="18"/>
          <w:szCs w:val="18"/>
          <w:color w:val="auto"/>
        </w:rPr>
        <w:t>Ability to make a meaningful contribution to the Board’s advising, counseling and oversight roles Capability to fairly and equally act in the best interest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-238125</wp:posOffset>
            </wp:positionV>
            <wp:extent cx="77470" cy="76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851535</wp:posOffset>
            </wp:positionH>
            <wp:positionV relativeFrom="paragraph">
              <wp:posOffset>-109220</wp:posOffset>
            </wp:positionV>
            <wp:extent cx="77470" cy="76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ind w:left="1640" w:right="260"/>
        <w:spacing w:after="0" w:line="253" w:lineRule="auto"/>
        <w:rPr>
          <w:sz w:val="20"/>
          <w:szCs w:val="20"/>
          <w:color w:val="auto"/>
        </w:rPr>
      </w:pPr>
      <w:r>
        <w:rPr>
          <w:rFonts w:ascii="Arial" w:cs="Arial" w:eastAsia="Arial" w:hAnsi="Arial"/>
          <w:sz w:val="18"/>
          <w:szCs w:val="18"/>
          <w:color w:val="auto"/>
        </w:rPr>
        <w:t>Prior or current leadership experience, including within the biotechnology and biopharmaceutical spheres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-267335</wp:posOffset>
            </wp:positionV>
            <wp:extent cx="77470" cy="774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ind w:left="1640"/>
        <w:spacing w:after="0" w:line="273" w:lineRule="auto"/>
        <w:rPr>
          <w:sz w:val="20"/>
          <w:szCs w:val="20"/>
          <w:color w:val="auto"/>
        </w:rPr>
      </w:pPr>
      <w:r>
        <w:rPr>
          <w:rFonts w:ascii="Arial" w:cs="Arial" w:eastAsia="Arial" w:hAnsi="Arial"/>
          <w:sz w:val="17"/>
          <w:szCs w:val="17"/>
          <w:color w:val="auto"/>
        </w:rPr>
        <w:t>Broad experience, diverse perspectives, and the ability to exercise sound judgment, and a judicious and critical temperament that will enable objective appraisal of management’s plans and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-258445</wp:posOffset>
            </wp:positionV>
            <wp:extent cx="77470" cy="774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color w:val="auto"/>
        </w:rPr>
        <w:t>Willingness and ability to devote sufficient time to Board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-107315</wp:posOffset>
            </wp:positionV>
            <wp:extent cx="77470" cy="77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ind w:left="1640" w:right="420"/>
        <w:spacing w:after="0" w:line="266" w:lineRule="auto"/>
        <w:rPr>
          <w:sz w:val="20"/>
          <w:szCs w:val="20"/>
          <w:color w:val="auto"/>
        </w:rPr>
      </w:pPr>
      <w:r>
        <w:rPr>
          <w:rFonts w:ascii="Arial" w:cs="Arial" w:eastAsia="Arial" w:hAnsi="Arial"/>
          <w:sz w:val="18"/>
          <w:szCs w:val="18"/>
          <w:color w:val="auto"/>
        </w:rPr>
        <w:t>Diversity with respect to gender, age, race, ethnicity, background, professional experience and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-273050</wp:posOffset>
            </wp:positionV>
            <wp:extent cx="77470" cy="774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right"/>
        <w:ind w:right="19"/>
        <w:spacing w:after="0"/>
        <w:rPr>
          <w:sz w:val="20"/>
          <w:szCs w:val="20"/>
          <w:color w:val="auto"/>
        </w:rPr>
      </w:pPr>
      <w:r>
        <w:rPr>
          <w:rFonts w:ascii="Arial" w:cs="Arial" w:eastAsia="Arial" w:hAnsi="Arial"/>
          <w:sz w:val="22"/>
          <w:szCs w:val="22"/>
          <w:b w:val="1"/>
          <w:bCs w:val="1"/>
          <w:color w:val="248ED8"/>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23" w:lineRule="exact"/>
        <w:rPr>
          <w:sz w:val="20"/>
          <w:szCs w:val="20"/>
          <w:color w:val="auto"/>
        </w:rPr>
      </w:pPr>
    </w:p>
    <w:p>
      <w:pPr>
        <w:sectPr>
          <w:pgSz w:w="11900" w:h="16838" w:orient="portrait"/>
          <w:cols w:equalWidth="0" w:num="2">
            <w:col w:w="9520" w:space="220"/>
            <w:col w:w="139"/>
          </w:cols>
          <w:pgMar w:left="580" w:top="97" w:right="1440" w:bottom="1440" w:gutter="0" w:footer="0" w:header="0"/>
          <w:type w:val="continuous"/>
        </w:sectPr>
      </w:pPr>
    </w:p>
    <w:p>
      <w:pPr>
        <w:jc w:val="both"/>
        <w:ind w:left="880" w:right="39"/>
        <w:spacing w:after="0" w:line="261" w:lineRule="auto"/>
        <w:rPr>
          <w:sz w:val="20"/>
          <w:szCs w:val="20"/>
          <w:color w:val="auto"/>
        </w:rPr>
      </w:pPr>
      <w:r>
        <w:rPr>
          <w:rFonts w:ascii="Arial" w:cs="Arial" w:eastAsia="Arial" w:hAnsi="Arial"/>
          <w:sz w:val="18"/>
          <w:szCs w:val="18"/>
          <w:color w:val="auto"/>
        </w:rPr>
        <w:t>The Nominating and Corporate Governance Committee also considers, on an ongoing basis, the background, experience and skills of the incumbent directors that are important to our current and future business needs, and evaluates the experience and skills that would be valuable in new Board members.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SELECTION OF CANDIDATES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Skill Set Considerations; Use of Skills Matrix</w:t>
      </w:r>
    </w:p>
    <w:p>
      <w:pPr>
        <w:spacing w:after="0" w:line="158" w:lineRule="exact"/>
        <w:rPr>
          <w:sz w:val="20"/>
          <w:szCs w:val="20"/>
          <w:color w:val="auto"/>
        </w:rPr>
      </w:pPr>
    </w:p>
    <w:p>
      <w:pPr>
        <w:jc w:val="both"/>
        <w:ind w:left="880" w:right="39"/>
        <w:spacing w:after="0" w:line="253" w:lineRule="auto"/>
        <w:rPr>
          <w:sz w:val="20"/>
          <w:szCs w:val="20"/>
          <w:color w:val="auto"/>
        </w:rPr>
      </w:pPr>
      <w:r>
        <w:rPr>
          <w:rFonts w:ascii="Arial" w:cs="Arial" w:eastAsia="Arial" w:hAnsi="Arial"/>
          <w:sz w:val="18"/>
          <w:szCs w:val="18"/>
          <w:color w:val="auto"/>
        </w:rPr>
        <w:t>To assist with determining the needs of the Board, the Nominating and Corporate Governance Committee utilizes a skills matrix for the purpose of recruiting and selecting Board candidates. The expertise and experience included</w:t>
      </w:r>
    </w:p>
    <w:p>
      <w:pPr>
        <w:spacing w:after="0" w:line="290"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in the skills matrix are tied to our strategic goals, and the intent of the skills matrix is to ensure that the directors collectively possess qualities that facilitate effective oversight of our strategic plans. While the matrix is useful for determining the collective skills of the Board as a whole, it is not a comparative measure of the value of directors; a director with more focused experience could nonetheless contribute broadly and effectively.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The matrix below displays the current Board’s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103505</wp:posOffset>
            </wp:positionV>
            <wp:extent cx="3831590" cy="2366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3159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Potential Director Candidates</w:t>
      </w:r>
    </w:p>
    <w:p>
      <w:pPr>
        <w:spacing w:after="0" w:line="144" w:lineRule="exact"/>
        <w:rPr>
          <w:sz w:val="20"/>
          <w:szCs w:val="20"/>
          <w:color w:val="auto"/>
        </w:rPr>
      </w:pPr>
    </w:p>
    <w:p>
      <w:pPr>
        <w:jc w:val="both"/>
        <w:ind w:left="880" w:right="19"/>
        <w:spacing w:after="0" w:line="254" w:lineRule="auto"/>
        <w:rPr>
          <w:sz w:val="20"/>
          <w:szCs w:val="20"/>
          <w:color w:val="auto"/>
        </w:rPr>
      </w:pPr>
      <w:r>
        <w:rPr>
          <w:rFonts w:ascii="Arial" w:cs="Arial" w:eastAsia="Arial" w:hAnsi="Arial"/>
          <w:sz w:val="18"/>
          <w:szCs w:val="18"/>
          <w:color w:val="auto"/>
        </w:rPr>
        <w:t>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Nominating and Corporate Governance Committee’s nominees.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4820" w:type="dxa"/>
            <w:vAlign w:val="bottom"/>
            <w:shd w:val="clear" w:color="auto" w:fill="27A770"/>
          </w:tcPr>
          <w:p>
            <w:pPr>
              <w:ind w:left="20"/>
              <w:spacing w:after="0"/>
              <w:rPr>
                <w:sz w:val="20"/>
                <w:szCs w:val="20"/>
                <w:color w:val="auto"/>
              </w:rPr>
            </w:pPr>
            <w:r>
              <w:rPr>
                <w:rFonts w:ascii="Arial" w:cs="Arial" w:eastAsia="Arial" w:hAnsi="Arial"/>
                <w:sz w:val="32"/>
                <w:szCs w:val="32"/>
                <w:b w:val="1"/>
                <w:bCs w:val="1"/>
                <w:color w:val="FFFFFF"/>
              </w:rPr>
              <w:t>​BOARD OF DIRECTORS</w:t>
            </w:r>
          </w:p>
        </w:tc>
        <w:tc>
          <w:tcPr>
            <w:tcW w:w="4160" w:type="dxa"/>
            <w:vAlign w:val="bottom"/>
            <w:shd w:val="clear" w:color="auto" w:fill="27A770"/>
          </w:tcPr>
          <w:p>
            <w:pPr>
              <w:ind w:left="4060"/>
              <w:spacing w:after="0"/>
              <w:rPr>
                <w:sz w:val="20"/>
                <w:szCs w:val="20"/>
                <w:color w:val="auto"/>
              </w:rPr>
            </w:pPr>
            <w:r>
              <w:rPr>
                <w:rFonts w:ascii="Arial" w:cs="Arial" w:eastAsia="Arial" w:hAnsi="Arial"/>
                <w:sz w:val="32"/>
                <w:szCs w:val="32"/>
                <w:b w:val="1"/>
                <w:bCs w:val="1"/>
                <w:color w:val="FFFFFF"/>
              </w:rPr>
              <w:t>​</w:t>
            </w:r>
          </w:p>
        </w:tc>
      </w:tr>
      <w:tr>
        <w:trPr>
          <w:trHeight w:val="552"/>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BOARD DIVERSITY</w:t>
            </w:r>
          </w:p>
        </w:tc>
        <w:tc>
          <w:tcPr>
            <w:tcW w:w="4160" w:type="dxa"/>
            <w:vAlign w:val="bottom"/>
          </w:tcPr>
          <w:p>
            <w:pPr>
              <w:spacing w:after="0"/>
              <w:rPr>
                <w:sz w:val="24"/>
                <w:szCs w:val="24"/>
                <w:color w:val="auto"/>
              </w:rPr>
            </w:pPr>
          </w:p>
        </w:tc>
      </w:tr>
      <w:tr>
        <w:trPr>
          <w:trHeight w:val="307"/>
        </w:trPr>
        <w:tc>
          <w:tcPr>
            <w:tcW w:w="4820" w:type="dxa"/>
            <w:vAlign w:val="bottom"/>
          </w:tcPr>
          <w:p>
            <w:pPr>
              <w:ind w:left="20"/>
              <w:spacing w:after="0"/>
              <w:rPr>
                <w:sz w:val="20"/>
                <w:szCs w:val="20"/>
                <w:color w:val="auto"/>
              </w:rPr>
            </w:pPr>
            <w:r>
              <w:rPr>
                <w:rFonts w:ascii="Arial" w:cs="Arial" w:eastAsia="Arial" w:hAnsi="Arial"/>
                <w:sz w:val="18"/>
                <w:szCs w:val="18"/>
                <w:color w:val="auto"/>
              </w:rPr>
              <w:t>Board diversity and inclusion is critical to the our</w:t>
            </w:r>
          </w:p>
        </w:tc>
        <w:tc>
          <w:tcPr>
            <w:tcW w:w="4160" w:type="dxa"/>
            <w:vAlign w:val="bottom"/>
          </w:tcPr>
          <w:p>
            <w:pPr>
              <w:ind w:left="420"/>
              <w:spacing w:after="0"/>
              <w:rPr>
                <w:sz w:val="20"/>
                <w:szCs w:val="20"/>
                <w:color w:val="auto"/>
              </w:rPr>
            </w:pPr>
            <w:r>
              <w:rPr>
                <w:rFonts w:ascii="Arial" w:cs="Arial" w:eastAsia="Arial" w:hAnsi="Arial"/>
                <w:sz w:val="18"/>
                <w:szCs w:val="18"/>
                <w:b w:val="1"/>
                <w:bCs w:val="1"/>
                <w:color w:val="248ED8"/>
              </w:rPr>
              <w:t>CURRENT DIVERSITY BREAKDOWN</w:t>
            </w: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success. While we do not have a formal policy on</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Board diversity, the Board is committed to building a</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Board  that  consists  of  the  optimal  mix  of  skills,</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expertise,  and  diversity  capable  of  effectively</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overseeing the execution of our business and meeting</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our evolving needs, with diversity reflecting gender,</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age,   race,   ethnicity,   background,   professional</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experience  and  perspectives.  The  Nominating  and</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Corporate Governance Committee considers the value</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of  diversity  on  the  Board  in  evaluating  director</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nominees. Accordingly, the Nominating and Corporate</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Governance  Committee’s  evaluation  of  director</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nominees  includes  consideration  of  their  ability  to</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contribute to the diversity of personal and professional</w:t>
            </w:r>
          </w:p>
        </w:tc>
        <w:tc>
          <w:tcPr>
            <w:tcW w:w="4160" w:type="dxa"/>
            <w:vAlign w:val="bottom"/>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experiences, opinions, perspectives and backgrounds</w:t>
            </w:r>
          </w:p>
        </w:tc>
        <w:tc>
          <w:tcPr>
            <w:tcW w:w="4160" w:type="dxa"/>
            <w:vAlign w:val="bottom"/>
          </w:tcPr>
          <w:p>
            <w:pPr>
              <w:spacing w:after="0"/>
              <w:rPr>
                <w:sz w:val="18"/>
                <w:szCs w:val="18"/>
                <w:color w:val="auto"/>
              </w:rPr>
            </w:pPr>
          </w:p>
        </w:tc>
      </w:tr>
      <w:tr>
        <w:trPr>
          <w:trHeight w:val="239"/>
        </w:trPr>
        <w:tc>
          <w:tcPr>
            <w:tcW w:w="4820" w:type="dxa"/>
            <w:vAlign w:val="bottom"/>
          </w:tcPr>
          <w:p>
            <w:pPr>
              <w:ind w:left="20"/>
              <w:spacing w:after="0"/>
              <w:rPr>
                <w:sz w:val="20"/>
                <w:szCs w:val="20"/>
                <w:color w:val="auto"/>
              </w:rPr>
            </w:pPr>
            <w:r>
              <w:rPr>
                <w:rFonts w:ascii="Arial" w:cs="Arial" w:eastAsia="Arial" w:hAnsi="Arial"/>
                <w:sz w:val="18"/>
                <w:szCs w:val="18"/>
                <w:color w:val="auto"/>
              </w:rPr>
              <w:t>on the Board.</w:t>
            </w:r>
          </w:p>
        </w:tc>
        <w:tc>
          <w:tcPr>
            <w:tcW w:w="4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3526155</wp:posOffset>
            </wp:positionH>
            <wp:positionV relativeFrom="paragraph">
              <wp:posOffset>-2085340</wp:posOffset>
            </wp:positionV>
            <wp:extent cx="2674620" cy="1885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74620" cy="1885950"/>
                    </a:xfrm>
                    <a:prstGeom prst="rect">
                      <a:avLst/>
                    </a:prstGeom>
                    <a:noFill/>
                  </pic:spPr>
                </pic:pic>
              </a:graphicData>
            </a:graphic>
          </wp:anchor>
        </w:drawing>
      </w:r>
    </w:p>
    <w:p>
      <w:pPr>
        <w:spacing w:after="0" w:line="119"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As presently constituted, the Board represents a deliberate mix of members who have a deep understanding of our business as well as members who have different skill sets and points of view. The recently adopted listing requirements of the Nasdaq Stock Market LLC, or Nasdaq, require each listed company to have, or explain why it does not have, two diverse directors on the board, including at least one diverse director who self-identifies as female and at least one diverse director who self-identifies as an underrepresented minority or LGBTQ+, or for smaller reporting companies, two female directors. Our current board composition is in compliance with this requirement. We are particularly proud of the diversity on our Board, which includes five Board members who self-identify as diverse, including our Chairman of the Board, Chair of the Nominating and Corporate Governance Committee and Chair of the Audit Committee.</w:t>
      </w:r>
    </w:p>
    <w:p>
      <w:pPr>
        <w:spacing w:after="0" w:line="113"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The matrix below provides certain highlights of the composition of our Board members based on self-identification. Each term used above and in the matrix below has the meaning given to it in Nasdaq Listing Rule 5605(f).</w:t>
      </w:r>
    </w:p>
    <w:p>
      <w:pPr>
        <w:spacing w:after="0" w:line="129"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40" w:type="dxa"/>
            <w:vAlign w:val="bottom"/>
            <w:tcBorders>
              <w:top w:val="single" w:sz="8" w:color="auto"/>
              <w:left w:val="single" w:sz="8" w:color="auto"/>
              <w:bottom w:val="single" w:sz="8" w:color="auto"/>
            </w:tcBorders>
            <w:shd w:val="clear" w:color="auto" w:fill="248ED8"/>
          </w:tcPr>
          <w:p>
            <w:pPr>
              <w:spacing w:after="0"/>
              <w:rPr>
                <w:sz w:val="23"/>
                <w:szCs w:val="23"/>
                <w:color w:val="auto"/>
              </w:rPr>
            </w:pPr>
          </w:p>
        </w:tc>
        <w:tc>
          <w:tcPr>
            <w:tcW w:w="2760" w:type="dxa"/>
            <w:vAlign w:val="bottom"/>
            <w:tcBorders>
              <w:top w:val="single" w:sz="8" w:color="auto"/>
              <w:bottom w:val="single" w:sz="8" w:color="auto"/>
            </w:tcBorders>
            <w:shd w:val="clear" w:color="auto" w:fill="248ED8"/>
          </w:tcPr>
          <w:p>
            <w:pPr>
              <w:ind w:left="40"/>
              <w:spacing w:after="0"/>
              <w:rPr>
                <w:sz w:val="20"/>
                <w:szCs w:val="20"/>
                <w:color w:val="auto"/>
              </w:rPr>
            </w:pPr>
            <w:r>
              <w:rPr>
                <w:rFonts w:ascii="Arial" w:cs="Arial" w:eastAsia="Arial" w:hAnsi="Arial"/>
                <w:sz w:val="16"/>
                <w:szCs w:val="16"/>
                <w:b w:val="1"/>
                <w:bCs w:val="1"/>
                <w:color w:val="FFFFFF"/>
              </w:rPr>
              <w:t>​</w:t>
            </w:r>
          </w:p>
        </w:tc>
        <w:tc>
          <w:tcPr>
            <w:tcW w:w="3460" w:type="dxa"/>
            <w:vAlign w:val="bottom"/>
            <w:tcBorders>
              <w:top w:val="single" w:sz="8" w:color="auto"/>
              <w:bottom w:val="single" w:sz="8" w:color="auto"/>
            </w:tcBorders>
            <w:gridSpan w:val="7"/>
            <w:shd w:val="clear" w:color="auto" w:fill="248ED8"/>
          </w:tcPr>
          <w:p>
            <w:pPr>
              <w:ind w:left="20"/>
              <w:spacing w:after="0"/>
              <w:rPr>
                <w:sz w:val="20"/>
                <w:szCs w:val="20"/>
                <w:color w:val="auto"/>
              </w:rPr>
            </w:pPr>
            <w:r>
              <w:rPr>
                <w:rFonts w:ascii="Arial" w:cs="Arial" w:eastAsia="Arial" w:hAnsi="Arial"/>
                <w:sz w:val="16"/>
                <w:szCs w:val="16"/>
                <w:b w:val="1"/>
                <w:bCs w:val="1"/>
                <w:color w:val="FFFFFF"/>
              </w:rPr>
              <w:t>Board Diversity Matrix (As of April 21, 2022)</w:t>
            </w:r>
          </w:p>
        </w:tc>
        <w:tc>
          <w:tcPr>
            <w:tcW w:w="140" w:type="dxa"/>
            <w:vAlign w:val="bottom"/>
            <w:tcBorders>
              <w:top w:val="single" w:sz="8" w:color="auto"/>
              <w:bottom w:val="single" w:sz="8" w:color="auto"/>
              <w:right w:val="single" w:sz="8" w:color="248ED8"/>
            </w:tcBorders>
            <w:shd w:val="clear" w:color="auto" w:fill="248ED8"/>
          </w:tcPr>
          <w:p>
            <w:pPr>
              <w:spacing w:after="0"/>
              <w:rPr>
                <w:sz w:val="23"/>
                <w:szCs w:val="23"/>
                <w:color w:val="auto"/>
              </w:rPr>
            </w:pPr>
          </w:p>
        </w:tc>
        <w:tc>
          <w:tcPr>
            <w:tcW w:w="140" w:type="dxa"/>
            <w:vAlign w:val="bottom"/>
            <w:tcBorders>
              <w:top w:val="single" w:sz="8" w:color="auto"/>
              <w:bottom w:val="single" w:sz="8" w:color="auto"/>
            </w:tcBorders>
            <w:shd w:val="clear" w:color="auto" w:fill="248ED8"/>
          </w:tcPr>
          <w:p>
            <w:pPr>
              <w:spacing w:after="0"/>
              <w:rPr>
                <w:sz w:val="23"/>
                <w:szCs w:val="23"/>
                <w:color w:val="auto"/>
              </w:rPr>
            </w:pPr>
          </w:p>
        </w:tc>
        <w:tc>
          <w:tcPr>
            <w:tcW w:w="1000" w:type="dxa"/>
            <w:vAlign w:val="bottom"/>
            <w:tcBorders>
              <w:top w:val="single" w:sz="8" w:color="auto"/>
              <w:bottom w:val="single" w:sz="8" w:color="auto"/>
            </w:tcBorders>
            <w:shd w:val="clear" w:color="auto" w:fill="248ED8"/>
          </w:tcPr>
          <w:p>
            <w:pPr>
              <w:spacing w:after="0"/>
              <w:rPr>
                <w:sz w:val="23"/>
                <w:szCs w:val="23"/>
                <w:color w:val="auto"/>
              </w:rPr>
            </w:pPr>
          </w:p>
        </w:tc>
        <w:tc>
          <w:tcPr>
            <w:tcW w:w="140" w:type="dxa"/>
            <w:vAlign w:val="bottom"/>
            <w:tcBorders>
              <w:top w:val="single" w:sz="8" w:color="auto"/>
              <w:bottom w:val="single" w:sz="8" w:color="auto"/>
              <w:right w:val="single" w:sz="8" w:color="248ED8"/>
            </w:tcBorders>
            <w:shd w:val="clear" w:color="auto" w:fill="248ED8"/>
          </w:tcPr>
          <w:p>
            <w:pPr>
              <w:spacing w:after="0"/>
              <w:rPr>
                <w:sz w:val="23"/>
                <w:szCs w:val="23"/>
                <w:color w:val="auto"/>
              </w:rPr>
            </w:pPr>
          </w:p>
        </w:tc>
        <w:tc>
          <w:tcPr>
            <w:tcW w:w="200" w:type="dxa"/>
            <w:vAlign w:val="bottom"/>
            <w:tcBorders>
              <w:top w:val="single" w:sz="8" w:color="auto"/>
              <w:bottom w:val="single" w:sz="8" w:color="auto"/>
            </w:tcBorders>
            <w:shd w:val="clear" w:color="auto" w:fill="248ED8"/>
          </w:tcPr>
          <w:p>
            <w:pPr>
              <w:spacing w:after="0"/>
              <w:rPr>
                <w:sz w:val="23"/>
                <w:szCs w:val="23"/>
                <w:color w:val="auto"/>
              </w:rPr>
            </w:pPr>
          </w:p>
        </w:tc>
        <w:tc>
          <w:tcPr>
            <w:tcW w:w="860" w:type="dxa"/>
            <w:vAlign w:val="bottom"/>
            <w:tcBorders>
              <w:top w:val="single" w:sz="8" w:color="auto"/>
              <w:bottom w:val="single" w:sz="8" w:color="auto"/>
            </w:tcBorders>
            <w:shd w:val="clear" w:color="auto" w:fill="248ED8"/>
          </w:tcPr>
          <w:p>
            <w:pPr>
              <w:spacing w:after="0"/>
              <w:rPr>
                <w:sz w:val="23"/>
                <w:szCs w:val="23"/>
                <w:color w:val="auto"/>
              </w:rPr>
            </w:pPr>
          </w:p>
        </w:tc>
        <w:tc>
          <w:tcPr>
            <w:tcW w:w="260" w:type="dxa"/>
            <w:vAlign w:val="bottom"/>
            <w:tcBorders>
              <w:top w:val="single" w:sz="8" w:color="auto"/>
              <w:bottom w:val="single" w:sz="8" w:color="auto"/>
              <w:right w:val="single" w:sz="8" w:color="auto"/>
            </w:tcBorders>
            <w:shd w:val="clear" w:color="auto" w:fill="248ED8"/>
          </w:tcPr>
          <w:p>
            <w:pPr>
              <w:ind w:left="18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0"/>
        </w:trPr>
        <w:tc>
          <w:tcPr>
            <w:tcW w:w="2800" w:type="dxa"/>
            <w:vAlign w:val="bottom"/>
            <w:tcBorders>
              <w:left w:val="single" w:sz="8" w:color="auto"/>
              <w:bottom w:val="single" w:sz="8" w:color="auto"/>
            </w:tcBorders>
            <w:gridSpan w:val="2"/>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Total Number of Directors</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320"/>
              <w:spacing w:after="0" w:line="250"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bscript"/>
              </w:rPr>
              <w:t>7</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2"/>
        </w:trPr>
        <w:tc>
          <w:tcPr>
            <w:tcW w:w="4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shd w:val="clear" w:color="auto" w:fill="248ED8"/>
          </w:tcPr>
          <w:p>
            <w:pPr>
              <w:spacing w:after="0"/>
              <w:rPr>
                <w:sz w:val="15"/>
                <w:szCs w:val="15"/>
                <w:color w:val="auto"/>
              </w:rPr>
            </w:pPr>
          </w:p>
        </w:tc>
        <w:tc>
          <w:tcPr>
            <w:tcW w:w="2760" w:type="dxa"/>
            <w:vAlign w:val="bottom"/>
            <w:shd w:val="clear" w:color="auto" w:fill="248ED8"/>
          </w:tcPr>
          <w:p>
            <w:pPr>
              <w:spacing w:after="0"/>
              <w:rPr>
                <w:sz w:val="15"/>
                <w:szCs w:val="15"/>
                <w:color w:val="auto"/>
              </w:rPr>
            </w:pPr>
          </w:p>
        </w:tc>
        <w:tc>
          <w:tcPr>
            <w:tcW w:w="880" w:type="dxa"/>
            <w:vAlign w:val="bottom"/>
            <w:shd w:val="clear" w:color="auto" w:fill="248ED8"/>
          </w:tcPr>
          <w:p>
            <w:pPr>
              <w:spacing w:after="0"/>
              <w:rPr>
                <w:sz w:val="15"/>
                <w:szCs w:val="15"/>
                <w:color w:val="auto"/>
              </w:rPr>
            </w:pPr>
          </w:p>
        </w:tc>
        <w:tc>
          <w:tcPr>
            <w:tcW w:w="160" w:type="dxa"/>
            <w:vAlign w:val="bottom"/>
            <w:tcBorders>
              <w:right w:val="single" w:sz="8" w:color="248ED8"/>
            </w:tcBorders>
            <w:shd w:val="clear" w:color="auto" w:fill="248ED8"/>
          </w:tcPr>
          <w:p>
            <w:pPr>
              <w:spacing w:after="0"/>
              <w:rPr>
                <w:sz w:val="15"/>
                <w:szCs w:val="15"/>
                <w:color w:val="auto"/>
              </w:rPr>
            </w:pPr>
          </w:p>
        </w:tc>
        <w:tc>
          <w:tcPr>
            <w:tcW w:w="220" w:type="dxa"/>
            <w:vAlign w:val="bottom"/>
            <w:shd w:val="clear" w:color="auto" w:fill="248ED8"/>
          </w:tcPr>
          <w:p>
            <w:pPr>
              <w:spacing w:after="0"/>
              <w:rPr>
                <w:sz w:val="15"/>
                <w:szCs w:val="15"/>
                <w:color w:val="auto"/>
              </w:rPr>
            </w:pPr>
          </w:p>
        </w:tc>
        <w:tc>
          <w:tcPr>
            <w:tcW w:w="840" w:type="dxa"/>
            <w:vAlign w:val="bottom"/>
            <w:shd w:val="clear" w:color="auto" w:fill="248ED8"/>
          </w:tcPr>
          <w:p>
            <w:pPr>
              <w:spacing w:after="0"/>
              <w:rPr>
                <w:sz w:val="15"/>
                <w:szCs w:val="15"/>
                <w:color w:val="auto"/>
              </w:rPr>
            </w:pPr>
          </w:p>
        </w:tc>
        <w:tc>
          <w:tcPr>
            <w:tcW w:w="220" w:type="dxa"/>
            <w:vAlign w:val="bottom"/>
            <w:tcBorders>
              <w:right w:val="single" w:sz="8" w:color="248ED8"/>
            </w:tcBorders>
            <w:shd w:val="clear" w:color="auto" w:fill="248ED8"/>
          </w:tcPr>
          <w:p>
            <w:pPr>
              <w:spacing w:after="0"/>
              <w:rPr>
                <w:sz w:val="15"/>
                <w:szCs w:val="15"/>
                <w:color w:val="auto"/>
              </w:rPr>
            </w:pPr>
          </w:p>
        </w:tc>
        <w:tc>
          <w:tcPr>
            <w:tcW w:w="260" w:type="dxa"/>
            <w:vAlign w:val="bottom"/>
            <w:shd w:val="clear" w:color="auto" w:fill="248ED8"/>
          </w:tcPr>
          <w:p>
            <w:pPr>
              <w:spacing w:after="0"/>
              <w:rPr>
                <w:sz w:val="15"/>
                <w:szCs w:val="15"/>
                <w:color w:val="auto"/>
              </w:rPr>
            </w:pPr>
          </w:p>
        </w:tc>
        <w:tc>
          <w:tcPr>
            <w:tcW w:w="880" w:type="dxa"/>
            <w:vAlign w:val="bottom"/>
            <w:shd w:val="clear" w:color="auto" w:fill="248ED8"/>
          </w:tcPr>
          <w:p>
            <w:pPr>
              <w:spacing w:after="0"/>
              <w:rPr>
                <w:sz w:val="15"/>
                <w:szCs w:val="15"/>
                <w:color w:val="auto"/>
              </w:rPr>
            </w:pPr>
          </w:p>
        </w:tc>
        <w:tc>
          <w:tcPr>
            <w:tcW w:w="140" w:type="dxa"/>
            <w:vAlign w:val="bottom"/>
            <w:tcBorders>
              <w:right w:val="single" w:sz="8" w:color="248ED8"/>
            </w:tcBorders>
            <w:shd w:val="clear" w:color="auto" w:fill="248ED8"/>
          </w:tcPr>
          <w:p>
            <w:pPr>
              <w:spacing w:after="0"/>
              <w:rPr>
                <w:sz w:val="15"/>
                <w:szCs w:val="15"/>
                <w:color w:val="auto"/>
              </w:rPr>
            </w:pPr>
          </w:p>
        </w:tc>
        <w:tc>
          <w:tcPr>
            <w:tcW w:w="140" w:type="dxa"/>
            <w:vAlign w:val="bottom"/>
            <w:shd w:val="clear" w:color="auto" w:fill="248ED8"/>
          </w:tcPr>
          <w:p>
            <w:pPr>
              <w:spacing w:after="0"/>
              <w:rPr>
                <w:sz w:val="15"/>
                <w:szCs w:val="15"/>
                <w:color w:val="auto"/>
              </w:rPr>
            </w:pPr>
          </w:p>
        </w:tc>
        <w:tc>
          <w:tcPr>
            <w:tcW w:w="1000" w:type="dxa"/>
            <w:vAlign w:val="bottom"/>
            <w:shd w:val="clear" w:color="auto" w:fill="248ED8"/>
          </w:tcPr>
          <w:p>
            <w:pPr>
              <w:spacing w:after="0"/>
              <w:rPr>
                <w:sz w:val="15"/>
                <w:szCs w:val="15"/>
                <w:color w:val="auto"/>
              </w:rPr>
            </w:pPr>
          </w:p>
        </w:tc>
        <w:tc>
          <w:tcPr>
            <w:tcW w:w="140" w:type="dxa"/>
            <w:vAlign w:val="bottom"/>
            <w:tcBorders>
              <w:right w:val="single" w:sz="8" w:color="248ED8"/>
            </w:tcBorders>
            <w:shd w:val="clear" w:color="auto" w:fill="248ED8"/>
          </w:tcPr>
          <w:p>
            <w:pPr>
              <w:spacing w:after="0"/>
              <w:rPr>
                <w:sz w:val="15"/>
                <w:szCs w:val="15"/>
                <w:color w:val="auto"/>
              </w:rPr>
            </w:pPr>
          </w:p>
        </w:tc>
        <w:tc>
          <w:tcPr>
            <w:tcW w:w="200" w:type="dxa"/>
            <w:vAlign w:val="bottom"/>
            <w:shd w:val="clear" w:color="auto" w:fill="248ED8"/>
          </w:tcPr>
          <w:p>
            <w:pPr>
              <w:spacing w:after="0"/>
              <w:rPr>
                <w:sz w:val="15"/>
                <w:szCs w:val="15"/>
                <w:color w:val="auto"/>
              </w:rPr>
            </w:pPr>
          </w:p>
        </w:tc>
        <w:tc>
          <w:tcPr>
            <w:tcW w:w="860" w:type="dxa"/>
            <w:vAlign w:val="bottom"/>
            <w:shd w:val="clear" w:color="auto" w:fill="248ED8"/>
          </w:tcPr>
          <w:p>
            <w:pPr>
              <w:jc w:val="center"/>
              <w:spacing w:after="0" w:line="183" w:lineRule="exact"/>
              <w:rPr>
                <w:sz w:val="20"/>
                <w:szCs w:val="20"/>
                <w:color w:val="auto"/>
              </w:rPr>
            </w:pPr>
            <w:r>
              <w:rPr>
                <w:rFonts w:ascii="Arial" w:cs="Arial" w:eastAsia="Arial" w:hAnsi="Arial"/>
                <w:sz w:val="16"/>
                <w:szCs w:val="16"/>
                <w:b w:val="1"/>
                <w:bCs w:val="1"/>
                <w:color w:val="FFFFFF"/>
                <w:w w:val="98"/>
              </w:rPr>
              <w:t>Did Not</w:t>
            </w:r>
          </w:p>
        </w:tc>
        <w:tc>
          <w:tcPr>
            <w:tcW w:w="260" w:type="dxa"/>
            <w:vAlign w:val="bottom"/>
            <w:tcBorders>
              <w:right w:val="single" w:sz="8" w:color="248ED8"/>
            </w:tcBorders>
            <w:shd w:val="clear" w:color="auto" w:fill="248ED8"/>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Borders>
              <w:left w:val="single" w:sz="8" w:color="auto"/>
            </w:tcBorders>
            <w:shd w:val="clear" w:color="auto" w:fill="248ED8"/>
          </w:tcPr>
          <w:p>
            <w:pPr>
              <w:spacing w:after="0"/>
              <w:rPr>
                <w:sz w:val="14"/>
                <w:szCs w:val="14"/>
                <w:color w:val="auto"/>
              </w:rPr>
            </w:pPr>
          </w:p>
        </w:tc>
        <w:tc>
          <w:tcPr>
            <w:tcW w:w="2760" w:type="dxa"/>
            <w:vAlign w:val="bottom"/>
            <w:vMerge w:val="restart"/>
            <w:shd w:val="clear" w:color="auto" w:fill="248ED8"/>
          </w:tcPr>
          <w:p>
            <w:pPr>
              <w:ind w:left="60"/>
              <w:spacing w:after="0"/>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Part I: Gender Identity</w:t>
            </w:r>
          </w:p>
        </w:tc>
        <w:tc>
          <w:tcPr>
            <w:tcW w:w="880" w:type="dxa"/>
            <w:vAlign w:val="bottom"/>
            <w:shd w:val="clear" w:color="auto" w:fill="248ED8"/>
          </w:tcPr>
          <w:p>
            <w:pPr>
              <w:spacing w:after="0"/>
              <w:rPr>
                <w:sz w:val="14"/>
                <w:szCs w:val="14"/>
                <w:color w:val="auto"/>
              </w:rPr>
            </w:pPr>
          </w:p>
        </w:tc>
        <w:tc>
          <w:tcPr>
            <w:tcW w:w="160" w:type="dxa"/>
            <w:vAlign w:val="bottom"/>
            <w:tcBorders>
              <w:right w:val="single" w:sz="8" w:color="248ED8"/>
            </w:tcBorders>
            <w:shd w:val="clear" w:color="auto" w:fill="248ED8"/>
          </w:tcPr>
          <w:p>
            <w:pPr>
              <w:spacing w:after="0"/>
              <w:rPr>
                <w:sz w:val="14"/>
                <w:szCs w:val="14"/>
                <w:color w:val="auto"/>
              </w:rPr>
            </w:pPr>
          </w:p>
        </w:tc>
        <w:tc>
          <w:tcPr>
            <w:tcW w:w="220" w:type="dxa"/>
            <w:vAlign w:val="bottom"/>
            <w:shd w:val="clear" w:color="auto" w:fill="248ED8"/>
          </w:tcPr>
          <w:p>
            <w:pPr>
              <w:spacing w:after="0"/>
              <w:rPr>
                <w:sz w:val="14"/>
                <w:szCs w:val="14"/>
                <w:color w:val="auto"/>
              </w:rPr>
            </w:pPr>
          </w:p>
        </w:tc>
        <w:tc>
          <w:tcPr>
            <w:tcW w:w="840" w:type="dxa"/>
            <w:vAlign w:val="bottom"/>
            <w:shd w:val="clear" w:color="auto" w:fill="248ED8"/>
          </w:tcPr>
          <w:p>
            <w:pPr>
              <w:spacing w:after="0"/>
              <w:rPr>
                <w:sz w:val="14"/>
                <w:szCs w:val="14"/>
                <w:color w:val="auto"/>
              </w:rPr>
            </w:pPr>
          </w:p>
        </w:tc>
        <w:tc>
          <w:tcPr>
            <w:tcW w:w="220" w:type="dxa"/>
            <w:vAlign w:val="bottom"/>
            <w:tcBorders>
              <w:right w:val="single" w:sz="8" w:color="248ED8"/>
            </w:tcBorders>
            <w:shd w:val="clear" w:color="auto" w:fill="248ED8"/>
          </w:tcPr>
          <w:p>
            <w:pPr>
              <w:spacing w:after="0"/>
              <w:rPr>
                <w:sz w:val="14"/>
                <w:szCs w:val="14"/>
                <w:color w:val="auto"/>
              </w:rPr>
            </w:pPr>
          </w:p>
        </w:tc>
        <w:tc>
          <w:tcPr>
            <w:tcW w:w="260" w:type="dxa"/>
            <w:vAlign w:val="bottom"/>
            <w:shd w:val="clear" w:color="auto" w:fill="248ED8"/>
          </w:tcPr>
          <w:p>
            <w:pPr>
              <w:spacing w:after="0"/>
              <w:rPr>
                <w:sz w:val="14"/>
                <w:szCs w:val="14"/>
                <w:color w:val="auto"/>
              </w:rPr>
            </w:pPr>
          </w:p>
        </w:tc>
        <w:tc>
          <w:tcPr>
            <w:tcW w:w="880" w:type="dxa"/>
            <w:vAlign w:val="bottom"/>
            <w:shd w:val="clear" w:color="auto" w:fill="248ED8"/>
          </w:tcPr>
          <w:p>
            <w:pPr>
              <w:spacing w:after="0"/>
              <w:rPr>
                <w:sz w:val="14"/>
                <w:szCs w:val="14"/>
                <w:color w:val="auto"/>
              </w:rPr>
            </w:pPr>
          </w:p>
        </w:tc>
        <w:tc>
          <w:tcPr>
            <w:tcW w:w="140" w:type="dxa"/>
            <w:vAlign w:val="bottom"/>
            <w:tcBorders>
              <w:right w:val="single" w:sz="8" w:color="248ED8"/>
            </w:tcBorders>
            <w:shd w:val="clear" w:color="auto" w:fill="248ED8"/>
          </w:tcPr>
          <w:p>
            <w:pPr>
              <w:spacing w:after="0"/>
              <w:rPr>
                <w:sz w:val="14"/>
                <w:szCs w:val="14"/>
                <w:color w:val="auto"/>
              </w:rPr>
            </w:pPr>
          </w:p>
        </w:tc>
        <w:tc>
          <w:tcPr>
            <w:tcW w:w="140" w:type="dxa"/>
            <w:vAlign w:val="bottom"/>
            <w:shd w:val="clear" w:color="auto" w:fill="248ED8"/>
          </w:tcPr>
          <w:p>
            <w:pPr>
              <w:spacing w:after="0"/>
              <w:rPr>
                <w:sz w:val="14"/>
                <w:szCs w:val="14"/>
                <w:color w:val="auto"/>
              </w:rPr>
            </w:pPr>
          </w:p>
        </w:tc>
        <w:tc>
          <w:tcPr>
            <w:tcW w:w="1000" w:type="dxa"/>
            <w:vAlign w:val="bottom"/>
            <w:shd w:val="clear" w:color="auto" w:fill="248ED8"/>
          </w:tcPr>
          <w:p>
            <w:pPr>
              <w:spacing w:after="0"/>
              <w:rPr>
                <w:sz w:val="14"/>
                <w:szCs w:val="14"/>
                <w:color w:val="auto"/>
              </w:rPr>
            </w:pPr>
          </w:p>
        </w:tc>
        <w:tc>
          <w:tcPr>
            <w:tcW w:w="140" w:type="dxa"/>
            <w:vAlign w:val="bottom"/>
            <w:tcBorders>
              <w:right w:val="single" w:sz="8" w:color="248ED8"/>
            </w:tcBorders>
            <w:shd w:val="clear" w:color="auto" w:fill="248ED8"/>
          </w:tcPr>
          <w:p>
            <w:pPr>
              <w:spacing w:after="0"/>
              <w:rPr>
                <w:sz w:val="14"/>
                <w:szCs w:val="14"/>
                <w:color w:val="auto"/>
              </w:rPr>
            </w:pPr>
          </w:p>
        </w:tc>
        <w:tc>
          <w:tcPr>
            <w:tcW w:w="200" w:type="dxa"/>
            <w:vAlign w:val="bottom"/>
            <w:shd w:val="clear" w:color="auto" w:fill="248ED8"/>
          </w:tcPr>
          <w:p>
            <w:pPr>
              <w:spacing w:after="0"/>
              <w:rPr>
                <w:sz w:val="14"/>
                <w:szCs w:val="14"/>
                <w:color w:val="auto"/>
              </w:rPr>
            </w:pPr>
          </w:p>
        </w:tc>
        <w:tc>
          <w:tcPr>
            <w:tcW w:w="860" w:type="dxa"/>
            <w:vAlign w:val="bottom"/>
            <w:shd w:val="clear" w:color="auto" w:fill="248ED8"/>
          </w:tcPr>
          <w:p>
            <w:pPr>
              <w:jc w:val="center"/>
              <w:spacing w:after="0" w:line="162" w:lineRule="exact"/>
              <w:rPr>
                <w:sz w:val="20"/>
                <w:szCs w:val="20"/>
                <w:color w:val="auto"/>
              </w:rPr>
            </w:pPr>
            <w:r>
              <w:rPr>
                <w:rFonts w:ascii="Arial" w:cs="Arial" w:eastAsia="Arial" w:hAnsi="Arial"/>
                <w:sz w:val="16"/>
                <w:szCs w:val="16"/>
                <w:b w:val="1"/>
                <w:bCs w:val="1"/>
                <w:color w:val="FFFFFF"/>
              </w:rPr>
              <w:t>Disclose</w:t>
            </w:r>
          </w:p>
        </w:tc>
        <w:tc>
          <w:tcPr>
            <w:tcW w:w="260" w:type="dxa"/>
            <w:vAlign w:val="bottom"/>
            <w:tcBorders>
              <w:right w:val="single" w:sz="8" w:color="248ED8"/>
            </w:tcBorders>
            <w:shd w:val="clear" w:color="auto" w:fill="248ED8"/>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shd w:val="clear" w:color="auto" w:fill="248ED8"/>
          </w:tcPr>
          <w:p>
            <w:pPr>
              <w:spacing w:after="0"/>
              <w:rPr>
                <w:sz w:val="19"/>
                <w:szCs w:val="19"/>
                <w:color w:val="auto"/>
              </w:rPr>
            </w:pPr>
          </w:p>
        </w:tc>
        <w:tc>
          <w:tcPr>
            <w:tcW w:w="2760" w:type="dxa"/>
            <w:vAlign w:val="bottom"/>
            <w:vMerge w:val="continue"/>
            <w:shd w:val="clear" w:color="auto" w:fill="248ED8"/>
          </w:tcPr>
          <w:p>
            <w:pPr>
              <w:spacing w:after="0"/>
              <w:rPr>
                <w:sz w:val="19"/>
                <w:szCs w:val="19"/>
                <w:color w:val="auto"/>
              </w:rPr>
            </w:pPr>
          </w:p>
        </w:tc>
        <w:tc>
          <w:tcPr>
            <w:tcW w:w="880" w:type="dxa"/>
            <w:vAlign w:val="bottom"/>
            <w:shd w:val="clear" w:color="auto" w:fill="248ED8"/>
          </w:tcPr>
          <w:p>
            <w:pPr>
              <w:spacing w:after="0"/>
              <w:rPr>
                <w:sz w:val="19"/>
                <w:szCs w:val="19"/>
                <w:color w:val="auto"/>
              </w:rPr>
            </w:pPr>
          </w:p>
        </w:tc>
        <w:tc>
          <w:tcPr>
            <w:tcW w:w="380" w:type="dxa"/>
            <w:vAlign w:val="bottom"/>
            <w:gridSpan w:val="2"/>
            <w:shd w:val="clear" w:color="auto" w:fill="248ED8"/>
          </w:tcPr>
          <w:p>
            <w:pPr>
              <w:jc w:val="right"/>
              <w:ind w:right="50"/>
              <w:spacing w:after="0"/>
              <w:rPr>
                <w:sz w:val="20"/>
                <w:szCs w:val="20"/>
                <w:color w:val="auto"/>
              </w:rPr>
            </w:pPr>
            <w:r>
              <w:rPr>
                <w:rFonts w:ascii="Arial" w:cs="Arial" w:eastAsia="Arial" w:hAnsi="Arial"/>
                <w:sz w:val="16"/>
                <w:szCs w:val="16"/>
                <w:b w:val="1"/>
                <w:bCs w:val="1"/>
                <w:color w:val="FFFFFF"/>
              </w:rPr>
              <w:t>​ ​</w:t>
            </w:r>
          </w:p>
        </w:tc>
        <w:tc>
          <w:tcPr>
            <w:tcW w:w="840" w:type="dxa"/>
            <w:vAlign w:val="bottom"/>
            <w:shd w:val="clear" w:color="auto" w:fill="248ED8"/>
          </w:tcPr>
          <w:p>
            <w:pPr>
              <w:ind w:left="120"/>
              <w:spacing w:after="0"/>
              <w:rPr>
                <w:sz w:val="20"/>
                <w:szCs w:val="20"/>
                <w:color w:val="auto"/>
              </w:rPr>
            </w:pPr>
            <w:r>
              <w:rPr>
                <w:rFonts w:ascii="Arial" w:cs="Arial" w:eastAsia="Arial" w:hAnsi="Arial"/>
                <w:sz w:val="16"/>
                <w:szCs w:val="16"/>
                <w:b w:val="1"/>
                <w:bCs w:val="1"/>
                <w:color w:val="FFFFFF"/>
              </w:rPr>
              <w:t>Female</w:t>
            </w:r>
          </w:p>
        </w:tc>
        <w:tc>
          <w:tcPr>
            <w:tcW w:w="480" w:type="dxa"/>
            <w:vAlign w:val="bottom"/>
            <w:gridSpan w:val="2"/>
            <w:shd w:val="clear" w:color="auto" w:fill="248ED8"/>
          </w:tcPr>
          <w:p>
            <w:pPr>
              <w:jc w:val="right"/>
              <w:ind w:right="90"/>
              <w:spacing w:after="0"/>
              <w:rPr>
                <w:sz w:val="20"/>
                <w:szCs w:val="20"/>
                <w:color w:val="auto"/>
              </w:rPr>
            </w:pPr>
            <w:r>
              <w:rPr>
                <w:rFonts w:ascii="Arial" w:cs="Arial" w:eastAsia="Arial" w:hAnsi="Arial"/>
                <w:sz w:val="16"/>
                <w:szCs w:val="16"/>
                <w:b w:val="1"/>
                <w:bCs w:val="1"/>
                <w:color w:val="FFFFFF"/>
              </w:rPr>
              <w:t>​ ​</w:t>
            </w:r>
          </w:p>
        </w:tc>
        <w:tc>
          <w:tcPr>
            <w:tcW w:w="880" w:type="dxa"/>
            <w:vAlign w:val="bottom"/>
            <w:shd w:val="clear" w:color="auto" w:fill="248ED8"/>
          </w:tcPr>
          <w:p>
            <w:pPr>
              <w:ind w:left="180"/>
              <w:spacing w:after="0"/>
              <w:rPr>
                <w:sz w:val="20"/>
                <w:szCs w:val="20"/>
                <w:color w:val="auto"/>
              </w:rPr>
            </w:pPr>
            <w:r>
              <w:rPr>
                <w:rFonts w:ascii="Arial" w:cs="Arial" w:eastAsia="Arial" w:hAnsi="Arial"/>
                <w:sz w:val="16"/>
                <w:szCs w:val="16"/>
                <w:b w:val="1"/>
                <w:bCs w:val="1"/>
                <w:color w:val="FFFFFF"/>
              </w:rPr>
              <w:t>Male</w:t>
            </w:r>
          </w:p>
        </w:tc>
        <w:tc>
          <w:tcPr>
            <w:tcW w:w="280" w:type="dxa"/>
            <w:vAlign w:val="bottom"/>
            <w:gridSpan w:val="2"/>
            <w:shd w:val="clear" w:color="auto" w:fill="248ED8"/>
          </w:tcPr>
          <w:p>
            <w:pPr>
              <w:jc w:val="right"/>
              <w:spacing w:after="0"/>
              <w:rPr>
                <w:sz w:val="20"/>
                <w:szCs w:val="20"/>
                <w:color w:val="auto"/>
              </w:rPr>
            </w:pPr>
            <w:r>
              <w:rPr>
                <w:rFonts w:ascii="Arial" w:cs="Arial" w:eastAsia="Arial" w:hAnsi="Arial"/>
                <w:sz w:val="16"/>
                <w:szCs w:val="16"/>
                <w:b w:val="1"/>
                <w:bCs w:val="1"/>
                <w:color w:val="FFFFFF"/>
              </w:rPr>
              <w:t>​ ​</w:t>
            </w:r>
          </w:p>
        </w:tc>
        <w:tc>
          <w:tcPr>
            <w:tcW w:w="100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w w:val="99"/>
              </w:rPr>
              <w:t>Non-Binary</w:t>
            </w:r>
          </w:p>
        </w:tc>
        <w:tc>
          <w:tcPr>
            <w:tcW w:w="340" w:type="dxa"/>
            <w:vAlign w:val="bottom"/>
            <w:gridSpan w:val="2"/>
            <w:shd w:val="clear" w:color="auto" w:fill="248ED8"/>
          </w:tcPr>
          <w:p>
            <w:pPr>
              <w:jc w:val="right"/>
              <w:ind w:right="10"/>
              <w:spacing w:after="0"/>
              <w:rPr>
                <w:sz w:val="20"/>
                <w:szCs w:val="20"/>
                <w:color w:val="auto"/>
              </w:rPr>
            </w:pPr>
            <w:r>
              <w:rPr>
                <w:rFonts w:ascii="Arial" w:cs="Arial" w:eastAsia="Arial" w:hAnsi="Arial"/>
                <w:sz w:val="16"/>
                <w:szCs w:val="16"/>
                <w:b w:val="1"/>
                <w:bCs w:val="1"/>
                <w:color w:val="FFFFFF"/>
              </w:rPr>
              <w:t>​ ​</w:t>
            </w:r>
          </w:p>
        </w:tc>
        <w:tc>
          <w:tcPr>
            <w:tcW w:w="86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w w:val="99"/>
              </w:rPr>
              <w:t>Gender</w:t>
            </w:r>
          </w:p>
        </w:tc>
        <w:tc>
          <w:tcPr>
            <w:tcW w:w="260" w:type="dxa"/>
            <w:vAlign w:val="bottom"/>
            <w:tcBorders>
              <w:right w:val="single" w:sz="8" w:color="248ED8"/>
            </w:tcBorders>
            <w:shd w:val="clear" w:color="auto" w:fill="248ED8"/>
          </w:tcPr>
          <w:p>
            <w:pPr>
              <w:ind w:left="18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57"/>
        </w:trPr>
        <w:tc>
          <w:tcPr>
            <w:tcW w:w="40" w:type="dxa"/>
            <w:vAlign w:val="bottom"/>
            <w:tcBorders>
              <w:left w:val="single" w:sz="8" w:color="auto"/>
              <w:bottom w:val="single" w:sz="8" w:color="248ED8"/>
            </w:tcBorders>
          </w:tcPr>
          <w:p>
            <w:pPr>
              <w:spacing w:after="0"/>
              <w:rPr>
                <w:sz w:val="22"/>
                <w:szCs w:val="22"/>
                <w:color w:val="auto"/>
              </w:rPr>
            </w:pPr>
          </w:p>
        </w:tc>
        <w:tc>
          <w:tcPr>
            <w:tcW w:w="2760" w:type="dxa"/>
            <w:vAlign w:val="bottom"/>
            <w:tcBorders>
              <w:bottom w:val="single" w:sz="8" w:color="auto"/>
            </w:tcBorders>
          </w:tcPr>
          <w:p>
            <w:pPr>
              <w:ind w:left="6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Directors</w:t>
            </w:r>
          </w:p>
        </w:tc>
        <w:tc>
          <w:tcPr>
            <w:tcW w:w="880" w:type="dxa"/>
            <w:vAlign w:val="bottom"/>
            <w:tcBorders>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5</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bottom w:val="single" w:sz="8" w:color="auto"/>
            </w:tcBorders>
            <w:shd w:val="clear" w:color="auto" w:fill="248ED8"/>
          </w:tcPr>
          <w:p>
            <w:pPr>
              <w:spacing w:after="0"/>
              <w:rPr>
                <w:sz w:val="21"/>
                <w:szCs w:val="21"/>
                <w:color w:val="auto"/>
              </w:rPr>
            </w:pPr>
          </w:p>
        </w:tc>
        <w:tc>
          <w:tcPr>
            <w:tcW w:w="3640" w:type="dxa"/>
            <w:vAlign w:val="bottom"/>
            <w:tcBorders>
              <w:bottom w:val="single" w:sz="8" w:color="auto"/>
            </w:tcBorders>
            <w:gridSpan w:val="2"/>
            <w:shd w:val="clear" w:color="auto" w:fill="248ED8"/>
          </w:tcPr>
          <w:p>
            <w:pPr>
              <w:ind w:left="60"/>
              <w:spacing w:after="0" w:line="250"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5"/>
                <w:szCs w:val="15"/>
                <w:b w:val="1"/>
                <w:bCs w:val="1"/>
                <w:color w:val="FFFFFF"/>
              </w:rPr>
              <w:t>Part II: Demographic Background</w:t>
            </w:r>
          </w:p>
        </w:tc>
        <w:tc>
          <w:tcPr>
            <w:tcW w:w="160" w:type="dxa"/>
            <w:vAlign w:val="bottom"/>
            <w:tcBorders>
              <w:bottom w:val="single" w:sz="8" w:color="auto"/>
              <w:right w:val="single" w:sz="8" w:color="248ED8"/>
            </w:tcBorders>
            <w:shd w:val="clear" w:color="auto" w:fill="248ED8"/>
          </w:tcPr>
          <w:p>
            <w:pPr>
              <w:spacing w:after="0"/>
              <w:rPr>
                <w:sz w:val="21"/>
                <w:szCs w:val="21"/>
                <w:color w:val="auto"/>
              </w:rPr>
            </w:pPr>
          </w:p>
        </w:tc>
        <w:tc>
          <w:tcPr>
            <w:tcW w:w="220" w:type="dxa"/>
            <w:vAlign w:val="bottom"/>
            <w:tcBorders>
              <w:bottom w:val="single" w:sz="8" w:color="auto"/>
            </w:tcBorders>
            <w:shd w:val="clear" w:color="auto" w:fill="248ED8"/>
          </w:tcPr>
          <w:p>
            <w:pPr>
              <w:spacing w:after="0"/>
              <w:rPr>
                <w:sz w:val="21"/>
                <w:szCs w:val="21"/>
                <w:color w:val="auto"/>
              </w:rPr>
            </w:pPr>
          </w:p>
        </w:tc>
        <w:tc>
          <w:tcPr>
            <w:tcW w:w="840" w:type="dxa"/>
            <w:vAlign w:val="bottom"/>
            <w:tcBorders>
              <w:bottom w:val="single" w:sz="8" w:color="auto"/>
            </w:tcBorders>
            <w:shd w:val="clear" w:color="auto" w:fill="248ED8"/>
          </w:tcPr>
          <w:p>
            <w:pPr>
              <w:spacing w:after="0"/>
              <w:rPr>
                <w:sz w:val="21"/>
                <w:szCs w:val="21"/>
                <w:color w:val="auto"/>
              </w:rPr>
            </w:pPr>
          </w:p>
        </w:tc>
        <w:tc>
          <w:tcPr>
            <w:tcW w:w="220" w:type="dxa"/>
            <w:vAlign w:val="bottom"/>
            <w:tcBorders>
              <w:bottom w:val="single" w:sz="8" w:color="auto"/>
              <w:right w:val="single" w:sz="8" w:color="248ED8"/>
            </w:tcBorders>
            <w:shd w:val="clear" w:color="auto" w:fill="248ED8"/>
          </w:tcPr>
          <w:p>
            <w:pPr>
              <w:spacing w:after="0"/>
              <w:rPr>
                <w:sz w:val="21"/>
                <w:szCs w:val="21"/>
                <w:color w:val="auto"/>
              </w:rPr>
            </w:pPr>
          </w:p>
        </w:tc>
        <w:tc>
          <w:tcPr>
            <w:tcW w:w="260" w:type="dxa"/>
            <w:vAlign w:val="bottom"/>
            <w:tcBorders>
              <w:bottom w:val="single" w:sz="8" w:color="auto"/>
            </w:tcBorders>
            <w:shd w:val="clear" w:color="auto" w:fill="248ED8"/>
          </w:tcPr>
          <w:p>
            <w:pPr>
              <w:spacing w:after="0"/>
              <w:rPr>
                <w:sz w:val="21"/>
                <w:szCs w:val="21"/>
                <w:color w:val="auto"/>
              </w:rPr>
            </w:pPr>
          </w:p>
        </w:tc>
        <w:tc>
          <w:tcPr>
            <w:tcW w:w="880" w:type="dxa"/>
            <w:vAlign w:val="bottom"/>
            <w:tcBorders>
              <w:bottom w:val="single" w:sz="8" w:color="auto"/>
            </w:tcBorders>
            <w:shd w:val="clear" w:color="auto" w:fill="248ED8"/>
          </w:tcPr>
          <w:p>
            <w:pPr>
              <w:spacing w:after="0"/>
              <w:rPr>
                <w:sz w:val="21"/>
                <w:szCs w:val="21"/>
                <w:color w:val="auto"/>
              </w:rPr>
            </w:pPr>
          </w:p>
        </w:tc>
        <w:tc>
          <w:tcPr>
            <w:tcW w:w="140" w:type="dxa"/>
            <w:vAlign w:val="bottom"/>
            <w:tcBorders>
              <w:bottom w:val="single" w:sz="8" w:color="auto"/>
              <w:right w:val="single" w:sz="8" w:color="248ED8"/>
            </w:tcBorders>
            <w:shd w:val="clear" w:color="auto" w:fill="248ED8"/>
          </w:tcPr>
          <w:p>
            <w:pPr>
              <w:ind w:left="80"/>
              <w:spacing w:after="0"/>
              <w:rPr>
                <w:sz w:val="20"/>
                <w:szCs w:val="20"/>
                <w:color w:val="auto"/>
              </w:rPr>
            </w:pPr>
            <w:r>
              <w:rPr>
                <w:rFonts w:ascii="Arial" w:cs="Arial" w:eastAsia="Arial" w:hAnsi="Arial"/>
                <w:sz w:val="18"/>
                <w:szCs w:val="18"/>
                <w:b w:val="1"/>
                <w:bCs w:val="1"/>
                <w:color w:val="FFFFFF"/>
              </w:rPr>
              <w:t>​</w:t>
            </w:r>
          </w:p>
        </w:tc>
        <w:tc>
          <w:tcPr>
            <w:tcW w:w="140" w:type="dxa"/>
            <w:vAlign w:val="bottom"/>
            <w:tcBorders>
              <w:bottom w:val="single" w:sz="8" w:color="auto"/>
            </w:tcBorders>
            <w:shd w:val="clear" w:color="auto" w:fill="248ED8"/>
          </w:tcPr>
          <w:p>
            <w:pPr>
              <w:jc w:val="right"/>
              <w:spacing w:after="0"/>
              <w:rPr>
                <w:sz w:val="20"/>
                <w:szCs w:val="20"/>
                <w:color w:val="auto"/>
              </w:rPr>
            </w:pPr>
            <w:r>
              <w:rPr>
                <w:rFonts w:ascii="Arial" w:cs="Arial" w:eastAsia="Arial" w:hAnsi="Arial"/>
                <w:sz w:val="18"/>
                <w:szCs w:val="18"/>
                <w:b w:val="1"/>
                <w:bCs w:val="1"/>
                <w:color w:val="FFFFFF"/>
              </w:rPr>
              <w:t>​</w:t>
            </w:r>
          </w:p>
        </w:tc>
        <w:tc>
          <w:tcPr>
            <w:tcW w:w="1000" w:type="dxa"/>
            <w:vAlign w:val="bottom"/>
            <w:tcBorders>
              <w:bottom w:val="single" w:sz="8" w:color="auto"/>
            </w:tcBorders>
            <w:shd w:val="clear" w:color="auto" w:fill="248ED8"/>
          </w:tcPr>
          <w:p>
            <w:pPr>
              <w:jc w:val="center"/>
              <w:spacing w:after="0"/>
              <w:rPr>
                <w:sz w:val="20"/>
                <w:szCs w:val="20"/>
                <w:color w:val="auto"/>
              </w:rPr>
            </w:pPr>
            <w:r>
              <w:rPr>
                <w:rFonts w:ascii="Arial" w:cs="Arial" w:eastAsia="Arial" w:hAnsi="Arial"/>
                <w:sz w:val="18"/>
                <w:szCs w:val="18"/>
                <w:b w:val="1"/>
                <w:bCs w:val="1"/>
                <w:color w:val="FFFFFF"/>
              </w:rPr>
              <w:t>​</w:t>
            </w:r>
          </w:p>
        </w:tc>
        <w:tc>
          <w:tcPr>
            <w:tcW w:w="140" w:type="dxa"/>
            <w:vAlign w:val="bottom"/>
            <w:tcBorders>
              <w:bottom w:val="single" w:sz="8" w:color="auto"/>
              <w:right w:val="single" w:sz="8" w:color="248ED8"/>
            </w:tcBorders>
            <w:shd w:val="clear" w:color="auto" w:fill="248ED8"/>
          </w:tcPr>
          <w:p>
            <w:pPr>
              <w:ind w:left="80"/>
              <w:spacing w:after="0"/>
              <w:rPr>
                <w:sz w:val="20"/>
                <w:szCs w:val="20"/>
                <w:color w:val="auto"/>
              </w:rPr>
            </w:pPr>
            <w:r>
              <w:rPr>
                <w:rFonts w:ascii="Arial" w:cs="Arial" w:eastAsia="Arial" w:hAnsi="Arial"/>
                <w:sz w:val="18"/>
                <w:szCs w:val="18"/>
                <w:b w:val="1"/>
                <w:bCs w:val="1"/>
                <w:color w:val="FFFFFF"/>
              </w:rPr>
              <w:t>​</w:t>
            </w:r>
          </w:p>
        </w:tc>
        <w:tc>
          <w:tcPr>
            <w:tcW w:w="200" w:type="dxa"/>
            <w:vAlign w:val="bottom"/>
            <w:tcBorders>
              <w:bottom w:val="single" w:sz="8" w:color="auto"/>
            </w:tcBorders>
            <w:shd w:val="clear" w:color="auto" w:fill="248ED8"/>
          </w:tcPr>
          <w:p>
            <w:pPr>
              <w:jc w:val="right"/>
              <w:ind w:right="10"/>
              <w:spacing w:after="0"/>
              <w:rPr>
                <w:sz w:val="20"/>
                <w:szCs w:val="20"/>
                <w:color w:val="auto"/>
              </w:rPr>
            </w:pPr>
            <w:r>
              <w:rPr>
                <w:rFonts w:ascii="Arial" w:cs="Arial" w:eastAsia="Arial" w:hAnsi="Arial"/>
                <w:sz w:val="18"/>
                <w:szCs w:val="18"/>
                <w:b w:val="1"/>
                <w:bCs w:val="1"/>
                <w:color w:val="FFFFFF"/>
              </w:rPr>
              <w:t>​</w:t>
            </w:r>
          </w:p>
        </w:tc>
        <w:tc>
          <w:tcPr>
            <w:tcW w:w="860" w:type="dxa"/>
            <w:vAlign w:val="bottom"/>
            <w:tcBorders>
              <w:bottom w:val="single" w:sz="8" w:color="auto"/>
            </w:tcBorders>
            <w:shd w:val="clear" w:color="auto" w:fill="248ED8"/>
          </w:tcPr>
          <w:p>
            <w:pPr>
              <w:ind w:left="440"/>
              <w:spacing w:after="0"/>
              <w:rPr>
                <w:sz w:val="20"/>
                <w:szCs w:val="20"/>
                <w:color w:val="auto"/>
              </w:rPr>
            </w:pPr>
            <w:r>
              <w:rPr>
                <w:rFonts w:ascii="Arial" w:cs="Arial" w:eastAsia="Arial" w:hAnsi="Arial"/>
                <w:sz w:val="18"/>
                <w:szCs w:val="18"/>
                <w:b w:val="1"/>
                <w:bCs w:val="1"/>
                <w:color w:val="FFFFFF"/>
              </w:rPr>
              <w:t>​</w:t>
            </w:r>
          </w:p>
        </w:tc>
        <w:tc>
          <w:tcPr>
            <w:tcW w:w="260" w:type="dxa"/>
            <w:vAlign w:val="bottom"/>
            <w:tcBorders>
              <w:bottom w:val="single" w:sz="8" w:color="auto"/>
              <w:right w:val="single" w:sz="8" w:color="248ED8"/>
            </w:tcBorders>
            <w:shd w:val="clear" w:color="auto" w:fill="248ED8"/>
          </w:tcPr>
          <w:p>
            <w:pPr>
              <w:ind w:left="180"/>
              <w:spacing w:after="0"/>
              <w:rPr>
                <w:sz w:val="20"/>
                <w:szCs w:val="20"/>
                <w:color w:val="auto"/>
              </w:rPr>
            </w:pPr>
            <w:r>
              <w:rPr>
                <w:rFonts w:ascii="Arial" w:cs="Arial" w:eastAsia="Arial" w:hAnsi="Arial"/>
                <w:sz w:val="18"/>
                <w:szCs w:val="18"/>
                <w:b w:val="1"/>
                <w:bCs w:val="1"/>
                <w:color w:val="FFFFFF"/>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African American or Black</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364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Alaskan Native or Native American</w:t>
            </w: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Asian</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Hispanic or Latinx</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2</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364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Native Hawaiian or Pacific Islander</w:t>
            </w: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White</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3</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Two or More Races or Ethnicities</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2760" w:type="dxa"/>
            <w:vAlign w:val="bottom"/>
            <w:tcBorders>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LGBTQ+</w:t>
            </w: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1</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bottom w:val="single" w:sz="8" w:color="auto"/>
            </w:tcBorders>
          </w:tcPr>
          <w:p>
            <w:pPr>
              <w:spacing w:after="0"/>
              <w:rPr>
                <w:sz w:val="21"/>
                <w:szCs w:val="21"/>
                <w:color w:val="auto"/>
              </w:rPr>
            </w:pPr>
          </w:p>
        </w:tc>
        <w:tc>
          <w:tcPr>
            <w:tcW w:w="364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Did Not Disclose Demographic Background</w:t>
            </w:r>
          </w:p>
        </w:tc>
        <w:tc>
          <w:tcPr>
            <w:tcW w:w="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39"/>
        <w:spacing w:after="0" w:line="296" w:lineRule="auto"/>
        <w:rPr>
          <w:sz w:val="20"/>
          <w:szCs w:val="20"/>
          <w:color w:val="auto"/>
        </w:rPr>
      </w:pPr>
      <w:r>
        <w:rPr>
          <w:rFonts w:ascii="Arial" w:cs="Arial" w:eastAsia="Arial" w:hAnsi="Arial"/>
          <w:sz w:val="18"/>
          <w:szCs w:val="18"/>
          <w:b w:val="1"/>
          <w:bCs w:val="1"/>
          <w:color w:val="auto"/>
        </w:rPr>
        <w:t>BOARD OVERSIGHT OF COMPANY CULTURE AND ENVIRONMENTAL, SOCIAL AND GOVERNANCE HIGHLIGHTS</w:t>
      </w:r>
    </w:p>
    <w:p>
      <w:pPr>
        <w:spacing w:after="0" w:line="56"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our culture and strategy are aligned. Our Board expects all directors, as well as officers and employees, to conduct themselves in a manner consistent with our Code of Business Conduct and Ethics, or the Code of Conduct, and our values. Our Board believes that a strong culture of integrity, ethics and compliance is fundamental to the conduct of our business, and is necessary for effective risk management, maintaining investor trust, and successful corporate governance.</w:t>
      </w:r>
    </w:p>
    <w:p>
      <w:pPr>
        <w:spacing w:after="0" w:line="117"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We understand corporate responsibility is essential for good governance because it strengthens the accountability of our Board and management team. We view Environmental, Social and Governance, or ESG, initiatives as long-term value drivers for the Company and our stockholders. Our focus on and commitment to ESG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 Though our current ESG initiatives are broad, we continue to focus on our people, culture and strong corporate governance. We are committed to advancing a series of new ESG initiatives and performance targets, which will evolve over time.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summary of our current ESG policies and practices:</w:t>
      </w:r>
    </w:p>
    <w:p>
      <w:pPr>
        <w:spacing w:after="0" w:line="117" w:lineRule="exact"/>
        <w:rPr>
          <w:sz w:val="20"/>
          <w:szCs w:val="20"/>
          <w:color w:val="auto"/>
        </w:rPr>
      </w:pPr>
    </w:p>
    <w:p>
      <w:pPr>
        <w:jc w:val="both"/>
        <w:ind w:left="1420" w:right="39" w:hanging="190"/>
        <w:spacing w:after="0" w:line="262"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Separate Chairperson of the Board and Chief Executive Officer: </w:t>
      </w:r>
      <w:r>
        <w:rPr>
          <w:rFonts w:ascii="Arial" w:cs="Arial" w:eastAsia="Arial" w:hAnsi="Arial"/>
          <w:sz w:val="18"/>
          <w:szCs w:val="18"/>
          <w:color w:val="auto"/>
        </w:rPr>
        <w:t>The offices of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or CEO, and Chairperson of the Board are separated, which reinforces the independence of the Board from management and creates an environment that encourages objective oversight of management’s performance, which we believe enhances the effectiveness of our Board as a whole.</w:t>
      </w:r>
    </w:p>
    <w:p>
      <w:pPr>
        <w:spacing w:after="0" w:line="68" w:lineRule="exact"/>
        <w:rPr>
          <w:rFonts w:ascii="Arial" w:cs="Arial" w:eastAsia="Arial" w:hAnsi="Arial"/>
          <w:sz w:val="18"/>
          <w:szCs w:val="18"/>
          <w:color w:val="auto"/>
        </w:rPr>
      </w:pPr>
    </w:p>
    <w:p>
      <w:pPr>
        <w:ind w:left="1420" w:hanging="190"/>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Committees: </w:t>
      </w:r>
      <w:r>
        <w:rPr>
          <w:rFonts w:ascii="Arial" w:cs="Arial" w:eastAsia="Arial" w:hAnsi="Arial"/>
          <w:sz w:val="18"/>
          <w:szCs w:val="18"/>
          <w:color w:val="auto"/>
        </w:rPr>
        <w:t>Each of our committees consist entirely of independent directors.</w:t>
      </w:r>
    </w:p>
    <w:p>
      <w:pPr>
        <w:spacing w:after="0" w:line="117" w:lineRule="exact"/>
        <w:rPr>
          <w:rFonts w:ascii="Arial" w:cs="Arial" w:eastAsia="Arial" w:hAnsi="Arial"/>
          <w:sz w:val="18"/>
          <w:szCs w:val="18"/>
          <w:color w:val="auto"/>
        </w:rPr>
      </w:pPr>
    </w:p>
    <w:p>
      <w:pPr>
        <w:jc w:val="both"/>
        <w:ind w:left="1420" w:right="19" w:hanging="190"/>
        <w:spacing w:after="0" w:line="268"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Regularly Held Executive Sessions: </w:t>
      </w:r>
      <w:r>
        <w:rPr>
          <w:rFonts w:ascii="Arial" w:cs="Arial" w:eastAsia="Arial" w:hAnsi="Arial"/>
          <w:sz w:val="18"/>
          <w:szCs w:val="18"/>
          <w:color w:val="auto"/>
        </w:rPr>
        <w:t>The independent directors of our Board meet separately in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session on a regular basis to discuss matters relating to the Company and the Board, without members of the management team present.</w:t>
      </w:r>
    </w:p>
    <w:p>
      <w:pPr>
        <w:spacing w:after="0" w:line="62" w:lineRule="exact"/>
        <w:rPr>
          <w:rFonts w:ascii="Arial" w:cs="Arial" w:eastAsia="Arial" w:hAnsi="Arial"/>
          <w:sz w:val="18"/>
          <w:szCs w:val="18"/>
          <w:color w:val="auto"/>
        </w:rPr>
      </w:pPr>
    </w:p>
    <w:p>
      <w:pPr>
        <w:ind w:left="1420" w:right="39" w:hanging="190"/>
        <w:spacing w:after="0" w:line="28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Code of Conduct: </w:t>
      </w:r>
      <w:r>
        <w:rPr>
          <w:rFonts w:ascii="Arial" w:cs="Arial" w:eastAsia="Arial" w:hAnsi="Arial"/>
          <w:sz w:val="18"/>
          <w:szCs w:val="18"/>
          <w:color w:val="auto"/>
        </w:rPr>
        <w:t>All of our directors, officers and employees are subject to the Code of Conduct, which</w:t>
      </w:r>
      <w:r>
        <w:rPr>
          <w:rFonts w:ascii="Arial" w:cs="Arial" w:eastAsia="Arial" w:hAnsi="Arial"/>
          <w:sz w:val="18"/>
          <w:szCs w:val="18"/>
          <w:b w:val="1"/>
          <w:bCs w:val="1"/>
          <w:color w:val="auto"/>
        </w:rPr>
        <w:t xml:space="preserve"> </w:t>
      </w:r>
      <w:r>
        <w:rPr>
          <w:rFonts w:ascii="Arial" w:cs="Arial" w:eastAsia="Arial" w:hAnsi="Arial"/>
          <w:sz w:val="18"/>
          <w:szCs w:val="18"/>
          <w:color w:val="auto"/>
        </w:rPr>
        <w:t>is available on our website at www.centurytx.com.</w:t>
      </w:r>
    </w:p>
    <w:p>
      <w:pPr>
        <w:spacing w:after="0" w:line="44" w:lineRule="exact"/>
        <w:rPr>
          <w:rFonts w:ascii="Arial" w:cs="Arial" w:eastAsia="Arial" w:hAnsi="Arial"/>
          <w:sz w:val="18"/>
          <w:szCs w:val="18"/>
          <w:color w:val="auto"/>
        </w:rPr>
      </w:pPr>
    </w:p>
    <w:p>
      <w:pPr>
        <w:jc w:val="both"/>
        <w:ind w:left="1420" w:right="19" w:hanging="190"/>
        <w:spacing w:after="0" w:line="268"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Human Capital Management: </w:t>
      </w:r>
      <w:r>
        <w:rPr>
          <w:rFonts w:ascii="Arial" w:cs="Arial" w:eastAsia="Arial" w:hAnsi="Arial"/>
          <w:sz w:val="18"/>
          <w:szCs w:val="18"/>
          <w:color w:val="auto"/>
        </w:rPr>
        <w:t>We are committed to the health and welfare of our employees. We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the development of our employees with a competitive compensation and benefits package, internal advancement, and individualized development opportunities.</w:t>
      </w:r>
    </w:p>
    <w:p>
      <w:pPr>
        <w:spacing w:after="0" w:line="62" w:lineRule="exact"/>
        <w:rPr>
          <w:rFonts w:ascii="Arial" w:cs="Arial" w:eastAsia="Arial" w:hAnsi="Arial"/>
          <w:sz w:val="18"/>
          <w:szCs w:val="18"/>
          <w:color w:val="auto"/>
        </w:rPr>
      </w:pPr>
    </w:p>
    <w:p>
      <w:pPr>
        <w:jc w:val="both"/>
        <w:ind w:left="1420" w:right="19" w:hanging="190"/>
        <w:spacing w:after="0" w:line="255"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Diversity and Inclusion</w:t>
      </w:r>
      <w:r>
        <w:rPr>
          <w:rFonts w:ascii="Arial" w:cs="Arial" w:eastAsia="Arial" w:hAnsi="Arial"/>
          <w:sz w:val="18"/>
          <w:szCs w:val="18"/>
          <w:color w:val="auto"/>
        </w:rPr>
        <w:t>: We strive to create a workplace culture that supports a diverse, multi-cultural</w:t>
      </w:r>
      <w:r>
        <w:rPr>
          <w:rFonts w:ascii="Arial" w:cs="Arial" w:eastAsia="Arial" w:hAnsi="Arial"/>
          <w:sz w:val="18"/>
          <w:szCs w:val="18"/>
          <w:b w:val="1"/>
          <w:bCs w:val="1"/>
          <w:color w:val="auto"/>
        </w:rPr>
        <w:t xml:space="preserve"> </w:t>
      </w:r>
      <w:r>
        <w:rPr>
          <w:rFonts w:ascii="Arial" w:cs="Arial" w:eastAsia="Arial" w:hAnsi="Arial"/>
          <w:sz w:val="18"/>
          <w:szCs w:val="18"/>
          <w:color w:val="auto"/>
        </w:rPr>
        <w:t>workforce, treats individuals fairly, and provides an inclusive environment where everyone can bring their whole self to work and feel supported in reaching their full potential. We are embarking on an organization-wide learning initiative to ensure we each have the competence and confidence to contribute to this culture. The executive committee, senior leadership, people leaders and colleagues have engaged in a highly interactive Unconscious Bias Training to identify and adjust for bias at the individual and organizational level. Our goal through this initiative is to empower our team to grow self-awareness, collaborate inclusively, and ultimately support higher performance.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​BOARD OF DIRECTORS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8"/>
          <w:szCs w:val="18"/>
          <w:color w:val="248ED8"/>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NOMINEES</w:t>
      </w:r>
    </w:p>
    <w:p>
      <w:pPr>
        <w:spacing w:after="0" w:line="227" w:lineRule="exact"/>
        <w:rPr>
          <w:sz w:val="20"/>
          <w:szCs w:val="20"/>
          <w:color w:val="auto"/>
        </w:rPr>
      </w:pPr>
    </w:p>
    <w:p>
      <w:pPr>
        <w:jc w:val="both"/>
        <w:ind w:left="880" w:right="39"/>
        <w:spacing w:after="0" w:line="294" w:lineRule="auto"/>
        <w:rPr>
          <w:sz w:val="20"/>
          <w:szCs w:val="20"/>
          <w:color w:val="auto"/>
        </w:rPr>
      </w:pPr>
      <w:r>
        <w:rPr>
          <w:rFonts w:ascii="Arial" w:cs="Arial" w:eastAsia="Arial" w:hAnsi="Arial"/>
          <w:sz w:val="18"/>
          <w:szCs w:val="18"/>
          <w:b w:val="1"/>
          <w:bCs w:val="1"/>
          <w:i w:val="1"/>
          <w:iCs w:val="1"/>
          <w:color w:val="auto"/>
        </w:rPr>
        <w:t>CLASS I DIRECTORS — PRESENT TERMS EXPIRING AT THE ANNUAL MEETING AND PROPOSED TERMS TO EXPIRE IN 2025</w:t>
      </w:r>
    </w:p>
    <w:p>
      <w:pPr>
        <w:spacing w:after="0" w:line="32" w:lineRule="exact"/>
        <w:rPr>
          <w:sz w:val="20"/>
          <w:szCs w:val="20"/>
          <w:color w:val="auto"/>
        </w:rPr>
      </w:pPr>
    </w:p>
    <w:p>
      <w:pPr>
        <w:ind w:left="880"/>
        <w:spacing w:after="0"/>
        <w:tabs>
          <w:tab w:leader="none" w:pos="2720" w:val="left"/>
          <w:tab w:leader="none" w:pos="3920" w:val="left"/>
          <w:tab w:leader="none" w:pos="5000" w:val="left"/>
        </w:tabs>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32"/>
          <w:szCs w:val="32"/>
          <w:b w:val="1"/>
          <w:bCs w:val="1"/>
          <w:color w:val="FFFFFF"/>
          <w:vertAlign w:val="superscript"/>
        </w:rPr>
        <w:t>ELI CASDIN</w:t>
      </w:r>
      <w:r>
        <w:rPr>
          <w:sz w:val="20"/>
          <w:szCs w:val="20"/>
          <w:color w:val="auto"/>
        </w:rPr>
        <w:tab/>
      </w:r>
      <w:r>
        <w:rPr>
          <w:rFonts w:ascii="Arial" w:cs="Arial" w:eastAsia="Arial" w:hAnsi="Arial"/>
          <w:sz w:val="32"/>
          <w:szCs w:val="32"/>
          <w:b w:val="1"/>
          <w:bCs w:val="1"/>
          <w:color w:val="FFFFFF"/>
          <w:vertAlign w:val="subscript"/>
        </w:rPr>
        <w:t>​​</w:t>
      </w:r>
      <w:r>
        <w:rPr>
          <w:sz w:val="20"/>
          <w:szCs w:val="20"/>
          <w:color w:val="auto"/>
        </w:rPr>
        <w:tab/>
      </w:r>
      <w:r>
        <w:rPr>
          <w:rFonts w:ascii="Arial" w:cs="Arial" w:eastAsia="Arial" w:hAnsi="Arial"/>
          <w:sz w:val="32"/>
          <w:szCs w:val="32"/>
          <w:b w:val="1"/>
          <w:bCs w:val="1"/>
          <w:color w:val="FFFFFF"/>
          <w:vertAlign w:val="subscript"/>
        </w:rPr>
        <w:t>​</w:t>
      </w:r>
      <w:r>
        <w:rPr>
          <w:sz w:val="20"/>
          <w:szCs w:val="20"/>
          <w:color w:val="auto"/>
        </w:rPr>
        <w:tab/>
      </w:r>
      <w:r>
        <w:rPr>
          <w:rFonts w:ascii="Arial" w:cs="Arial" w:eastAsia="Arial" w:hAnsi="Arial"/>
          <w:sz w:val="27"/>
          <w:szCs w:val="27"/>
          <w:b w:val="1"/>
          <w:bCs w:val="1"/>
          <w:color w:val="FFFFFF"/>
          <w:vertAlign w:val="subscript"/>
        </w:rPr>
        <w:t>​​</w:t>
      </w:r>
      <w:r>
        <w:rPr>
          <w:rFonts w:ascii="Arial" w:cs="Arial" w:eastAsia="Arial" w:hAnsi="Arial"/>
          <w:sz w:val="27"/>
          <w:szCs w:val="27"/>
          <w:b w:val="1"/>
          <w:bCs w:val="1"/>
          <w:color w:val="FFFFFF"/>
        </w:rPr>
        <w:t xml:space="preserve">Key Skills: </w:t>
      </w:r>
      <w:r>
        <w:rPr>
          <w:rFonts w:ascii="Arial" w:cs="Arial" w:eastAsia="Arial" w:hAnsi="Arial"/>
          <w:sz w:val="14"/>
          <w:szCs w:val="14"/>
          <w:color w:val="FFFFFF"/>
        </w:rPr>
        <w:t>Investing and Capital Raising, Financial Competency</w:t>
      </w:r>
      <w:r>
        <w:rPr>
          <w:rFonts w:ascii="Arial" w:cs="Arial" w:eastAsia="Arial" w:hAnsi="Arial"/>
          <w:sz w:val="27"/>
          <w:szCs w:val="27"/>
          <w:b w:val="1"/>
          <w:bCs w:val="1"/>
          <w:color w:val="FFFFFF"/>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-178435</wp:posOffset>
            </wp:positionV>
            <wp:extent cx="5700395" cy="32404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00395" cy="32404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65" w:lineRule="exact"/>
        <w:rPr>
          <w:sz w:val="20"/>
          <w:szCs w:val="20"/>
          <w:color w:val="auto"/>
        </w:rPr>
      </w:pPr>
    </w:p>
    <w:p>
      <w:pPr>
        <w:ind w:left="88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Age</w:t>
      </w:r>
      <w:r>
        <w:rPr>
          <w:rFonts w:ascii="Arial" w:cs="Arial" w:eastAsia="Arial" w:hAnsi="Arial"/>
          <w:sz w:val="18"/>
          <w:szCs w:val="18"/>
          <w:color w:val="auto"/>
        </w:rPr>
        <w:t>: 49</w:t>
      </w:r>
    </w:p>
    <w:p>
      <w:pPr>
        <w:ind w:left="920"/>
        <w:spacing w:after="0"/>
        <w:rPr>
          <w:sz w:val="20"/>
          <w:szCs w:val="20"/>
          <w:color w:val="auto"/>
        </w:rPr>
      </w:pPr>
      <w:r>
        <w:rPr>
          <w:rFonts w:ascii="Arial" w:cs="Arial" w:eastAsia="Arial" w:hAnsi="Arial"/>
          <w:sz w:val="17"/>
          <w:szCs w:val="17"/>
          <w:b w:val="1"/>
          <w:bCs w:val="1"/>
          <w:color w:val="auto"/>
        </w:rPr>
        <w:t>Director Since</w:t>
      </w:r>
      <w:r>
        <w:rPr>
          <w:rFonts w:ascii="Arial" w:cs="Arial" w:eastAsia="Arial" w:hAnsi="Arial"/>
          <w:sz w:val="17"/>
          <w:szCs w:val="17"/>
          <w:color w:val="auto"/>
        </w:rPr>
        <w:t>: 2021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ind w:left="120"/>
              <w:spacing w:after="0"/>
              <w:rPr>
                <w:sz w:val="20"/>
                <w:szCs w:val="20"/>
                <w:color w:val="auto"/>
              </w:rPr>
            </w:pPr>
            <w:r>
              <w:rPr>
                <w:rFonts w:ascii="Arial" w:cs="Arial" w:eastAsia="Arial" w:hAnsi="Arial"/>
                <w:sz w:val="18"/>
                <w:szCs w:val="18"/>
                <w:b w:val="1"/>
                <w:bCs w:val="1"/>
                <w:color w:val="auto"/>
              </w:rPr>
              <w:t>Committee</w:t>
            </w:r>
          </w:p>
        </w:tc>
        <w:tc>
          <w:tcPr>
            <w:tcW w:w="45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 Absci Corp, EQRx, Inc.,</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280" w:type="dxa"/>
            <w:vAlign w:val="bottom"/>
            <w:vMerge w:val="restart"/>
          </w:tcPr>
          <w:p>
            <w:pPr>
              <w:spacing w:after="0" w:line="275"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b w:val="1"/>
                <w:bCs w:val="1"/>
                <w:color w:val="auto"/>
              </w:rPr>
              <w:t>Memberships</w:t>
            </w:r>
            <w:r>
              <w:rPr>
                <w:rFonts w:ascii="Arial" w:cs="Arial" w:eastAsia="Arial" w:hAnsi="Arial"/>
                <w:sz w:val="17"/>
                <w:szCs w:val="17"/>
                <w:color w:val="auto"/>
              </w:rPr>
              <w:t>:</w:t>
            </w:r>
          </w:p>
        </w:tc>
        <w:tc>
          <w:tcPr>
            <w:tcW w:w="4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280" w:type="dxa"/>
            <w:vAlign w:val="bottom"/>
            <w:vMerge w:val="continue"/>
          </w:tcPr>
          <w:p>
            <w:pPr>
              <w:spacing w:after="0"/>
              <w:rPr>
                <w:sz w:val="15"/>
                <w:szCs w:val="15"/>
                <w:color w:val="auto"/>
              </w:rPr>
            </w:pPr>
          </w:p>
        </w:tc>
        <w:tc>
          <w:tcPr>
            <w:tcW w:w="4560" w:type="dxa"/>
            <w:vAlign w:val="bottom"/>
          </w:tcPr>
          <w:p>
            <w:pPr>
              <w:spacing w:after="0" w:line="181" w:lineRule="exact"/>
              <w:rPr>
                <w:sz w:val="20"/>
                <w:szCs w:val="20"/>
                <w:color w:val="auto"/>
              </w:rPr>
            </w:pPr>
            <w:r>
              <w:rPr>
                <w:rFonts w:ascii="Arial" w:cs="Arial" w:eastAsia="Arial" w:hAnsi="Arial"/>
                <w:sz w:val="18"/>
                <w:szCs w:val="18"/>
                <w:color w:val="auto"/>
              </w:rPr>
              <w:t>​​Sema4 Holdings Corp., SomaLogic, Inc., Standard</w:t>
            </w:r>
          </w:p>
        </w:tc>
        <w:tc>
          <w:tcPr>
            <w:tcW w:w="260" w:type="dxa"/>
            <w:vAlign w:val="bottom"/>
          </w:tcPr>
          <w:p>
            <w:pPr>
              <w:ind w:left="20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280" w:type="dxa"/>
            <w:vAlign w:val="bottom"/>
          </w:tcPr>
          <w:p>
            <w:pPr>
              <w:ind w:left="120"/>
              <w:spacing w:after="0" w:line="189" w:lineRule="exact"/>
              <w:rPr>
                <w:sz w:val="20"/>
                <w:szCs w:val="20"/>
                <w:color w:val="auto"/>
              </w:rPr>
            </w:pPr>
            <w:r>
              <w:rPr>
                <w:rFonts w:ascii="Arial" w:cs="Arial" w:eastAsia="Arial" w:hAnsi="Arial"/>
                <w:sz w:val="18"/>
                <w:szCs w:val="18"/>
                <w:color w:val="auto"/>
                <w:w w:val="98"/>
              </w:rPr>
              <w:t>Compensation, Nominating</w:t>
            </w:r>
          </w:p>
        </w:tc>
        <w:tc>
          <w:tcPr>
            <w:tcW w:w="4560" w:type="dxa"/>
            <w:vAlign w:val="bottom"/>
          </w:tcPr>
          <w:p>
            <w:pPr>
              <w:ind w:left="120"/>
              <w:spacing w:after="0" w:line="189" w:lineRule="exact"/>
              <w:rPr>
                <w:sz w:val="20"/>
                <w:szCs w:val="20"/>
                <w:color w:val="auto"/>
              </w:rPr>
            </w:pPr>
            <w:r>
              <w:rPr>
                <w:rFonts w:ascii="Arial" w:cs="Arial" w:eastAsia="Arial" w:hAnsi="Arial"/>
                <w:sz w:val="18"/>
                <w:szCs w:val="18"/>
                <w:color w:val="auto"/>
              </w:rPr>
              <w:t>BioTools, Inc., Tenaya Therapeutics, Inc.</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280" w:type="dxa"/>
            <w:vAlign w:val="bottom"/>
          </w:tcPr>
          <w:p>
            <w:pPr>
              <w:ind w:left="120"/>
              <w:spacing w:after="0"/>
              <w:rPr>
                <w:sz w:val="20"/>
                <w:szCs w:val="20"/>
                <w:color w:val="auto"/>
              </w:rPr>
            </w:pPr>
            <w:r>
              <w:rPr>
                <w:rFonts w:ascii="Arial" w:cs="Arial" w:eastAsia="Arial" w:hAnsi="Arial"/>
                <w:sz w:val="18"/>
                <w:szCs w:val="18"/>
                <w:color w:val="auto"/>
                <w:w w:val="98"/>
              </w:rPr>
              <w:t>and Corporate Governance</w:t>
            </w:r>
          </w:p>
        </w:tc>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1900" w:h="16838" w:orient="portrait"/>
          <w:cols w:equalWidth="0" w:num="2">
            <w:col w:w="2640" w:space="100"/>
            <w:col w:w="7139"/>
          </w:cols>
          <w:pgMar w:left="580" w:top="97" w:right="1440" w:bottom="1440" w:gutter="0" w:footer="0" w:header="0"/>
          <w:type w:val="continuous"/>
        </w:sect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Casdin</w:t>
      </w:r>
      <w:r>
        <w:rPr>
          <w:rFonts w:ascii="Arial" w:cs="Arial" w:eastAsia="Arial" w:hAnsi="Arial"/>
          <w:sz w:val="18"/>
          <w:szCs w:val="18"/>
          <w:color w:val="auto"/>
        </w:rPr>
        <w:t xml:space="preserve"> has been a member of our Board since February 2021. He founded Casdin Capital, an investment​</w:t>
      </w:r>
    </w:p>
    <w:p>
      <w:pPr>
        <w:spacing w:after="0" w:line="41" w:lineRule="exact"/>
        <w:rPr>
          <w:sz w:val="20"/>
          <w:szCs w:val="20"/>
          <w:color w:val="auto"/>
        </w:rPr>
      </w:pPr>
    </w:p>
    <w:p>
      <w:pPr>
        <w:ind w:left="920" w:right="99"/>
        <w:spacing w:after="0" w:line="226" w:lineRule="auto"/>
        <w:rPr>
          <w:sz w:val="20"/>
          <w:szCs w:val="20"/>
          <w:color w:val="auto"/>
        </w:rPr>
      </w:pPr>
      <w:r>
        <w:rPr>
          <w:rFonts w:ascii="Arial" w:cs="Arial" w:eastAsia="Arial" w:hAnsi="Arial"/>
          <w:sz w:val="18"/>
          <w:szCs w:val="18"/>
          <w:color w:val="auto"/>
        </w:rPr>
        <w:t>firm specializing in life sciences, in 2011 and serves as Chief Investment Officer of Casdin Capital. Prior to founding Casdin Capital, Mr. Casdin was a Vice President and Analyst at Alliance Bernstein and a member of</w:t>
      </w:r>
    </w:p>
    <w:p>
      <w:pPr>
        <w:ind w:left="920"/>
        <w:spacing w:after="0" w:line="236" w:lineRule="auto"/>
        <w:rPr>
          <w:sz w:val="20"/>
          <w:szCs w:val="20"/>
          <w:color w:val="auto"/>
        </w:rPr>
      </w:pPr>
      <w:r>
        <w:rPr>
          <w:rFonts w:ascii="Arial" w:cs="Arial" w:eastAsia="Arial" w:hAnsi="Arial"/>
          <w:sz w:val="18"/>
          <w:szCs w:val="18"/>
          <w:color w:val="auto"/>
        </w:rPr>
        <w:t>its “thematic” based investment group from 2007 until 2011. Mr. Casdin previously held positions at Bear</w:t>
      </w:r>
    </w:p>
    <w:p>
      <w:pPr>
        <w:spacing w:after="0" w:line="1" w:lineRule="exact"/>
        <w:rPr>
          <w:sz w:val="20"/>
          <w:szCs w:val="20"/>
          <w:color w:val="auto"/>
        </w:rPr>
      </w:pPr>
    </w:p>
    <w:p>
      <w:pPr>
        <w:ind w:left="920" w:right="99"/>
        <w:spacing w:after="0" w:line="226" w:lineRule="auto"/>
        <w:rPr>
          <w:sz w:val="20"/>
          <w:szCs w:val="20"/>
          <w:color w:val="auto"/>
        </w:rPr>
      </w:pPr>
      <w:r>
        <w:rPr>
          <w:rFonts w:ascii="Arial" w:cs="Arial" w:eastAsia="Arial" w:hAnsi="Arial"/>
          <w:sz w:val="18"/>
          <w:szCs w:val="18"/>
          <w:color w:val="auto"/>
        </w:rPr>
        <w:t>Stearns, an investment bank, and Cooper Hill Partners, a biotechnology-focused investment firm. Mr. Casdin served on the board of directors of life-sciences-focused special purpose acquisition companies CM Life</w:t>
      </w:r>
    </w:p>
    <w:p>
      <w:pPr>
        <w:ind w:left="920"/>
        <w:spacing w:after="0" w:line="236" w:lineRule="auto"/>
        <w:rPr>
          <w:sz w:val="20"/>
          <w:szCs w:val="20"/>
          <w:color w:val="auto"/>
        </w:rPr>
      </w:pPr>
      <w:r>
        <w:rPr>
          <w:rFonts w:ascii="Arial" w:cs="Arial" w:eastAsia="Arial" w:hAnsi="Arial"/>
          <w:sz w:val="18"/>
          <w:szCs w:val="18"/>
          <w:color w:val="auto"/>
        </w:rPr>
        <w:t>Sciences, Inc., CM Life Sciences II, Inc. and CM Life Sciences III, Inc. until August 2021, September 2021, and</w:t>
      </w:r>
    </w:p>
    <w:p>
      <w:pPr>
        <w:spacing w:after="0" w:line="1" w:lineRule="exact"/>
        <w:rPr>
          <w:sz w:val="20"/>
          <w:szCs w:val="20"/>
          <w:color w:val="auto"/>
        </w:rPr>
      </w:pPr>
    </w:p>
    <w:p>
      <w:pPr>
        <w:jc w:val="both"/>
        <w:ind w:left="920" w:right="99"/>
        <w:spacing w:after="0" w:line="226" w:lineRule="auto"/>
        <w:rPr>
          <w:sz w:val="20"/>
          <w:szCs w:val="20"/>
          <w:color w:val="auto"/>
        </w:rPr>
      </w:pPr>
      <w:r>
        <w:rPr>
          <w:rFonts w:ascii="Arial" w:cs="Arial" w:eastAsia="Arial" w:hAnsi="Arial"/>
          <w:sz w:val="18"/>
          <w:szCs w:val="18"/>
          <w:color w:val="auto"/>
        </w:rPr>
        <w:t>December 2021, respectively. Mr. Casdin also serves on the board of directors of several other life science and biotechnology-focused entities, including, AbSci Corporation, C2i Genomics, Cedilla Therapeutics, DNA Script,</w:t>
      </w:r>
    </w:p>
    <w:p>
      <w:pPr>
        <w:ind w:left="920"/>
        <w:spacing w:after="0" w:line="236" w:lineRule="auto"/>
        <w:rPr>
          <w:sz w:val="20"/>
          <w:szCs w:val="20"/>
          <w:color w:val="auto"/>
        </w:rPr>
      </w:pPr>
      <w:r>
        <w:rPr>
          <w:rFonts w:ascii="Arial" w:cs="Arial" w:eastAsia="Arial" w:hAnsi="Arial"/>
          <w:sz w:val="18"/>
          <w:szCs w:val="18"/>
          <w:color w:val="auto"/>
        </w:rPr>
        <w:t>EQRx, Genomatica, Genome Medical, Imagen, LetsGetChecked, Leyden Labs, Mnemo Therapeutics, New</w:t>
      </w:r>
    </w:p>
    <w:p>
      <w:pPr>
        <w:spacing w:after="0" w:line="1" w:lineRule="exact"/>
        <w:rPr>
          <w:sz w:val="20"/>
          <w:szCs w:val="20"/>
          <w:color w:val="auto"/>
        </w:rPr>
      </w:pPr>
    </w:p>
    <w:p>
      <w:pPr>
        <w:ind w:left="920" w:right="99"/>
        <w:spacing w:after="0" w:line="226" w:lineRule="auto"/>
        <w:rPr>
          <w:sz w:val="20"/>
          <w:szCs w:val="20"/>
          <w:color w:val="auto"/>
        </w:rPr>
      </w:pPr>
      <w:r>
        <w:rPr>
          <w:rFonts w:ascii="Arial" w:cs="Arial" w:eastAsia="Arial" w:hAnsi="Arial"/>
          <w:sz w:val="18"/>
          <w:szCs w:val="18"/>
          <w:color w:val="auto"/>
        </w:rPr>
        <w:t>York Genome Center, Paige AI, Prominex Inc., Sema4, SomaLogic, Standard BioTools, Tenaya Therapeutics, and Vineti, Inc. Mr. Casdin also previously served on the board of directors of Exact Sciences, GeneMatters</w:t>
      </w:r>
    </w:p>
    <w:p>
      <w:pPr>
        <w:ind w:left="920"/>
        <w:spacing w:after="0" w:line="236" w:lineRule="auto"/>
        <w:rPr>
          <w:sz w:val="20"/>
          <w:szCs w:val="20"/>
          <w:color w:val="auto"/>
        </w:rPr>
      </w:pPr>
      <w:r>
        <w:rPr>
          <w:rFonts w:ascii="Arial" w:cs="Arial" w:eastAsia="Arial" w:hAnsi="Arial"/>
          <w:sz w:val="18"/>
          <w:szCs w:val="18"/>
          <w:color w:val="auto"/>
        </w:rPr>
        <w:t>(acquired by Genome Medical), Sexton Biotechnologies and Thrive Earlier Detection. Mr. Casdin also serves on</w:t>
      </w:r>
    </w:p>
    <w:p>
      <w:pPr>
        <w:spacing w:after="0" w:line="1" w:lineRule="exact"/>
        <w:rPr>
          <w:sz w:val="20"/>
          <w:szCs w:val="20"/>
          <w:color w:val="auto"/>
        </w:rPr>
      </w:pPr>
    </w:p>
    <w:p>
      <w:pPr>
        <w:ind w:left="920" w:right="99"/>
        <w:spacing w:after="0" w:line="237" w:lineRule="auto"/>
        <w:rPr>
          <w:sz w:val="20"/>
          <w:szCs w:val="20"/>
          <w:color w:val="auto"/>
        </w:rPr>
      </w:pPr>
      <w:r>
        <w:rPr>
          <w:rFonts w:ascii="Arial" w:cs="Arial" w:eastAsia="Arial" w:hAnsi="Arial"/>
          <w:sz w:val="18"/>
          <w:szCs w:val="18"/>
          <w:color w:val="auto"/>
        </w:rPr>
        <w:t>the Columbia University School of General Studies and the Rockefeller University board of directors. Mr. Casdin earned his B.S. from Columbia University and an M.B.A. from Columbia Business School.</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Mr. Casdin is qualified to serve on our Board due to his investment​</w:t>
      </w:r>
    </w:p>
    <w:p>
      <w:pPr>
        <w:spacing w:after="0" w:line="41" w:lineRule="exact"/>
        <w:rPr>
          <w:sz w:val="20"/>
          <w:szCs w:val="20"/>
          <w:color w:val="auto"/>
        </w:rPr>
      </w:pPr>
    </w:p>
    <w:p>
      <w:pPr>
        <w:ind w:left="920" w:right="119"/>
        <w:spacing w:after="0" w:line="237" w:lineRule="auto"/>
        <w:rPr>
          <w:sz w:val="20"/>
          <w:szCs w:val="20"/>
          <w:color w:val="auto"/>
        </w:rPr>
      </w:pPr>
      <w:r>
        <w:rPr>
          <w:rFonts w:ascii="Arial" w:cs="Arial" w:eastAsia="Arial" w:hAnsi="Arial"/>
          <w:sz w:val="18"/>
          <w:szCs w:val="18"/>
          <w:color w:val="auto"/>
        </w:rPr>
        <w:t>experience, knowledge of the biopharmaceutical industry, and extensive board experience on life sciences and biotechnology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118110</wp:posOffset>
            </wp:positionV>
            <wp:extent cx="5700395" cy="267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0395" cy="2674620"/>
                    </a:xfrm>
                    <a:prstGeom prst="rect">
                      <a:avLst/>
                    </a:prstGeom>
                    <a:noFill/>
                  </pic:spPr>
                </pic:pic>
              </a:graphicData>
            </a:graphic>
          </wp:anchor>
        </w:drawing>
      </w:r>
    </w:p>
    <w:p>
      <w:pPr>
        <w:spacing w:after="0" w:line="122" w:lineRule="exact"/>
        <w:rPr>
          <w:sz w:val="20"/>
          <w:szCs w:val="20"/>
          <w:color w:val="auto"/>
        </w:rPr>
      </w:pPr>
    </w:p>
    <w:tbl>
      <w:tblPr>
        <w:tblLayout w:type="fixed"/>
        <w:tblInd w:w="880" w:type="dxa"/>
        <w:tblCellMar>
          <w:top w:w="0" w:type="dxa"/>
          <w:left w:w="0" w:type="dxa"/>
          <w:bottom w:w="0" w:type="dxa"/>
          <w:right w:w="0" w:type="dxa"/>
        </w:tblCellMar>
      </w:tblPr>
      <w:tr>
        <w:trPr>
          <w:trHeight w:val="260"/>
        </w:trPr>
        <w:tc>
          <w:tcPr>
            <w:tcW w:w="2760" w:type="dxa"/>
            <w:vAlign w:val="bottom"/>
            <w:gridSpan w:val="2"/>
            <w:shd w:val="clear" w:color="auto" w:fill="248ED8"/>
          </w:tcPr>
          <w:p>
            <w:pPr>
              <w:ind w:left="40"/>
              <w:spacing w:after="0"/>
              <w:rPr>
                <w:sz w:val="20"/>
                <w:szCs w:val="20"/>
                <w:color w:val="auto"/>
              </w:rPr>
            </w:pPr>
            <w:r>
              <w:rPr>
                <w:rFonts w:ascii="Arial" w:cs="Arial" w:eastAsia="Arial" w:hAnsi="Arial"/>
                <w:sz w:val="16"/>
                <w:szCs w:val="16"/>
                <w:b w:val="1"/>
                <w:bCs w:val="1"/>
                <w:color w:val="FFFFFF"/>
              </w:rPr>
              <w:t>OSVALDO FLORES, PH.D.</w:t>
            </w:r>
          </w:p>
        </w:tc>
        <w:tc>
          <w:tcPr>
            <w:tcW w:w="2020" w:type="dxa"/>
            <w:vAlign w:val="bottom"/>
            <w:vMerge w:val="restart"/>
            <w:shd w:val="clear" w:color="auto" w:fill="248ED8"/>
          </w:tcPr>
          <w:p>
            <w:pPr>
              <w:ind w:left="700"/>
              <w:spacing w:after="0"/>
              <w:rPr>
                <w:sz w:val="20"/>
                <w:szCs w:val="20"/>
                <w:color w:val="auto"/>
              </w:rPr>
            </w:pPr>
            <w:r>
              <w:rPr>
                <w:rFonts w:ascii="Arial" w:cs="Arial" w:eastAsia="Arial" w:hAnsi="Arial"/>
                <w:sz w:val="16"/>
                <w:szCs w:val="16"/>
                <w:b w:val="1"/>
                <w:bCs w:val="1"/>
                <w:color w:val="FFFFFF"/>
              </w:rPr>
              <w:t>​</w:t>
            </w:r>
          </w:p>
        </w:tc>
        <w:tc>
          <w:tcPr>
            <w:tcW w:w="4180" w:type="dxa"/>
            <w:vAlign w:val="bottom"/>
            <w:gridSpan w:val="2"/>
            <w:vMerge w:val="restart"/>
            <w:shd w:val="clear" w:color="auto" w:fill="248ED8"/>
          </w:tcPr>
          <w:p>
            <w:pPr>
              <w:ind w:left="140"/>
              <w:spacing w:after="0"/>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 xml:space="preserve">Key Skills: </w:t>
            </w:r>
            <w:r>
              <w:rPr>
                <w:rFonts w:ascii="Arial" w:cs="Arial" w:eastAsia="Arial" w:hAnsi="Arial"/>
                <w:sz w:val="16"/>
                <w:szCs w:val="16"/>
                <w:color w:val="FFFFFF"/>
              </w:rPr>
              <w:t>R&amp;D, Industry Knowledge and Experience</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08"/>
        </w:trPr>
        <w:tc>
          <w:tcPr>
            <w:tcW w:w="1820" w:type="dxa"/>
            <w:vAlign w:val="bottom"/>
            <w:shd w:val="clear" w:color="auto" w:fill="248ED8"/>
          </w:tcPr>
          <w:p>
            <w:pPr>
              <w:spacing w:after="0" w:line="108" w:lineRule="exact"/>
              <w:rPr>
                <w:sz w:val="20"/>
                <w:szCs w:val="20"/>
                <w:color w:val="auto"/>
              </w:rPr>
            </w:pPr>
            <w:r>
              <w:rPr>
                <w:rFonts w:ascii="Arial" w:cs="Arial" w:eastAsia="Arial" w:hAnsi="Arial"/>
                <w:sz w:val="12"/>
                <w:szCs w:val="12"/>
                <w:b w:val="1"/>
                <w:bCs w:val="1"/>
                <w:color w:val="FFFFFF"/>
              </w:rPr>
              <w:t>​</w:t>
            </w:r>
          </w:p>
        </w:tc>
        <w:tc>
          <w:tcPr>
            <w:tcW w:w="940" w:type="dxa"/>
            <w:vAlign w:val="bottom"/>
            <w:shd w:val="clear" w:color="auto" w:fill="248ED8"/>
          </w:tcPr>
          <w:p>
            <w:pPr>
              <w:ind w:left="60"/>
              <w:spacing w:after="0" w:line="108" w:lineRule="exact"/>
              <w:rPr>
                <w:sz w:val="20"/>
                <w:szCs w:val="20"/>
                <w:color w:val="auto"/>
              </w:rPr>
            </w:pPr>
            <w:r>
              <w:rPr>
                <w:rFonts w:ascii="Arial" w:cs="Arial" w:eastAsia="Arial" w:hAnsi="Arial"/>
                <w:sz w:val="12"/>
                <w:szCs w:val="12"/>
                <w:b w:val="1"/>
                <w:bCs w:val="1"/>
                <w:color w:val="FFFFFF"/>
              </w:rPr>
              <w:t>​​</w:t>
            </w:r>
          </w:p>
        </w:tc>
        <w:tc>
          <w:tcPr>
            <w:tcW w:w="2020" w:type="dxa"/>
            <w:vAlign w:val="bottom"/>
            <w:vMerge w:val="continue"/>
            <w:shd w:val="clear" w:color="auto" w:fill="248ED8"/>
          </w:tcPr>
          <w:p>
            <w:pPr>
              <w:spacing w:after="0"/>
              <w:rPr>
                <w:sz w:val="9"/>
                <w:szCs w:val="9"/>
                <w:color w:val="auto"/>
              </w:rPr>
            </w:pPr>
          </w:p>
        </w:tc>
        <w:tc>
          <w:tcPr>
            <w:tcW w:w="4180" w:type="dxa"/>
            <w:vAlign w:val="bottom"/>
            <w:gridSpan w:val="2"/>
            <w:vMerge w:val="continue"/>
            <w:shd w:val="clear" w:color="auto" w:fill="248ED8"/>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820" w:type="dxa"/>
            <w:vAlign w:val="bottom"/>
          </w:tcPr>
          <w:p>
            <w:pPr>
              <w:ind w:left="40"/>
              <w:spacing w:after="0" w:line="189"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59</w:t>
            </w:r>
          </w:p>
        </w:tc>
        <w:tc>
          <w:tcPr>
            <w:tcW w:w="9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820" w:type="dxa"/>
            <w:vAlign w:val="bottom"/>
          </w:tcPr>
          <w:p>
            <w:pPr>
              <w:spacing w:after="0" w:line="309"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Director Since</w:t>
            </w:r>
            <w:r>
              <w:rPr>
                <w:rFonts w:ascii="Arial" w:cs="Arial" w:eastAsia="Arial" w:hAnsi="Arial"/>
                <w:sz w:val="18"/>
                <w:szCs w:val="18"/>
                <w:color w:val="auto"/>
              </w:rPr>
              <w:t>: 2018</w:t>
            </w:r>
          </w:p>
        </w:tc>
        <w:tc>
          <w:tcPr>
            <w:tcW w:w="296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 None</w:t>
            </w:r>
          </w:p>
        </w:tc>
        <w:tc>
          <w:tcPr>
            <w:tcW w:w="3580" w:type="dxa"/>
            <w:vAlign w:val="bottom"/>
          </w:tcPr>
          <w:p>
            <w:pPr>
              <w:ind w:left="140"/>
              <w:spacing w:after="0"/>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 None</w:t>
            </w:r>
          </w:p>
        </w:tc>
        <w:tc>
          <w:tcPr>
            <w:tcW w:w="600" w:type="dxa"/>
            <w:vAlign w:val="bottom"/>
          </w:tcPr>
          <w:p>
            <w:pPr>
              <w:ind w:left="5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jc w:val="both"/>
        <w:ind w:left="920" w:right="39" w:hanging="40"/>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 Flores</w:t>
      </w:r>
      <w:r>
        <w:rPr>
          <w:rFonts w:ascii="Arial" w:cs="Arial" w:eastAsia="Arial" w:hAnsi="Arial"/>
          <w:sz w:val="18"/>
          <w:szCs w:val="18"/>
          <w:color w:val="auto"/>
        </w:rPr>
        <w:t xml:space="preserve"> has served as a member of our Board since the 2021 Reorganization, and previously served as a​ member of the board of managers of the LLC Entity from June 2019 until the 2021 Reorganization. Dr. Flores previously served as a member of the board of directors of Prior Century from September 2018 until the 2021 Reorganization. Dr. Flores has served as our President and Chief Executive Officer since June 2019 and the President and Chief Executive Officer of Prior Century from September 10, 2018 until the 2021 Reorganization. Dr. Flores was previously Vice President of R&amp;D from December 2015 until December 2017, and Entrepreneur-in-Residence from January 2018 until August 2018 with Janssen, a Johnson &amp; Johnson company. He founded and served as President and Chief Scientific Officer of Novira Therapeutics from January 2009 to December 2015. Prior to Novira, Dr. Flores was a department head at Merck &amp; Co., where he led drug discovery and development programs across diverse therapeutic areas including antiviral, oncology, and metabolic, from 1999 to 2008. Dr. Flores began his R&amp;D career at Tularik Inc., establishing key elements of the antiviral drug discovery platform. Dr. Flores received his Ph.D. in Biochemistry and Molecular Biology from Rutgers University and was a postdoctoral Fellow at the Salk Institute.</w:t>
      </w:r>
    </w:p>
    <w:p>
      <w:pPr>
        <w:spacing w:after="0" w:line="7" w:lineRule="exact"/>
        <w:rPr>
          <w:sz w:val="20"/>
          <w:szCs w:val="20"/>
          <w:color w:val="auto"/>
        </w:rPr>
      </w:pPr>
    </w:p>
    <w:p>
      <w:pPr>
        <w:jc w:val="both"/>
        <w:ind w:left="920" w:right="39" w:hanging="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Dr. Flores is qualified to serve on our Board due to the valuable​ experience he brings in his capacity as our President and CEO along with his extensive experience and knowledge of our industry.</w:t>
      </w:r>
    </w:p>
    <w:p>
      <w:pPr>
        <w:spacing w:after="0" w:line="331"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7980" w:type="dxa"/>
            <w:vAlign w:val="bottom"/>
            <w:gridSpan w:val="4"/>
            <w:shd w:val="clear" w:color="auto" w:fill="27A770"/>
          </w:tcPr>
          <w:p>
            <w:pPr>
              <w:ind w:left="20"/>
              <w:spacing w:after="0"/>
              <w:rPr>
                <w:sz w:val="20"/>
                <w:szCs w:val="20"/>
                <w:color w:val="auto"/>
              </w:rPr>
            </w:pPr>
            <w:r>
              <w:rPr>
                <w:rFonts w:ascii="Arial" w:cs="Arial" w:eastAsia="Arial" w:hAnsi="Arial"/>
                <w:sz w:val="32"/>
                <w:szCs w:val="32"/>
                <w:b w:val="1"/>
                <w:bCs w:val="1"/>
                <w:color w:val="FFFFFF"/>
              </w:rPr>
              <w:t>​BOARD OF DIRECTORS</w:t>
            </w:r>
          </w:p>
        </w:tc>
        <w:tc>
          <w:tcPr>
            <w:tcW w:w="1000" w:type="dxa"/>
            <w:vAlign w:val="bottom"/>
            <w:shd w:val="clear" w:color="auto" w:fill="27A770"/>
          </w:tcPr>
          <w:p>
            <w:pPr>
              <w:ind w:left="900"/>
              <w:spacing w:after="0"/>
              <w:rPr>
                <w:sz w:val="20"/>
                <w:szCs w:val="20"/>
                <w:color w:val="auto"/>
              </w:rPr>
            </w:pPr>
            <w:r>
              <w:rPr>
                <w:rFonts w:ascii="Arial" w:cs="Arial" w:eastAsia="Arial" w:hAnsi="Arial"/>
                <w:sz w:val="32"/>
                <w:szCs w:val="32"/>
                <w:b w:val="1"/>
                <w:bCs w:val="1"/>
                <w:color w:val="FFFFFF"/>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20"/>
              <w:spacing w:after="0"/>
              <w:rPr>
                <w:sz w:val="20"/>
                <w:szCs w:val="20"/>
                <w:color w:val="auto"/>
              </w:rPr>
            </w:pPr>
            <w:r>
              <w:rPr>
                <w:rFonts w:ascii="Arial" w:cs="Arial" w:eastAsia="Arial" w:hAnsi="Arial"/>
                <w:sz w:val="16"/>
                <w:szCs w:val="16"/>
                <w:b w:val="1"/>
                <w:bCs w:val="1"/>
                <w:color w:val="FFFFFF"/>
                <w:w w:val="99"/>
              </w:rPr>
              <w:t>CARLO RIZZUTO, PH.D.</w:t>
            </w:r>
          </w:p>
        </w:tc>
        <w:tc>
          <w:tcPr>
            <w:tcW w:w="680" w:type="dxa"/>
            <w:vAlign w:val="bottom"/>
            <w:vMerge w:val="restart"/>
          </w:tcPr>
          <w:p>
            <w:pPr>
              <w:ind w:left="20"/>
              <w:spacing w:after="0"/>
              <w:rPr>
                <w:sz w:val="20"/>
                <w:szCs w:val="20"/>
                <w:color w:val="auto"/>
              </w:rPr>
            </w:pPr>
            <w:r>
              <w:rPr>
                <w:rFonts w:ascii="Arial" w:cs="Arial" w:eastAsia="Arial" w:hAnsi="Arial"/>
                <w:sz w:val="16"/>
                <w:szCs w:val="16"/>
                <w:b w:val="1"/>
                <w:bCs w:val="1"/>
                <w:color w:val="FFFFFF"/>
              </w:rPr>
              <w:t>​</w:t>
            </w:r>
          </w:p>
        </w:tc>
        <w:tc>
          <w:tcPr>
            <w:tcW w:w="680" w:type="dxa"/>
            <w:vAlign w:val="bottom"/>
            <w:vMerge w:val="restart"/>
          </w:tcPr>
          <w:p>
            <w:pPr>
              <w:ind w:left="60"/>
              <w:spacing w:after="0"/>
              <w:rPr>
                <w:sz w:val="20"/>
                <w:szCs w:val="20"/>
                <w:color w:val="auto"/>
              </w:rPr>
            </w:pPr>
            <w:r>
              <w:rPr>
                <w:rFonts w:ascii="Arial" w:cs="Arial" w:eastAsia="Arial" w:hAnsi="Arial"/>
                <w:sz w:val="16"/>
                <w:szCs w:val="16"/>
                <w:b w:val="1"/>
                <w:bCs w:val="1"/>
                <w:color w:val="FFFFFF"/>
              </w:rPr>
              <w:t>​</w:t>
            </w:r>
          </w:p>
        </w:tc>
        <w:tc>
          <w:tcPr>
            <w:tcW w:w="5800" w:type="dxa"/>
            <w:vAlign w:val="bottom"/>
            <w:gridSpan w:val="3"/>
            <w:vMerge w:val="restart"/>
          </w:tcPr>
          <w:p>
            <w:pPr>
              <w:ind w:left="80"/>
              <w:spacing w:after="0" w:line="304"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 xml:space="preserve">Key Skills: </w:t>
            </w:r>
            <w:r>
              <w:rPr>
                <w:rFonts w:ascii="Arial" w:cs="Arial" w:eastAsia="Arial" w:hAnsi="Arial"/>
                <w:sz w:val="16"/>
                <w:szCs w:val="16"/>
                <w:color w:val="FFFFFF"/>
              </w:rPr>
              <w:t>Investing and Capital Raising, Industry Knowledge and Experience</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108"/>
        </w:trPr>
        <w:tc>
          <w:tcPr>
            <w:tcW w:w="1860" w:type="dxa"/>
            <w:vAlign w:val="bottom"/>
          </w:tcPr>
          <w:p>
            <w:pPr>
              <w:ind w:left="20"/>
              <w:spacing w:after="0" w:line="108" w:lineRule="exact"/>
              <w:rPr>
                <w:sz w:val="20"/>
                <w:szCs w:val="20"/>
                <w:color w:val="auto"/>
              </w:rPr>
            </w:pPr>
            <w:r>
              <w:rPr>
                <w:rFonts w:ascii="Arial" w:cs="Arial" w:eastAsia="Arial" w:hAnsi="Arial"/>
                <w:sz w:val="12"/>
                <w:szCs w:val="12"/>
                <w:b w:val="1"/>
                <w:bCs w:val="1"/>
                <w:color w:val="FFFFFF"/>
              </w:rPr>
              <w:t>​</w:t>
            </w:r>
          </w:p>
        </w:tc>
        <w:tc>
          <w:tcPr>
            <w:tcW w:w="6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860" w:type="dxa"/>
            <w:vAlign w:val="bottom"/>
          </w:tcPr>
          <w:p>
            <w:pPr>
              <w:spacing w:after="0"/>
              <w:rPr>
                <w:sz w:val="17"/>
                <w:szCs w:val="17"/>
                <w:color w:val="auto"/>
              </w:rPr>
            </w:pPr>
          </w:p>
        </w:tc>
        <w:tc>
          <w:tcPr>
            <w:tcW w:w="1360" w:type="dxa"/>
            <w:vAlign w:val="bottom"/>
            <w:gridSpan w:val="2"/>
          </w:tcPr>
          <w:p>
            <w:pPr>
              <w:ind w:left="40"/>
              <w:spacing w:after="0" w:line="197" w:lineRule="exact"/>
              <w:rPr>
                <w:sz w:val="20"/>
                <w:szCs w:val="20"/>
                <w:color w:val="auto"/>
              </w:rPr>
            </w:pPr>
            <w:r>
              <w:rPr>
                <w:rFonts w:ascii="Arial" w:cs="Arial" w:eastAsia="Arial" w:hAnsi="Arial"/>
                <w:sz w:val="18"/>
                <w:szCs w:val="18"/>
                <w:b w:val="1"/>
                <w:bCs w:val="1"/>
                <w:color w:val="auto"/>
              </w:rPr>
              <w:t>Committee</w:t>
            </w:r>
          </w:p>
        </w:tc>
        <w:tc>
          <w:tcPr>
            <w:tcW w:w="4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136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Memberships</w:t>
            </w:r>
            <w:r>
              <w:rPr>
                <w:rFonts w:ascii="Arial" w:cs="Arial" w:eastAsia="Arial" w:hAnsi="Arial"/>
                <w:sz w:val="18"/>
                <w:szCs w:val="18"/>
                <w:color w:val="auto"/>
              </w:rPr>
              <w:t>:</w:t>
            </w:r>
          </w:p>
        </w:tc>
        <w:tc>
          <w:tcPr>
            <w:tcW w:w="4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51</w:t>
            </w: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Compensation</w:t>
            </w:r>
          </w:p>
        </w:tc>
        <w:tc>
          <w:tcPr>
            <w:tcW w:w="4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1860" w:type="dxa"/>
            <w:vAlign w:val="bottom"/>
            <w:vMerge w:val="continue"/>
          </w:tcPr>
          <w:p>
            <w:pPr>
              <w:spacing w:after="0"/>
              <w:rPr>
                <w:sz w:val="6"/>
                <w:szCs w:val="6"/>
                <w:color w:val="auto"/>
              </w:rPr>
            </w:pPr>
          </w:p>
        </w:tc>
        <w:tc>
          <w:tcPr>
            <w:tcW w:w="680" w:type="dxa"/>
            <w:vAlign w:val="bottom"/>
            <w:vMerge w:val="restart"/>
          </w:tcPr>
          <w:p>
            <w:pPr>
              <w:ind w:left="20"/>
              <w:spacing w:after="0" w:line="181" w:lineRule="exact"/>
              <w:rPr>
                <w:sz w:val="20"/>
                <w:szCs w:val="20"/>
                <w:color w:val="auto"/>
              </w:rPr>
            </w:pPr>
            <w:r>
              <w:rPr>
                <w:rFonts w:ascii="Arial" w:cs="Arial" w:eastAsia="Arial" w:hAnsi="Arial"/>
                <w:sz w:val="18"/>
                <w:szCs w:val="18"/>
                <w:color w:val="auto"/>
              </w:rPr>
              <w:t>​(Chair),</w:t>
            </w:r>
          </w:p>
        </w:tc>
        <w:tc>
          <w:tcPr>
            <w:tcW w:w="680" w:type="dxa"/>
            <w:vAlign w:val="bottom"/>
          </w:tcPr>
          <w:p>
            <w:pPr>
              <w:spacing w:after="0"/>
              <w:rPr>
                <w:sz w:val="6"/>
                <w:szCs w:val="6"/>
                <w:color w:val="auto"/>
              </w:rPr>
            </w:pPr>
          </w:p>
        </w:tc>
        <w:tc>
          <w:tcPr>
            <w:tcW w:w="4760" w:type="dxa"/>
            <w:vAlign w:val="bottom"/>
            <w:vMerge w:val="restart"/>
          </w:tcPr>
          <w:p>
            <w:pPr>
              <w:ind w:left="80"/>
              <w:spacing w:after="0" w:line="181"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Public Directorships</w:t>
            </w:r>
            <w:r>
              <w:rPr>
                <w:rFonts w:ascii="Arial" w:cs="Arial" w:eastAsia="Arial" w:hAnsi="Arial"/>
                <w:sz w:val="18"/>
                <w:szCs w:val="18"/>
                <w:color w:val="auto"/>
              </w:rPr>
              <w:t>: Graphite Bio, Inc.</w:t>
            </w:r>
          </w:p>
        </w:tc>
        <w:tc>
          <w:tcPr>
            <w:tcW w:w="1040" w:type="dxa"/>
            <w:vAlign w:val="bottom"/>
            <w:gridSpan w:val="2"/>
            <w:vMerge w:val="restart"/>
          </w:tcPr>
          <w:p>
            <w:pPr>
              <w:ind w:left="98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86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476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860" w:type="dxa"/>
            <w:vAlign w:val="bottom"/>
          </w:tcPr>
          <w:p>
            <w:pPr>
              <w:ind w:left="2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2018</w:t>
            </w: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Nominating and</w:t>
            </w:r>
          </w:p>
        </w:tc>
        <w:tc>
          <w:tcPr>
            <w:tcW w:w="4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Corporate</w:t>
            </w:r>
          </w:p>
        </w:tc>
        <w:tc>
          <w:tcPr>
            <w:tcW w:w="4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86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Governance</w:t>
            </w:r>
          </w:p>
        </w:tc>
        <w:tc>
          <w:tcPr>
            <w:tcW w:w="4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-1142365</wp:posOffset>
            </wp:positionV>
            <wp:extent cx="5700395" cy="2948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00395" cy="2948940"/>
                    </a:xfrm>
                    <a:prstGeom prst="rect">
                      <a:avLst/>
                    </a:prstGeom>
                    <a:noFill/>
                  </pic:spPr>
                </pic:pic>
              </a:graphicData>
            </a:graphic>
          </wp:anchor>
        </w:drawing>
      </w:r>
    </w:p>
    <w:p>
      <w:pPr>
        <w:jc w:val="both"/>
        <w:ind w:left="880"/>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 Rizzuto</w:t>
      </w:r>
      <w:r>
        <w:rPr>
          <w:rFonts w:ascii="Arial" w:cs="Arial" w:eastAsia="Arial" w:hAnsi="Arial"/>
          <w:sz w:val="18"/>
          <w:szCs w:val="18"/>
          <w:color w:val="auto"/>
        </w:rPr>
        <w:t xml:space="preserve"> has served as a member of our Board since the 2021 Reorganization, and previously served as a​ member of the board of managers of the LLC Entity from June 2019 until the 2021 Reorganization. Dr. Rizzuto served on the board of directors of Prior Century from March 2018 until June 2019. From April 2018 until August 2018, Dr. Rizzuto was President, Secretary and Treasurer of Prior Century. Dr. Rizzuto joined Versant Ventures in November 2012 where he has served in a variety of roles including operating principal, venture partner and partner. Dr. Rizzuto previously served as Chief Business Officer of Anokion SA, a biopharmaceutical company, from January 2014 to January 2017. Prior to joining Versant Ventures, Dr. Rizzuto worked at Novartis AG, where he was a global program team director from 2010 to 2012. Dr. Rizzuto currently serves on the board of directors of Graphite Bio, Inc. since March 2020 and previously served on the board of directors of Pandion Therapeutics, Inc. from January 2018 until March 2021. Dr. Rizzuto received a Ph.D. in virology from Harvard University and a B.A. in biology from the University of Virginia.</w:t>
      </w:r>
    </w:p>
    <w:p>
      <w:pPr>
        <w:spacing w:after="0" w:line="15" w:lineRule="exact"/>
        <w:rPr>
          <w:sz w:val="20"/>
          <w:szCs w:val="20"/>
          <w:color w:val="auto"/>
        </w:rPr>
      </w:pPr>
    </w:p>
    <w:p>
      <w:pPr>
        <w:jc w:val="both"/>
        <w:ind w:left="88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Dr. Rizzuto is qualified to serve on our Board due to his knowledge and​ experience as an investor in the life sciences industry.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CONTINUING DIRECTORS</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CLASS II DIRECTORS — TERMS EXPIRING AT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127635</wp:posOffset>
            </wp:positionV>
            <wp:extent cx="5700395" cy="258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0395" cy="2580005"/>
                    </a:xfrm>
                    <a:prstGeom prst="rect">
                      <a:avLst/>
                    </a:prstGeom>
                    <a:noFill/>
                  </pic:spPr>
                </pic:pic>
              </a:graphicData>
            </a:graphic>
          </wp:anchor>
        </w:drawing>
      </w:r>
    </w:p>
    <w:p>
      <w:pPr>
        <w:spacing w:after="0" w:line="137" w:lineRule="exact"/>
        <w:rPr>
          <w:sz w:val="20"/>
          <w:szCs w:val="20"/>
          <w:color w:val="auto"/>
        </w:rPr>
      </w:pPr>
    </w:p>
    <w:tbl>
      <w:tblPr>
        <w:tblLayout w:type="fixed"/>
        <w:tblInd w:w="880" w:type="dxa"/>
        <w:tblCellMar>
          <w:top w:w="0" w:type="dxa"/>
          <w:left w:w="0" w:type="dxa"/>
          <w:bottom w:w="0" w:type="dxa"/>
          <w:right w:w="0" w:type="dxa"/>
        </w:tblCellMar>
      </w:tblPr>
      <w:tr>
        <w:trPr>
          <w:trHeight w:val="368"/>
        </w:trPr>
        <w:tc>
          <w:tcPr>
            <w:tcW w:w="1820" w:type="dxa"/>
            <w:vAlign w:val="bottom"/>
            <w:shd w:val="clear" w:color="auto" w:fill="248ED8"/>
          </w:tcPr>
          <w:p>
            <w:pPr>
              <w:spacing w:after="0"/>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CYNTHIA BUTITTA</w:t>
            </w:r>
          </w:p>
        </w:tc>
        <w:tc>
          <w:tcPr>
            <w:tcW w:w="180" w:type="dxa"/>
            <w:vAlign w:val="bottom"/>
            <w:shd w:val="clear" w:color="auto" w:fill="248ED8"/>
          </w:tcPr>
          <w:p>
            <w:pPr>
              <w:ind w:left="60"/>
              <w:spacing w:after="0"/>
              <w:rPr>
                <w:sz w:val="20"/>
                <w:szCs w:val="20"/>
                <w:color w:val="auto"/>
              </w:rPr>
            </w:pPr>
            <w:r>
              <w:rPr>
                <w:rFonts w:ascii="Arial" w:cs="Arial" w:eastAsia="Arial" w:hAnsi="Arial"/>
                <w:sz w:val="16"/>
                <w:szCs w:val="16"/>
                <w:b w:val="1"/>
                <w:bCs w:val="1"/>
                <w:color w:val="FFFFFF"/>
              </w:rPr>
              <w:t>​​</w:t>
            </w:r>
          </w:p>
        </w:tc>
        <w:tc>
          <w:tcPr>
            <w:tcW w:w="2280" w:type="dxa"/>
            <w:vAlign w:val="bottom"/>
            <w:shd w:val="clear" w:color="auto" w:fill="248ED8"/>
          </w:tcPr>
          <w:p>
            <w:pPr>
              <w:ind w:left="1160"/>
              <w:spacing w:after="0"/>
              <w:rPr>
                <w:sz w:val="20"/>
                <w:szCs w:val="20"/>
                <w:color w:val="auto"/>
              </w:rPr>
            </w:pPr>
            <w:r>
              <w:rPr>
                <w:rFonts w:ascii="Arial" w:cs="Arial" w:eastAsia="Arial" w:hAnsi="Arial"/>
                <w:sz w:val="16"/>
                <w:szCs w:val="16"/>
                <w:b w:val="1"/>
                <w:bCs w:val="1"/>
                <w:color w:val="FFFFFF"/>
              </w:rPr>
              <w:t>​</w:t>
            </w:r>
          </w:p>
        </w:tc>
        <w:tc>
          <w:tcPr>
            <w:tcW w:w="4680" w:type="dxa"/>
            <w:vAlign w:val="bottom"/>
            <w:gridSpan w:val="2"/>
            <w:shd w:val="clear" w:color="auto" w:fill="248ED8"/>
          </w:tcPr>
          <w:p>
            <w:pPr>
              <w:ind w:left="20"/>
              <w:spacing w:after="0"/>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 xml:space="preserve"> Key Skills: </w:t>
            </w:r>
            <w:r>
              <w:rPr>
                <w:rFonts w:ascii="Arial" w:cs="Arial" w:eastAsia="Arial" w:hAnsi="Arial"/>
                <w:sz w:val="16"/>
                <w:szCs w:val="16"/>
                <w:color w:val="FFFFFF"/>
              </w:rPr>
              <w:t>Senior Executive and Public Company Experience</w:t>
            </w:r>
            <w:r>
              <w:rPr>
                <w:rFonts w:ascii="Arial" w:cs="Arial" w:eastAsia="Arial" w:hAnsi="Arial"/>
                <w:sz w:val="32"/>
                <w:szCs w:val="32"/>
                <w:b w:val="1"/>
                <w:bCs w:val="1"/>
                <w:color w:val="FFFFFF"/>
                <w:vertAlign w:val="subscript"/>
              </w:rPr>
              <w:t>​</w:t>
            </w:r>
          </w:p>
        </w:tc>
      </w:tr>
      <w:tr>
        <w:trPr>
          <w:trHeight w:val="350"/>
        </w:trPr>
        <w:tc>
          <w:tcPr>
            <w:tcW w:w="1820" w:type="dxa"/>
            <w:vAlign w:val="bottom"/>
          </w:tcPr>
          <w:p>
            <w:pPr>
              <w:spacing w:after="0" w:line="34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Age</w:t>
            </w:r>
            <w:r>
              <w:rPr>
                <w:rFonts w:ascii="Arial" w:cs="Arial" w:eastAsia="Arial" w:hAnsi="Arial"/>
                <w:sz w:val="18"/>
                <w:szCs w:val="18"/>
                <w:color w:val="auto"/>
              </w:rPr>
              <w:t>: 67</w:t>
            </w:r>
          </w:p>
        </w:tc>
        <w:tc>
          <w:tcPr>
            <w:tcW w:w="2460" w:type="dxa"/>
            <w:vAlign w:val="bottom"/>
            <w:gridSpan w:val="2"/>
          </w:tcPr>
          <w:p>
            <w:pPr>
              <w:ind w:left="60"/>
              <w:spacing w:after="0" w:line="34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Committee Memberships</w:t>
            </w:r>
            <w:r>
              <w:rPr>
                <w:rFonts w:ascii="Arial" w:cs="Arial" w:eastAsia="Arial" w:hAnsi="Arial"/>
                <w:sz w:val="18"/>
                <w:szCs w:val="18"/>
                <w:color w:val="auto"/>
              </w:rPr>
              <w:t>:</w:t>
            </w:r>
          </w:p>
        </w:tc>
        <w:tc>
          <w:tcPr>
            <w:tcW w:w="4540" w:type="dxa"/>
            <w:vAlign w:val="bottom"/>
          </w:tcPr>
          <w:p>
            <w:pPr>
              <w:ind w:left="20"/>
              <w:spacing w:after="0" w:line="349"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Other Public Directorships</w:t>
            </w:r>
            <w:r>
              <w:rPr>
                <w:rFonts w:ascii="Arial" w:cs="Arial" w:eastAsia="Arial" w:hAnsi="Arial"/>
                <w:sz w:val="18"/>
                <w:szCs w:val="18"/>
                <w:color w:val="auto"/>
              </w:rPr>
              <w:t>: Olema Pharmaceuticals,</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47"/>
        </w:trPr>
        <w:tc>
          <w:tcPr>
            <w:tcW w:w="182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2021</w:t>
            </w:r>
          </w:p>
        </w:tc>
        <w:tc>
          <w:tcPr>
            <w:tcW w:w="18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w w:val="98"/>
              </w:rPr>
              <w:t>Audit (Chair), Compensation</w:t>
            </w:r>
          </w:p>
        </w:tc>
        <w:tc>
          <w:tcPr>
            <w:tcW w:w="4540" w:type="dxa"/>
            <w:vAlign w:val="bottom"/>
          </w:tcPr>
          <w:p>
            <w:pPr>
              <w:ind w:left="160"/>
              <w:spacing w:after="0"/>
              <w:rPr>
                <w:sz w:val="20"/>
                <w:szCs w:val="20"/>
                <w:color w:val="auto"/>
              </w:rPr>
            </w:pPr>
            <w:r>
              <w:rPr>
                <w:rFonts w:ascii="Arial" w:cs="Arial" w:eastAsia="Arial" w:hAnsi="Arial"/>
                <w:sz w:val="18"/>
                <w:szCs w:val="18"/>
                <w:color w:val="auto"/>
              </w:rPr>
              <w:t>Inc., UroGen Pharma Ltd., Autolus Therapeutics plc</w:t>
            </w:r>
          </w:p>
        </w:tc>
        <w:tc>
          <w:tcPr>
            <w:tcW w:w="140" w:type="dxa"/>
            <w:vAlign w:val="bottom"/>
          </w:tcPr>
          <w:p>
            <w:pPr>
              <w:spacing w:after="0"/>
              <w:rPr>
                <w:sz w:val="21"/>
                <w:szCs w:val="21"/>
                <w:color w:val="auto"/>
              </w:rPr>
            </w:pPr>
          </w:p>
        </w:tc>
      </w:tr>
    </w:tbl>
    <w:p>
      <w:pPr>
        <w:spacing w:after="0" w:line="86" w:lineRule="exact"/>
        <w:rPr>
          <w:sz w:val="20"/>
          <w:szCs w:val="20"/>
          <w:color w:val="auto"/>
        </w:rPr>
      </w:pPr>
    </w:p>
    <w:p>
      <w:pPr>
        <w:jc w:val="both"/>
        <w:ind w:left="920" w:right="60" w:hanging="4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Ms. Butitta</w:t>
      </w:r>
      <w:r>
        <w:rPr>
          <w:rFonts w:ascii="Arial" w:cs="Arial" w:eastAsia="Arial" w:hAnsi="Arial"/>
          <w:sz w:val="18"/>
          <w:szCs w:val="18"/>
          <w:color w:val="auto"/>
        </w:rPr>
        <w:t xml:space="preserve"> has been a member of our Board since February 2021. Ms. Butitta has served as a member of the​ board of directors of Olema Pharmaceuticals, Inc., Autolus Therapeutics plc, and UroGen Pharma Ltd., publicly traded biopharmaceutical companies, since August 2020, March 2018 and October 2017, respectively. Ms. Butitta previously served as the Chief Operating Officer of Kite Pharma Inc., a biopharmaceutical company, from December 2013 to September 2017 and as its Executive Vice President and Chief Financial Officer from January 2014 to May 2016. From May 2011 to December 2012, Ms. Butitta was Senior Vice President and Chief Financial Officer at NextWave Pharmaceuticals, Inc., a specialty pharmaceutical company. Prior to that, Ms. Butitta served in senior leadership roles at Telik, Inc., a biopharmaceutical company, from 1998 to 2010, including Chief Operating Officer and Chief Financial Officer. Ms. Butitta received a B.S. with honors in business and accounting from Edgewood College in Madison, Wisconsin and an M.B.A. in finance from the University of Wisconsin, Madison.</w:t>
      </w:r>
    </w:p>
    <w:p>
      <w:pPr>
        <w:spacing w:after="0" w:line="6" w:lineRule="exact"/>
        <w:rPr>
          <w:sz w:val="20"/>
          <w:szCs w:val="20"/>
          <w:color w:val="auto"/>
        </w:rPr>
      </w:pPr>
    </w:p>
    <w:p>
      <w:pPr>
        <w:jc w:val="both"/>
        <w:ind w:left="920" w:right="60" w:hanging="4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Ms. Butitta is qualified to serve on our Board due to her extensive​ experience as a public company director, her knowledge of corporate finance and accounting, and her experience as a biopharmaceutical company executive.</w:t>
      </w:r>
    </w:p>
    <w:p>
      <w:pPr>
        <w:sectPr>
          <w:pgSz w:w="11900" w:h="16838" w:orient="portrait"/>
          <w:cols w:equalWidth="0" w:num="1">
            <w:col w:w="9880"/>
          </w:cols>
          <w:pgMar w:left="580" w:top="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4240" w:type="dxa"/>
            <w:vAlign w:val="bottom"/>
            <w:gridSpan w:val="4"/>
            <w:shd w:val="clear" w:color="auto" w:fill="27A770"/>
          </w:tcPr>
          <w:p>
            <w:pPr>
              <w:ind w:left="20"/>
              <w:spacing w:after="0"/>
              <w:rPr>
                <w:sz w:val="20"/>
                <w:szCs w:val="20"/>
                <w:color w:val="auto"/>
              </w:rPr>
            </w:pPr>
            <w:r>
              <w:rPr>
                <w:rFonts w:ascii="Arial" w:cs="Arial" w:eastAsia="Arial" w:hAnsi="Arial"/>
                <w:sz w:val="32"/>
                <w:szCs w:val="32"/>
                <w:b w:val="1"/>
                <w:bCs w:val="1"/>
                <w:color w:val="FFFFFF"/>
              </w:rPr>
              <w:t>​BOARD OF DIRECTORS</w:t>
            </w:r>
          </w:p>
        </w:tc>
        <w:tc>
          <w:tcPr>
            <w:tcW w:w="4740" w:type="dxa"/>
            <w:vAlign w:val="bottom"/>
            <w:shd w:val="clear" w:color="auto" w:fill="27A770"/>
          </w:tcPr>
          <w:p>
            <w:pPr>
              <w:ind w:left="4640"/>
              <w:spacing w:after="0"/>
              <w:rPr>
                <w:sz w:val="20"/>
                <w:szCs w:val="20"/>
                <w:color w:val="auto"/>
              </w:rPr>
            </w:pPr>
            <w:r>
              <w:rPr>
                <w:rFonts w:ascii="Arial" w:cs="Arial" w:eastAsia="Arial" w:hAnsi="Arial"/>
                <w:sz w:val="32"/>
                <w:szCs w:val="32"/>
                <w:b w:val="1"/>
                <w:bCs w:val="1"/>
                <w:color w:val="FFFFFF"/>
              </w:rPr>
              <w:t>​</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shd w:val="clear" w:color="auto" w:fill="248ED8"/>
          </w:tcPr>
          <w:p>
            <w:pPr>
              <w:spacing w:after="0"/>
              <w:rPr>
                <w:sz w:val="20"/>
                <w:szCs w:val="20"/>
                <w:color w:val="auto"/>
              </w:rPr>
            </w:pPr>
            <w:r>
              <w:rPr>
                <w:rFonts w:ascii="Arial" w:cs="Arial" w:eastAsia="Arial" w:hAnsi="Arial"/>
                <w:sz w:val="16"/>
                <w:szCs w:val="16"/>
                <w:b w:val="1"/>
                <w:bCs w:val="1"/>
                <w:color w:val="FFFFFF"/>
                <w:w w:val="99"/>
              </w:rPr>
              <w:t>ALESSANDRO RIVA, M.D.</w:t>
            </w:r>
          </w:p>
        </w:tc>
        <w:tc>
          <w:tcPr>
            <w:tcW w:w="960" w:type="dxa"/>
            <w:vAlign w:val="bottom"/>
            <w:vMerge w:val="restart"/>
            <w:shd w:val="clear" w:color="auto" w:fill="248ED8"/>
          </w:tcPr>
          <w:p>
            <w:pPr>
              <w:spacing w:after="0"/>
              <w:rPr>
                <w:sz w:val="20"/>
                <w:szCs w:val="20"/>
                <w:color w:val="auto"/>
              </w:rPr>
            </w:pPr>
            <w:r>
              <w:rPr>
                <w:rFonts w:ascii="Arial" w:cs="Arial" w:eastAsia="Arial" w:hAnsi="Arial"/>
                <w:sz w:val="16"/>
                <w:szCs w:val="16"/>
                <w:b w:val="1"/>
                <w:bCs w:val="1"/>
                <w:color w:val="FFFFFF"/>
              </w:rPr>
              <w:t>​</w:t>
            </w:r>
          </w:p>
        </w:tc>
        <w:tc>
          <w:tcPr>
            <w:tcW w:w="1280" w:type="dxa"/>
            <w:vAlign w:val="bottom"/>
            <w:vMerge w:val="restart"/>
            <w:shd w:val="clear" w:color="auto" w:fill="248ED8"/>
          </w:tcPr>
          <w:p>
            <w:pPr>
              <w:ind w:left="380"/>
              <w:spacing w:after="0"/>
              <w:rPr>
                <w:sz w:val="20"/>
                <w:szCs w:val="20"/>
                <w:color w:val="auto"/>
              </w:rPr>
            </w:pPr>
            <w:r>
              <w:rPr>
                <w:rFonts w:ascii="Arial" w:cs="Arial" w:eastAsia="Arial" w:hAnsi="Arial"/>
                <w:sz w:val="16"/>
                <w:szCs w:val="16"/>
                <w:b w:val="1"/>
                <w:bCs w:val="1"/>
                <w:color w:val="FFFFFF"/>
              </w:rPr>
              <w:t>​</w:t>
            </w:r>
          </w:p>
        </w:tc>
        <w:tc>
          <w:tcPr>
            <w:tcW w:w="5960" w:type="dxa"/>
            <w:vAlign w:val="bottom"/>
            <w:gridSpan w:val="2"/>
            <w:shd w:val="clear" w:color="auto" w:fill="248ED8"/>
          </w:tcPr>
          <w:p>
            <w:pPr>
              <w:ind w:left="420"/>
              <w:spacing w:after="0"/>
              <w:rPr>
                <w:sz w:val="20"/>
                <w:szCs w:val="20"/>
                <w:color w:val="auto"/>
              </w:rPr>
            </w:pPr>
            <w:r>
              <w:rPr>
                <w:rFonts w:ascii="Arial" w:cs="Arial" w:eastAsia="Arial" w:hAnsi="Arial"/>
                <w:sz w:val="16"/>
                <w:szCs w:val="16"/>
                <w:b w:val="1"/>
                <w:bCs w:val="1"/>
                <w:color w:val="FFFFFF"/>
              </w:rPr>
              <w:t xml:space="preserve">Key Skills: </w:t>
            </w:r>
            <w:r>
              <w:rPr>
                <w:rFonts w:ascii="Arial" w:cs="Arial" w:eastAsia="Arial" w:hAnsi="Arial"/>
                <w:sz w:val="16"/>
                <w:szCs w:val="16"/>
                <w:color w:val="FFFFFF"/>
              </w:rPr>
              <w:t>Global Leadership Positions, Industry Knowledge and Experience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980" w:type="dxa"/>
            <w:vAlign w:val="bottom"/>
            <w:shd w:val="clear" w:color="auto" w:fill="248ED8"/>
          </w:tcPr>
          <w:p>
            <w:pPr>
              <w:spacing w:after="0" w:line="68" w:lineRule="exact"/>
              <w:rPr>
                <w:sz w:val="20"/>
                <w:szCs w:val="20"/>
                <w:color w:val="auto"/>
              </w:rPr>
            </w:pPr>
            <w:r>
              <w:rPr>
                <w:rFonts w:ascii="Arial" w:cs="Arial" w:eastAsia="Arial" w:hAnsi="Arial"/>
                <w:sz w:val="7"/>
                <w:szCs w:val="7"/>
                <w:b w:val="1"/>
                <w:bCs w:val="1"/>
                <w:color w:val="FFFFFF"/>
              </w:rPr>
              <w:t>​</w:t>
            </w:r>
          </w:p>
        </w:tc>
        <w:tc>
          <w:tcPr>
            <w:tcW w:w="960" w:type="dxa"/>
            <w:vAlign w:val="bottom"/>
            <w:vMerge w:val="continue"/>
            <w:shd w:val="clear" w:color="auto" w:fill="248ED8"/>
          </w:tcPr>
          <w:p>
            <w:pPr>
              <w:spacing w:after="0"/>
              <w:rPr>
                <w:sz w:val="5"/>
                <w:szCs w:val="5"/>
                <w:color w:val="auto"/>
              </w:rPr>
            </w:pPr>
          </w:p>
        </w:tc>
        <w:tc>
          <w:tcPr>
            <w:tcW w:w="1280" w:type="dxa"/>
            <w:vAlign w:val="bottom"/>
            <w:vMerge w:val="continue"/>
            <w:shd w:val="clear" w:color="auto" w:fill="248ED8"/>
          </w:tcPr>
          <w:p>
            <w:pPr>
              <w:spacing w:after="0"/>
              <w:rPr>
                <w:sz w:val="5"/>
                <w:szCs w:val="5"/>
                <w:color w:val="auto"/>
              </w:rPr>
            </w:pPr>
          </w:p>
        </w:tc>
        <w:tc>
          <w:tcPr>
            <w:tcW w:w="5960" w:type="dxa"/>
            <w:vAlign w:val="bottom"/>
            <w:gridSpan w:val="2"/>
            <w:shd w:val="clear" w:color="auto" w:fill="248ED8"/>
          </w:tcPr>
          <w:p>
            <w:pPr>
              <w:ind w:left="420"/>
              <w:spacing w:after="0" w:line="68" w:lineRule="exact"/>
              <w:rPr>
                <w:sz w:val="20"/>
                <w:szCs w:val="20"/>
                <w:color w:val="auto"/>
              </w:rPr>
            </w:pPr>
            <w:r>
              <w:rPr>
                <w:rFonts w:ascii="Arial" w:cs="Arial" w:eastAsia="Arial" w:hAnsi="Arial"/>
                <w:sz w:val="7"/>
                <w:szCs w:val="7"/>
                <w:b w:val="1"/>
                <w:bCs w:val="1"/>
                <w:color w:val="FFFFFF"/>
              </w:rPr>
              <w: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80" w:type="dxa"/>
            <w:vAlign w:val="bottom"/>
          </w:tcPr>
          <w:p>
            <w:pPr>
              <w:spacing w:after="0" w:line="189" w:lineRule="exact"/>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61</w:t>
            </w:r>
          </w:p>
        </w:tc>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Committee</w:t>
            </w:r>
            <w:r>
              <w:rPr>
                <w:rFonts w:ascii="Arial" w:cs="Arial" w:eastAsia="Arial" w:hAnsi="Arial"/>
                <w:sz w:val="18"/>
                <w:szCs w:val="18"/>
                <w:color w:val="auto"/>
              </w:rPr>
              <w:t>​</w:t>
            </w:r>
          </w:p>
        </w:tc>
        <w:tc>
          <w:tcPr>
            <w:tcW w:w="72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Memberships</w:t>
            </w:r>
            <w:r>
              <w:rPr>
                <w:rFonts w:ascii="Arial" w:cs="Arial" w:eastAsia="Arial" w:hAnsi="Arial"/>
                <w:sz w:val="18"/>
                <w:szCs w:val="18"/>
                <w:color w:val="auto"/>
              </w:rPr>
              <w:t>: Audit​</w:t>
            </w:r>
            <w:r>
              <w:rPr>
                <w:rFonts w:ascii="Arial" w:cs="Arial" w:eastAsia="Arial" w:hAnsi="Arial"/>
                <w:sz w:val="18"/>
                <w:szCs w:val="18"/>
                <w:b w:val="1"/>
                <w:bCs w:val="1"/>
                <w:color w:val="auto"/>
              </w:rPr>
              <w:t>Other Public Directorships</w:t>
            </w:r>
            <w:r>
              <w:rPr>
                <w:rFonts w:ascii="Arial" w:cs="Arial" w:eastAsia="Arial" w:hAnsi="Arial"/>
                <w:sz w:val="18"/>
                <w:szCs w:val="18"/>
                <w:color w:val="auto"/>
              </w:rPr>
              <w:t>: BeiGene, Ltd.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960" w:type="dxa"/>
            <w:vAlign w:val="bottom"/>
            <w:vMerge w:val="continue"/>
          </w:tcPr>
          <w:p>
            <w:pPr>
              <w:spacing w:after="0"/>
              <w:rPr>
                <w:sz w:val="9"/>
                <w:szCs w:val="9"/>
                <w:color w:val="auto"/>
              </w:rPr>
            </w:pPr>
          </w:p>
        </w:tc>
        <w:tc>
          <w:tcPr>
            <w:tcW w:w="7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2021</w:t>
            </w: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-521970</wp:posOffset>
            </wp:positionV>
            <wp:extent cx="6480810" cy="2057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80810" cy="2057400"/>
                    </a:xfrm>
                    <a:prstGeom prst="rect">
                      <a:avLst/>
                    </a:prstGeom>
                    <a:noFill/>
                  </pic:spPr>
                </pic:pic>
              </a:graphicData>
            </a:graphic>
          </wp:anchor>
        </w:drawing>
      </w:r>
    </w:p>
    <w:p>
      <w:pPr>
        <w:jc w:val="both"/>
        <w:ind w:left="880" w:right="2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 Riva</w:t>
      </w:r>
      <w:r>
        <w:rPr>
          <w:rFonts w:ascii="Arial" w:cs="Arial" w:eastAsia="Arial" w:hAnsi="Arial"/>
          <w:sz w:val="18"/>
          <w:szCs w:val="18"/>
          <w:color w:val="auto"/>
        </w:rPr>
        <w:t xml:space="preserve"> has been a member of our Board since May 2021. Dr. Riva has also served as Chief Executive Officer of Intima Bioscience, a privately held biotechnology company focused on oncology cell therapy and therapeutics, since September 2021 and as Non-Executive Independent Director of BeiGene, Ltd., a biotechnology company specialized in oncology therapeutics, since February 2022. Prior to Intima Bioscience, Dr. Riva served as the Chief Executive Officer of Ichnos Sciences, a biotechnology company focusing on oncology therapies from April 2019 until August 2021. Previously, Dr. Riva was the Executive Vice President and Global Head, Oncology Therapeutics and Cell Therapy at Gilead Sciences, Inc., a biotechnology company, from January 2017 to March 2019. Prior to Gilead, Dr. Riva served as the Executive Vice President and Global Head, Oncology Development and Medical Affairs at Novartis AG, a position he held from January 2005 until December 2016. Dr. Riva received his B.M.B.S. and M.D. in Oncology/Hematology from Università degli Studi di Milano.</w:t>
      </w:r>
    </w:p>
    <w:p>
      <w:pPr>
        <w:spacing w:after="0" w:line="19" w:lineRule="exact"/>
        <w:rPr>
          <w:sz w:val="20"/>
          <w:szCs w:val="20"/>
          <w:color w:val="auto"/>
        </w:rPr>
      </w:pPr>
    </w:p>
    <w:p>
      <w:pPr>
        <w:jc w:val="both"/>
        <w:ind w:left="880" w:right="2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We believe that Dr. Riva is qualified to serve on our Board due to his extensive management experience at biotechnology companies.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CLASS III DIRECTORS — TERMS EXPIRING AT THE 2024 ANNUAL MEETING OF STOCKHOLDERS</w:t>
      </w:r>
    </w:p>
    <w:p>
      <w:pPr>
        <w:sectPr>
          <w:pgSz w:w="11900" w:h="16838" w:orient="portrait"/>
          <w:cols w:equalWidth="0" w:num="1">
            <w:col w:w="11080"/>
          </w:cols>
          <w:pgMar w:left="580" w:top="97" w:right="239" w:bottom="1440" w:gutter="0" w:footer="0" w:header="0"/>
        </w:sectPr>
      </w:pPr>
    </w:p>
    <w:p>
      <w:pPr>
        <w:spacing w:after="0" w:line="116" w:lineRule="exact"/>
        <w:rPr>
          <w:sz w:val="20"/>
          <w:szCs w:val="20"/>
          <w:color w:val="auto"/>
        </w:rPr>
      </w:pPr>
    </w:p>
    <w:tbl>
      <w:tblPr>
        <w:tblLayout w:type="fixed"/>
        <w:tblInd w:w="880" w:type="dxa"/>
        <w:tblCellMar>
          <w:top w:w="0" w:type="dxa"/>
          <w:left w:w="0" w:type="dxa"/>
          <w:bottom w:w="0" w:type="dxa"/>
          <w:right w:w="0" w:type="dxa"/>
        </w:tblCellMar>
      </w:tblPr>
      <w:tr>
        <w:trPr>
          <w:trHeight w:val="404"/>
        </w:trPr>
        <w:tc>
          <w:tcPr>
            <w:tcW w:w="3040" w:type="dxa"/>
            <w:vAlign w:val="bottom"/>
            <w:gridSpan w:val="2"/>
          </w:tcPr>
          <w:p>
            <w:pPr>
              <w:spacing w:after="0"/>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JOSEPH  JIMENEZ (CHAIRMAN)</w:t>
            </w:r>
            <w:r>
              <w:rPr>
                <w:rFonts w:ascii="Arial" w:cs="Arial" w:eastAsia="Arial" w:hAnsi="Arial"/>
                <w:sz w:val="32"/>
                <w:szCs w:val="32"/>
                <w:b w:val="1"/>
                <w:bCs w:val="1"/>
                <w:color w:val="FFFFFF"/>
                <w:vertAlign w:val="subscript"/>
              </w:rPr>
              <w:t>​​</w:t>
            </w:r>
          </w:p>
        </w:tc>
        <w:tc>
          <w:tcPr>
            <w:tcW w:w="820" w:type="dxa"/>
            <w:vAlign w:val="bottom"/>
          </w:tcPr>
          <w:p>
            <w:pPr>
              <w:ind w:left="44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74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Committee</w:t>
            </w:r>
          </w:p>
        </w:tc>
        <w:tc>
          <w:tcPr>
            <w:tcW w:w="0" w:type="dxa"/>
            <w:vAlign w:val="bottom"/>
          </w:tcPr>
          <w:p>
            <w:pPr>
              <w:spacing w:after="0"/>
              <w:rPr>
                <w:sz w:val="1"/>
                <w:szCs w:val="1"/>
                <w:color w:val="auto"/>
              </w:rPr>
            </w:pPr>
          </w:p>
        </w:tc>
      </w:tr>
      <w:tr>
        <w:trPr>
          <w:trHeight w:val="203"/>
        </w:trPr>
        <w:tc>
          <w:tcPr>
            <w:tcW w:w="2120" w:type="dxa"/>
            <w:vAlign w:val="bottom"/>
            <w:vMerge w:val="restart"/>
          </w:tcPr>
          <w:p>
            <w:pPr>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Age</w:t>
            </w:r>
            <w:r>
              <w:rPr>
                <w:rFonts w:ascii="Arial" w:cs="Arial" w:eastAsia="Arial" w:hAnsi="Arial"/>
                <w:sz w:val="18"/>
                <w:szCs w:val="18"/>
                <w:color w:val="auto"/>
              </w:rPr>
              <w:t>: 62</w:t>
            </w:r>
          </w:p>
        </w:tc>
        <w:tc>
          <w:tcPr>
            <w:tcW w:w="1740" w:type="dxa"/>
            <w:vAlign w:val="bottom"/>
            <w:gridSpan w:val="2"/>
          </w:tcPr>
          <w:p>
            <w:pPr>
              <w:ind w:left="480"/>
              <w:spacing w:after="0" w:line="202" w:lineRule="exact"/>
              <w:rPr>
                <w:sz w:val="20"/>
                <w:szCs w:val="20"/>
                <w:color w:val="auto"/>
              </w:rPr>
            </w:pPr>
            <w:r>
              <w:rPr>
                <w:rFonts w:ascii="Arial" w:cs="Arial" w:eastAsia="Arial" w:hAnsi="Arial"/>
                <w:sz w:val="18"/>
                <w:szCs w:val="18"/>
                <w:b w:val="1"/>
                <w:bCs w:val="1"/>
                <w:color w:val="auto"/>
              </w:rPr>
              <w:t>Memberships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120" w:type="dxa"/>
            <w:vAlign w:val="bottom"/>
            <w:vMerge w:val="continue"/>
          </w:tcPr>
          <w:p>
            <w:pPr>
              <w:spacing w:after="0"/>
              <w:rPr>
                <w:sz w:val="19"/>
                <w:szCs w:val="19"/>
                <w:color w:val="auto"/>
              </w:rPr>
            </w:pPr>
          </w:p>
        </w:tc>
        <w:tc>
          <w:tcPr>
            <w:tcW w:w="1740" w:type="dxa"/>
            <w:vAlign w:val="bottom"/>
            <w:gridSpan w:val="2"/>
          </w:tcPr>
          <w:p>
            <w:pPr>
              <w:ind w:left="400"/>
              <w:spacing w:after="0" w:line="221"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216"/>
        </w:trPr>
        <w:tc>
          <w:tcPr>
            <w:tcW w:w="212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2019</w:t>
            </w:r>
          </w:p>
        </w:tc>
        <w:tc>
          <w:tcPr>
            <w:tcW w:w="1740" w:type="dxa"/>
            <w:vAlign w:val="bottom"/>
            <w:gridSpan w:val="2"/>
          </w:tcPr>
          <w:p>
            <w:pPr>
              <w:ind w:left="480"/>
              <w:spacing w:after="0"/>
              <w:rPr>
                <w:sz w:val="20"/>
                <w:szCs w:val="20"/>
                <w:color w:val="auto"/>
              </w:rPr>
            </w:pPr>
            <w:r>
              <w:rPr>
                <w:rFonts w:ascii="Arial" w:cs="Arial" w:eastAsia="Arial" w:hAnsi="Arial"/>
                <w:sz w:val="18"/>
                <w:szCs w:val="18"/>
                <w:color w:val="auto"/>
                <w:w w:val="98"/>
              </w:rPr>
              <w:t>Nominating and</w:t>
            </w:r>
          </w:p>
        </w:tc>
        <w:tc>
          <w:tcPr>
            <w:tcW w:w="0" w:type="dxa"/>
            <w:vAlign w:val="bottom"/>
          </w:tcPr>
          <w:p>
            <w:pPr>
              <w:spacing w:after="0"/>
              <w:rPr>
                <w:sz w:val="1"/>
                <w:szCs w:val="1"/>
                <w:color w:val="auto"/>
              </w:rPr>
            </w:pPr>
          </w:p>
        </w:tc>
      </w:tr>
    </w:tbl>
    <w:p>
      <w:pPr>
        <w:ind w:left="3480"/>
        <w:spacing w:after="0" w:line="234" w:lineRule="auto"/>
        <w:rPr>
          <w:sz w:val="20"/>
          <w:szCs w:val="20"/>
          <w:color w:val="auto"/>
        </w:rPr>
      </w:pPr>
      <w:r>
        <w:rPr>
          <w:rFonts w:ascii="Arial" w:cs="Arial" w:eastAsia="Arial" w:hAnsi="Arial"/>
          <w:sz w:val="18"/>
          <w:szCs w:val="18"/>
          <w:color w:val="auto"/>
        </w:rPr>
        <w:t>Corporate</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Governance (Chair)</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 xml:space="preserve">Key Skills: </w:t>
      </w:r>
      <w:r>
        <w:rPr>
          <w:rFonts w:ascii="Arial" w:cs="Arial" w:eastAsia="Arial" w:hAnsi="Arial"/>
          <w:sz w:val="16"/>
          <w:szCs w:val="16"/>
          <w:color w:val="FFFFFF"/>
        </w:rPr>
        <w:t>Senior Executive and Public Company Experience</w:t>
      </w:r>
      <w:r>
        <w:rPr>
          <w:rFonts w:ascii="Arial" w:cs="Arial" w:eastAsia="Arial" w:hAnsi="Arial"/>
          <w:sz w:val="32"/>
          <w:szCs w:val="32"/>
          <w:b w:val="1"/>
          <w:bCs w:val="1"/>
          <w:color w:val="FFFFFF"/>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-178435</wp:posOffset>
            </wp:positionV>
            <wp:extent cx="5700395" cy="3077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0395" cy="3077210"/>
                    </a:xfrm>
                    <a:prstGeom prst="rect">
                      <a:avLst/>
                    </a:prstGeom>
                    <a:noFill/>
                  </pic:spPr>
                </pic:pic>
              </a:graphicData>
            </a:graphic>
          </wp:anchor>
        </w:drawing>
      </w:r>
    </w:p>
    <w:p>
      <w:pPr>
        <w:spacing w:after="0" w:line="367" w:lineRule="exact"/>
        <w:rPr>
          <w:sz w:val="20"/>
          <w:szCs w:val="20"/>
          <w:color w:val="auto"/>
        </w:rPr>
      </w:pPr>
    </w:p>
    <w:p>
      <w:pPr>
        <w:ind w:left="80" w:right="1240" w:hanging="80"/>
        <w:spacing w:after="0" w:line="200" w:lineRule="auto"/>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Other Public Directorships</w:t>
      </w:r>
      <w:r>
        <w:rPr>
          <w:rFonts w:ascii="Arial" w:cs="Arial" w:eastAsia="Arial" w:hAnsi="Arial"/>
          <w:sz w:val="18"/>
          <w:szCs w:val="18"/>
          <w:color w:val="auto"/>
        </w:rPr>
        <w:t>: Graphite Bio, Inc., Procter</w:t>
      </w:r>
      <w:r>
        <w:rPr>
          <w:rFonts w:ascii="Arial" w:cs="Arial" w:eastAsia="Arial" w:hAnsi="Arial"/>
          <w:sz w:val="18"/>
          <w:szCs w:val="18"/>
          <w:b w:val="1"/>
          <w:bCs w:val="1"/>
          <w:color w:val="auto"/>
        </w:rPr>
        <w:t xml:space="preserve"> </w:t>
      </w:r>
      <w:r>
        <w:rPr>
          <w:rFonts w:ascii="Arial" w:cs="Arial" w:eastAsia="Arial" w:hAnsi="Arial"/>
          <w:sz w:val="35"/>
          <w:szCs w:val="35"/>
          <w:color w:val="auto"/>
          <w:vertAlign w:val="sub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&amp; Gamble Co, General Motors Co</w:t>
      </w:r>
    </w:p>
    <w:p>
      <w:pPr>
        <w:spacing w:after="0" w:line="419" w:lineRule="exact"/>
        <w:rPr>
          <w:sz w:val="20"/>
          <w:szCs w:val="20"/>
          <w:color w:val="auto"/>
        </w:rPr>
      </w:pPr>
    </w:p>
    <w:p>
      <w:pPr>
        <w:sectPr>
          <w:pgSz w:w="11900" w:h="16838" w:orient="portrait"/>
          <w:cols w:equalWidth="0" w:num="2">
            <w:col w:w="5040" w:space="220"/>
            <w:col w:w="5820"/>
          </w:cols>
          <w:pgMar w:left="580" w:top="97" w:right="239" w:bottom="1440" w:gutter="0" w:footer="0" w:header="0"/>
          <w:type w:val="continuous"/>
        </w:sectPr>
      </w:pPr>
    </w:p>
    <w:p>
      <w:pPr>
        <w:jc w:val="both"/>
        <w:ind w:left="920" w:right="1240" w:hanging="26"/>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Jimenez</w:t>
      </w:r>
      <w:r>
        <w:rPr>
          <w:rFonts w:ascii="Arial" w:cs="Arial" w:eastAsia="Arial" w:hAnsi="Arial"/>
          <w:sz w:val="18"/>
          <w:szCs w:val="18"/>
          <w:color w:val="auto"/>
        </w:rPr>
        <w:t xml:space="preserve"> has served as a member of our Board since the 2021 Reorganization, and previously served as a​ member of the board of managers of the LLC Entity from August 2019 until the 2021 Reorganization. Mr. Jimenez has served as Chairman of our Board since February 2021. Mr. Jimenez is currently Co-Founder and Managing Director of Aditum Bio, a venture capital firm. He has held this position since July 2019. Mr. Jimenez served as CEO of Novartis AG, a pharmaceutical company, from 2010 until his retirement in 2018. He led Novartis’ Pharmaceuticals Division from October 2007 to 2010 and its Consumer Health Division in 2007. From 2006 to 2007, Mr. Jimenez served as Advisor to the Blackstone Group L.P. Mr. Jimenez is currently a member of the board of directors of General Motors Company, where he has served since 2015. Mr. Jimenez has also been a member of the board of directors of The Proctor &amp; Gamble Company since March 2018 and Graphite Bio since June 2020. Additionally, Mr. Jimenez served on the board of directors of Colgate-Palmolive Company from 2009 to 2015, and of AstraZeneca PLC, from 2002 to 2007. Mr. Jimenez received his B.A. in economics from Stanford University and an M.B.A. from the University of California, Berkeley.</w:t>
      </w:r>
    </w:p>
    <w:p>
      <w:pPr>
        <w:spacing w:after="0" w:line="7" w:lineRule="exact"/>
        <w:rPr>
          <w:sz w:val="20"/>
          <w:szCs w:val="20"/>
          <w:color w:val="auto"/>
        </w:rPr>
      </w:pPr>
    </w:p>
    <w:p>
      <w:pPr>
        <w:jc w:val="both"/>
        <w:ind w:left="920" w:right="1240" w:hanging="2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Mr. Jimenez is qualified to serve on our Board due to his years of​ experience as a senior executive in the pharmaceutical industry, his extensive public company directorship experience, and his deep insights into our industry.</w:t>
      </w:r>
    </w:p>
    <w:p>
      <w:pPr>
        <w:sectPr>
          <w:pgSz w:w="11900" w:h="16838" w:orient="portrait"/>
          <w:cols w:equalWidth="0" w:num="1">
            <w:col w:w="11080"/>
          </w:cols>
          <w:pgMar w:left="580" w:top="9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1080"/>
          </w:cols>
          <w:pgMar w:left="580" w:top="97" w:right="23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860" w:type="dxa"/>
        <w:tblCellMar>
          <w:top w:w="0" w:type="dxa"/>
          <w:left w:w="0" w:type="dxa"/>
          <w:bottom w:w="0" w:type="dxa"/>
          <w:right w:w="0" w:type="dxa"/>
        </w:tblCellMar>
      </w:tblPr>
      <w:tr>
        <w:trPr>
          <w:trHeight w:val="378"/>
        </w:trPr>
        <w:tc>
          <w:tcPr>
            <w:tcW w:w="5080" w:type="dxa"/>
            <w:vAlign w:val="bottom"/>
            <w:gridSpan w:val="4"/>
            <w:shd w:val="clear" w:color="auto" w:fill="27A770"/>
          </w:tcPr>
          <w:p>
            <w:pPr>
              <w:ind w:left="20"/>
              <w:spacing w:after="0"/>
              <w:rPr>
                <w:sz w:val="20"/>
                <w:szCs w:val="20"/>
                <w:color w:val="auto"/>
              </w:rPr>
            </w:pPr>
            <w:r>
              <w:rPr>
                <w:rFonts w:ascii="Arial" w:cs="Arial" w:eastAsia="Arial" w:hAnsi="Arial"/>
                <w:sz w:val="32"/>
                <w:szCs w:val="32"/>
                <w:b w:val="1"/>
                <w:bCs w:val="1"/>
                <w:color w:val="FFFFFF"/>
              </w:rPr>
              <w:t>​BOARD OF DIRECTORS</w:t>
            </w:r>
          </w:p>
        </w:tc>
        <w:tc>
          <w:tcPr>
            <w:tcW w:w="3740" w:type="dxa"/>
            <w:vAlign w:val="bottom"/>
            <w:shd w:val="clear" w:color="auto" w:fill="27A770"/>
          </w:tcPr>
          <w:p>
            <w:pPr>
              <w:spacing w:after="0"/>
              <w:rPr>
                <w:sz w:val="24"/>
                <w:szCs w:val="24"/>
                <w:color w:val="auto"/>
              </w:rPr>
            </w:pPr>
          </w:p>
        </w:tc>
        <w:tc>
          <w:tcPr>
            <w:tcW w:w="160" w:type="dxa"/>
            <w:vAlign w:val="bottom"/>
            <w:shd w:val="clear" w:color="auto" w:fill="27A770"/>
          </w:tcPr>
          <w:p>
            <w:pPr>
              <w:ind w:left="60"/>
              <w:spacing w:after="0"/>
              <w:rPr>
                <w:sz w:val="20"/>
                <w:szCs w:val="20"/>
                <w:color w:val="auto"/>
              </w:rPr>
            </w:pPr>
            <w:r>
              <w:rPr>
                <w:rFonts w:ascii="Arial" w:cs="Arial" w:eastAsia="Arial" w:hAnsi="Arial"/>
                <w:sz w:val="32"/>
                <w:szCs w:val="32"/>
                <w:b w:val="1"/>
                <w:bCs w:val="1"/>
                <w:color w:val="FFFFFF"/>
              </w:rPr>
              <w:t>​</w:t>
            </w:r>
          </w:p>
        </w:tc>
        <w:tc>
          <w:tcPr>
            <w:tcW w:w="0" w:type="dxa"/>
            <w:vAlign w:val="bottom"/>
          </w:tcPr>
          <w:p>
            <w:pPr>
              <w:spacing w:after="0"/>
              <w:rPr>
                <w:sz w:val="1"/>
                <w:szCs w:val="1"/>
                <w:color w:val="auto"/>
              </w:rPr>
            </w:pPr>
          </w:p>
        </w:tc>
      </w:tr>
      <w:tr>
        <w:trPr>
          <w:trHeight w:val="324"/>
        </w:trPr>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660" w:type="dxa"/>
            <w:vAlign w:val="bottom"/>
            <w:gridSpan w:val="2"/>
            <w:shd w:val="clear" w:color="auto" w:fill="248ED8"/>
          </w:tcPr>
          <w:p>
            <w:pPr>
              <w:spacing w:after="0" w:line="304"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6"/>
                <w:szCs w:val="16"/>
                <w:b w:val="1"/>
                <w:bCs w:val="1"/>
                <w:color w:val="FFFFFF"/>
              </w:rPr>
              <w:t xml:space="preserve"> KIMBERLY BLACKWELL, M.D.  </w:t>
            </w:r>
            <w:r>
              <w:rPr>
                <w:rFonts w:ascii="Arial" w:cs="Arial" w:eastAsia="Arial" w:hAnsi="Arial"/>
                <w:sz w:val="32"/>
                <w:szCs w:val="32"/>
                <w:b w:val="1"/>
                <w:bCs w:val="1"/>
                <w:color w:val="FFFFFF"/>
                <w:vertAlign w:val="subscript"/>
              </w:rPr>
              <w:t>​ ​</w:t>
            </w:r>
          </w:p>
        </w:tc>
        <w:tc>
          <w:tcPr>
            <w:tcW w:w="2400" w:type="dxa"/>
            <w:vAlign w:val="bottom"/>
            <w:shd w:val="clear" w:color="auto" w:fill="248ED8"/>
          </w:tcPr>
          <w:p>
            <w:pPr>
              <w:ind w:left="1300"/>
              <w:spacing w:after="0"/>
              <w:rPr>
                <w:sz w:val="20"/>
                <w:szCs w:val="20"/>
                <w:color w:val="auto"/>
              </w:rPr>
            </w:pPr>
            <w:r>
              <w:rPr>
                <w:rFonts w:ascii="Arial" w:cs="Arial" w:eastAsia="Arial" w:hAnsi="Arial"/>
                <w:sz w:val="16"/>
                <w:szCs w:val="16"/>
                <w:b w:val="1"/>
                <w:bCs w:val="1"/>
                <w:color w:val="FFFFFF"/>
              </w:rPr>
              <w:t>​</w:t>
            </w:r>
          </w:p>
        </w:tc>
        <w:tc>
          <w:tcPr>
            <w:tcW w:w="3900" w:type="dxa"/>
            <w:vAlign w:val="bottom"/>
            <w:gridSpan w:val="2"/>
            <w:shd w:val="clear" w:color="auto" w:fill="248ED8"/>
          </w:tcPr>
          <w:p>
            <w:pPr>
              <w:ind w:left="160"/>
              <w:spacing w:after="0" w:line="304" w:lineRule="exact"/>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 xml:space="preserve"> Key Skills: </w:t>
            </w:r>
            <w:r>
              <w:rPr>
                <w:rFonts w:ascii="Arial" w:cs="Arial" w:eastAsia="Arial" w:hAnsi="Arial"/>
                <w:sz w:val="16"/>
                <w:szCs w:val="16"/>
                <w:color w:val="FFFFFF"/>
              </w:rPr>
              <w:t>Industry Knowledge and Experience</w:t>
            </w:r>
            <w:r>
              <w:rPr>
                <w:rFonts w:ascii="Arial" w:cs="Arial" w:eastAsia="Arial" w:hAnsi="Arial"/>
                <w:sz w:val="32"/>
                <w:szCs w:val="32"/>
                <w:b w:val="1"/>
                <w:bCs w:val="1"/>
                <w:color w:val="FFFFFF"/>
                <w:vertAlign w:val="subscript"/>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140" w:type="dxa"/>
            <w:vAlign w:val="bottom"/>
            <w:vMerge w:val="restart"/>
          </w:tcPr>
          <w:p>
            <w:pPr>
              <w:spacing w:after="0" w:line="39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b w:val="1"/>
                <w:bCs w:val="1"/>
                <w:color w:val="auto"/>
              </w:rPr>
              <w:t>Age</w:t>
            </w:r>
            <w:r>
              <w:rPr>
                <w:rFonts w:ascii="Arial" w:cs="Arial" w:eastAsia="Arial" w:hAnsi="Arial"/>
                <w:sz w:val="18"/>
                <w:szCs w:val="18"/>
                <w:color w:val="auto"/>
              </w:rPr>
              <w:t>: 53</w:t>
            </w:r>
          </w:p>
        </w:tc>
        <w:tc>
          <w:tcPr>
            <w:tcW w:w="52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w:t>
            </w:r>
          </w:p>
        </w:tc>
        <w:tc>
          <w:tcPr>
            <w:tcW w:w="3740" w:type="dxa"/>
            <w:vAlign w:val="bottom"/>
          </w:tcPr>
          <w:p>
            <w:pPr>
              <w:ind w:left="360"/>
              <w:spacing w:after="0"/>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 Monte Rosa</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2920" w:type="dxa"/>
            <w:vAlign w:val="bottom"/>
            <w:gridSpan w:val="2"/>
          </w:tcPr>
          <w:p>
            <w:pPr>
              <w:ind w:left="380"/>
              <w:spacing w:after="0" w:line="181" w:lineRule="exact"/>
              <w:rPr>
                <w:sz w:val="20"/>
                <w:szCs w:val="20"/>
                <w:color w:val="auto"/>
              </w:rPr>
            </w:pPr>
            <w:r>
              <w:rPr>
                <w:rFonts w:ascii="Arial" w:cs="Arial" w:eastAsia="Arial" w:hAnsi="Arial"/>
                <w:sz w:val="18"/>
                <w:szCs w:val="18"/>
                <w:color w:val="auto"/>
              </w:rPr>
              <w:t>​ ​ Audit, Nominating and</w:t>
            </w:r>
          </w:p>
        </w:tc>
        <w:tc>
          <w:tcPr>
            <w:tcW w:w="3740" w:type="dxa"/>
            <w:vAlign w:val="bottom"/>
          </w:tcPr>
          <w:p>
            <w:pPr>
              <w:ind w:left="160"/>
              <w:spacing w:after="0" w:line="181" w:lineRule="exact"/>
              <w:rPr>
                <w:sz w:val="20"/>
                <w:szCs w:val="20"/>
                <w:color w:val="auto"/>
              </w:rPr>
            </w:pPr>
            <w:r>
              <w:rPr>
                <w:rFonts w:ascii="Arial" w:cs="Arial" w:eastAsia="Arial" w:hAnsi="Arial"/>
                <w:sz w:val="18"/>
                <w:szCs w:val="18"/>
                <w:color w:val="auto"/>
              </w:rPr>
              <w:t>​ ​ Therapeutics, Inc., Zentalis</w:t>
            </w:r>
          </w:p>
        </w:tc>
        <w:tc>
          <w:tcPr>
            <w:tcW w:w="160" w:type="dxa"/>
            <w:vAlign w:val="bottom"/>
          </w:tcPr>
          <w:p>
            <w:pPr>
              <w:ind w:left="60"/>
              <w:spacing w:after="0" w:line="18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2021</w:t>
            </w:r>
          </w:p>
        </w:tc>
        <w:tc>
          <w:tcPr>
            <w:tcW w:w="520" w:type="dxa"/>
            <w:vAlign w:val="bottom"/>
          </w:tcPr>
          <w:p>
            <w:pPr>
              <w:spacing w:after="0"/>
              <w:rPr>
                <w:sz w:val="17"/>
                <w:szCs w:val="17"/>
                <w:color w:val="auto"/>
              </w:rPr>
            </w:pPr>
          </w:p>
        </w:tc>
        <w:tc>
          <w:tcPr>
            <w:tcW w:w="2400" w:type="dxa"/>
            <w:vAlign w:val="bottom"/>
            <w:vMerge w:val="restart"/>
          </w:tcPr>
          <w:p>
            <w:pPr>
              <w:ind w:left="40"/>
              <w:spacing w:after="0"/>
              <w:rPr>
                <w:sz w:val="20"/>
                <w:szCs w:val="20"/>
                <w:color w:val="auto"/>
              </w:rPr>
            </w:pPr>
            <w:r>
              <w:rPr>
                <w:rFonts w:ascii="Arial" w:cs="Arial" w:eastAsia="Arial" w:hAnsi="Arial"/>
                <w:sz w:val="18"/>
                <w:szCs w:val="18"/>
                <w:color w:val="auto"/>
              </w:rPr>
              <w:t>Corporate Governance</w:t>
            </w:r>
          </w:p>
        </w:tc>
        <w:tc>
          <w:tcPr>
            <w:tcW w:w="3740" w:type="dxa"/>
            <w:vAlign w:val="bottom"/>
            <w:vMerge w:val="restart"/>
          </w:tcPr>
          <w:p>
            <w:pPr>
              <w:ind w:left="360"/>
              <w:spacing w:after="0"/>
              <w:rPr>
                <w:sz w:val="20"/>
                <w:szCs w:val="20"/>
                <w:color w:val="auto"/>
              </w:rPr>
            </w:pPr>
            <w:r>
              <w:rPr>
                <w:rFonts w:ascii="Arial" w:cs="Arial" w:eastAsia="Arial" w:hAnsi="Arial"/>
                <w:sz w:val="18"/>
                <w:szCs w:val="18"/>
                <w:color w:val="auto"/>
              </w:rPr>
              <w:t>Pharmaceuticals, Inc.</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0" w:type="dxa"/>
            <w:vAlign w:val="bottom"/>
            <w:vMerge w:val="continue"/>
          </w:tcPr>
          <w:p>
            <w:pPr>
              <w:spacing w:after="0"/>
              <w:rPr>
                <w:sz w:val="5"/>
                <w:szCs w:val="5"/>
                <w:color w:val="auto"/>
              </w:rPr>
            </w:pPr>
          </w:p>
        </w:tc>
        <w:tc>
          <w:tcPr>
            <w:tcW w:w="3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-619125</wp:posOffset>
            </wp:positionV>
            <wp:extent cx="5700395" cy="2314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00395" cy="2314575"/>
                    </a:xfrm>
                    <a:prstGeom prst="rect">
                      <a:avLst/>
                    </a:prstGeom>
                    <a:noFill/>
                  </pic:spPr>
                </pic:pic>
              </a:graphicData>
            </a:graphic>
          </wp:anchor>
        </w:drawing>
      </w:r>
    </w:p>
    <w:p>
      <w:pPr>
        <w:spacing w:after="0" w:line="11" w:lineRule="exact"/>
        <w:rPr>
          <w:sz w:val="20"/>
          <w:szCs w:val="20"/>
          <w:color w:val="auto"/>
        </w:rPr>
      </w:pPr>
    </w:p>
    <w:p>
      <w:pPr>
        <w:jc w:val="both"/>
        <w:ind w:left="960" w:right="79" w:hanging="67"/>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 Blackwell</w:t>
      </w:r>
      <w:r>
        <w:rPr>
          <w:rFonts w:ascii="Arial" w:cs="Arial" w:eastAsia="Arial" w:hAnsi="Arial"/>
          <w:sz w:val="18"/>
          <w:szCs w:val="18"/>
          <w:color w:val="auto"/>
        </w:rPr>
        <w:t xml:space="preserve"> has been a member of our Board since May 2021. Dr. Blackwell has been the Chief Medical​ Officer and Senior Vice President, Clinical Oncology Development at Tempus Labs, Inc., a biotechnology company, since March 2020. Previously, Dr. Blackwell was the Vice President of Early Phase Immunooncology at Eli Lilly and Company, a pharmaceutical company, from March 2018 to March 2020. Prior to Eli Lilly, Dr. Blackwell held positions at Duke Medical Center and Duke Cancer Institute as a Professor in the Department of Medicine from July 1997 to March 2018. Dr. Blackwell has served on the board of directors of Monte Rosa Therapeutics, Inc., a biotechnology company, and Zentalis Pharmaceuticals, Inc., a clinical-stage biopharmaceutical company, since June and July 2020, respectively. Dr. Blackwell received her B.A. in bioethics from Duke University and her M.D. from the Mayo Clinic Medical School.</w:t>
      </w:r>
    </w:p>
    <w:p>
      <w:pPr>
        <w:spacing w:after="0" w:line="13" w:lineRule="exact"/>
        <w:rPr>
          <w:sz w:val="20"/>
          <w:szCs w:val="20"/>
          <w:color w:val="auto"/>
        </w:rPr>
      </w:pPr>
    </w:p>
    <w:p>
      <w:pPr>
        <w:jc w:val="both"/>
        <w:ind w:left="960" w:right="79" w:hanging="6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xml:space="preserve"> We believe that Dr. Blackwell is qualified to serve on our Board due to her experience​ on the boards of pharmaceutical companies and her extensive knowledge of the biotechnology and pharmaceutical industries.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rPr>
          <w:sz w:val="20"/>
          <w:szCs w:val="20"/>
          <w:color w:val="auto"/>
        </w:rPr>
      </w:pPr>
      <w:r>
        <w:rPr>
          <w:rFonts w:ascii="Arial" w:cs="Arial" w:eastAsia="Arial" w:hAnsi="Arial"/>
          <w:sz w:val="32"/>
          <w:szCs w:val="32"/>
          <w:b w:val="1"/>
          <w:bCs w:val="1"/>
          <w:color w:val="FFFFFF"/>
          <w:shd w:val="clear" w:color="auto" w:fill="27A770"/>
        </w:rPr>
        <w:t>​CORPORATE GOVERNANCE AND RISK MANAGEMENT ​</w:t>
      </w:r>
    </w:p>
    <w:p>
      <w:pPr>
        <w:spacing w:after="0" w:line="345" w:lineRule="exact"/>
        <w:rPr>
          <w:sz w:val="20"/>
          <w:szCs w:val="20"/>
          <w:color w:val="auto"/>
        </w:rPr>
      </w:pPr>
    </w:p>
    <w:p>
      <w:pPr>
        <w:jc w:val="both"/>
        <w:ind w:left="880" w:right="39"/>
        <w:spacing w:after="0" w:line="247" w:lineRule="auto"/>
        <w:rPr>
          <w:sz w:val="20"/>
          <w:szCs w:val="20"/>
          <w:color w:val="auto"/>
        </w:rPr>
      </w:pPr>
      <w:r>
        <w:rPr>
          <w:rFonts w:ascii="Arial" w:cs="Arial" w:eastAsia="Arial" w:hAnsi="Arial"/>
          <w:sz w:val="18"/>
          <w:szCs w:val="18"/>
          <w:color w:val="248ED8"/>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p>
    <w:p>
      <w:pPr>
        <w:spacing w:after="0" w:line="109" w:lineRule="exact"/>
        <w:rPr>
          <w:sz w:val="20"/>
          <w:szCs w:val="20"/>
          <w:color w:val="auto"/>
        </w:rPr>
      </w:pPr>
    </w:p>
    <w:p>
      <w:pPr>
        <w:jc w:val="both"/>
        <w:ind w:left="880" w:right="19"/>
        <w:spacing w:after="0" w:line="247" w:lineRule="auto"/>
        <w:rPr>
          <w:sz w:val="20"/>
          <w:szCs w:val="20"/>
          <w:color w:val="auto"/>
        </w:rPr>
      </w:pPr>
      <w:r>
        <w:rPr>
          <w:rFonts w:ascii="Arial" w:cs="Arial" w:eastAsia="Arial" w:hAnsi="Arial"/>
          <w:sz w:val="18"/>
          <w:szCs w:val="18"/>
          <w:color w:val="auto"/>
        </w:rPr>
        <w:t>Our governance practices are documented in our Second Amended and Restated Certificate of Incorporation, our Bylaws, our Code of Conduct, our Corporate Governance Guidelines and the charters of the committees of the Board. Aspects of our governance documents are summarized below. You can find our charters for each committee of our Board and our Code of Conduct on our website at www.centurytx.com under “Investors —  Corporate Governance — Documents &amp; Charters.”</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INDEPENDENCE</w:t>
      </w:r>
    </w:p>
    <w:p>
      <w:pPr>
        <w:spacing w:after="0" w:line="144" w:lineRule="exact"/>
        <w:rPr>
          <w:sz w:val="20"/>
          <w:szCs w:val="20"/>
          <w:color w:val="auto"/>
        </w:rPr>
      </w:pPr>
    </w:p>
    <w:p>
      <w:pPr>
        <w:jc w:val="both"/>
        <w:ind w:left="880" w:right="39"/>
        <w:spacing w:after="0" w:line="246" w:lineRule="auto"/>
        <w:rPr>
          <w:sz w:val="20"/>
          <w:szCs w:val="20"/>
          <w:color w:val="auto"/>
        </w:rPr>
      </w:pPr>
      <w:r>
        <w:rPr>
          <w:rFonts w:ascii="Arial" w:cs="Arial" w:eastAsia="Arial" w:hAnsi="Arial"/>
          <w:sz w:val="18"/>
          <w:szCs w:val="18"/>
          <w:color w:val="auto"/>
        </w:rPr>
        <w:t>Our Board has determined that, with the exception of Dr. Flores, each of our directors, including each former director who served as a member of the Board during the last fiscal year, is an “independent director,”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Our independent directors generally meet in executive session at each regularly scheduled Board meeting.</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LEADERSHIP STRUCTURE</w:t>
      </w:r>
    </w:p>
    <w:p>
      <w:pPr>
        <w:spacing w:after="0" w:line="144" w:lineRule="exact"/>
        <w:rPr>
          <w:sz w:val="20"/>
          <w:szCs w:val="20"/>
          <w:color w:val="auto"/>
        </w:rPr>
      </w:pPr>
    </w:p>
    <w:p>
      <w:pPr>
        <w:jc w:val="both"/>
        <w:ind w:left="880" w:right="19"/>
        <w:spacing w:after="0" w:line="246" w:lineRule="auto"/>
        <w:rPr>
          <w:sz w:val="20"/>
          <w:szCs w:val="20"/>
          <w:color w:val="auto"/>
        </w:rPr>
      </w:pPr>
      <w:r>
        <w:rPr>
          <w:rFonts w:ascii="Arial" w:cs="Arial" w:eastAsia="Arial" w:hAnsi="Arial"/>
          <w:sz w:val="18"/>
          <w:szCs w:val="18"/>
          <w:color w:val="auto"/>
        </w:rPr>
        <w:t>Our Board does not have a formal policy with respect to the separation of the offices of Chief Executive Officer and Chairman of the Board. It is the Board’s view that rather than having a rigid policy, the Board, with the advice and assistance of the Nominating and Corporate Governance Committee, and upon consideration of all relevant factors and circumstances, will determine, as and when appropriate, whether the two offices should be separate. Currently, our leadership structure separates the offices of Chief Executive Officer and Chairman of the Board. Our Board believes that the separation of the positions of Chief Executive Officer and Chairman of the Board reinforces the independence of the Board from management, creates an environment that encourages objective oversight of management’s performance and enhances the effectiveness of our Board as a whole.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COMMITTEES</w:t>
      </w:r>
    </w:p>
    <w:p>
      <w:pPr>
        <w:spacing w:after="0" w:line="158" w:lineRule="exact"/>
        <w:rPr>
          <w:sz w:val="20"/>
          <w:szCs w:val="20"/>
          <w:color w:val="auto"/>
        </w:rPr>
      </w:pPr>
    </w:p>
    <w:p>
      <w:pPr>
        <w:jc w:val="both"/>
        <w:ind w:left="880" w:right="19"/>
        <w:spacing w:after="0" w:line="247" w:lineRule="auto"/>
        <w:rPr>
          <w:sz w:val="20"/>
          <w:szCs w:val="20"/>
          <w:color w:val="auto"/>
        </w:rPr>
      </w:pPr>
      <w:r>
        <w:rPr>
          <w:rFonts w:ascii="Arial" w:cs="Arial" w:eastAsia="Arial" w:hAnsi="Arial"/>
          <w:sz w:val="18"/>
          <w:szCs w:val="18"/>
          <w:color w:val="auto"/>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w:t>
      </w:r>
    </w:p>
    <w:p>
      <w:pPr>
        <w:spacing w:after="0" w:line="109" w:lineRule="exact"/>
        <w:rPr>
          <w:sz w:val="20"/>
          <w:szCs w:val="20"/>
          <w:color w:val="auto"/>
        </w:rPr>
      </w:pPr>
    </w:p>
    <w:p>
      <w:pPr>
        <w:jc w:val="both"/>
        <w:ind w:left="880" w:right="39"/>
        <w:spacing w:after="0" w:line="271" w:lineRule="auto"/>
        <w:rPr>
          <w:sz w:val="20"/>
          <w:szCs w:val="20"/>
          <w:color w:val="auto"/>
        </w:rPr>
      </w:pPr>
      <w:r>
        <w:rPr>
          <w:rFonts w:ascii="Arial" w:cs="Arial" w:eastAsia="Arial" w:hAnsi="Arial"/>
          <w:sz w:val="18"/>
          <w:szCs w:val="18"/>
          <w:color w:val="auto"/>
        </w:rPr>
        <w:t>Each of the Committees has the authority, as its members deem appropriate, to engage legal counsel or other experts or consultants in order to assist the Committee in carrying out its responsibilities.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RISK MANAGEMENT</w:t>
      </w:r>
    </w:p>
    <w:p>
      <w:pPr>
        <w:spacing w:after="0" w:line="144" w:lineRule="exact"/>
        <w:rPr>
          <w:sz w:val="20"/>
          <w:szCs w:val="20"/>
          <w:color w:val="auto"/>
        </w:rPr>
      </w:pPr>
    </w:p>
    <w:p>
      <w:pPr>
        <w:jc w:val="both"/>
        <w:ind w:left="880" w:right="19"/>
        <w:spacing w:after="0" w:line="246"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p>
    <w:p>
      <w:pPr>
        <w:spacing w:after="0" w:line="112" w:lineRule="exact"/>
        <w:rPr>
          <w:sz w:val="20"/>
          <w:szCs w:val="20"/>
          <w:color w:val="auto"/>
        </w:rPr>
      </w:pPr>
    </w:p>
    <w:p>
      <w:pPr>
        <w:jc w:val="both"/>
        <w:ind w:left="880" w:right="19"/>
        <w:spacing w:after="0" w:line="245" w:lineRule="auto"/>
        <w:rPr>
          <w:sz w:val="20"/>
          <w:szCs w:val="20"/>
          <w:color w:val="auto"/>
        </w:rPr>
      </w:pPr>
      <w:r>
        <w:rPr>
          <w:rFonts w:ascii="Arial" w:cs="Arial" w:eastAsia="Arial" w:hAnsi="Arial"/>
          <w:sz w:val="18"/>
          <w:szCs w:val="18"/>
          <w:color w:val="auto"/>
        </w:rPr>
        <w:t>Our Board does not have a standing risk management committee, but rather administers this oversight function directly through our Board as a whole, as well as through various standing committees of our Board that address the risks inherent in their respective areas of oversight. While our Board is responsible for monitoring strategic risk exposure, our Audit Committee oversees management of financial reporting, compliance, cybersecurity and litigation risks, as well as the steps management has taken to monitor and control such exposures. Our Nominating</w:t>
      </w:r>
    </w:p>
    <w:p>
      <w:pPr>
        <w:spacing w:after="0" w:line="29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rPr>
          <w:sz w:val="20"/>
          <w:szCs w:val="20"/>
          <w:color w:val="auto"/>
        </w:rPr>
      </w:pPr>
      <w:r>
        <w:rPr>
          <w:rFonts w:ascii="Arial" w:cs="Arial" w:eastAsia="Arial" w:hAnsi="Arial"/>
          <w:sz w:val="32"/>
          <w:szCs w:val="32"/>
          <w:b w:val="1"/>
          <w:bCs w:val="1"/>
          <w:color w:val="FFFFFF"/>
          <w:shd w:val="clear" w:color="auto" w:fill="27A770"/>
        </w:rPr>
        <w:t>​CORPORATE GOVERNANCE AND RISK MANAGEMENT ​</w:t>
      </w:r>
    </w:p>
    <w:p>
      <w:pPr>
        <w:spacing w:after="0" w:line="345"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and Corporate Governance Committee manages risks associated with the independence of our Board, potential conflicts of interest and the effectiveness of our Board and our Compensation Committee is responsible for overseeing the management of risks relating to our executive compensation policies, plans and arrangements and the extent to which those policies or practices increase or decrease risks for our company.</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EVALUATING BOARD EFFECTIVENESS</w:t>
      </w:r>
    </w:p>
    <w:p>
      <w:pPr>
        <w:spacing w:after="0" w:line="144"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The Board, led by the Nominating and Corporate Governance Committee, is committed to continuous improvement and believes annual self-evaluations are an important tool for evaluating effectiveness. It has established and conducted an annual self-evaluation of the Board, which is presented by the Chairperson of the Nominating and Corporate Governance Committee to the Board for discussion. In addition, each committee conducts an annual self-assessment in a review process similar to that used by the Board. Below is a graphic depicting the Board and Nominating and Corporate Governance Committee annual cycle in evaluating Board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1202690</wp:posOffset>
            </wp:positionH>
            <wp:positionV relativeFrom="paragraph">
              <wp:posOffset>110490</wp:posOffset>
            </wp:positionV>
            <wp:extent cx="4397375" cy="3368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9737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8" w:lineRule="exact"/>
        <w:rPr>
          <w:sz w:val="20"/>
          <w:szCs w:val="20"/>
          <w:color w:val="auto"/>
        </w:rPr>
      </w:pPr>
    </w:p>
    <w:p>
      <w:pPr>
        <w:jc w:val="both"/>
        <w:ind w:left="880" w:right="39"/>
        <w:spacing w:after="0" w:line="256" w:lineRule="auto"/>
        <w:rPr>
          <w:sz w:val="20"/>
          <w:szCs w:val="20"/>
          <w:color w:val="auto"/>
        </w:rPr>
      </w:pPr>
      <w:r>
        <w:rPr>
          <w:rFonts w:ascii="Arial" w:cs="Arial" w:eastAsia="Arial" w:hAnsi="Arial"/>
          <w:sz w:val="18"/>
          <w:szCs w:val="18"/>
          <w:color w:val="auto"/>
        </w:rPr>
        <w:t>We maintain a written Code of Conduct that applies to all of our directors, officers, and employees. The Code of Conduct covers fundamental ethics and compliance-related principles and practices such as accurate accounting records and financial reporting, avoiding conflicts of interest, compliance with insider trading laws, the protection and use of our property and information, and compliance with legal and regulatory requirements. The Code of Conduct is posted on the investor relations section of our website at www.centurytx.com. We intend to disclose any amendments to our code of business conduct and ethics, or waivers of its requirements, on our website to the extent required by the applicable rules and exchange requirements.</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158"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Our director orientation programs familiarize new directors with the Company’s businesses, financial position, facilities, strategies, and policies, and assist new directors in developing the skills and knowledge required for their service on the Board. From time to time, management advises, or invites outside experts to attend Board meetings</w:t>
      </w:r>
    </w:p>
    <w:p>
      <w:pPr>
        <w:spacing w:after="0" w:line="28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rPr>
          <w:sz w:val="20"/>
          <w:szCs w:val="20"/>
          <w:color w:val="auto"/>
        </w:rPr>
      </w:pPr>
      <w:r>
        <w:rPr>
          <w:rFonts w:ascii="Arial" w:cs="Arial" w:eastAsia="Arial" w:hAnsi="Arial"/>
          <w:sz w:val="32"/>
          <w:szCs w:val="32"/>
          <w:b w:val="1"/>
          <w:bCs w:val="1"/>
          <w:color w:val="FFFFFF"/>
          <w:shd w:val="clear" w:color="auto" w:fill="27A770"/>
        </w:rPr>
        <w:t>​CORPORATE GOVERNANCE AND RISK MANAGEMENT ​</w:t>
      </w:r>
    </w:p>
    <w:p>
      <w:pPr>
        <w:spacing w:after="0" w:line="345" w:lineRule="exact"/>
        <w:rPr>
          <w:sz w:val="20"/>
          <w:szCs w:val="20"/>
          <w:color w:val="auto"/>
        </w:rPr>
      </w:pPr>
    </w:p>
    <w:p>
      <w:pPr>
        <w:jc w:val="both"/>
        <w:ind w:left="880" w:right="60"/>
        <w:spacing w:after="0" w:line="276" w:lineRule="auto"/>
        <w:rPr>
          <w:sz w:val="20"/>
          <w:szCs w:val="20"/>
          <w:color w:val="auto"/>
        </w:rPr>
      </w:pPr>
      <w:r>
        <w:rPr>
          <w:rFonts w:ascii="Arial" w:cs="Arial" w:eastAsia="Arial" w:hAnsi="Arial"/>
          <w:sz w:val="18"/>
          <w:szCs w:val="18"/>
          <w:color w:val="auto"/>
        </w:rPr>
        <w:t>to advise the Board on its responsibilities, management’s responsibilities, developments relevant to corporate governance and best corporate practices. Additionally, Board members may attend, and are encouraged to attend, accredited director education programs at the Company’s expense.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CORPORATE GOVERNANCE GUIDELINES</w:t>
      </w:r>
    </w:p>
    <w:p>
      <w:pPr>
        <w:spacing w:after="0" w:line="144" w:lineRule="exact"/>
        <w:rPr>
          <w:sz w:val="20"/>
          <w:szCs w:val="20"/>
          <w:color w:val="auto"/>
        </w:rPr>
      </w:pPr>
    </w:p>
    <w:p>
      <w:pPr>
        <w:jc w:val="both"/>
        <w:ind w:left="880" w:right="40"/>
        <w:spacing w:after="0" w:line="266" w:lineRule="auto"/>
        <w:rPr>
          <w:sz w:val="20"/>
          <w:szCs w:val="20"/>
          <w:color w:val="auto"/>
        </w:rPr>
      </w:pPr>
      <w:r>
        <w:rPr>
          <w:rFonts w:ascii="Arial" w:cs="Arial" w:eastAsia="Arial" w:hAnsi="Arial"/>
          <w:sz w:val="18"/>
          <w:szCs w:val="18"/>
          <w:color w:val="auto"/>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which recommends any proposed changes to our Board for approval.</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BOARD ATTENDANCE, COMMITTEE MEETINGS AND COMMITTEE MEMBERSHIP</w:t>
      </w:r>
    </w:p>
    <w:p>
      <w:pPr>
        <w:spacing w:after="0" w:line="183"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1500" w:type="dxa"/>
            <w:vAlign w:val="bottom"/>
            <w:tcBorders>
              <w:top w:val="single" w:sz="8" w:color="auto"/>
              <w:left w:val="single" w:sz="8" w:color="auto"/>
              <w:bottom w:val="single" w:sz="8" w:color="auto"/>
            </w:tcBorders>
            <w:shd w:val="clear" w:color="auto" w:fill="248ED8"/>
          </w:tcPr>
          <w:p>
            <w:pPr>
              <w:ind w:left="80"/>
              <w:spacing w:after="0"/>
              <w:rPr>
                <w:sz w:val="20"/>
                <w:szCs w:val="20"/>
                <w:color w:val="auto"/>
              </w:rPr>
            </w:pPr>
            <w:r>
              <w:rPr>
                <w:rFonts w:ascii="Arial" w:cs="Arial" w:eastAsia="Arial" w:hAnsi="Arial"/>
                <w:sz w:val="16"/>
                <w:szCs w:val="16"/>
                <w:b w:val="1"/>
                <w:bCs w:val="1"/>
                <w:color w:val="FFFFFF"/>
              </w:rPr>
              <w:t>​</w:t>
            </w:r>
          </w:p>
        </w:tc>
        <w:tc>
          <w:tcPr>
            <w:tcW w:w="1700" w:type="dxa"/>
            <w:vAlign w:val="bottom"/>
            <w:tcBorders>
              <w:top w:val="single" w:sz="8" w:color="auto"/>
              <w:bottom w:val="single" w:sz="8" w:color="auto"/>
            </w:tcBorders>
            <w:shd w:val="clear" w:color="auto" w:fill="248ED8"/>
          </w:tcPr>
          <w:p>
            <w:pPr>
              <w:ind w:left="80"/>
              <w:spacing w:after="0"/>
              <w:rPr>
                <w:sz w:val="20"/>
                <w:szCs w:val="20"/>
                <w:color w:val="auto"/>
              </w:rPr>
            </w:pPr>
            <w:r>
              <w:rPr>
                <w:rFonts w:ascii="Arial" w:cs="Arial" w:eastAsia="Arial" w:hAnsi="Arial"/>
                <w:sz w:val="16"/>
                <w:szCs w:val="16"/>
                <w:b w:val="1"/>
                <w:bCs w:val="1"/>
                <w:color w:val="FFFFFF"/>
              </w:rPr>
              <w:t>DIRECTOR</w:t>
            </w:r>
          </w:p>
        </w:tc>
        <w:tc>
          <w:tcPr>
            <w:tcW w:w="3400" w:type="dxa"/>
            <w:vAlign w:val="bottom"/>
            <w:tcBorders>
              <w:top w:val="single" w:sz="8" w:color="auto"/>
              <w:bottom w:val="single" w:sz="8" w:color="auto"/>
            </w:tcBorders>
            <w:gridSpan w:val="5"/>
            <w:shd w:val="clear" w:color="auto" w:fill="248ED8"/>
          </w:tcPr>
          <w:p>
            <w:pPr>
              <w:ind w:left="76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INDEPENDENCE </w:t>
            </w: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BOARD </w:t>
            </w:r>
            <w:r>
              <w:rPr>
                <w:rFonts w:ascii="Arial" w:cs="Arial" w:eastAsia="Arial" w:hAnsi="Arial"/>
                <w:sz w:val="31"/>
                <w:szCs w:val="31"/>
                <w:b w:val="1"/>
                <w:bCs w:val="1"/>
                <w:color w:val="FFFFFF"/>
                <w:vertAlign w:val="subscript"/>
              </w:rPr>
              <w:t>​ ​</w:t>
            </w:r>
          </w:p>
        </w:tc>
        <w:tc>
          <w:tcPr>
            <w:tcW w:w="460" w:type="dxa"/>
            <w:vAlign w:val="bottom"/>
            <w:tcBorders>
              <w:top w:val="single" w:sz="8" w:color="auto"/>
              <w:bottom w:val="single" w:sz="8" w:color="auto"/>
            </w:tcBorders>
            <w:shd w:val="clear" w:color="auto" w:fill="248ED8"/>
          </w:tcPr>
          <w:p>
            <w:pPr>
              <w:jc w:val="center"/>
              <w:spacing w:after="0"/>
              <w:rPr>
                <w:sz w:val="20"/>
                <w:szCs w:val="20"/>
                <w:color w:val="auto"/>
              </w:rPr>
            </w:pPr>
            <w:r>
              <w:rPr>
                <w:rFonts w:ascii="Arial" w:cs="Arial" w:eastAsia="Arial" w:hAnsi="Arial"/>
                <w:sz w:val="16"/>
                <w:szCs w:val="16"/>
                <w:b w:val="1"/>
                <w:bCs w:val="1"/>
                <w:color w:val="FFFFFF"/>
              </w:rPr>
              <w:t>AC</w:t>
            </w:r>
          </w:p>
        </w:tc>
        <w:tc>
          <w:tcPr>
            <w:tcW w:w="400" w:type="dxa"/>
            <w:vAlign w:val="bottom"/>
            <w:tcBorders>
              <w:top w:val="single" w:sz="8" w:color="auto"/>
              <w:bottom w:val="single" w:sz="8" w:color="auto"/>
            </w:tcBorders>
            <w:shd w:val="clear" w:color="auto" w:fill="248ED8"/>
          </w:tcPr>
          <w:p>
            <w:pPr>
              <w:ind w:left="140"/>
              <w:spacing w:after="0"/>
              <w:rPr>
                <w:sz w:val="20"/>
                <w:szCs w:val="20"/>
                <w:color w:val="auto"/>
              </w:rPr>
            </w:pPr>
            <w:r>
              <w:rPr>
                <w:rFonts w:ascii="Arial" w:cs="Arial" w:eastAsia="Arial" w:hAnsi="Arial"/>
                <w:sz w:val="16"/>
                <w:szCs w:val="16"/>
                <w:b w:val="1"/>
                <w:bCs w:val="1"/>
                <w:color w:val="FFFFFF"/>
              </w:rPr>
              <w:t>​ ​</w:t>
            </w:r>
          </w:p>
        </w:tc>
        <w:tc>
          <w:tcPr>
            <w:tcW w:w="460" w:type="dxa"/>
            <w:vAlign w:val="bottom"/>
            <w:tcBorders>
              <w:top w:val="single" w:sz="8" w:color="auto"/>
              <w:bottom w:val="single" w:sz="8" w:color="auto"/>
            </w:tcBorders>
            <w:shd w:val="clear" w:color="auto" w:fill="248ED8"/>
          </w:tcPr>
          <w:p>
            <w:pPr>
              <w:jc w:val="center"/>
              <w:spacing w:after="0"/>
              <w:rPr>
                <w:sz w:val="20"/>
                <w:szCs w:val="20"/>
                <w:color w:val="auto"/>
              </w:rPr>
            </w:pPr>
            <w:r>
              <w:rPr>
                <w:rFonts w:ascii="Arial" w:cs="Arial" w:eastAsia="Arial" w:hAnsi="Arial"/>
                <w:sz w:val="16"/>
                <w:szCs w:val="16"/>
                <w:b w:val="1"/>
                <w:bCs w:val="1"/>
                <w:color w:val="FFFFFF"/>
              </w:rPr>
              <w:t>CC</w:t>
            </w:r>
          </w:p>
        </w:tc>
        <w:tc>
          <w:tcPr>
            <w:tcW w:w="940" w:type="dxa"/>
            <w:vAlign w:val="bottom"/>
            <w:tcBorders>
              <w:top w:val="single" w:sz="8" w:color="auto"/>
              <w:bottom w:val="single" w:sz="8" w:color="auto"/>
            </w:tcBorders>
            <w:gridSpan w:val="2"/>
            <w:shd w:val="clear" w:color="auto" w:fill="248ED8"/>
          </w:tcPr>
          <w:p>
            <w:pPr>
              <w:ind w:left="14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NCGC</w:t>
            </w:r>
          </w:p>
        </w:tc>
        <w:tc>
          <w:tcPr>
            <w:tcW w:w="140" w:type="dxa"/>
            <w:vAlign w:val="bottom"/>
            <w:tcBorders>
              <w:top w:val="single" w:sz="8" w:color="auto"/>
              <w:bottom w:val="single" w:sz="8" w:color="auto"/>
              <w:right w:val="single" w:sz="8" w:color="auto"/>
            </w:tcBorders>
            <w:shd w:val="clear" w:color="auto" w:fill="248ED8"/>
          </w:tcPr>
          <w:p>
            <w:pPr>
              <w:ind w:left="60"/>
              <w:spacing w:after="0"/>
              <w:rPr>
                <w:sz w:val="20"/>
                <w:szCs w:val="20"/>
                <w:color w:val="auto"/>
              </w:rPr>
            </w:pPr>
            <w:r>
              <w:rPr>
                <w:rFonts w:ascii="Arial" w:cs="Arial" w:eastAsia="Arial" w:hAnsi="Arial"/>
                <w:sz w:val="16"/>
                <w:szCs w:val="16"/>
                <w:b w:val="1"/>
                <w:bCs w:val="1"/>
                <w:color w:val="FFFFFF"/>
              </w:rPr>
              <w:t>​</w:t>
            </w:r>
          </w:p>
        </w:tc>
      </w:tr>
      <w:tr>
        <w:trPr>
          <w:trHeight w:val="250"/>
        </w:trPr>
        <w:tc>
          <w:tcPr>
            <w:tcW w:w="320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Kimberly Blackwell, M.D.</w:t>
            </w: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M</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150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Cynthia Butitta</w:t>
            </w:r>
          </w:p>
        </w:tc>
        <w:tc>
          <w:tcPr>
            <w:tcW w:w="17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150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Eli Casdin</w:t>
            </w:r>
          </w:p>
        </w:tc>
        <w:tc>
          <w:tcPr>
            <w:tcW w:w="17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M</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320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Osvaldo Flores, Ph.D.</w:t>
            </w: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No</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150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Joseph Jimenez</w:t>
            </w:r>
          </w:p>
        </w:tc>
        <w:tc>
          <w:tcPr>
            <w:tcW w:w="17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C</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320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Alessandro Riva, M.D.</w:t>
            </w: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320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Carlo Rizzuto, Ph.D.</w:t>
            </w:r>
          </w:p>
        </w:tc>
        <w:tc>
          <w:tcPr>
            <w:tcW w:w="11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Yes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w:t>
            </w:r>
          </w:p>
        </w:tc>
        <w:tc>
          <w:tcPr>
            <w:tcW w:w="5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M</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bl>
    <w:p>
      <w:pPr>
        <w:spacing w:after="0" w:line="98"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b w:val="1"/>
                <w:bCs w:val="1"/>
                <w:color w:val="auto"/>
                <w:w w:val="99"/>
              </w:rPr>
              <w:t>AC​</w:t>
            </w:r>
          </w:p>
        </w:tc>
        <w:tc>
          <w:tcPr>
            <w:tcW w:w="1960" w:type="dxa"/>
            <w:vAlign w:val="bottom"/>
          </w:tcPr>
          <w:p>
            <w:pPr>
              <w:ind w:left="20"/>
              <w:spacing w:after="0"/>
              <w:rPr>
                <w:sz w:val="20"/>
                <w:szCs w:val="20"/>
                <w:color w:val="auto"/>
              </w:rPr>
            </w:pPr>
            <w:r>
              <w:rPr>
                <w:rFonts w:ascii="Arial" w:cs="Arial" w:eastAsia="Arial" w:hAnsi="Arial"/>
                <w:sz w:val="18"/>
                <w:szCs w:val="18"/>
                <w:color w:val="auto"/>
              </w:rPr>
              <w:t>= Audit Committee</w:t>
            </w:r>
          </w:p>
        </w:tc>
        <w:tc>
          <w:tcPr>
            <w:tcW w:w="3320" w:type="dxa"/>
            <w:vAlign w:val="bottom"/>
          </w:tcPr>
          <w:p>
            <w:pPr>
              <w:ind w:left="480"/>
              <w:spacing w:after="0"/>
              <w:rPr>
                <w:sz w:val="20"/>
                <w:szCs w:val="20"/>
                <w:color w:val="auto"/>
              </w:rPr>
            </w:pPr>
            <w:r>
              <w:rPr>
                <w:rFonts w:ascii="Arial" w:cs="Arial" w:eastAsia="Arial" w:hAnsi="Arial"/>
                <w:sz w:val="18"/>
                <w:szCs w:val="18"/>
                <w:b w:val="1"/>
                <w:bCs w:val="1"/>
                <w:color w:val="auto"/>
              </w:rPr>
              <w:t xml:space="preserve">​ ​ CC </w:t>
            </w:r>
            <w:r>
              <w:rPr>
                <w:rFonts w:ascii="Arial" w:cs="Arial" w:eastAsia="Arial" w:hAnsi="Arial"/>
                <w:sz w:val="18"/>
                <w:szCs w:val="18"/>
                <w:color w:val="auto"/>
              </w:rPr>
              <w:t>= Compensation Committee</w:t>
            </w:r>
          </w:p>
        </w:tc>
        <w:tc>
          <w:tcPr>
            <w:tcW w:w="2180" w:type="dxa"/>
            <w:vAlign w:val="bottom"/>
            <w:gridSpan w:val="2"/>
          </w:tcPr>
          <w:p>
            <w:pPr>
              <w:ind w:left="100"/>
              <w:spacing w:after="0"/>
              <w:rPr>
                <w:sz w:val="20"/>
                <w:szCs w:val="20"/>
                <w:color w:val="auto"/>
              </w:rPr>
            </w:pPr>
            <w:r>
              <w:rPr>
                <w:rFonts w:ascii="Arial" w:cs="Arial" w:eastAsia="Arial" w:hAnsi="Arial"/>
                <w:sz w:val="18"/>
                <w:szCs w:val="18"/>
                <w:b w:val="1"/>
                <w:bCs w:val="1"/>
                <w:color w:val="auto"/>
              </w:rPr>
              <w:t xml:space="preserve">​ ​ C </w:t>
            </w:r>
            <w:r>
              <w:rPr>
                <w:rFonts w:ascii="Arial" w:cs="Arial" w:eastAsia="Arial" w:hAnsi="Arial"/>
                <w:sz w:val="18"/>
                <w:szCs w:val="18"/>
                <w:color w:val="auto"/>
              </w:rPr>
              <w:t>= Chair</w:t>
            </w:r>
          </w:p>
        </w:tc>
        <w:tc>
          <w:tcPr>
            <w:tcW w:w="92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1"/>
        </w:trPr>
        <w:tc>
          <w:tcPr>
            <w:tcW w:w="280" w:type="dxa"/>
            <w:vAlign w:val="bottom"/>
          </w:tcPr>
          <w:p>
            <w:pPr>
              <w:spacing w:after="0" w:line="181" w:lineRule="exact"/>
              <w:rPr>
                <w:sz w:val="20"/>
                <w:szCs w:val="20"/>
                <w:color w:val="auto"/>
              </w:rPr>
            </w:pPr>
            <w:r>
              <w:rPr>
                <w:rFonts w:ascii="Arial" w:cs="Arial" w:eastAsia="Arial" w:hAnsi="Arial"/>
                <w:sz w:val="18"/>
                <w:szCs w:val="18"/>
                <w:b w:val="1"/>
                <w:bCs w:val="1"/>
                <w:color w:val="auto"/>
              </w:rPr>
              <w:t>​</w:t>
            </w:r>
          </w:p>
        </w:tc>
        <w:tc>
          <w:tcPr>
            <w:tcW w:w="19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80" w:type="dxa"/>
            <w:vAlign w:val="bottom"/>
          </w:tcPr>
          <w:p>
            <w:pPr>
              <w:ind w:left="100"/>
              <w:spacing w:after="0" w:line="181" w:lineRule="exact"/>
              <w:rPr>
                <w:sz w:val="20"/>
                <w:szCs w:val="20"/>
                <w:color w:val="auto"/>
              </w:rPr>
            </w:pPr>
            <w:r>
              <w:rPr>
                <w:rFonts w:ascii="Arial" w:cs="Arial" w:eastAsia="Arial" w:hAnsi="Arial"/>
                <w:sz w:val="18"/>
                <w:szCs w:val="18"/>
                <w:b w:val="1"/>
                <w:bCs w:val="1"/>
                <w:color w:val="auto"/>
              </w:rPr>
              <w:t>​ ​</w:t>
            </w:r>
          </w:p>
        </w:tc>
        <w:tc>
          <w:tcPr>
            <w:tcW w:w="1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M </w:t>
            </w:r>
            <w:r>
              <w:rPr>
                <w:rFonts w:ascii="Arial" w:cs="Arial" w:eastAsia="Arial" w:hAnsi="Arial"/>
                <w:sz w:val="18"/>
                <w:szCs w:val="18"/>
                <w:color w:val="auto"/>
              </w:rPr>
              <w:t>= Member</w:t>
            </w:r>
          </w:p>
        </w:tc>
        <w:tc>
          <w:tcPr>
            <w:tcW w:w="920" w:type="dxa"/>
            <w:vAlign w:val="bottom"/>
          </w:tcPr>
          <w:p>
            <w:pPr>
              <w:ind w:left="860"/>
              <w:spacing w:after="0" w:line="181"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7"/>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NCGC </w:t>
            </w:r>
            <w:r>
              <w:rPr>
                <w:rFonts w:ascii="Arial" w:cs="Arial" w:eastAsia="Arial" w:hAnsi="Arial"/>
                <w:sz w:val="18"/>
                <w:szCs w:val="18"/>
                <w:color w:val="auto"/>
              </w:rPr>
              <w:t>= Nominating and Corporate Governance Committee</w:t>
            </w:r>
          </w:p>
        </w:tc>
        <w:tc>
          <w:tcPr>
            <w:tcW w:w="28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jc w:val="both"/>
        <w:ind w:left="880" w:right="60"/>
        <w:spacing w:after="0" w:line="276" w:lineRule="auto"/>
        <w:rPr>
          <w:sz w:val="20"/>
          <w:szCs w:val="20"/>
          <w:color w:val="auto"/>
        </w:rPr>
      </w:pPr>
      <w:r>
        <w:rPr>
          <w:rFonts w:ascii="Arial" w:cs="Arial" w:eastAsia="Arial" w:hAnsi="Arial"/>
          <w:sz w:val="18"/>
          <w:szCs w:val="18"/>
          <w:color w:val="auto"/>
        </w:rPr>
        <w:t>During 2021, our Board held nine meetings, our Compensation Committee held four meetings, our Audit Committee held three meetings and our Nominating and Corporate Governance Committee held two meetings. Each director attended at least 75% of meetings of each Committee on which he or she served in 2021.</w:t>
      </w:r>
    </w:p>
    <w:p>
      <w:pPr>
        <w:spacing w:after="0" w:line="109" w:lineRule="exact"/>
        <w:rPr>
          <w:sz w:val="20"/>
          <w:szCs w:val="20"/>
          <w:color w:val="auto"/>
        </w:rPr>
      </w:pPr>
    </w:p>
    <w:p>
      <w:pPr>
        <w:jc w:val="both"/>
        <w:ind w:left="880" w:right="60"/>
        <w:spacing w:after="0" w:line="287" w:lineRule="auto"/>
        <w:rPr>
          <w:sz w:val="20"/>
          <w:szCs w:val="20"/>
          <w:color w:val="auto"/>
        </w:rPr>
      </w:pPr>
      <w:r>
        <w:rPr>
          <w:rFonts w:ascii="Arial" w:cs="Arial" w:eastAsia="Arial" w:hAnsi="Arial"/>
          <w:sz w:val="18"/>
          <w:szCs w:val="18"/>
          <w:color w:val="auto"/>
        </w:rPr>
        <w:t>Directors are encouraged, but not required, to attend our annual stockholder meetings. Since we completed our IPO in June 2021, we did not hold an annual meeting of stockholders in 2021.</w:t>
      </w: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rPr>
          <w:sz w:val="20"/>
          <w:szCs w:val="20"/>
          <w:color w:val="auto"/>
        </w:rPr>
      </w:pPr>
      <w:r>
        <w:rPr>
          <w:rFonts w:ascii="Arial" w:cs="Arial" w:eastAsia="Arial" w:hAnsi="Arial"/>
          <w:sz w:val="32"/>
          <w:szCs w:val="32"/>
          <w:b w:val="1"/>
          <w:bCs w:val="1"/>
          <w:color w:val="FFFFFF"/>
          <w:shd w:val="clear" w:color="auto" w:fill="27A770"/>
        </w:rPr>
        <w:t>​CORPORATE GOVERNANCE AND RISK MANAGEMENT ​</w:t>
      </w:r>
    </w:p>
    <w:p>
      <w:pPr>
        <w:spacing w:after="0" w:line="200" w:lineRule="exact"/>
        <w:rPr>
          <w:sz w:val="20"/>
          <w:szCs w:val="20"/>
          <w:color w:val="auto"/>
        </w:rPr>
      </w:pPr>
    </w:p>
    <w:p>
      <w:pPr>
        <w:spacing w:after="0" w:line="311" w:lineRule="exact"/>
        <w:rPr>
          <w:sz w:val="20"/>
          <w:szCs w:val="20"/>
          <w:color w:val="auto"/>
        </w:rPr>
      </w:pPr>
    </w:p>
    <w:tbl>
      <w:tblPr>
        <w:tblLayout w:type="fixed"/>
        <w:tblInd w:w="860" w:type="dxa"/>
        <w:tblCellMar>
          <w:top w:w="0" w:type="dxa"/>
          <w:left w:w="0" w:type="dxa"/>
          <w:bottom w:w="0" w:type="dxa"/>
          <w:right w:w="0" w:type="dxa"/>
        </w:tblCellMar>
      </w:tblPr>
      <w:tr>
        <w:trPr>
          <w:trHeight w:val="292"/>
        </w:trPr>
        <w:tc>
          <w:tcPr>
            <w:tcW w:w="420" w:type="dxa"/>
            <w:vAlign w:val="bottom"/>
          </w:tcPr>
          <w:p>
            <w:pPr>
              <w:ind w:left="60"/>
              <w:spacing w:after="0"/>
              <w:rPr>
                <w:sz w:val="20"/>
                <w:szCs w:val="20"/>
                <w:color w:val="auto"/>
              </w:rPr>
            </w:pPr>
            <w:r>
              <w:rPr>
                <w:rFonts w:ascii="Arial" w:cs="Arial" w:eastAsia="Arial" w:hAnsi="Arial"/>
                <w:sz w:val="22"/>
                <w:szCs w:val="22"/>
                <w:b w:val="1"/>
                <w:bCs w:val="1"/>
                <w:color w:val="248ED8"/>
              </w:rPr>
              <w:t>​</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ind w:left="640"/>
              <w:spacing w:after="0"/>
              <w:rPr>
                <w:sz w:val="20"/>
                <w:szCs w:val="20"/>
                <w:color w:val="auto"/>
              </w:rPr>
            </w:pPr>
            <w:r>
              <w:rPr>
                <w:rFonts w:ascii="Arial" w:cs="Arial" w:eastAsia="Arial" w:hAnsi="Arial"/>
                <w:sz w:val="22"/>
                <w:szCs w:val="22"/>
                <w:b w:val="1"/>
                <w:bCs w:val="1"/>
                <w:color w:val="248ED8"/>
              </w:rPr>
              <w:t>THE AUDIT COMMITTEE</w:t>
            </w:r>
          </w:p>
        </w:tc>
        <w:tc>
          <w:tcPr>
            <w:tcW w:w="120" w:type="dxa"/>
            <w:vAlign w:val="bottom"/>
            <w:gridSpan w:val="2"/>
          </w:tcPr>
          <w:p>
            <w:pPr>
              <w:ind w:left="60"/>
              <w:spacing w:after="0"/>
              <w:rPr>
                <w:sz w:val="20"/>
                <w:szCs w:val="20"/>
                <w:color w:val="auto"/>
              </w:rPr>
            </w:pPr>
            <w:r>
              <w:rPr>
                <w:rFonts w:ascii="Arial" w:cs="Arial" w:eastAsia="Arial" w:hAnsi="Arial"/>
                <w:sz w:val="22"/>
                <w:szCs w:val="22"/>
                <w:b w:val="1"/>
                <w:bCs w:val="1"/>
                <w:color w:val="248ED8"/>
              </w:rPr>
              <w:t>​</w:t>
            </w:r>
          </w:p>
        </w:tc>
        <w:tc>
          <w:tcPr>
            <w:tcW w:w="0" w:type="dxa"/>
            <w:vAlign w:val="bottom"/>
          </w:tcPr>
          <w:p>
            <w:pPr>
              <w:spacing w:after="0"/>
              <w:rPr>
                <w:sz w:val="1"/>
                <w:szCs w:val="1"/>
                <w:color w:val="auto"/>
              </w:rPr>
            </w:pPr>
          </w:p>
        </w:tc>
      </w:tr>
      <w:tr>
        <w:trPr>
          <w:trHeight w:val="255"/>
        </w:trPr>
        <w:tc>
          <w:tcPr>
            <w:tcW w:w="2480" w:type="dxa"/>
            <w:vAlign w:val="bottom"/>
            <w:tcBorders>
              <w:top w:val="single" w:sz="8" w:color="27A770"/>
            </w:tcBorders>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248ED8"/>
              </w:rPr>
              <w:t>Chair</w:t>
            </w:r>
            <w:r>
              <w:rPr>
                <w:rFonts w:ascii="Arial" w:cs="Arial" w:eastAsia="Arial" w:hAnsi="Arial"/>
                <w:sz w:val="18"/>
                <w:szCs w:val="18"/>
                <w:color w:val="auto"/>
              </w:rPr>
              <w:t>: Cynthia Butitta</w:t>
            </w:r>
          </w:p>
        </w:tc>
        <w:tc>
          <w:tcPr>
            <w:tcW w:w="6400" w:type="dxa"/>
            <w:vAlign w:val="bottom"/>
            <w:tcBorders>
              <w:top w:val="single" w:sz="8" w:color="27A770"/>
            </w:tcBorders>
            <w:gridSpan w:val="2"/>
          </w:tcPr>
          <w:p>
            <w:pPr>
              <w:ind w:left="20"/>
              <w:spacing w:after="0"/>
              <w:rPr>
                <w:sz w:val="20"/>
                <w:szCs w:val="20"/>
                <w:color w:val="auto"/>
              </w:rPr>
            </w:pPr>
            <w:r>
              <w:rPr>
                <w:rFonts w:ascii="Arial" w:cs="Arial" w:eastAsia="Arial" w:hAnsi="Arial"/>
                <w:sz w:val="18"/>
                <w:szCs w:val="18"/>
                <w:color w:val="auto"/>
              </w:rPr>
              <w:t>​ ​ Responsible for, among other things:</w:t>
            </w:r>
          </w:p>
        </w:tc>
        <w:tc>
          <w:tcPr>
            <w:tcW w:w="100" w:type="dxa"/>
            <w:vAlign w:val="bottom"/>
            <w:tcBorders>
              <w:top w:val="single" w:sz="8" w:color="27A770"/>
            </w:tcBorders>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248ED8"/>
              </w:rPr>
              <w:t>Additional Committee</w:t>
            </w:r>
          </w:p>
        </w:tc>
        <w:tc>
          <w:tcPr>
            <w:tcW w:w="120" w:type="dxa"/>
            <w:vAlign w:val="bottom"/>
          </w:tcPr>
          <w:p>
            <w:pPr>
              <w:spacing w:after="0"/>
              <w:rPr>
                <w:sz w:val="24"/>
                <w:szCs w:val="24"/>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 Appointing, compensating, evaluating, and overseeing a firm to serve as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248ED8"/>
              </w:rPr>
              <w:t>Members</w:t>
            </w:r>
            <w:r>
              <w:rPr>
                <w:rFonts w:ascii="Arial" w:cs="Arial" w:eastAsia="Arial" w:hAnsi="Arial"/>
                <w:sz w:val="18"/>
                <w:szCs w:val="18"/>
                <w:color w:val="000000"/>
              </w:rPr>
              <w:t>:</w:t>
            </w:r>
          </w:p>
        </w:tc>
        <w:tc>
          <w:tcPr>
            <w:tcW w:w="120" w:type="dxa"/>
            <w:vAlign w:val="bottom"/>
          </w:tcPr>
          <w:p>
            <w:pPr>
              <w:spacing w:after="0"/>
              <w:rPr>
                <w:sz w:val="18"/>
                <w:szCs w:val="18"/>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the independent registered public accounting firm to audit our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ind w:left="60"/>
              <w:spacing w:after="0"/>
              <w:rPr>
                <w:sz w:val="20"/>
                <w:szCs w:val="20"/>
                <w:color w:val="auto"/>
              </w:rPr>
            </w:pPr>
            <w:r>
              <w:rPr>
                <w:rFonts w:ascii="Arial" w:cs="Arial" w:eastAsia="Arial" w:hAnsi="Arial"/>
                <w:sz w:val="18"/>
                <w:szCs w:val="18"/>
                <w:color w:val="auto"/>
                <w:w w:val="99"/>
              </w:rPr>
              <w:t>Kimberly Blackwell, M.D.</w:t>
            </w:r>
          </w:p>
        </w:tc>
        <w:tc>
          <w:tcPr>
            <w:tcW w:w="120" w:type="dxa"/>
            <w:vAlign w:val="bottom"/>
          </w:tcPr>
          <w:p>
            <w:pPr>
              <w:spacing w:after="0"/>
              <w:rPr>
                <w:sz w:val="20"/>
                <w:szCs w:val="20"/>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consolidated financial statements;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2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80" w:type="dxa"/>
            <w:vAlign w:val="bottom"/>
            <w:vMerge w:val="restart"/>
          </w:tcPr>
          <w:p>
            <w:pPr>
              <w:ind w:left="300"/>
              <w:spacing w:after="0"/>
              <w:rPr>
                <w:sz w:val="20"/>
                <w:szCs w:val="20"/>
                <w:color w:val="auto"/>
              </w:rPr>
            </w:pPr>
            <w:r>
              <w:rPr>
                <w:rFonts w:ascii="Arial" w:cs="Arial" w:eastAsia="Arial" w:hAnsi="Arial"/>
                <w:sz w:val="18"/>
                <w:szCs w:val="18"/>
                <w:color w:val="auto"/>
              </w:rPr>
              <w:t>• Ensuring the independence of the independent registered public</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ind w:left="60"/>
              <w:spacing w:after="0"/>
              <w:rPr>
                <w:sz w:val="20"/>
                <w:szCs w:val="20"/>
                <w:color w:val="auto"/>
              </w:rPr>
            </w:pPr>
            <w:r>
              <w:rPr>
                <w:rFonts w:ascii="Arial" w:cs="Arial" w:eastAsia="Arial" w:hAnsi="Arial"/>
                <w:sz w:val="18"/>
                <w:szCs w:val="18"/>
                <w:color w:val="auto"/>
              </w:rPr>
              <w:t>Alessandro Riva, M.D.</w:t>
            </w:r>
          </w:p>
        </w:tc>
        <w:tc>
          <w:tcPr>
            <w:tcW w:w="120" w:type="dxa"/>
            <w:vAlign w:val="bottom"/>
          </w:tcPr>
          <w:p>
            <w:pPr>
              <w:spacing w:after="0"/>
              <w:rPr>
                <w:sz w:val="15"/>
                <w:szCs w:val="15"/>
                <w:color w:val="auto"/>
              </w:rPr>
            </w:pPr>
          </w:p>
        </w:tc>
        <w:tc>
          <w:tcPr>
            <w:tcW w:w="6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20" w:type="dxa"/>
            <w:vAlign w:val="bottom"/>
            <w:vMerge w:val="continue"/>
          </w:tcPr>
          <w:p>
            <w:pPr>
              <w:spacing w:after="0"/>
              <w:rPr>
                <w:sz w:val="12"/>
                <w:szCs w:val="12"/>
                <w:color w:val="auto"/>
              </w:rPr>
            </w:pPr>
          </w:p>
        </w:tc>
        <w:tc>
          <w:tcPr>
            <w:tcW w:w="2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80" w:type="dxa"/>
            <w:vAlign w:val="bottom"/>
            <w:vMerge w:val="restart"/>
          </w:tcPr>
          <w:p>
            <w:pPr>
              <w:ind w:left="480"/>
              <w:spacing w:after="0"/>
              <w:rPr>
                <w:sz w:val="20"/>
                <w:szCs w:val="20"/>
                <w:color w:val="auto"/>
              </w:rPr>
            </w:pPr>
            <w:r>
              <w:rPr>
                <w:rFonts w:ascii="Arial" w:cs="Arial" w:eastAsia="Arial" w:hAnsi="Arial"/>
                <w:sz w:val="18"/>
                <w:szCs w:val="18"/>
                <w:color w:val="auto"/>
              </w:rPr>
              <w:t>accounting firm;</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20" w:type="dxa"/>
            <w:vAlign w:val="bottom"/>
          </w:tcPr>
          <w:p>
            <w:pPr>
              <w:ind w:left="120"/>
              <w:spacing w:after="0"/>
              <w:rPr>
                <w:sz w:val="20"/>
                <w:szCs w:val="20"/>
                <w:color w:val="auto"/>
              </w:rPr>
            </w:pPr>
            <w:r>
              <w:rPr>
                <w:rFonts w:ascii="Arial" w:cs="Arial" w:eastAsia="Arial" w:hAnsi="Arial"/>
                <w:sz w:val="18"/>
                <w:szCs w:val="18"/>
                <w:color w:val="auto"/>
              </w:rPr>
              <w:t> </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80" w:type="dxa"/>
            <w:vAlign w:val="bottom"/>
            <w:vMerge w:val="restart"/>
          </w:tcPr>
          <w:p>
            <w:pPr>
              <w:ind w:left="300"/>
              <w:spacing w:after="0"/>
              <w:rPr>
                <w:sz w:val="20"/>
                <w:szCs w:val="20"/>
                <w:color w:val="auto"/>
              </w:rPr>
            </w:pPr>
            <w:r>
              <w:rPr>
                <w:rFonts w:ascii="Arial" w:cs="Arial" w:eastAsia="Arial" w:hAnsi="Arial"/>
                <w:sz w:val="18"/>
                <w:szCs w:val="18"/>
                <w:color w:val="auto"/>
              </w:rPr>
              <w:t>• Discussing the scope and results of the audit with the independent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420" w:type="dxa"/>
            <w:vAlign w:val="bottom"/>
            <w:tcBorders>
              <w:bottom w:val="single" w:sz="8" w:color="27A770"/>
            </w:tcBorders>
          </w:tcPr>
          <w:p>
            <w:pPr>
              <w:spacing w:after="0"/>
              <w:rPr>
                <w:sz w:val="2"/>
                <w:szCs w:val="2"/>
                <w:color w:val="auto"/>
              </w:rPr>
            </w:pPr>
          </w:p>
        </w:tc>
        <w:tc>
          <w:tcPr>
            <w:tcW w:w="2060" w:type="dxa"/>
            <w:vAlign w:val="bottom"/>
            <w:tcBorders>
              <w:bottom w:val="single" w:sz="8" w:color="27A770"/>
            </w:tcBorders>
          </w:tcPr>
          <w:p>
            <w:pPr>
              <w:spacing w:after="0"/>
              <w:rPr>
                <w:sz w:val="2"/>
                <w:szCs w:val="2"/>
                <w:color w:val="auto"/>
              </w:rPr>
            </w:pPr>
          </w:p>
        </w:tc>
        <w:tc>
          <w:tcPr>
            <w:tcW w:w="120" w:type="dxa"/>
            <w:vAlign w:val="bottom"/>
            <w:tcBorders>
              <w:bottom w:val="single" w:sz="8" w:color="27A770"/>
            </w:tcBorders>
          </w:tcPr>
          <w:p>
            <w:pPr>
              <w:spacing w:after="0"/>
              <w:rPr>
                <w:sz w:val="2"/>
                <w:szCs w:val="2"/>
                <w:color w:val="auto"/>
              </w:rPr>
            </w:pPr>
          </w:p>
        </w:tc>
        <w:tc>
          <w:tcPr>
            <w:tcW w:w="62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4"/>
                <w:szCs w:val="4"/>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420" w:type="dxa"/>
            <w:vAlign w:val="bottom"/>
            <w:vMerge w:val="continue"/>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280" w:type="dxa"/>
            <w:vAlign w:val="bottom"/>
            <w:vMerge w:val="restart"/>
          </w:tcPr>
          <w:p>
            <w:pPr>
              <w:ind w:left="480"/>
              <w:spacing w:after="0"/>
              <w:rPr>
                <w:sz w:val="20"/>
                <w:szCs w:val="20"/>
                <w:color w:val="auto"/>
              </w:rPr>
            </w:pPr>
            <w:r>
              <w:rPr>
                <w:rFonts w:ascii="Arial" w:cs="Arial" w:eastAsia="Arial" w:hAnsi="Arial"/>
                <w:sz w:val="18"/>
                <w:szCs w:val="18"/>
                <w:color w:val="auto"/>
              </w:rPr>
              <w:t>registered public accounting firm and reviewing, with management and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480" w:type="dxa"/>
            <w:vAlign w:val="bottom"/>
            <w:gridSpan w:val="2"/>
            <w:vMerge w:val="restart"/>
          </w:tcPr>
          <w:p>
            <w:pPr>
              <w:ind w:left="340"/>
              <w:spacing w:after="0"/>
              <w:rPr>
                <w:sz w:val="20"/>
                <w:szCs w:val="20"/>
                <w:color w:val="auto"/>
              </w:rPr>
            </w:pPr>
            <w:r>
              <w:rPr>
                <w:rFonts w:ascii="Arial" w:cs="Arial" w:eastAsia="Arial" w:hAnsi="Arial"/>
                <w:sz w:val="18"/>
                <w:szCs w:val="18"/>
                <w:color w:val="auto"/>
              </w:rPr>
              <w:t>All members are deemed</w:t>
            </w:r>
          </w:p>
        </w:tc>
        <w:tc>
          <w:tcPr>
            <w:tcW w:w="120" w:type="dxa"/>
            <w:vAlign w:val="bottom"/>
          </w:tcPr>
          <w:p>
            <w:pPr>
              <w:spacing w:after="0"/>
              <w:rPr>
                <w:sz w:val="3"/>
                <w:szCs w:val="3"/>
                <w:color w:val="auto"/>
              </w:rPr>
            </w:pPr>
          </w:p>
        </w:tc>
        <w:tc>
          <w:tcPr>
            <w:tcW w:w="62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80" w:type="dxa"/>
            <w:vAlign w:val="bottom"/>
          </w:tcPr>
          <w:p>
            <w:pPr>
              <w:ind w:left="480"/>
              <w:spacing w:after="0" w:line="181" w:lineRule="exact"/>
              <w:rPr>
                <w:sz w:val="20"/>
                <w:szCs w:val="20"/>
                <w:color w:val="auto"/>
              </w:rPr>
            </w:pPr>
            <w:r>
              <w:rPr>
                <w:rFonts w:ascii="Arial" w:cs="Arial" w:eastAsia="Arial" w:hAnsi="Arial"/>
                <w:sz w:val="18"/>
                <w:szCs w:val="18"/>
                <w:color w:val="auto"/>
              </w:rPr>
              <w:t>that firm, our interim and year-end operating results;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“independent” and</w:t>
            </w:r>
          </w:p>
        </w:tc>
        <w:tc>
          <w:tcPr>
            <w:tcW w:w="120" w:type="dxa"/>
            <w:vAlign w:val="bottom"/>
          </w:tcPr>
          <w:p>
            <w:pPr>
              <w:spacing w:after="0"/>
              <w:rPr>
                <w:sz w:val="18"/>
                <w:szCs w:val="18"/>
                <w:color w:val="auto"/>
              </w:rPr>
            </w:pPr>
          </w:p>
        </w:tc>
        <w:tc>
          <w:tcPr>
            <w:tcW w:w="6280" w:type="dxa"/>
            <w:vAlign w:val="bottom"/>
            <w:vMerge w:val="restart"/>
          </w:tcPr>
          <w:p>
            <w:pPr>
              <w:ind w:left="300"/>
              <w:spacing w:after="0"/>
              <w:rPr>
                <w:sz w:val="20"/>
                <w:szCs w:val="20"/>
                <w:color w:val="auto"/>
              </w:rPr>
            </w:pPr>
            <w:r>
              <w:rPr>
                <w:rFonts w:ascii="Arial" w:cs="Arial" w:eastAsia="Arial" w:hAnsi="Arial"/>
                <w:sz w:val="18"/>
                <w:szCs w:val="18"/>
                <w:color w:val="auto"/>
              </w:rPr>
              <w:t>• Establishing procedures for employees to anonymously submit concerns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480" w:type="dxa"/>
            <w:vAlign w:val="bottom"/>
            <w:gridSpan w:val="2"/>
          </w:tcPr>
          <w:p>
            <w:pPr>
              <w:ind w:left="340"/>
              <w:spacing w:after="0" w:line="181" w:lineRule="exact"/>
              <w:rPr>
                <w:sz w:val="20"/>
                <w:szCs w:val="20"/>
                <w:color w:val="auto"/>
              </w:rPr>
            </w:pPr>
            <w:r>
              <w:rPr>
                <w:rFonts w:ascii="Arial" w:cs="Arial" w:eastAsia="Arial" w:hAnsi="Arial"/>
                <w:sz w:val="18"/>
                <w:szCs w:val="18"/>
                <w:color w:val="auto"/>
              </w:rPr>
              <w:t>financially literate under</w:t>
            </w:r>
          </w:p>
        </w:tc>
        <w:tc>
          <w:tcPr>
            <w:tcW w:w="120" w:type="dxa"/>
            <w:vAlign w:val="bottom"/>
          </w:tcPr>
          <w:p>
            <w:pPr>
              <w:spacing w:after="0"/>
              <w:rPr>
                <w:sz w:val="15"/>
                <w:szCs w:val="15"/>
                <w:color w:val="auto"/>
              </w:rPr>
            </w:pPr>
          </w:p>
        </w:tc>
        <w:tc>
          <w:tcPr>
            <w:tcW w:w="6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the applicable rules and</w:t>
            </w:r>
          </w:p>
        </w:tc>
        <w:tc>
          <w:tcPr>
            <w:tcW w:w="120" w:type="dxa"/>
            <w:vAlign w:val="bottom"/>
          </w:tcPr>
          <w:p>
            <w:pPr>
              <w:spacing w:after="0"/>
              <w:rPr>
                <w:sz w:val="21"/>
                <w:szCs w:val="21"/>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about questionable accounting or audit matters;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340"/>
              <w:spacing w:after="0"/>
              <w:rPr>
                <w:sz w:val="20"/>
                <w:szCs w:val="20"/>
                <w:color w:val="auto"/>
              </w:rPr>
            </w:pPr>
            <w:r>
              <w:rPr>
                <w:rFonts w:ascii="Arial" w:cs="Arial" w:eastAsia="Arial" w:hAnsi="Arial"/>
                <w:sz w:val="18"/>
                <w:szCs w:val="18"/>
                <w:color w:val="auto"/>
                <w:w w:val="98"/>
              </w:rPr>
              <w:t>regulations of the SEC and</w:t>
            </w:r>
          </w:p>
        </w:tc>
        <w:tc>
          <w:tcPr>
            <w:tcW w:w="120" w:type="dxa"/>
            <w:vAlign w:val="bottom"/>
          </w:tcPr>
          <w:p>
            <w:pPr>
              <w:spacing w:after="0"/>
              <w:rPr>
                <w:sz w:val="18"/>
                <w:szCs w:val="18"/>
                <w:color w:val="auto"/>
              </w:rPr>
            </w:pPr>
          </w:p>
        </w:tc>
        <w:tc>
          <w:tcPr>
            <w:tcW w:w="6280" w:type="dxa"/>
            <w:vAlign w:val="bottom"/>
            <w:vMerge w:val="restart"/>
          </w:tcPr>
          <w:p>
            <w:pPr>
              <w:ind w:left="300"/>
              <w:spacing w:after="0"/>
              <w:rPr>
                <w:sz w:val="20"/>
                <w:szCs w:val="20"/>
                <w:color w:val="auto"/>
              </w:rPr>
            </w:pPr>
            <w:r>
              <w:rPr>
                <w:rFonts w:ascii="Arial" w:cs="Arial" w:eastAsia="Arial" w:hAnsi="Arial"/>
                <w:sz w:val="18"/>
                <w:szCs w:val="18"/>
                <w:color w:val="auto"/>
              </w:rPr>
              <w:t>• Considering the adequacy of our internal controls and internal audit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80" w:type="dxa"/>
            <w:vAlign w:val="bottom"/>
            <w:gridSpan w:val="2"/>
            <w:vMerge w:val="restart"/>
          </w:tcPr>
          <w:p>
            <w:pPr>
              <w:ind w:left="340"/>
              <w:spacing w:after="0"/>
              <w:rPr>
                <w:sz w:val="20"/>
                <w:szCs w:val="20"/>
                <w:color w:val="auto"/>
              </w:rPr>
            </w:pPr>
            <w:r>
              <w:rPr>
                <w:rFonts w:ascii="Arial" w:cs="Arial" w:eastAsia="Arial" w:hAnsi="Arial"/>
                <w:sz w:val="18"/>
                <w:szCs w:val="18"/>
                <w:color w:val="auto"/>
              </w:rPr>
              <w:t>Nasdaq.</w:t>
            </w:r>
          </w:p>
        </w:tc>
        <w:tc>
          <w:tcPr>
            <w:tcW w:w="120" w:type="dxa"/>
            <w:vAlign w:val="bottom"/>
          </w:tcPr>
          <w:p>
            <w:pPr>
              <w:spacing w:after="0"/>
              <w:rPr>
                <w:sz w:val="9"/>
                <w:szCs w:val="9"/>
                <w:color w:val="auto"/>
              </w:rPr>
            </w:pPr>
          </w:p>
        </w:tc>
        <w:tc>
          <w:tcPr>
            <w:tcW w:w="62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80" w:type="dxa"/>
            <w:vAlign w:val="bottom"/>
            <w:vMerge w:val="restart"/>
          </w:tcPr>
          <w:p>
            <w:pPr>
              <w:ind w:left="480"/>
              <w:spacing w:after="0"/>
              <w:rPr>
                <w:sz w:val="20"/>
                <w:szCs w:val="20"/>
                <w:color w:val="auto"/>
              </w:rPr>
            </w:pPr>
            <w:r>
              <w:rPr>
                <w:rFonts w:ascii="Arial" w:cs="Arial" w:eastAsia="Arial" w:hAnsi="Arial"/>
                <w:sz w:val="18"/>
                <w:szCs w:val="18"/>
                <w:color w:val="auto"/>
              </w:rPr>
              <w:t>function;</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7"/>
        </w:trPr>
        <w:tc>
          <w:tcPr>
            <w:tcW w:w="2480" w:type="dxa"/>
            <w:vAlign w:val="bottom"/>
            <w:gridSpan w:val="2"/>
          </w:tcPr>
          <w:p>
            <w:pPr>
              <w:ind w:left="340"/>
              <w:spacing w:after="0"/>
              <w:rPr>
                <w:sz w:val="20"/>
                <w:szCs w:val="20"/>
                <w:color w:val="auto"/>
              </w:rPr>
            </w:pPr>
            <w:r>
              <w:rPr>
                <w:rFonts w:ascii="Arial" w:cs="Arial" w:eastAsia="Arial" w:hAnsi="Arial"/>
                <w:sz w:val="18"/>
                <w:szCs w:val="18"/>
                <w:color w:val="auto"/>
                <w:w w:val="99"/>
              </w:rPr>
              <w:t>Cynthia Butitta qualifies as</w:t>
            </w:r>
          </w:p>
        </w:tc>
        <w:tc>
          <w:tcPr>
            <w:tcW w:w="120" w:type="dxa"/>
            <w:vAlign w:val="bottom"/>
          </w:tcPr>
          <w:p>
            <w:pPr>
              <w:spacing w:after="0"/>
              <w:rPr>
                <w:sz w:val="24"/>
                <w:szCs w:val="24"/>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w w:val="99"/>
              </w:rPr>
              <w:t>• Monitoring and reviewing legal, regulatory, and administrative compliance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an “audit committee</w:t>
            </w:r>
          </w:p>
        </w:tc>
        <w:tc>
          <w:tcPr>
            <w:tcW w:w="120" w:type="dxa"/>
            <w:vAlign w:val="bottom"/>
          </w:tcPr>
          <w:p>
            <w:pPr>
              <w:spacing w:after="0"/>
              <w:rPr>
                <w:sz w:val="21"/>
                <w:szCs w:val="21"/>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to the extent affecting our financial results;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financial expert” within the</w:t>
            </w:r>
          </w:p>
        </w:tc>
        <w:tc>
          <w:tcPr>
            <w:tcW w:w="120" w:type="dxa"/>
            <w:vAlign w:val="bottom"/>
          </w:tcPr>
          <w:p>
            <w:pPr>
              <w:spacing w:after="0"/>
              <w:rPr>
                <w:sz w:val="18"/>
                <w:szCs w:val="18"/>
                <w:color w:val="auto"/>
              </w:rPr>
            </w:pPr>
          </w:p>
        </w:tc>
        <w:tc>
          <w:tcPr>
            <w:tcW w:w="6280" w:type="dxa"/>
            <w:vAlign w:val="bottom"/>
            <w:vMerge w:val="restart"/>
          </w:tcPr>
          <w:p>
            <w:pPr>
              <w:ind w:left="300"/>
              <w:spacing w:after="0"/>
              <w:rPr>
                <w:sz w:val="20"/>
                <w:szCs w:val="20"/>
                <w:color w:val="auto"/>
              </w:rPr>
            </w:pPr>
            <w:r>
              <w:rPr>
                <w:rFonts w:ascii="Arial" w:cs="Arial" w:eastAsia="Arial" w:hAnsi="Arial"/>
                <w:sz w:val="18"/>
                <w:szCs w:val="18"/>
                <w:color w:val="auto"/>
              </w:rPr>
              <w:t>• Reviewing our Code of Conduct and any proposed waivers thereof, and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480" w:type="dxa"/>
            <w:vAlign w:val="bottom"/>
            <w:gridSpan w:val="2"/>
            <w:vMerge w:val="restart"/>
          </w:tcPr>
          <w:p>
            <w:pPr>
              <w:ind w:left="340"/>
              <w:spacing w:after="0"/>
              <w:rPr>
                <w:sz w:val="20"/>
                <w:szCs w:val="20"/>
                <w:color w:val="auto"/>
              </w:rPr>
            </w:pPr>
            <w:r>
              <w:rPr>
                <w:rFonts w:ascii="Arial" w:cs="Arial" w:eastAsia="Arial" w:hAnsi="Arial"/>
                <w:sz w:val="18"/>
                <w:szCs w:val="18"/>
                <w:color w:val="auto"/>
              </w:rPr>
              <w:t>meaning of SEC</w:t>
            </w:r>
          </w:p>
        </w:tc>
        <w:tc>
          <w:tcPr>
            <w:tcW w:w="120" w:type="dxa"/>
            <w:vAlign w:val="bottom"/>
          </w:tcPr>
          <w:p>
            <w:pPr>
              <w:spacing w:after="0"/>
              <w:rPr>
                <w:sz w:val="8"/>
                <w:szCs w:val="8"/>
                <w:color w:val="auto"/>
              </w:rPr>
            </w:pPr>
          </w:p>
        </w:tc>
        <w:tc>
          <w:tcPr>
            <w:tcW w:w="6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80" w:type="dxa"/>
            <w:vAlign w:val="bottom"/>
            <w:vMerge w:val="restart"/>
          </w:tcPr>
          <w:p>
            <w:pPr>
              <w:ind w:left="480"/>
              <w:spacing w:after="0"/>
              <w:rPr>
                <w:sz w:val="20"/>
                <w:szCs w:val="20"/>
                <w:color w:val="auto"/>
              </w:rPr>
            </w:pPr>
            <w:r>
              <w:rPr>
                <w:rFonts w:ascii="Arial" w:cs="Arial" w:eastAsia="Arial" w:hAnsi="Arial"/>
                <w:sz w:val="18"/>
                <w:szCs w:val="18"/>
                <w:color w:val="auto"/>
              </w:rPr>
              <w:t>recommending any changes or amendments to the Code of Conduct;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80" w:type="dxa"/>
            <w:vAlign w:val="bottom"/>
            <w:gridSpan w:val="2"/>
            <w:vMerge w:val="restart"/>
          </w:tcPr>
          <w:p>
            <w:pPr>
              <w:ind w:left="340"/>
              <w:spacing w:after="0"/>
              <w:rPr>
                <w:sz w:val="20"/>
                <w:szCs w:val="20"/>
                <w:color w:val="auto"/>
              </w:rPr>
            </w:pPr>
            <w:r>
              <w:rPr>
                <w:rFonts w:ascii="Arial" w:cs="Arial" w:eastAsia="Arial" w:hAnsi="Arial"/>
                <w:sz w:val="18"/>
                <w:szCs w:val="18"/>
                <w:color w:val="auto"/>
              </w:rPr>
              <w:t>regulations.</w:t>
            </w:r>
          </w:p>
        </w:tc>
        <w:tc>
          <w:tcPr>
            <w:tcW w:w="120" w:type="dxa"/>
            <w:vAlign w:val="bottom"/>
          </w:tcPr>
          <w:p>
            <w:pPr>
              <w:spacing w:after="0"/>
              <w:rPr>
                <w:sz w:val="10"/>
                <w:szCs w:val="10"/>
                <w:color w:val="auto"/>
              </w:rPr>
            </w:pPr>
          </w:p>
        </w:tc>
        <w:tc>
          <w:tcPr>
            <w:tcW w:w="62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 Reviewing, approving, ratifying or prohibiting material related party</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transactions;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rPr>
              <w:t>• Determining and reviewing risk assessment guidelines and policies,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w w:val="98"/>
              </w:rPr>
              <w:t>including cybersecurity risks, financial risk exposure, and internal controls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regarding information security; and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tcPr>
          <w:p>
            <w:pPr>
              <w:ind w:left="300"/>
              <w:spacing w:after="0"/>
              <w:rPr>
                <w:sz w:val="20"/>
                <w:szCs w:val="20"/>
                <w:color w:val="auto"/>
              </w:rPr>
            </w:pPr>
            <w:r>
              <w:rPr>
                <w:rFonts w:ascii="Arial" w:cs="Arial" w:eastAsia="Arial" w:hAnsi="Arial"/>
                <w:sz w:val="18"/>
                <w:szCs w:val="18"/>
                <w:color w:val="auto"/>
                <w:w w:val="99"/>
              </w:rPr>
              <w:t>• Approving or, as permitted, pre-approving all audit and non-audit services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tcPr>
          <w:p>
            <w:pPr>
              <w:ind w:left="480"/>
              <w:spacing w:after="0"/>
              <w:rPr>
                <w:sz w:val="20"/>
                <w:szCs w:val="20"/>
                <w:color w:val="auto"/>
              </w:rPr>
            </w:pPr>
            <w:r>
              <w:rPr>
                <w:rFonts w:ascii="Arial" w:cs="Arial" w:eastAsia="Arial" w:hAnsi="Arial"/>
                <w:sz w:val="18"/>
                <w:szCs w:val="18"/>
                <w:color w:val="auto"/>
              </w:rPr>
              <w:t>to be performed by the independent registered public accounting firm.</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-2839720</wp:posOffset>
            </wp:positionV>
            <wp:extent cx="77470" cy="77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-1836420</wp:posOffset>
            </wp:positionV>
            <wp:extent cx="77470" cy="774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285" w:lineRule="exact"/>
        <w:rPr>
          <w:sz w:val="20"/>
          <w:szCs w:val="20"/>
          <w:color w:val="auto"/>
        </w:rPr>
      </w:pPr>
    </w:p>
    <w:tbl>
      <w:tblPr>
        <w:tblLayout w:type="fixed"/>
        <w:tblInd w:w="860" w:type="dxa"/>
        <w:tblCellMar>
          <w:top w:w="0" w:type="dxa"/>
          <w:left w:w="0" w:type="dxa"/>
          <w:bottom w:w="0" w:type="dxa"/>
          <w:right w:w="0" w:type="dxa"/>
        </w:tblCellMar>
      </w:tblPr>
      <w:tr>
        <w:trPr>
          <w:trHeight w:val="292"/>
        </w:trPr>
        <w:tc>
          <w:tcPr>
            <w:tcW w:w="420" w:type="dxa"/>
            <w:vAlign w:val="bottom"/>
          </w:tcPr>
          <w:p>
            <w:pPr>
              <w:ind w:left="60"/>
              <w:spacing w:after="0"/>
              <w:rPr>
                <w:sz w:val="20"/>
                <w:szCs w:val="20"/>
                <w:color w:val="auto"/>
              </w:rPr>
            </w:pPr>
            <w:r>
              <w:rPr>
                <w:rFonts w:ascii="Arial" w:cs="Arial" w:eastAsia="Arial" w:hAnsi="Arial"/>
                <w:sz w:val="22"/>
                <w:szCs w:val="22"/>
                <w:b w:val="1"/>
                <w:bCs w:val="1"/>
                <w:color w:val="248ED8"/>
              </w:rPr>
              <w:t>​</w:t>
            </w:r>
          </w:p>
        </w:tc>
        <w:tc>
          <w:tcPr>
            <w:tcW w:w="8440" w:type="dxa"/>
            <w:vAlign w:val="bottom"/>
            <w:gridSpan w:val="3"/>
          </w:tcPr>
          <w:p>
            <w:pPr>
              <w:ind w:left="860"/>
              <w:spacing w:after="0"/>
              <w:rPr>
                <w:sz w:val="20"/>
                <w:szCs w:val="20"/>
                <w:color w:val="auto"/>
              </w:rPr>
            </w:pPr>
            <w:r>
              <w:rPr>
                <w:rFonts w:ascii="Arial" w:cs="Arial" w:eastAsia="Arial" w:hAnsi="Arial"/>
                <w:sz w:val="22"/>
                <w:szCs w:val="22"/>
                <w:b w:val="1"/>
                <w:bCs w:val="1"/>
                <w:color w:val="248ED8"/>
              </w:rPr>
              <w:t>THE NOMINATING &amp; CORPORATE GOVERNANCE COMMITTEE</w:t>
            </w:r>
          </w:p>
        </w:tc>
        <w:tc>
          <w:tcPr>
            <w:tcW w:w="140" w:type="dxa"/>
            <w:vAlign w:val="bottom"/>
            <w:gridSpan w:val="2"/>
          </w:tcPr>
          <w:p>
            <w:pPr>
              <w:ind w:left="80"/>
              <w:spacing w:after="0"/>
              <w:rPr>
                <w:sz w:val="20"/>
                <w:szCs w:val="20"/>
                <w:color w:val="auto"/>
              </w:rPr>
            </w:pPr>
            <w:r>
              <w:rPr>
                <w:rFonts w:ascii="Arial" w:cs="Arial" w:eastAsia="Arial" w:hAnsi="Arial"/>
                <w:sz w:val="22"/>
                <w:szCs w:val="22"/>
                <w:b w:val="1"/>
                <w:bCs w:val="1"/>
                <w:color w:val="248ED8"/>
              </w:rPr>
              <w:t>​</w:t>
            </w:r>
          </w:p>
        </w:tc>
        <w:tc>
          <w:tcPr>
            <w:tcW w:w="0" w:type="dxa"/>
            <w:vAlign w:val="bottom"/>
          </w:tcPr>
          <w:p>
            <w:pPr>
              <w:spacing w:after="0"/>
              <w:rPr>
                <w:sz w:val="1"/>
                <w:szCs w:val="1"/>
                <w:color w:val="auto"/>
              </w:rPr>
            </w:pPr>
          </w:p>
        </w:tc>
      </w:tr>
      <w:tr>
        <w:trPr>
          <w:trHeight w:val="255"/>
        </w:trPr>
        <w:tc>
          <w:tcPr>
            <w:tcW w:w="2480" w:type="dxa"/>
            <w:vAlign w:val="bottom"/>
            <w:tcBorders>
              <w:top w:val="single" w:sz="8" w:color="27A770"/>
            </w:tcBorders>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248ED8"/>
              </w:rPr>
              <w:t>Chair</w:t>
            </w:r>
            <w:r>
              <w:rPr>
                <w:rFonts w:ascii="Arial" w:cs="Arial" w:eastAsia="Arial" w:hAnsi="Arial"/>
                <w:sz w:val="18"/>
                <w:szCs w:val="18"/>
                <w:color w:val="auto"/>
              </w:rPr>
              <w:t>: Joseph Jimenez</w:t>
            </w:r>
          </w:p>
        </w:tc>
        <w:tc>
          <w:tcPr>
            <w:tcW w:w="6380" w:type="dxa"/>
            <w:vAlign w:val="bottom"/>
            <w:tcBorders>
              <w:top w:val="single" w:sz="8" w:color="27A770"/>
            </w:tcBorders>
            <w:gridSpan w:val="2"/>
          </w:tcPr>
          <w:p>
            <w:pPr>
              <w:ind w:left="20"/>
              <w:spacing w:after="0"/>
              <w:rPr>
                <w:sz w:val="20"/>
                <w:szCs w:val="20"/>
                <w:color w:val="auto"/>
              </w:rPr>
            </w:pPr>
            <w:r>
              <w:rPr>
                <w:rFonts w:ascii="Arial" w:cs="Arial" w:eastAsia="Arial" w:hAnsi="Arial"/>
                <w:sz w:val="18"/>
                <w:szCs w:val="18"/>
                <w:color w:val="auto"/>
              </w:rPr>
              <w:t>​ ​ Responsible for, among other things:</w:t>
            </w:r>
          </w:p>
        </w:tc>
        <w:tc>
          <w:tcPr>
            <w:tcW w:w="120" w:type="dxa"/>
            <w:vAlign w:val="bottom"/>
            <w:tcBorders>
              <w:top w:val="single" w:sz="8" w:color="27A770"/>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248ED8"/>
              </w:rPr>
              <w:t>Additional Committee</w:t>
            </w:r>
          </w:p>
        </w:tc>
        <w:tc>
          <w:tcPr>
            <w:tcW w:w="12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Developing and recommending selection criteria for new directors for our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248ED8"/>
              </w:rPr>
              <w:t>Members</w:t>
            </w:r>
            <w:r>
              <w:rPr>
                <w:rFonts w:ascii="Arial" w:cs="Arial" w:eastAsia="Arial" w:hAnsi="Arial"/>
                <w:sz w:val="18"/>
                <w:szCs w:val="18"/>
                <w:color w:val="000000"/>
              </w:rPr>
              <w:t>:</w:t>
            </w:r>
          </w:p>
        </w:tc>
        <w:tc>
          <w:tcPr>
            <w:tcW w:w="120" w:type="dxa"/>
            <w:vAlign w:val="bottom"/>
          </w:tcPr>
          <w:p>
            <w:pPr>
              <w:spacing w:after="0"/>
              <w:rPr>
                <w:sz w:val="23"/>
                <w:szCs w:val="23"/>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Board;</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3"/>
        </w:trPr>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2060" w:type="dxa"/>
            <w:vAlign w:val="bottom"/>
          </w:tcPr>
          <w:p>
            <w:pPr>
              <w:ind w:left="60"/>
              <w:spacing w:after="0"/>
              <w:rPr>
                <w:sz w:val="20"/>
                <w:szCs w:val="20"/>
                <w:color w:val="auto"/>
              </w:rPr>
            </w:pPr>
            <w:r>
              <w:rPr>
                <w:rFonts w:ascii="Arial" w:cs="Arial" w:eastAsia="Arial" w:hAnsi="Arial"/>
                <w:sz w:val="18"/>
                <w:szCs w:val="18"/>
                <w:color w:val="auto"/>
                <w:w w:val="99"/>
              </w:rPr>
              <w:t>Kimberly Blackwell, M.D.</w:t>
            </w:r>
          </w:p>
        </w:tc>
        <w:tc>
          <w:tcPr>
            <w:tcW w:w="12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Identifying and recommending candidates for membership on our Board;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2060" w:type="dxa"/>
            <w:vAlign w:val="bottom"/>
          </w:tcPr>
          <w:p>
            <w:pPr>
              <w:ind w:left="60"/>
              <w:spacing w:after="0"/>
              <w:rPr>
                <w:sz w:val="20"/>
                <w:szCs w:val="20"/>
                <w:color w:val="auto"/>
              </w:rPr>
            </w:pPr>
            <w:r>
              <w:rPr>
                <w:rFonts w:ascii="Arial" w:cs="Arial" w:eastAsia="Arial" w:hAnsi="Arial"/>
                <w:sz w:val="18"/>
                <w:szCs w:val="18"/>
                <w:color w:val="auto"/>
              </w:rPr>
              <w:t>Eli Casdin</w:t>
            </w:r>
          </w:p>
        </w:tc>
        <w:tc>
          <w:tcPr>
            <w:tcW w:w="12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Reviewing and determining director independence annually and, as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2060" w:type="dxa"/>
            <w:vAlign w:val="bottom"/>
            <w:vMerge w:val="restart"/>
          </w:tcPr>
          <w:p>
            <w:pPr>
              <w:ind w:left="60"/>
              <w:spacing w:after="0"/>
              <w:rPr>
                <w:sz w:val="20"/>
                <w:szCs w:val="20"/>
                <w:color w:val="auto"/>
              </w:rPr>
            </w:pPr>
            <w:r>
              <w:rPr>
                <w:rFonts w:ascii="Arial" w:cs="Arial" w:eastAsia="Arial" w:hAnsi="Arial"/>
                <w:sz w:val="18"/>
                <w:szCs w:val="18"/>
                <w:color w:val="auto"/>
              </w:rPr>
              <w:t>Carlo Rizzuto, Ph.D.</w:t>
            </w:r>
          </w:p>
        </w:tc>
        <w:tc>
          <w:tcPr>
            <w:tcW w:w="120" w:type="dxa"/>
            <w:vAlign w:val="bottom"/>
          </w:tcPr>
          <w:p>
            <w:pPr>
              <w:spacing w:after="0"/>
              <w:rPr>
                <w:sz w:val="20"/>
                <w:szCs w:val="20"/>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needed, as potential conflicts of interest arise;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20" w:type="dxa"/>
            <w:vAlign w:val="bottom"/>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Reviewing and recommending the assignment of directors to serve on</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20" w:type="dxa"/>
            <w:vAlign w:val="bottom"/>
            <w:vMerge w:val="continue"/>
          </w:tcPr>
          <w:p>
            <w:pPr>
              <w:spacing w:after="0"/>
              <w:rPr>
                <w:sz w:val="11"/>
                <w:szCs w:val="11"/>
                <w:color w:val="auto"/>
              </w:rPr>
            </w:pPr>
          </w:p>
        </w:tc>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60" w:type="dxa"/>
            <w:vAlign w:val="bottom"/>
            <w:vMerge w:val="restart"/>
          </w:tcPr>
          <w:p>
            <w:pPr>
              <w:ind w:left="480"/>
              <w:spacing w:after="0" w:line="161" w:lineRule="exact"/>
              <w:rPr>
                <w:sz w:val="20"/>
                <w:szCs w:val="20"/>
                <w:color w:val="auto"/>
              </w:rPr>
            </w:pPr>
            <w:r>
              <w:rPr>
                <w:rFonts w:ascii="Arial" w:cs="Arial" w:eastAsia="Arial" w:hAnsi="Arial"/>
                <w:sz w:val="18"/>
                <w:szCs w:val="18"/>
                <w:color w:val="auto"/>
              </w:rPr>
              <w:t>each Board committee;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420" w:type="dxa"/>
            <w:vAlign w:val="bottom"/>
            <w:tcBorders>
              <w:bottom w:val="single" w:sz="8" w:color="27A770"/>
            </w:tcBorders>
          </w:tcPr>
          <w:p>
            <w:pPr>
              <w:spacing w:after="0"/>
              <w:rPr>
                <w:sz w:val="2"/>
                <w:szCs w:val="2"/>
                <w:color w:val="auto"/>
              </w:rPr>
            </w:pPr>
          </w:p>
        </w:tc>
        <w:tc>
          <w:tcPr>
            <w:tcW w:w="2060" w:type="dxa"/>
            <w:vAlign w:val="bottom"/>
            <w:tcBorders>
              <w:bottom w:val="single" w:sz="8" w:color="27A770"/>
            </w:tcBorders>
          </w:tcPr>
          <w:p>
            <w:pPr>
              <w:spacing w:after="0"/>
              <w:rPr>
                <w:sz w:val="2"/>
                <w:szCs w:val="2"/>
                <w:color w:val="auto"/>
              </w:rPr>
            </w:pPr>
          </w:p>
        </w:tc>
        <w:tc>
          <w:tcPr>
            <w:tcW w:w="120" w:type="dxa"/>
            <w:vAlign w:val="bottom"/>
            <w:tcBorders>
              <w:bottom w:val="single" w:sz="8" w:color="27A770"/>
            </w:tcBorders>
          </w:tcPr>
          <w:p>
            <w:pPr>
              <w:spacing w:after="0"/>
              <w:rPr>
                <w:sz w:val="2"/>
                <w:szCs w:val="2"/>
                <w:color w:val="auto"/>
              </w:rPr>
            </w:pPr>
          </w:p>
        </w:tc>
        <w:tc>
          <w:tcPr>
            <w:tcW w:w="62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 w:type="dxa"/>
            <w:vAlign w:val="bottom"/>
          </w:tcPr>
          <w:p>
            <w:pPr>
              <w:ind w:left="20"/>
              <w:spacing w:after="0" w:line="183" w:lineRule="exact"/>
              <w:rPr>
                <w:sz w:val="20"/>
                <w:szCs w:val="20"/>
                <w:color w:val="auto"/>
              </w:rPr>
            </w:pPr>
            <w:r>
              <w:rPr>
                <w:rFonts w:ascii="Arial" w:cs="Arial" w:eastAsia="Arial" w:hAnsi="Arial"/>
                <w:sz w:val="18"/>
                <w:szCs w:val="18"/>
                <w:color w:val="auto"/>
              </w:rPr>
              <w:t>​</w:t>
            </w:r>
          </w:p>
        </w:tc>
        <w:tc>
          <w:tcPr>
            <w:tcW w:w="2060" w:type="dxa"/>
            <w:vAlign w:val="bottom"/>
          </w:tcPr>
          <w:p>
            <w:pPr>
              <w:spacing w:after="0"/>
              <w:rPr>
                <w:sz w:val="15"/>
                <w:szCs w:val="15"/>
                <w:color w:val="auto"/>
              </w:rPr>
            </w:pPr>
          </w:p>
        </w:tc>
        <w:tc>
          <w:tcPr>
            <w:tcW w:w="638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All members are deemed</w:t>
            </w:r>
          </w:p>
        </w:tc>
        <w:tc>
          <w:tcPr>
            <w:tcW w:w="120" w:type="dxa"/>
            <w:vAlign w:val="bottom"/>
          </w:tcPr>
          <w:p>
            <w:pPr>
              <w:spacing w:after="0"/>
              <w:rPr>
                <w:sz w:val="20"/>
                <w:szCs w:val="20"/>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Reviewing and recommending changes to our Corporate Governance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“independent” under the</w:t>
            </w:r>
          </w:p>
        </w:tc>
        <w:tc>
          <w:tcPr>
            <w:tcW w:w="120" w:type="dxa"/>
            <w:vAlign w:val="bottom"/>
          </w:tcPr>
          <w:p>
            <w:pPr>
              <w:spacing w:after="0"/>
              <w:rPr>
                <w:sz w:val="21"/>
                <w:szCs w:val="21"/>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Guidelines;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applicable rules and</w:t>
            </w:r>
          </w:p>
        </w:tc>
        <w:tc>
          <w:tcPr>
            <w:tcW w:w="120" w:type="dxa"/>
            <w:vAlign w:val="bottom"/>
          </w:tcPr>
          <w:p>
            <w:pPr>
              <w:spacing w:after="0"/>
              <w:rPr>
                <w:sz w:val="18"/>
                <w:szCs w:val="18"/>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Overseeing the succession planning process for our executive officers;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480" w:type="dxa"/>
            <w:vAlign w:val="bottom"/>
            <w:gridSpan w:val="2"/>
            <w:vMerge w:val="restart"/>
          </w:tcPr>
          <w:p>
            <w:pPr>
              <w:ind w:left="340"/>
              <w:spacing w:after="0"/>
              <w:rPr>
                <w:sz w:val="20"/>
                <w:szCs w:val="20"/>
                <w:color w:val="auto"/>
              </w:rPr>
            </w:pPr>
            <w:r>
              <w:rPr>
                <w:rFonts w:ascii="Arial" w:cs="Arial" w:eastAsia="Arial" w:hAnsi="Arial"/>
                <w:sz w:val="18"/>
                <w:szCs w:val="18"/>
                <w:color w:val="auto"/>
                <w:w w:val="98"/>
              </w:rPr>
              <w:t>regulations of the SEC and</w:t>
            </w:r>
          </w:p>
        </w:tc>
        <w:tc>
          <w:tcPr>
            <w:tcW w:w="120" w:type="dxa"/>
            <w:vAlign w:val="bottom"/>
          </w:tcPr>
          <w:p>
            <w:pPr>
              <w:spacing w:after="0"/>
              <w:rPr>
                <w:sz w:val="9"/>
                <w:szCs w:val="9"/>
                <w:color w:val="auto"/>
              </w:rPr>
            </w:pPr>
          </w:p>
        </w:tc>
        <w:tc>
          <w:tcPr>
            <w:tcW w:w="6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Overseeing the process of evaluating the performance of our Board; and</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480" w:type="dxa"/>
            <w:vAlign w:val="bottom"/>
            <w:gridSpan w:val="2"/>
          </w:tcPr>
          <w:p>
            <w:pPr>
              <w:ind w:left="340"/>
              <w:spacing w:after="0"/>
              <w:rPr>
                <w:sz w:val="20"/>
                <w:szCs w:val="20"/>
                <w:color w:val="auto"/>
              </w:rPr>
            </w:pPr>
            <w:r>
              <w:rPr>
                <w:rFonts w:ascii="Arial" w:cs="Arial" w:eastAsia="Arial" w:hAnsi="Arial"/>
                <w:sz w:val="18"/>
                <w:szCs w:val="18"/>
                <w:color w:val="auto"/>
              </w:rPr>
              <w:t>Nasdaq.</w:t>
            </w:r>
          </w:p>
        </w:tc>
        <w:tc>
          <w:tcPr>
            <w:tcW w:w="120" w:type="dxa"/>
            <w:vAlign w:val="bottom"/>
          </w:tcPr>
          <w:p>
            <w:pPr>
              <w:spacing w:after="0"/>
              <w:rPr>
                <w:sz w:val="20"/>
                <w:szCs w:val="20"/>
                <w:color w:val="auto"/>
              </w:rPr>
            </w:pPr>
          </w:p>
        </w:tc>
        <w:tc>
          <w:tcPr>
            <w:tcW w:w="6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-679450</wp:posOffset>
            </wp:positionV>
            <wp:extent cx="77470" cy="76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spacing w:after="0" w:line="38"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 Assisting our Board on corporate governance matters.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rPr>
          <w:sz w:val="20"/>
          <w:szCs w:val="20"/>
          <w:color w:val="auto"/>
        </w:rPr>
      </w:pPr>
      <w:r>
        <w:rPr>
          <w:rFonts w:ascii="Arial" w:cs="Arial" w:eastAsia="Arial" w:hAnsi="Arial"/>
          <w:sz w:val="32"/>
          <w:szCs w:val="32"/>
          <w:b w:val="1"/>
          <w:bCs w:val="1"/>
          <w:color w:val="FFFFFF"/>
          <w:shd w:val="clear" w:color="auto" w:fill="27A770"/>
        </w:rPr>
        <w:t>​CORPORATE GOVERNANCE AND RISK MANAGEMENT ​</w:t>
      </w:r>
    </w:p>
    <w:p>
      <w:pPr>
        <w:spacing w:after="0" w:line="200" w:lineRule="exact"/>
        <w:rPr>
          <w:sz w:val="20"/>
          <w:szCs w:val="20"/>
          <w:color w:val="auto"/>
        </w:rPr>
      </w:pPr>
    </w:p>
    <w:p>
      <w:pPr>
        <w:spacing w:after="0" w:line="311" w:lineRule="exact"/>
        <w:rPr>
          <w:sz w:val="20"/>
          <w:szCs w:val="20"/>
          <w:color w:val="auto"/>
        </w:rPr>
      </w:pPr>
    </w:p>
    <w:tbl>
      <w:tblPr>
        <w:tblLayout w:type="fixed"/>
        <w:tblInd w:w="860" w:type="dxa"/>
        <w:tblCellMar>
          <w:top w:w="0" w:type="dxa"/>
          <w:left w:w="0" w:type="dxa"/>
          <w:bottom w:w="0" w:type="dxa"/>
          <w:right w:w="0" w:type="dxa"/>
        </w:tblCellMar>
      </w:tblPr>
      <w:tr>
        <w:trPr>
          <w:trHeight w:val="292"/>
        </w:trPr>
        <w:tc>
          <w:tcPr>
            <w:tcW w:w="420" w:type="dxa"/>
            <w:vAlign w:val="bottom"/>
          </w:tcPr>
          <w:p>
            <w:pPr>
              <w:ind w:left="60"/>
              <w:spacing w:after="0"/>
              <w:rPr>
                <w:sz w:val="20"/>
                <w:szCs w:val="20"/>
                <w:color w:val="auto"/>
              </w:rPr>
            </w:pPr>
            <w:r>
              <w:rPr>
                <w:rFonts w:ascii="Arial" w:cs="Arial" w:eastAsia="Arial" w:hAnsi="Arial"/>
                <w:sz w:val="22"/>
                <w:szCs w:val="22"/>
                <w:b w:val="1"/>
                <w:bCs w:val="1"/>
                <w:color w:val="248ED8"/>
              </w:rPr>
              <w:t>​</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60" w:type="dxa"/>
            <w:vAlign w:val="bottom"/>
          </w:tcPr>
          <w:p>
            <w:pPr>
              <w:ind w:left="100"/>
              <w:spacing w:after="0"/>
              <w:rPr>
                <w:sz w:val="20"/>
                <w:szCs w:val="20"/>
                <w:color w:val="auto"/>
              </w:rPr>
            </w:pPr>
            <w:r>
              <w:rPr>
                <w:rFonts w:ascii="Arial" w:cs="Arial" w:eastAsia="Arial" w:hAnsi="Arial"/>
                <w:sz w:val="22"/>
                <w:szCs w:val="22"/>
                <w:b w:val="1"/>
                <w:bCs w:val="1"/>
                <w:color w:val="248ED8"/>
              </w:rPr>
              <w:t>THE COMPENSATION COMMITTEE</w:t>
            </w:r>
          </w:p>
        </w:tc>
        <w:tc>
          <w:tcPr>
            <w:tcW w:w="140" w:type="dxa"/>
            <w:vAlign w:val="bottom"/>
            <w:gridSpan w:val="2"/>
          </w:tcPr>
          <w:p>
            <w:pPr>
              <w:ind w:left="80"/>
              <w:spacing w:after="0"/>
              <w:rPr>
                <w:sz w:val="20"/>
                <w:szCs w:val="20"/>
                <w:color w:val="auto"/>
              </w:rPr>
            </w:pPr>
            <w:r>
              <w:rPr>
                <w:rFonts w:ascii="Arial" w:cs="Arial" w:eastAsia="Arial" w:hAnsi="Arial"/>
                <w:sz w:val="22"/>
                <w:szCs w:val="22"/>
                <w:b w:val="1"/>
                <w:bCs w:val="1"/>
                <w:color w:val="248ED8"/>
              </w:rPr>
              <w:t>​</w:t>
            </w:r>
          </w:p>
        </w:tc>
        <w:tc>
          <w:tcPr>
            <w:tcW w:w="0" w:type="dxa"/>
            <w:vAlign w:val="bottom"/>
          </w:tcPr>
          <w:p>
            <w:pPr>
              <w:spacing w:after="0"/>
              <w:rPr>
                <w:sz w:val="1"/>
                <w:szCs w:val="1"/>
                <w:color w:val="auto"/>
              </w:rPr>
            </w:pPr>
          </w:p>
        </w:tc>
      </w:tr>
      <w:tr>
        <w:trPr>
          <w:trHeight w:val="255"/>
        </w:trPr>
        <w:tc>
          <w:tcPr>
            <w:tcW w:w="2400" w:type="dxa"/>
            <w:vAlign w:val="bottom"/>
            <w:tcBorders>
              <w:top w:val="single" w:sz="8" w:color="27A770"/>
            </w:tcBorders>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248ED8"/>
              </w:rPr>
              <w:t>Chair</w:t>
            </w:r>
            <w:r>
              <w:rPr>
                <w:rFonts w:ascii="Arial" w:cs="Arial" w:eastAsia="Arial" w:hAnsi="Arial"/>
                <w:sz w:val="18"/>
                <w:szCs w:val="18"/>
                <w:color w:val="auto"/>
              </w:rPr>
              <w:t>: Carlo Rizzuto, Ph.D.</w:t>
            </w:r>
          </w:p>
        </w:tc>
        <w:tc>
          <w:tcPr>
            <w:tcW w:w="6460" w:type="dxa"/>
            <w:vAlign w:val="bottom"/>
            <w:tcBorders>
              <w:top w:val="single" w:sz="8" w:color="27A770"/>
            </w:tcBorders>
            <w:gridSpan w:val="2"/>
          </w:tcPr>
          <w:p>
            <w:pPr>
              <w:ind w:left="100"/>
              <w:spacing w:after="0"/>
              <w:rPr>
                <w:sz w:val="20"/>
                <w:szCs w:val="20"/>
                <w:color w:val="auto"/>
              </w:rPr>
            </w:pPr>
            <w:r>
              <w:rPr>
                <w:rFonts w:ascii="Arial" w:cs="Arial" w:eastAsia="Arial" w:hAnsi="Arial"/>
                <w:sz w:val="18"/>
                <w:szCs w:val="18"/>
                <w:color w:val="auto"/>
              </w:rPr>
              <w:t>​ ​ Responsible for, among other things:</w:t>
            </w:r>
          </w:p>
        </w:tc>
        <w:tc>
          <w:tcPr>
            <w:tcW w:w="120" w:type="dxa"/>
            <w:vAlign w:val="bottom"/>
            <w:tcBorders>
              <w:top w:val="single" w:sz="8" w:color="27A770"/>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2400" w:type="dxa"/>
            <w:vAlign w:val="bottom"/>
            <w:gridSpan w:val="2"/>
          </w:tcPr>
          <w:p>
            <w:pPr>
              <w:ind w:left="120"/>
              <w:spacing w:after="0"/>
              <w:rPr>
                <w:sz w:val="20"/>
                <w:szCs w:val="20"/>
                <w:color w:val="auto"/>
              </w:rPr>
            </w:pPr>
            <w:r>
              <w:rPr>
                <w:rFonts w:ascii="Arial" w:cs="Arial" w:eastAsia="Arial" w:hAnsi="Arial"/>
                <w:sz w:val="18"/>
                <w:szCs w:val="18"/>
                <w:b w:val="1"/>
                <w:bCs w:val="1"/>
                <w:color w:val="248ED8"/>
              </w:rPr>
              <w:t>Additional Committee</w:t>
            </w:r>
          </w:p>
        </w:tc>
        <w:tc>
          <w:tcPr>
            <w:tcW w:w="20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Reviewing and approving the compensation of our executive officers and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400" w:type="dxa"/>
            <w:vAlign w:val="bottom"/>
            <w:gridSpan w:val="2"/>
          </w:tcPr>
          <w:p>
            <w:pPr>
              <w:ind w:left="120"/>
              <w:spacing w:after="0"/>
              <w:rPr>
                <w:sz w:val="20"/>
                <w:szCs w:val="20"/>
                <w:color w:val="auto"/>
              </w:rPr>
            </w:pPr>
            <w:r>
              <w:rPr>
                <w:rFonts w:ascii="Arial" w:cs="Arial" w:eastAsia="Arial" w:hAnsi="Arial"/>
                <w:sz w:val="18"/>
                <w:szCs w:val="18"/>
                <w:b w:val="1"/>
                <w:bCs w:val="1"/>
                <w:color w:val="248ED8"/>
              </w:rPr>
              <w:t>Members</w:t>
            </w:r>
            <w:r>
              <w:rPr>
                <w:rFonts w:ascii="Arial" w:cs="Arial" w:eastAsia="Arial" w:hAnsi="Arial"/>
                <w:sz w:val="18"/>
                <w:szCs w:val="18"/>
                <w:color w:val="000000"/>
              </w:rPr>
              <w:t>:</w:t>
            </w:r>
          </w:p>
        </w:tc>
        <w:tc>
          <w:tcPr>
            <w:tcW w:w="200" w:type="dxa"/>
            <w:vAlign w:val="bottom"/>
          </w:tcPr>
          <w:p>
            <w:pPr>
              <w:spacing w:after="0"/>
              <w:rPr>
                <w:sz w:val="22"/>
                <w:szCs w:val="22"/>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recommending that our Board approve the compensation of our CEO;</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1980" w:type="dxa"/>
            <w:vAlign w:val="bottom"/>
          </w:tcPr>
          <w:p>
            <w:pPr>
              <w:ind w:left="60"/>
              <w:spacing w:after="0"/>
              <w:rPr>
                <w:sz w:val="20"/>
                <w:szCs w:val="20"/>
                <w:color w:val="auto"/>
              </w:rPr>
            </w:pPr>
            <w:r>
              <w:rPr>
                <w:rFonts w:ascii="Arial" w:cs="Arial" w:eastAsia="Arial" w:hAnsi="Arial"/>
                <w:sz w:val="18"/>
                <w:szCs w:val="18"/>
                <w:color w:val="auto"/>
              </w:rPr>
              <w:t>Cynthia Butitta</w:t>
            </w:r>
          </w:p>
        </w:tc>
        <w:tc>
          <w:tcPr>
            <w:tcW w:w="200" w:type="dxa"/>
            <w:vAlign w:val="bottom"/>
          </w:tcPr>
          <w:p>
            <w:pPr>
              <w:spacing w:after="0"/>
              <w:rPr>
                <w:sz w:val="24"/>
                <w:szCs w:val="24"/>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Reviewing and recommending to our Board the compensation of our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1980" w:type="dxa"/>
            <w:vAlign w:val="bottom"/>
            <w:vMerge w:val="restart"/>
          </w:tcPr>
          <w:p>
            <w:pPr>
              <w:ind w:left="60"/>
              <w:spacing w:after="0"/>
              <w:rPr>
                <w:sz w:val="20"/>
                <w:szCs w:val="20"/>
                <w:color w:val="auto"/>
              </w:rPr>
            </w:pPr>
            <w:r>
              <w:rPr>
                <w:rFonts w:ascii="Arial" w:cs="Arial" w:eastAsia="Arial" w:hAnsi="Arial"/>
                <w:sz w:val="18"/>
                <w:szCs w:val="18"/>
                <w:color w:val="auto"/>
              </w:rPr>
              <w:t>Eli Casdin</w:t>
            </w:r>
          </w:p>
        </w:tc>
        <w:tc>
          <w:tcPr>
            <w:tcW w:w="200" w:type="dxa"/>
            <w:vAlign w:val="bottom"/>
          </w:tcPr>
          <w:p>
            <w:pPr>
              <w:spacing w:after="0"/>
              <w:rPr>
                <w:sz w:val="20"/>
                <w:szCs w:val="20"/>
                <w:color w:val="auto"/>
              </w:rPr>
            </w:pPr>
          </w:p>
        </w:tc>
        <w:tc>
          <w:tcPr>
            <w:tcW w:w="6260" w:type="dxa"/>
            <w:vAlign w:val="bottom"/>
          </w:tcPr>
          <w:p>
            <w:pPr>
              <w:ind w:left="480"/>
              <w:spacing w:after="0"/>
              <w:rPr>
                <w:sz w:val="20"/>
                <w:szCs w:val="20"/>
                <w:color w:val="auto"/>
              </w:rPr>
            </w:pPr>
            <w:r>
              <w:rPr>
                <w:rFonts w:ascii="Arial" w:cs="Arial" w:eastAsia="Arial" w:hAnsi="Arial"/>
                <w:sz w:val="18"/>
                <w:szCs w:val="18"/>
                <w:color w:val="auto"/>
              </w:rPr>
              <w:t>directors;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20" w:type="dxa"/>
            <w:vAlign w:val="bottom"/>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1980" w:type="dxa"/>
            <w:vAlign w:val="bottom"/>
            <w:vMerge w:val="restart"/>
          </w:tcPr>
          <w:p>
            <w:pPr>
              <w:ind w:left="60"/>
              <w:spacing w:after="0"/>
              <w:rPr>
                <w:sz w:val="20"/>
                <w:szCs w:val="20"/>
                <w:color w:val="auto"/>
              </w:rPr>
            </w:pPr>
            <w:r>
              <w:rPr>
                <w:rFonts w:ascii="Arial" w:cs="Arial" w:eastAsia="Arial" w:hAnsi="Arial"/>
                <w:sz w:val="18"/>
                <w:szCs w:val="18"/>
                <w:color w:val="auto"/>
              </w:rPr>
              <w:t>Joseph Jimenez</w:t>
            </w:r>
          </w:p>
        </w:tc>
        <w:tc>
          <w:tcPr>
            <w:tcW w:w="200" w:type="dxa"/>
            <w:vAlign w:val="bottom"/>
          </w:tcPr>
          <w:p>
            <w:pPr>
              <w:spacing w:after="0"/>
              <w:rPr>
                <w:sz w:val="19"/>
                <w:szCs w:val="19"/>
                <w:color w:val="auto"/>
              </w:rPr>
            </w:pPr>
          </w:p>
        </w:tc>
        <w:tc>
          <w:tcPr>
            <w:tcW w:w="6260" w:type="dxa"/>
            <w:vAlign w:val="bottom"/>
          </w:tcPr>
          <w:p>
            <w:pPr>
              <w:ind w:left="300"/>
              <w:spacing w:after="0"/>
              <w:rPr>
                <w:sz w:val="20"/>
                <w:szCs w:val="20"/>
                <w:color w:val="auto"/>
              </w:rPr>
            </w:pPr>
            <w:r>
              <w:rPr>
                <w:rFonts w:ascii="Arial" w:cs="Arial" w:eastAsia="Arial" w:hAnsi="Arial"/>
                <w:sz w:val="18"/>
                <w:szCs w:val="18"/>
                <w:color w:val="auto"/>
              </w:rPr>
              <w:t>• Administering our equity incentive plans and overseeing regulatory</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42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compliance related to such plans;</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2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2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Reviewing and approving, or making recommendations to our Board with</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20" w:type="dxa"/>
            <w:vAlign w:val="bottom"/>
            <w:tcBorders>
              <w:bottom w:val="single" w:sz="8" w:color="27A770"/>
            </w:tcBorders>
          </w:tcPr>
          <w:p>
            <w:pPr>
              <w:spacing w:after="0"/>
              <w:rPr>
                <w:sz w:val="2"/>
                <w:szCs w:val="2"/>
                <w:color w:val="auto"/>
              </w:rPr>
            </w:pPr>
          </w:p>
        </w:tc>
        <w:tc>
          <w:tcPr>
            <w:tcW w:w="1980" w:type="dxa"/>
            <w:vAlign w:val="bottom"/>
            <w:tcBorders>
              <w:bottom w:val="single" w:sz="8" w:color="27A770"/>
            </w:tcBorders>
          </w:tcPr>
          <w:p>
            <w:pPr>
              <w:spacing w:after="0"/>
              <w:rPr>
                <w:sz w:val="2"/>
                <w:szCs w:val="2"/>
                <w:color w:val="auto"/>
              </w:rPr>
            </w:pPr>
          </w:p>
        </w:tc>
        <w:tc>
          <w:tcPr>
            <w:tcW w:w="200" w:type="dxa"/>
            <w:vAlign w:val="bottom"/>
            <w:tcBorders>
              <w:bottom w:val="single" w:sz="8" w:color="27A770"/>
            </w:tcBorders>
          </w:tcPr>
          <w:p>
            <w:pPr>
              <w:spacing w:after="0"/>
              <w:rPr>
                <w:sz w:val="2"/>
                <w:szCs w:val="2"/>
                <w:color w:val="auto"/>
              </w:rPr>
            </w:pPr>
          </w:p>
        </w:tc>
        <w:tc>
          <w:tcPr>
            <w:tcW w:w="62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6"/>
        </w:trPr>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980" w:type="dxa"/>
            <w:vAlign w:val="bottom"/>
          </w:tcPr>
          <w:p>
            <w:pPr>
              <w:spacing w:after="0"/>
              <w:rPr>
                <w:sz w:val="6"/>
                <w:szCs w:val="6"/>
                <w:color w:val="auto"/>
              </w:rPr>
            </w:pPr>
          </w:p>
        </w:tc>
        <w:tc>
          <w:tcPr>
            <w:tcW w:w="2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2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6260" w:type="dxa"/>
            <w:vAlign w:val="bottom"/>
            <w:vMerge w:val="restart"/>
          </w:tcPr>
          <w:p>
            <w:pPr>
              <w:ind w:left="480"/>
              <w:spacing w:after="0"/>
              <w:rPr>
                <w:sz w:val="20"/>
                <w:szCs w:val="20"/>
                <w:color w:val="auto"/>
              </w:rPr>
            </w:pPr>
            <w:r>
              <w:rPr>
                <w:rFonts w:ascii="Arial" w:cs="Arial" w:eastAsia="Arial" w:hAnsi="Arial"/>
                <w:sz w:val="18"/>
                <w:szCs w:val="18"/>
                <w:color w:val="auto"/>
              </w:rPr>
              <w:t>respect to, incentive compensation and equity plans; and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400" w:type="dxa"/>
            <w:vAlign w:val="bottom"/>
            <w:gridSpan w:val="2"/>
            <w:vMerge w:val="restart"/>
          </w:tcPr>
          <w:p>
            <w:pPr>
              <w:ind w:left="340"/>
              <w:spacing w:after="0"/>
              <w:rPr>
                <w:sz w:val="20"/>
                <w:szCs w:val="20"/>
                <w:color w:val="auto"/>
              </w:rPr>
            </w:pPr>
            <w:r>
              <w:rPr>
                <w:rFonts w:ascii="Arial" w:cs="Arial" w:eastAsia="Arial" w:hAnsi="Arial"/>
                <w:sz w:val="18"/>
                <w:szCs w:val="18"/>
                <w:color w:val="auto"/>
              </w:rPr>
              <w:t>All members are “non-</w:t>
            </w:r>
          </w:p>
        </w:tc>
        <w:tc>
          <w:tcPr>
            <w:tcW w:w="200" w:type="dxa"/>
            <w:vAlign w:val="bottom"/>
          </w:tcPr>
          <w:p>
            <w:pPr>
              <w:spacing w:after="0"/>
              <w:rPr>
                <w:sz w:val="7"/>
                <w:szCs w:val="7"/>
                <w:color w:val="auto"/>
              </w:rPr>
            </w:pPr>
          </w:p>
        </w:tc>
        <w:tc>
          <w:tcPr>
            <w:tcW w:w="6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260" w:type="dxa"/>
            <w:vAlign w:val="bottom"/>
            <w:vMerge w:val="restart"/>
          </w:tcPr>
          <w:p>
            <w:pPr>
              <w:ind w:left="300"/>
              <w:spacing w:after="0"/>
              <w:rPr>
                <w:sz w:val="20"/>
                <w:szCs w:val="20"/>
                <w:color w:val="auto"/>
              </w:rPr>
            </w:pPr>
            <w:r>
              <w:rPr>
                <w:rFonts w:ascii="Arial" w:cs="Arial" w:eastAsia="Arial" w:hAnsi="Arial"/>
                <w:sz w:val="18"/>
                <w:szCs w:val="18"/>
                <w:color w:val="auto"/>
              </w:rPr>
              <w:t>• Reviewing our overall compensation philosophy.</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ind w:left="340"/>
              <w:spacing w:after="0"/>
              <w:rPr>
                <w:sz w:val="20"/>
                <w:szCs w:val="20"/>
                <w:color w:val="auto"/>
              </w:rPr>
            </w:pPr>
            <w:r>
              <w:rPr>
                <w:rFonts w:ascii="Arial" w:cs="Arial" w:eastAsia="Arial" w:hAnsi="Arial"/>
                <w:sz w:val="18"/>
                <w:szCs w:val="18"/>
                <w:color w:val="auto"/>
              </w:rPr>
              <w:t>employee directors” as</w:t>
            </w:r>
          </w:p>
        </w:tc>
        <w:tc>
          <w:tcPr>
            <w:tcW w:w="20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00" w:type="dxa"/>
            <w:vAlign w:val="bottom"/>
            <w:gridSpan w:val="2"/>
          </w:tcPr>
          <w:p>
            <w:pPr>
              <w:ind w:left="340"/>
              <w:spacing w:after="0"/>
              <w:rPr>
                <w:sz w:val="20"/>
                <w:szCs w:val="20"/>
                <w:color w:val="auto"/>
              </w:rPr>
            </w:pPr>
            <w:r>
              <w:rPr>
                <w:rFonts w:ascii="Arial" w:cs="Arial" w:eastAsia="Arial" w:hAnsi="Arial"/>
                <w:sz w:val="18"/>
                <w:szCs w:val="18"/>
                <w:color w:val="auto"/>
              </w:rPr>
              <w:t>defined by SEC rules</w:t>
            </w:r>
          </w:p>
        </w:tc>
        <w:tc>
          <w:tcPr>
            <w:tcW w:w="20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-396240</wp:posOffset>
            </wp:positionV>
            <wp:extent cx="77470" cy="774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77470"/>
                    </a:xfrm>
                    <a:prstGeom prst="rect">
                      <a:avLst/>
                    </a:prstGeom>
                    <a:noFill/>
                  </pic:spPr>
                </pic:pic>
              </a:graphicData>
            </a:graphic>
          </wp:anchor>
        </w:drawing>
      </w:r>
    </w:p>
    <w:p>
      <w:pPr>
        <w:spacing w:after="0" w:line="254" w:lineRule="exact"/>
        <w:rPr>
          <w:sz w:val="20"/>
          <w:szCs w:val="20"/>
          <w:color w:val="auto"/>
        </w:rPr>
      </w:pPr>
    </w:p>
    <w:p>
      <w:pPr>
        <w:ind w:left="980"/>
        <w:spacing w:after="0"/>
        <w:rPr>
          <w:sz w:val="20"/>
          <w:szCs w:val="20"/>
          <w:color w:val="auto"/>
        </w:rPr>
      </w:pPr>
      <w:r>
        <w:rPr>
          <w:sz w:val="1"/>
          <w:szCs w:val="1"/>
          <w:color w:val="auto"/>
        </w:rPr>
        <w:drawing>
          <wp:inline distT="0" distB="0" distL="0" distR="0">
            <wp:extent cx="77470" cy="7683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76835"/>
                    </a:xfrm>
                    <a:prstGeom prst="rect">
                      <a:avLst/>
                    </a:prstGeom>
                    <a:noFill/>
                    <a:ln>
                      <a:noFill/>
                    </a:ln>
                  </pic:spPr>
                </pic:pic>
              </a:graphicData>
            </a:graphic>
          </wp:inline>
        </w:drawing>
      </w:r>
      <w:r>
        <w:rPr>
          <w:rFonts w:ascii="Arial" w:cs="Arial" w:eastAsia="Arial" w:hAnsi="Arial"/>
          <w:sz w:val="18"/>
          <w:szCs w:val="18"/>
          <w:color w:val="auto"/>
        </w:rPr>
        <w:t xml:space="preserve"> All members are deemed</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“independent” under the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applicable rules and</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regulations of the SEC and</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Nasdaq.</w:t>
      </w:r>
    </w:p>
    <w:p>
      <w:pPr>
        <w:spacing w:after="0" w:line="31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CONSULTANT</w:t>
      </w:r>
    </w:p>
    <w:p>
      <w:pPr>
        <w:spacing w:after="0" w:line="158"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Radford, a subsidiary of Aon Hewitt Limited, serves as our executive compensation consultant.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program design and our award values in relation to performance. Radford does not provide services to us other than its advice to the Compensation Committee on executive and director compensation matters.</w:t>
      </w:r>
    </w:p>
    <w:p>
      <w:pPr>
        <w:spacing w:after="0" w:line="23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4" w:lineRule="exact"/>
        <w:rPr>
          <w:sz w:val="20"/>
          <w:szCs w:val="20"/>
          <w:color w:val="auto"/>
        </w:rPr>
      </w:pPr>
    </w:p>
    <w:p>
      <w:pPr>
        <w:jc w:val="both"/>
        <w:ind w:left="880" w:right="19"/>
        <w:spacing w:after="0" w:line="271" w:lineRule="auto"/>
        <w:rPr>
          <w:sz w:val="20"/>
          <w:szCs w:val="20"/>
          <w:color w:val="auto"/>
        </w:rPr>
      </w:pPr>
      <w:r>
        <w:rPr>
          <w:rFonts w:ascii="Arial" w:cs="Arial" w:eastAsia="Arial" w:hAnsi="Arial"/>
          <w:sz w:val="18"/>
          <w:szCs w:val="18"/>
          <w:color w:val="auto"/>
        </w:rPr>
        <w:t>During the fiscal year ended December 31, 2021 and as of the date of this Proxy Statement, none of the members of our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or on our Compensation Committee.</w:t>
      </w:r>
    </w:p>
    <w:p>
      <w:pPr>
        <w:spacing w:after="0" w:line="23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FAMILY RELATIONSHIPS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rPr>
          <w:sz w:val="20"/>
          <w:szCs w:val="20"/>
          <w:color w:val="auto"/>
        </w:rPr>
      </w:pPr>
      <w:r>
        <w:rPr>
          <w:rFonts w:ascii="Arial" w:cs="Arial" w:eastAsia="Arial" w:hAnsi="Arial"/>
          <w:sz w:val="32"/>
          <w:szCs w:val="32"/>
          <w:b w:val="1"/>
          <w:bCs w:val="1"/>
          <w:color w:val="FFFFFF"/>
          <w:shd w:val="clear" w:color="auto" w:fill="27A770"/>
        </w:rPr>
        <w:t>​CORPORATE GOVERNANCE AND RISK MANAGEMENT ​</w:t>
      </w:r>
    </w:p>
    <w:p>
      <w:pPr>
        <w:spacing w:after="0" w:line="34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128905</wp:posOffset>
            </wp:positionV>
            <wp:extent cx="5117465" cy="1706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17465"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Connect</w:t>
      </w:r>
    </w:p>
    <w:p>
      <w:pPr>
        <w:spacing w:after="0" w:line="144" w:lineRule="exact"/>
        <w:rPr>
          <w:sz w:val="20"/>
          <w:szCs w:val="20"/>
          <w:color w:val="auto"/>
        </w:rPr>
      </w:pPr>
    </w:p>
    <w:p>
      <w:pPr>
        <w:jc w:val="both"/>
        <w:ind w:left="880" w:right="40"/>
        <w:spacing w:after="0" w:line="268" w:lineRule="auto"/>
        <w:rPr>
          <w:sz w:val="20"/>
          <w:szCs w:val="20"/>
          <w:color w:val="auto"/>
        </w:rPr>
      </w:pPr>
      <w:r>
        <w:rPr>
          <w:rFonts w:ascii="Arial" w:cs="Arial" w:eastAsia="Arial" w:hAnsi="Arial"/>
          <w:sz w:val="18"/>
          <w:szCs w:val="18"/>
          <w:color w:val="auto"/>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Collaborate</w:t>
      </w:r>
    </w:p>
    <w:p>
      <w:pPr>
        <w:spacing w:after="0" w:line="158" w:lineRule="exact"/>
        <w:rPr>
          <w:sz w:val="20"/>
          <w:szCs w:val="20"/>
          <w:color w:val="auto"/>
        </w:rPr>
      </w:pPr>
    </w:p>
    <w:p>
      <w:pPr>
        <w:jc w:val="both"/>
        <w:ind w:left="880" w:right="40"/>
        <w:spacing w:after="0" w:line="287" w:lineRule="auto"/>
        <w:rPr>
          <w:sz w:val="20"/>
          <w:szCs w:val="20"/>
          <w:color w:val="auto"/>
        </w:rPr>
      </w:pPr>
      <w:r>
        <w:rPr>
          <w:rFonts w:ascii="Arial" w:cs="Arial" w:eastAsia="Arial" w:hAnsi="Arial"/>
          <w:sz w:val="18"/>
          <w:szCs w:val="18"/>
          <w:color w:val="auto"/>
        </w:rPr>
        <w:t>We strive for a collaborative approach to stockholder engagement and value the variety of investors’ perspectives received, which helps deepen our understanding of their interests and motivations.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Communicate</w:t>
      </w:r>
    </w:p>
    <w:p>
      <w:pPr>
        <w:spacing w:after="0" w:line="158" w:lineRule="exact"/>
        <w:rPr>
          <w:sz w:val="20"/>
          <w:szCs w:val="20"/>
          <w:color w:val="auto"/>
        </w:rPr>
      </w:pPr>
    </w:p>
    <w:p>
      <w:pPr>
        <w:jc w:val="both"/>
        <w:ind w:left="880" w:right="40"/>
        <w:spacing w:after="0" w:line="268" w:lineRule="auto"/>
        <w:rPr>
          <w:sz w:val="20"/>
          <w:szCs w:val="20"/>
          <w:color w:val="auto"/>
        </w:rPr>
      </w:pPr>
      <w:r>
        <w:rPr>
          <w:rFonts w:ascii="Arial" w:cs="Arial" w:eastAsia="Arial" w:hAnsi="Arial"/>
          <w:sz w:val="18"/>
          <w:szCs w:val="18"/>
          <w:color w:val="auto"/>
        </w:rPr>
        <w:t>Our goal is to communicate with our stockholders through various platforms, including via our website at www.centurytx.com, in print and in person at investor presentations or stockholder meetings. We view communication between our stockholders and the Board as a dialogue.</w:t>
      </w:r>
    </w:p>
    <w:p>
      <w:pPr>
        <w:spacing w:after="0" w:line="129" w:lineRule="exact"/>
        <w:rPr>
          <w:sz w:val="20"/>
          <w:szCs w:val="20"/>
          <w:color w:val="auto"/>
        </w:rPr>
      </w:pPr>
    </w:p>
    <w:tbl>
      <w:tblPr>
        <w:tblLayout w:type="fixed"/>
        <w:tblInd w:w="860" w:type="dxa"/>
        <w:tblCellMar>
          <w:top w:w="0" w:type="dxa"/>
          <w:left w:w="0" w:type="dxa"/>
          <w:bottom w:w="0" w:type="dxa"/>
          <w:right w:w="0" w:type="dxa"/>
        </w:tblCellMar>
      </w:tblPr>
      <w:tr>
        <w:trPr>
          <w:trHeight w:val="292"/>
        </w:trPr>
        <w:tc>
          <w:tcPr>
            <w:tcW w:w="1640" w:type="dxa"/>
            <w:vAlign w:val="bottom"/>
            <w:tcBorders>
              <w:top w:val="single" w:sz="8" w:color="248ED8"/>
            </w:tcBorders>
          </w:tcPr>
          <w:p>
            <w:pPr>
              <w:ind w:left="20"/>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b w:val="1"/>
                <w:bCs w:val="1"/>
                <w:color w:val="auto"/>
              </w:rPr>
              <w:t xml:space="preserve">  HOW TO</w:t>
            </w:r>
          </w:p>
        </w:tc>
        <w:tc>
          <w:tcPr>
            <w:tcW w:w="7340" w:type="dxa"/>
            <w:vAlign w:val="bottom"/>
            <w:tcBorders>
              <w:top w:val="single" w:sz="8" w:color="248ED8"/>
            </w:tcBorders>
            <w:gridSpan w:val="2"/>
          </w:tcPr>
          <w:p>
            <w:pPr>
              <w:ind w:left="100"/>
              <w:spacing w:after="0" w:line="291" w:lineRule="exact"/>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By mail:</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COMMUNICATE</w:t>
            </w:r>
          </w:p>
        </w:tc>
        <w:tc>
          <w:tcPr>
            <w:tcW w:w="20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Secretary, Century Therapeutics, Inc.</w:t>
            </w:r>
          </w:p>
        </w:tc>
        <w:tc>
          <w:tcPr>
            <w:tcW w:w="60" w:type="dxa"/>
            <w:vAlign w:val="bottom"/>
          </w:tcPr>
          <w:p>
            <w:pPr>
              <w:spacing w:after="0"/>
              <w:rPr>
                <w:sz w:val="18"/>
                <w:szCs w:val="18"/>
                <w:color w:val="auto"/>
              </w:rPr>
            </w:pPr>
          </w:p>
        </w:tc>
      </w:tr>
      <w:tr>
        <w:trPr>
          <w:trHeight w:val="216"/>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WITH OUR</w:t>
            </w:r>
          </w:p>
        </w:tc>
        <w:tc>
          <w:tcPr>
            <w:tcW w:w="20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3675 Market Street</w:t>
            </w:r>
          </w:p>
        </w:tc>
        <w:tc>
          <w:tcPr>
            <w:tcW w:w="60" w:type="dxa"/>
            <w:vAlign w:val="bottom"/>
          </w:tcPr>
          <w:p>
            <w:pPr>
              <w:spacing w:after="0"/>
              <w:rPr>
                <w:sz w:val="18"/>
                <w:szCs w:val="18"/>
                <w:color w:val="auto"/>
              </w:rPr>
            </w:pPr>
          </w:p>
        </w:tc>
      </w:tr>
      <w:tr>
        <w:trPr>
          <w:trHeight w:val="247"/>
        </w:trPr>
        <w:tc>
          <w:tcPr>
            <w:tcW w:w="1640" w:type="dxa"/>
            <w:vAlign w:val="bottom"/>
          </w:tcPr>
          <w:p>
            <w:pPr>
              <w:ind w:left="200"/>
              <w:spacing w:after="0"/>
              <w:rPr>
                <w:sz w:val="20"/>
                <w:szCs w:val="20"/>
                <w:color w:val="auto"/>
              </w:rPr>
            </w:pPr>
            <w:r>
              <w:rPr>
                <w:rFonts w:ascii="Arial" w:cs="Arial" w:eastAsia="Arial" w:hAnsi="Arial"/>
                <w:sz w:val="18"/>
                <w:szCs w:val="18"/>
                <w:b w:val="1"/>
                <w:bCs w:val="1"/>
                <w:color w:val="auto"/>
              </w:rPr>
              <w:t>DIRECTORS</w:t>
            </w:r>
          </w:p>
        </w:tc>
        <w:tc>
          <w:tcPr>
            <w:tcW w:w="200" w:type="dxa"/>
            <w:vAlign w:val="bottom"/>
          </w:tcPr>
          <w:p>
            <w:pPr>
              <w:spacing w:after="0"/>
              <w:rPr>
                <w:sz w:val="21"/>
                <w:szCs w:val="21"/>
                <w:color w:val="auto"/>
              </w:rPr>
            </w:pPr>
          </w:p>
        </w:tc>
        <w:tc>
          <w:tcPr>
            <w:tcW w:w="7140" w:type="dxa"/>
            <w:vAlign w:val="bottom"/>
          </w:tcPr>
          <w:p>
            <w:pPr>
              <w:ind w:left="120"/>
              <w:spacing w:after="0"/>
              <w:rPr>
                <w:sz w:val="20"/>
                <w:szCs w:val="20"/>
                <w:color w:val="auto"/>
              </w:rPr>
            </w:pPr>
            <w:r>
              <w:rPr>
                <w:rFonts w:ascii="Arial" w:cs="Arial" w:eastAsia="Arial" w:hAnsi="Arial"/>
                <w:sz w:val="18"/>
                <w:szCs w:val="18"/>
                <w:color w:val="auto"/>
              </w:rPr>
              <w:t>Philadelphia, PA 19104</w:t>
            </w:r>
          </w:p>
        </w:tc>
        <w:tc>
          <w:tcPr>
            <w:tcW w:w="60" w:type="dxa"/>
            <w:vAlign w:val="bottom"/>
          </w:tcPr>
          <w:p>
            <w:pPr>
              <w:spacing w:after="0"/>
              <w:rPr>
                <w:sz w:val="21"/>
                <w:szCs w:val="21"/>
                <w:color w:val="auto"/>
              </w:rPr>
            </w:pPr>
          </w:p>
        </w:tc>
      </w:tr>
      <w:tr>
        <w:trPr>
          <w:trHeight w:val="83"/>
        </w:trPr>
        <w:tc>
          <w:tcPr>
            <w:tcW w:w="1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1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9900"/>
          </w:cols>
          <w:pgMar w:left="580" w:top="9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​DIRECTOR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8"/>
          <w:szCs w:val="18"/>
          <w:color w:val="248ED8"/>
        </w:rPr>
        <w:t>We have designed and implemented our compensation program for our non-employee directors to attract, motivate and retain individuals who are committed to our values and goals and who have the expertise and experience that we need to achieve those goals.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44"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8"/>
          <w:szCs w:val="18"/>
          <w:color w:val="auto"/>
        </w:rPr>
        <w:t>Prior to our IPO, we did not have a formal non-employee director compensation policy. In connection with our IPO, the Board adopted a non-employee director compensation policy, the material terms of which are summarized in the table below:</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310"/>
        </w:trPr>
        <w:tc>
          <w:tcPr>
            <w:tcW w:w="200" w:type="dxa"/>
            <w:vAlign w:val="bottom"/>
            <w:shd w:val="clear" w:color="auto" w:fill="248ED8"/>
          </w:tcPr>
          <w:p>
            <w:pPr>
              <w:ind w:left="60"/>
              <w:spacing w:after="0"/>
              <w:rPr>
                <w:sz w:val="20"/>
                <w:szCs w:val="20"/>
                <w:color w:val="auto"/>
              </w:rPr>
            </w:pPr>
            <w:r>
              <w:rPr>
                <w:rFonts w:ascii="Arial" w:cs="Arial" w:eastAsia="Arial" w:hAnsi="Arial"/>
                <w:sz w:val="18"/>
                <w:szCs w:val="18"/>
                <w:b w:val="1"/>
                <w:bCs w:val="1"/>
                <w:color w:val="FFFFFF"/>
              </w:rPr>
              <w:t>​</w:t>
            </w:r>
          </w:p>
        </w:tc>
        <w:tc>
          <w:tcPr>
            <w:tcW w:w="8320" w:type="dxa"/>
            <w:vAlign w:val="bottom"/>
            <w:gridSpan w:val="4"/>
            <w:shd w:val="clear" w:color="auto" w:fill="248ED8"/>
          </w:tcPr>
          <w:p>
            <w:pPr>
              <w:ind w:left="600"/>
              <w:spacing w:after="0"/>
              <w:rPr>
                <w:sz w:val="20"/>
                <w:szCs w:val="20"/>
                <w:color w:val="auto"/>
              </w:rPr>
            </w:pPr>
            <w:r>
              <w:rPr>
                <w:rFonts w:ascii="Arial" w:cs="Arial" w:eastAsia="Arial" w:hAnsi="Arial"/>
                <w:sz w:val="18"/>
                <w:szCs w:val="18"/>
                <w:b w:val="1"/>
                <w:bCs w:val="1"/>
                <w:color w:val="FFFFFF"/>
              </w:rPr>
              <w:t>COMPENSATION ELEMENTS — NON-EMPLOYEE DIRECTOR COMPENSATION POLICY</w:t>
            </w:r>
          </w:p>
        </w:tc>
        <w:tc>
          <w:tcPr>
            <w:tcW w:w="460" w:type="dxa"/>
            <w:vAlign w:val="bottom"/>
            <w:shd w:val="clear" w:color="auto" w:fill="248ED8"/>
          </w:tcPr>
          <w:p>
            <w:pPr>
              <w:jc w:val="right"/>
              <w:spacing w:after="0"/>
              <w:rPr>
                <w:sz w:val="20"/>
                <w:szCs w:val="20"/>
                <w:color w:val="auto"/>
              </w:rPr>
            </w:pPr>
            <w:r>
              <w:rPr>
                <w:rFonts w:ascii="Arial" w:cs="Arial" w:eastAsia="Arial" w:hAnsi="Arial"/>
                <w:sz w:val="18"/>
                <w:szCs w:val="18"/>
                <w:b w:val="1"/>
                <w:bCs w:val="1"/>
                <w:color w:val="FFFFFF"/>
              </w:rPr>
              <w:t>​</w:t>
            </w:r>
          </w:p>
        </w:tc>
      </w:tr>
      <w:tr>
        <w:trPr>
          <w:trHeight w:val="283"/>
        </w:trPr>
        <w:tc>
          <w:tcPr>
            <w:tcW w:w="3880" w:type="dxa"/>
            <w:vAlign w:val="bottom"/>
            <w:gridSpan w:val="2"/>
            <w:shd w:val="clear" w:color="auto" w:fill="27A770"/>
          </w:tcPr>
          <w:p>
            <w:pPr>
              <w:ind w:left="20"/>
              <w:spacing w:after="0"/>
              <w:rPr>
                <w:sz w:val="20"/>
                <w:szCs w:val="20"/>
                <w:color w:val="auto"/>
              </w:rPr>
            </w:pPr>
            <w:r>
              <w:rPr>
                <w:rFonts w:ascii="Arial" w:cs="Arial" w:eastAsia="Arial" w:hAnsi="Arial"/>
                <w:sz w:val="18"/>
                <w:szCs w:val="18"/>
                <w:b w:val="1"/>
                <w:bCs w:val="1"/>
                <w:color w:val="FFFFFF"/>
              </w:rPr>
              <w:t>​ Cash</w:t>
            </w:r>
          </w:p>
        </w:tc>
        <w:tc>
          <w:tcPr>
            <w:tcW w:w="1540" w:type="dxa"/>
            <w:vAlign w:val="bottom"/>
            <w:shd w:val="clear" w:color="auto" w:fill="27A770"/>
          </w:tcPr>
          <w:p>
            <w:pPr>
              <w:ind w:left="460"/>
              <w:spacing w:after="0"/>
              <w:rPr>
                <w:sz w:val="20"/>
                <w:szCs w:val="20"/>
                <w:color w:val="auto"/>
              </w:rPr>
            </w:pPr>
            <w:r>
              <w:rPr>
                <w:rFonts w:ascii="Arial" w:cs="Arial" w:eastAsia="Arial" w:hAnsi="Arial"/>
                <w:sz w:val="18"/>
                <w:szCs w:val="18"/>
                <w:b w:val="1"/>
                <w:bCs w:val="1"/>
                <w:color w:val="FFFFFF"/>
              </w:rPr>
              <w:t>​ ​</w:t>
            </w:r>
          </w:p>
        </w:tc>
        <w:tc>
          <w:tcPr>
            <w:tcW w:w="1600" w:type="dxa"/>
            <w:vAlign w:val="bottom"/>
            <w:shd w:val="clear" w:color="auto" w:fill="27A770"/>
          </w:tcPr>
          <w:p>
            <w:pPr>
              <w:ind w:left="940"/>
              <w:spacing w:after="0"/>
              <w:rPr>
                <w:sz w:val="20"/>
                <w:szCs w:val="20"/>
                <w:color w:val="auto"/>
              </w:rPr>
            </w:pPr>
            <w:r>
              <w:rPr>
                <w:rFonts w:ascii="Arial" w:cs="Arial" w:eastAsia="Arial" w:hAnsi="Arial"/>
                <w:sz w:val="18"/>
                <w:szCs w:val="18"/>
                <w:b w:val="1"/>
                <w:bCs w:val="1"/>
                <w:color w:val="FFFFFF"/>
              </w:rPr>
              <w:t>​ ​</w:t>
            </w:r>
          </w:p>
        </w:tc>
        <w:tc>
          <w:tcPr>
            <w:tcW w:w="1500" w:type="dxa"/>
            <w:vAlign w:val="bottom"/>
            <w:shd w:val="clear" w:color="auto" w:fill="27A770"/>
          </w:tcPr>
          <w:p>
            <w:pPr>
              <w:ind w:left="20"/>
              <w:spacing w:after="0"/>
              <w:rPr>
                <w:sz w:val="20"/>
                <w:szCs w:val="20"/>
                <w:color w:val="auto"/>
              </w:rPr>
            </w:pPr>
            <w:r>
              <w:rPr>
                <w:rFonts w:ascii="Arial" w:cs="Arial" w:eastAsia="Arial" w:hAnsi="Arial"/>
                <w:sz w:val="18"/>
                <w:szCs w:val="18"/>
                <w:b w:val="1"/>
                <w:bCs w:val="1"/>
                <w:color w:val="FFFFFF"/>
              </w:rPr>
              <w:t>​</w:t>
            </w:r>
          </w:p>
        </w:tc>
        <w:tc>
          <w:tcPr>
            <w:tcW w:w="460" w:type="dxa"/>
            <w:vAlign w:val="bottom"/>
            <w:shd w:val="clear" w:color="auto" w:fill="27A770"/>
          </w:tcPr>
          <w:p>
            <w:pPr>
              <w:jc w:val="right"/>
              <w:spacing w:after="0"/>
              <w:rPr>
                <w:sz w:val="20"/>
                <w:szCs w:val="20"/>
                <w:color w:val="auto"/>
              </w:rPr>
            </w:pPr>
            <w:r>
              <w:rPr>
                <w:rFonts w:ascii="Arial" w:cs="Arial" w:eastAsia="Arial" w:hAnsi="Arial"/>
                <w:sz w:val="18"/>
                <w:szCs w:val="18"/>
                <w:b w:val="1"/>
                <w:bCs w:val="1"/>
                <w:color w:val="FFFFFF"/>
              </w:rPr>
              <w:t>​</w:t>
            </w:r>
          </w:p>
        </w:tc>
      </w:tr>
      <w:tr>
        <w:trPr>
          <w:trHeight w:val="268"/>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 Annual Retainer</w:t>
            </w:r>
          </w:p>
        </w:tc>
        <w:tc>
          <w:tcPr>
            <w:tcW w:w="1540" w:type="dxa"/>
            <w:vAlign w:val="bottom"/>
          </w:tcPr>
          <w:p>
            <w:pPr>
              <w:ind w:left="460"/>
              <w:spacing w:after="0"/>
              <w:rPr>
                <w:sz w:val="20"/>
                <w:szCs w:val="20"/>
                <w:color w:val="auto"/>
              </w:rPr>
            </w:pPr>
            <w:r>
              <w:rPr>
                <w:rFonts w:ascii="Arial" w:cs="Arial" w:eastAsia="Arial" w:hAnsi="Arial"/>
                <w:sz w:val="18"/>
                <w:szCs w:val="18"/>
                <w:b w:val="1"/>
                <w:bCs w:val="1"/>
                <w:color w:val="auto"/>
              </w:rPr>
              <w:t>​ ​</w:t>
            </w:r>
          </w:p>
        </w:tc>
        <w:tc>
          <w:tcPr>
            <w:tcW w:w="1600" w:type="dxa"/>
            <w:vAlign w:val="bottom"/>
          </w:tcPr>
          <w:p>
            <w:pPr>
              <w:ind w:left="940"/>
              <w:spacing w:after="0"/>
              <w:rPr>
                <w:sz w:val="20"/>
                <w:szCs w:val="20"/>
                <w:color w:val="auto"/>
              </w:rPr>
            </w:pPr>
            <w:r>
              <w:rPr>
                <w:rFonts w:ascii="Arial" w:cs="Arial" w:eastAsia="Arial" w:hAnsi="Arial"/>
                <w:sz w:val="18"/>
                <w:szCs w:val="18"/>
                <w:b w:val="1"/>
                <w:bCs w:val="1"/>
                <w:color w:val="auto"/>
              </w:rPr>
              <w:t>​ ​</w:t>
            </w:r>
          </w:p>
        </w:tc>
        <w:tc>
          <w:tcPr>
            <w:tcW w:w="15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Member Annual Retainer</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3100" w:type="dxa"/>
            <w:vAlign w:val="bottom"/>
            <w:gridSpan w:val="2"/>
          </w:tcPr>
          <w:p>
            <w:pPr>
              <w:ind w:left="940"/>
              <w:spacing w:after="0"/>
              <w:rPr>
                <w:sz w:val="20"/>
                <w:szCs w:val="20"/>
                <w:color w:val="auto"/>
              </w:rPr>
            </w:pPr>
            <w:r>
              <w:rPr>
                <w:rFonts w:ascii="Arial" w:cs="Arial" w:eastAsia="Arial" w:hAnsi="Arial"/>
                <w:sz w:val="18"/>
                <w:szCs w:val="18"/>
                <w:color w:val="auto"/>
              </w:rPr>
              <w:t>​$35,000</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Chairperson Annual Retainer</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3100" w:type="dxa"/>
            <w:vAlign w:val="bottom"/>
            <w:gridSpan w:val="2"/>
          </w:tcPr>
          <w:p>
            <w:pPr>
              <w:ind w:left="940"/>
              <w:spacing w:after="0"/>
              <w:rPr>
                <w:sz w:val="20"/>
                <w:szCs w:val="20"/>
                <w:color w:val="auto"/>
              </w:rPr>
            </w:pPr>
            <w:r>
              <w:rPr>
                <w:rFonts w:ascii="Arial" w:cs="Arial" w:eastAsia="Arial" w:hAnsi="Arial"/>
                <w:sz w:val="18"/>
                <w:szCs w:val="18"/>
                <w:color w:val="auto"/>
              </w:rPr>
              <w:t>​$30,000</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8"/>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 Annual Committee Chair Retainer</w:t>
            </w:r>
          </w:p>
        </w:tc>
        <w:tc>
          <w:tcPr>
            <w:tcW w:w="1540" w:type="dxa"/>
            <w:vAlign w:val="bottom"/>
          </w:tcPr>
          <w:p>
            <w:pPr>
              <w:ind w:left="460"/>
              <w:spacing w:after="0"/>
              <w:rPr>
                <w:sz w:val="20"/>
                <w:szCs w:val="20"/>
                <w:color w:val="auto"/>
              </w:rPr>
            </w:pPr>
            <w:r>
              <w:rPr>
                <w:rFonts w:ascii="Arial" w:cs="Arial" w:eastAsia="Arial" w:hAnsi="Arial"/>
                <w:sz w:val="18"/>
                <w:szCs w:val="18"/>
                <w:b w:val="1"/>
                <w:bCs w:val="1"/>
                <w:color w:val="auto"/>
              </w:rPr>
              <w:t>​ ​</w:t>
            </w:r>
          </w:p>
        </w:tc>
        <w:tc>
          <w:tcPr>
            <w:tcW w:w="1600" w:type="dxa"/>
            <w:vAlign w:val="bottom"/>
          </w:tcPr>
          <w:p>
            <w:pPr>
              <w:ind w:left="940"/>
              <w:spacing w:after="0"/>
              <w:rPr>
                <w:sz w:val="20"/>
                <w:szCs w:val="20"/>
                <w:color w:val="auto"/>
              </w:rPr>
            </w:pPr>
            <w:r>
              <w:rPr>
                <w:rFonts w:ascii="Arial" w:cs="Arial" w:eastAsia="Arial" w:hAnsi="Arial"/>
                <w:sz w:val="18"/>
                <w:szCs w:val="18"/>
                <w:b w:val="1"/>
                <w:bCs w:val="1"/>
                <w:color w:val="auto"/>
              </w:rPr>
              <w:t>​ ​</w:t>
            </w:r>
          </w:p>
        </w:tc>
        <w:tc>
          <w:tcPr>
            <w:tcW w:w="15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Audit</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3100" w:type="dxa"/>
            <w:vAlign w:val="bottom"/>
            <w:gridSpan w:val="2"/>
          </w:tcPr>
          <w:p>
            <w:pPr>
              <w:ind w:left="940"/>
              <w:spacing w:after="0"/>
              <w:rPr>
                <w:sz w:val="20"/>
                <w:szCs w:val="20"/>
                <w:color w:val="auto"/>
              </w:rPr>
            </w:pPr>
            <w:r>
              <w:rPr>
                <w:rFonts w:ascii="Arial" w:cs="Arial" w:eastAsia="Arial" w:hAnsi="Arial"/>
                <w:sz w:val="18"/>
                <w:szCs w:val="18"/>
                <w:color w:val="auto"/>
              </w:rPr>
              <w:t>​$15,000</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Compensation</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3100" w:type="dxa"/>
            <w:vAlign w:val="bottom"/>
            <w:gridSpan w:val="2"/>
          </w:tcPr>
          <w:p>
            <w:pPr>
              <w:ind w:left="940"/>
              <w:spacing w:after="0"/>
              <w:rPr>
                <w:sz w:val="20"/>
                <w:szCs w:val="20"/>
                <w:color w:val="auto"/>
              </w:rPr>
            </w:pPr>
            <w:r>
              <w:rPr>
                <w:rFonts w:ascii="Arial" w:cs="Arial" w:eastAsia="Arial" w:hAnsi="Arial"/>
                <w:sz w:val="18"/>
                <w:szCs w:val="18"/>
                <w:color w:val="auto"/>
              </w:rPr>
              <w:t>​$10,000</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   Nominating and Corporate Governance</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$8,000</w:t>
            </w:r>
          </w:p>
        </w:tc>
        <w:tc>
          <w:tcPr>
            <w:tcW w:w="15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 Annual Committee Member Retainer</w:t>
            </w:r>
          </w:p>
        </w:tc>
        <w:tc>
          <w:tcPr>
            <w:tcW w:w="1540" w:type="dxa"/>
            <w:vAlign w:val="bottom"/>
          </w:tcPr>
          <w:p>
            <w:pPr>
              <w:ind w:left="460"/>
              <w:spacing w:after="0"/>
              <w:rPr>
                <w:sz w:val="20"/>
                <w:szCs w:val="20"/>
                <w:color w:val="auto"/>
              </w:rPr>
            </w:pPr>
            <w:r>
              <w:rPr>
                <w:rFonts w:ascii="Arial" w:cs="Arial" w:eastAsia="Arial" w:hAnsi="Arial"/>
                <w:sz w:val="18"/>
                <w:szCs w:val="18"/>
                <w:b w:val="1"/>
                <w:bCs w:val="1"/>
                <w:color w:val="auto"/>
              </w:rPr>
              <w:t>​ ​</w:t>
            </w:r>
          </w:p>
        </w:tc>
        <w:tc>
          <w:tcPr>
            <w:tcW w:w="1600" w:type="dxa"/>
            <w:vAlign w:val="bottom"/>
          </w:tcPr>
          <w:p>
            <w:pPr>
              <w:ind w:left="940"/>
              <w:spacing w:after="0"/>
              <w:rPr>
                <w:sz w:val="20"/>
                <w:szCs w:val="20"/>
                <w:color w:val="auto"/>
              </w:rPr>
            </w:pPr>
            <w:r>
              <w:rPr>
                <w:rFonts w:ascii="Arial" w:cs="Arial" w:eastAsia="Arial" w:hAnsi="Arial"/>
                <w:sz w:val="18"/>
                <w:szCs w:val="18"/>
                <w:b w:val="1"/>
                <w:bCs w:val="1"/>
                <w:color w:val="auto"/>
              </w:rPr>
              <w:t>​ ​</w:t>
            </w:r>
          </w:p>
        </w:tc>
        <w:tc>
          <w:tcPr>
            <w:tcW w:w="15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2"/>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Audit</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$7,500</w:t>
            </w:r>
          </w:p>
        </w:tc>
        <w:tc>
          <w:tcPr>
            <w:tcW w:w="15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3680" w:type="dxa"/>
            <w:vAlign w:val="bottom"/>
          </w:tcPr>
          <w:p>
            <w:pPr>
              <w:ind w:left="80"/>
              <w:spacing w:after="0"/>
              <w:rPr>
                <w:sz w:val="20"/>
                <w:szCs w:val="20"/>
                <w:color w:val="auto"/>
              </w:rPr>
            </w:pPr>
            <w:r>
              <w:rPr>
                <w:rFonts w:ascii="Arial" w:cs="Arial" w:eastAsia="Arial" w:hAnsi="Arial"/>
                <w:sz w:val="18"/>
                <w:szCs w:val="18"/>
                <w:color w:val="auto"/>
              </w:rPr>
              <w:t>Compensation</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$5,000</w:t>
            </w:r>
          </w:p>
        </w:tc>
        <w:tc>
          <w:tcPr>
            <w:tcW w:w="15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   Nominating and Corporate Governance</w:t>
            </w:r>
          </w:p>
        </w:tc>
        <w:tc>
          <w:tcPr>
            <w:tcW w:w="1540" w:type="dxa"/>
            <w:vAlign w:val="bottom"/>
          </w:tcPr>
          <w:p>
            <w:pPr>
              <w:ind w:left="460"/>
              <w:spacing w:after="0"/>
              <w:rPr>
                <w:sz w:val="20"/>
                <w:szCs w:val="20"/>
                <w:color w:val="auto"/>
              </w:rPr>
            </w:pPr>
            <w:r>
              <w:rPr>
                <w:rFonts w:ascii="Arial" w:cs="Arial" w:eastAsia="Arial" w:hAnsi="Arial"/>
                <w:sz w:val="18"/>
                <w:szCs w:val="18"/>
                <w:color w:val="auto"/>
              </w:rPr>
              <w:t>​ ​</w:t>
            </w:r>
          </w:p>
        </w:tc>
        <w:tc>
          <w:tcPr>
            <w:tcW w:w="1600" w:type="dxa"/>
            <w:vAlign w:val="bottom"/>
          </w:tcPr>
          <w:p>
            <w:pPr>
              <w:ind w:left="1020"/>
              <w:spacing w:after="0"/>
              <w:rPr>
                <w:sz w:val="20"/>
                <w:szCs w:val="20"/>
                <w:color w:val="auto"/>
              </w:rPr>
            </w:pPr>
            <w:r>
              <w:rPr>
                <w:rFonts w:ascii="Arial" w:cs="Arial" w:eastAsia="Arial" w:hAnsi="Arial"/>
                <w:sz w:val="18"/>
                <w:szCs w:val="18"/>
                <w:color w:val="auto"/>
              </w:rPr>
              <w:t>$4,000</w:t>
            </w:r>
          </w:p>
        </w:tc>
        <w:tc>
          <w:tcPr>
            <w:tcW w:w="15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3880" w:type="dxa"/>
            <w:vAlign w:val="bottom"/>
            <w:gridSpan w:val="2"/>
            <w:shd w:val="clear" w:color="auto" w:fill="27A770"/>
          </w:tcPr>
          <w:p>
            <w:pPr>
              <w:ind w:left="20"/>
              <w:spacing w:after="0"/>
              <w:rPr>
                <w:sz w:val="20"/>
                <w:szCs w:val="20"/>
                <w:color w:val="auto"/>
              </w:rPr>
            </w:pPr>
            <w:r>
              <w:rPr>
                <w:rFonts w:ascii="Arial" w:cs="Arial" w:eastAsia="Arial" w:hAnsi="Arial"/>
                <w:sz w:val="18"/>
                <w:szCs w:val="18"/>
                <w:b w:val="1"/>
                <w:bCs w:val="1"/>
                <w:color w:val="FFFFFF"/>
              </w:rPr>
              <w:t>​ Equity</w:t>
            </w:r>
          </w:p>
        </w:tc>
        <w:tc>
          <w:tcPr>
            <w:tcW w:w="1540" w:type="dxa"/>
            <w:vAlign w:val="bottom"/>
            <w:shd w:val="clear" w:color="auto" w:fill="27A770"/>
          </w:tcPr>
          <w:p>
            <w:pPr>
              <w:ind w:left="460"/>
              <w:spacing w:after="0"/>
              <w:rPr>
                <w:sz w:val="20"/>
                <w:szCs w:val="20"/>
                <w:color w:val="auto"/>
              </w:rPr>
            </w:pPr>
            <w:r>
              <w:rPr>
                <w:rFonts w:ascii="Arial" w:cs="Arial" w:eastAsia="Arial" w:hAnsi="Arial"/>
                <w:sz w:val="18"/>
                <w:szCs w:val="18"/>
                <w:b w:val="1"/>
                <w:bCs w:val="1"/>
                <w:color w:val="FFFFFF"/>
              </w:rPr>
              <w:t>​ ​</w:t>
            </w:r>
          </w:p>
        </w:tc>
        <w:tc>
          <w:tcPr>
            <w:tcW w:w="1600" w:type="dxa"/>
            <w:vAlign w:val="bottom"/>
            <w:shd w:val="clear" w:color="auto" w:fill="27A770"/>
          </w:tcPr>
          <w:p>
            <w:pPr>
              <w:ind w:left="940"/>
              <w:spacing w:after="0"/>
              <w:rPr>
                <w:sz w:val="20"/>
                <w:szCs w:val="20"/>
                <w:color w:val="auto"/>
              </w:rPr>
            </w:pPr>
            <w:r>
              <w:rPr>
                <w:rFonts w:ascii="Arial" w:cs="Arial" w:eastAsia="Arial" w:hAnsi="Arial"/>
                <w:sz w:val="18"/>
                <w:szCs w:val="18"/>
                <w:b w:val="1"/>
                <w:bCs w:val="1"/>
                <w:color w:val="FFFFFF"/>
              </w:rPr>
              <w:t>​ ​</w:t>
            </w:r>
          </w:p>
        </w:tc>
        <w:tc>
          <w:tcPr>
            <w:tcW w:w="1500" w:type="dxa"/>
            <w:vAlign w:val="bottom"/>
            <w:shd w:val="clear" w:color="auto" w:fill="27A770"/>
          </w:tcPr>
          <w:p>
            <w:pPr>
              <w:ind w:left="20"/>
              <w:spacing w:after="0"/>
              <w:rPr>
                <w:sz w:val="20"/>
                <w:szCs w:val="20"/>
                <w:color w:val="auto"/>
              </w:rPr>
            </w:pPr>
            <w:r>
              <w:rPr>
                <w:rFonts w:ascii="Arial" w:cs="Arial" w:eastAsia="Arial" w:hAnsi="Arial"/>
                <w:sz w:val="18"/>
                <w:szCs w:val="18"/>
                <w:b w:val="1"/>
                <w:bCs w:val="1"/>
                <w:color w:val="FFFFFF"/>
              </w:rPr>
              <w:t>​</w:t>
            </w:r>
          </w:p>
        </w:tc>
        <w:tc>
          <w:tcPr>
            <w:tcW w:w="460" w:type="dxa"/>
            <w:vAlign w:val="bottom"/>
            <w:shd w:val="clear" w:color="auto" w:fill="27A770"/>
          </w:tcPr>
          <w:p>
            <w:pPr>
              <w:jc w:val="right"/>
              <w:spacing w:after="0"/>
              <w:rPr>
                <w:sz w:val="20"/>
                <w:szCs w:val="20"/>
                <w:color w:val="auto"/>
              </w:rPr>
            </w:pPr>
            <w:r>
              <w:rPr>
                <w:rFonts w:ascii="Arial" w:cs="Arial" w:eastAsia="Arial" w:hAnsi="Arial"/>
                <w:sz w:val="18"/>
                <w:szCs w:val="18"/>
                <w:b w:val="1"/>
                <w:bCs w:val="1"/>
                <w:color w:val="FFFFFF"/>
              </w:rPr>
              <w:t>​</w:t>
            </w:r>
          </w:p>
        </w:tc>
      </w:tr>
    </w:tbl>
    <w:p>
      <w:pPr>
        <w:spacing w:after="0" w:line="22"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3640" w:type="dxa"/>
            <w:vAlign w:val="bottom"/>
          </w:tcPr>
          <w:p>
            <w:pPr>
              <w:ind w:left="1420"/>
              <w:spacing w:after="0"/>
              <w:rPr>
                <w:sz w:val="20"/>
                <w:szCs w:val="20"/>
                <w:color w:val="auto"/>
              </w:rPr>
            </w:pPr>
            <w:r>
              <w:rPr>
                <w:rFonts w:ascii="Arial" w:cs="Arial" w:eastAsia="Arial" w:hAnsi="Arial"/>
                <w:sz w:val="18"/>
                <w:szCs w:val="18"/>
                <w:color w:val="auto"/>
              </w:rPr>
              <w:t>Option to purchase 39,744</w:t>
            </w:r>
          </w:p>
        </w:tc>
        <w:tc>
          <w:tcPr>
            <w:tcW w:w="2180" w:type="dxa"/>
            <w:vAlign w:val="bottom"/>
          </w:tcPr>
          <w:p>
            <w:pPr>
              <w:jc w:val="right"/>
              <w:spacing w:after="0"/>
              <w:rPr>
                <w:sz w:val="20"/>
                <w:szCs w:val="20"/>
                <w:color w:val="auto"/>
              </w:rPr>
            </w:pPr>
            <w:r>
              <w:rPr>
                <w:rFonts w:ascii="Arial" w:cs="Arial" w:eastAsia="Arial" w:hAnsi="Arial"/>
                <w:sz w:val="18"/>
                <w:szCs w:val="18"/>
                <w:color w:val="auto"/>
              </w:rPr>
              <w:t>shares of common stock,</w:t>
            </w:r>
          </w:p>
        </w:tc>
      </w:tr>
      <w:tr>
        <w:trPr>
          <w:trHeight w:val="203"/>
        </w:trPr>
        <w:tc>
          <w:tcPr>
            <w:tcW w:w="3100" w:type="dxa"/>
            <w:vAlign w:val="bottom"/>
          </w:tcPr>
          <w:p>
            <w:pPr>
              <w:spacing w:after="0"/>
              <w:rPr>
                <w:sz w:val="17"/>
                <w:szCs w:val="17"/>
                <w:color w:val="auto"/>
              </w:rPr>
            </w:pPr>
          </w:p>
        </w:tc>
        <w:tc>
          <w:tcPr>
            <w:tcW w:w="3640" w:type="dxa"/>
            <w:vAlign w:val="bottom"/>
          </w:tcPr>
          <w:p>
            <w:pPr>
              <w:ind w:left="1420"/>
              <w:spacing w:after="0" w:line="202" w:lineRule="exact"/>
              <w:rPr>
                <w:sz w:val="20"/>
                <w:szCs w:val="20"/>
                <w:color w:val="auto"/>
              </w:rPr>
            </w:pPr>
            <w:r>
              <w:rPr>
                <w:rFonts w:ascii="Arial" w:cs="Arial" w:eastAsia="Arial" w:hAnsi="Arial"/>
                <w:sz w:val="18"/>
                <w:szCs w:val="18"/>
                <w:color w:val="auto"/>
              </w:rPr>
              <w:t>made  to  directors  at  the</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commencement  of  their</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Initial Equity Grant</w:t>
            </w:r>
          </w:p>
        </w:tc>
        <w:tc>
          <w:tcPr>
            <w:tcW w:w="5820" w:type="dxa"/>
            <w:vAlign w:val="bottom"/>
            <w:gridSpan w:val="2"/>
          </w:tcPr>
          <w:p>
            <w:pPr>
              <w:ind w:left="1220"/>
              <w:spacing w:after="0"/>
              <w:rPr>
                <w:sz w:val="20"/>
                <w:szCs w:val="20"/>
                <w:color w:val="auto"/>
              </w:rPr>
            </w:pPr>
            <w:r>
              <w:rPr>
                <w:rFonts w:ascii="Arial" w:cs="Arial" w:eastAsia="Arial" w:hAnsi="Arial"/>
                <w:sz w:val="18"/>
                <w:szCs w:val="18"/>
                <w:color w:val="auto"/>
              </w:rPr>
              <w:t>​ ​ director service, vesting monthly over a period of​</w:t>
            </w:r>
          </w:p>
        </w:tc>
      </w:tr>
      <w:tr>
        <w:trPr>
          <w:trHeight w:val="216"/>
        </w:trPr>
        <w:tc>
          <w:tcPr>
            <w:tcW w:w="3100" w:type="dxa"/>
            <w:vAlign w:val="bottom"/>
          </w:tcPr>
          <w:p>
            <w:pPr>
              <w:spacing w:after="0"/>
              <w:rPr>
                <w:sz w:val="18"/>
                <w:szCs w:val="18"/>
                <w:color w:val="auto"/>
              </w:rPr>
            </w:pPr>
          </w:p>
        </w:tc>
        <w:tc>
          <w:tcPr>
            <w:tcW w:w="5820" w:type="dxa"/>
            <w:vAlign w:val="bottom"/>
            <w:gridSpan w:val="2"/>
          </w:tcPr>
          <w:p>
            <w:pPr>
              <w:ind w:left="1420"/>
              <w:spacing w:after="0"/>
              <w:rPr>
                <w:sz w:val="20"/>
                <w:szCs w:val="20"/>
                <w:color w:val="auto"/>
              </w:rPr>
            </w:pPr>
            <w:r>
              <w:rPr>
                <w:rFonts w:ascii="Arial" w:cs="Arial" w:eastAsia="Arial" w:hAnsi="Arial"/>
                <w:sz w:val="18"/>
                <w:szCs w:val="18"/>
                <w:color w:val="auto"/>
              </w:rPr>
              <w:t>36 months, subject generally to continued service with</w:t>
            </w:r>
          </w:p>
        </w:tc>
      </w:tr>
      <w:tr>
        <w:trPr>
          <w:trHeight w:val="239"/>
        </w:trPr>
        <w:tc>
          <w:tcPr>
            <w:tcW w:w="3100" w:type="dxa"/>
            <w:vAlign w:val="bottom"/>
          </w:tcPr>
          <w:p>
            <w:pPr>
              <w:spacing w:after="0"/>
              <w:rPr>
                <w:sz w:val="20"/>
                <w:szCs w:val="20"/>
                <w:color w:val="auto"/>
              </w:rPr>
            </w:pPr>
          </w:p>
        </w:tc>
        <w:tc>
          <w:tcPr>
            <w:tcW w:w="3640" w:type="dxa"/>
            <w:vAlign w:val="bottom"/>
          </w:tcPr>
          <w:p>
            <w:pPr>
              <w:ind w:left="1420"/>
              <w:spacing w:after="0"/>
              <w:rPr>
                <w:sz w:val="20"/>
                <w:szCs w:val="20"/>
                <w:color w:val="auto"/>
              </w:rPr>
            </w:pPr>
            <w:r>
              <w:rPr>
                <w:rFonts w:ascii="Arial" w:cs="Arial" w:eastAsia="Arial" w:hAnsi="Arial"/>
                <w:sz w:val="18"/>
                <w:szCs w:val="18"/>
                <w:color w:val="auto"/>
              </w:rPr>
              <w:t>the Company</w:t>
            </w:r>
          </w:p>
        </w:tc>
        <w:tc>
          <w:tcPr>
            <w:tcW w:w="2180" w:type="dxa"/>
            <w:vAlign w:val="bottom"/>
          </w:tcPr>
          <w:p>
            <w:pPr>
              <w:spacing w:after="0"/>
              <w:rPr>
                <w:sz w:val="20"/>
                <w:szCs w:val="20"/>
                <w:color w:val="auto"/>
              </w:rPr>
            </w:pPr>
          </w:p>
        </w:tc>
      </w:tr>
    </w:tbl>
    <w:p>
      <w:pPr>
        <w:spacing w:after="0" w:line="3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Option to purchase 19,872 shares of common stock,</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vesting in full on the sooner of the first anniversary of</w:t>
      </w:r>
    </w:p>
    <w:p>
      <w:pPr>
        <w:spacing w:after="0" w:line="9" w:lineRule="exact"/>
        <w:rPr>
          <w:sz w:val="20"/>
          <w:szCs w:val="20"/>
          <w:color w:val="auto"/>
        </w:rPr>
      </w:pPr>
    </w:p>
    <w:p>
      <w:pPr>
        <w:ind w:left="880"/>
        <w:spacing w:after="0"/>
        <w:tabs>
          <w:tab w:leader="none" w:pos="1140" w:val="left"/>
          <w:tab w:leader="none" w:pos="5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Annual Equity Retainer</w:t>
      </w:r>
      <w:r>
        <w:rPr>
          <w:sz w:val="20"/>
          <w:szCs w:val="20"/>
          <w:color w:val="auto"/>
        </w:rPr>
        <w:tab/>
      </w:r>
      <w:r>
        <w:rPr>
          <w:rFonts w:ascii="Arial" w:cs="Arial" w:eastAsia="Arial" w:hAnsi="Arial"/>
          <w:sz w:val="18"/>
          <w:szCs w:val="18"/>
          <w:color w:val="auto"/>
        </w:rPr>
        <w:t>​ ​ the date of grant or the next annual shareholder​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meeting, subject generally to continued service with</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the Company</w:t>
      </w:r>
    </w:p>
    <w:p>
      <w:pPr>
        <w:spacing w:after="0" w:line="180"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8"/>
          <w:szCs w:val="18"/>
          <w:color w:val="auto"/>
        </w:rPr>
        <w:t>Each annual cash retainer is paid quarterly in arrears. All equity awards granted under the non-employee director compensation policy will be granted under, and subject to the terms of, the Company’s 2021 Equity Incentive Plan, or the 2021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​DIRECTOR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COMPENSATION TABLE</w:t>
      </w:r>
    </w:p>
    <w:p>
      <w:pPr>
        <w:spacing w:after="0" w:line="144" w:lineRule="exact"/>
        <w:rPr>
          <w:sz w:val="20"/>
          <w:szCs w:val="20"/>
          <w:color w:val="auto"/>
        </w:rPr>
      </w:pPr>
    </w:p>
    <w:p>
      <w:pPr>
        <w:ind w:left="880" w:right="19"/>
        <w:spacing w:after="0" w:line="287" w:lineRule="auto"/>
        <w:rPr>
          <w:sz w:val="20"/>
          <w:szCs w:val="20"/>
          <w:color w:val="auto"/>
        </w:rPr>
      </w:pPr>
      <w:r>
        <w:rPr>
          <w:rFonts w:ascii="Arial" w:cs="Arial" w:eastAsia="Arial" w:hAnsi="Arial"/>
          <w:sz w:val="18"/>
          <w:szCs w:val="18"/>
          <w:color w:val="auto"/>
        </w:rPr>
        <w:t>The following table below sets forth information for the fiscal year ended December 31, 2021 regarding the compensation of our non-employee directors.</w:t>
      </w:r>
    </w:p>
    <w:p>
      <w:pPr>
        <w:spacing w:after="0" w:line="125" w:lineRule="exact"/>
        <w:rPr>
          <w:sz w:val="20"/>
          <w:szCs w:val="20"/>
          <w:color w:val="auto"/>
        </w:rPr>
      </w:pPr>
    </w:p>
    <w:tbl>
      <w:tblPr>
        <w:tblLayout w:type="fixed"/>
        <w:tblInd w:w="870" w:type="dxa"/>
        <w:tblCellMar>
          <w:top w:w="0" w:type="dxa"/>
          <w:left w:w="0" w:type="dxa"/>
          <w:bottom w:w="0" w:type="dxa"/>
          <w:right w:w="0" w:type="dxa"/>
        </w:tblCellMar>
      </w:tblPr>
      <w:tr>
        <w:trPr>
          <w:trHeight w:val="283"/>
        </w:trPr>
        <w:tc>
          <w:tcPr>
            <w:tcW w:w="920" w:type="dxa"/>
            <w:vAlign w:val="bottom"/>
            <w:tcBorders>
              <w:top w:val="single" w:sz="8" w:color="auto"/>
              <w:left w:val="single" w:sz="8" w:color="auto"/>
            </w:tcBorders>
            <w:shd w:val="clear" w:color="auto" w:fill="248ED8"/>
          </w:tcPr>
          <w:p>
            <w:pPr>
              <w:ind w:left="60"/>
              <w:spacing w:after="0"/>
              <w:rPr>
                <w:sz w:val="20"/>
                <w:szCs w:val="20"/>
                <w:color w:val="auto"/>
              </w:rPr>
            </w:pPr>
            <w:r>
              <w:rPr>
                <w:rFonts w:ascii="Arial" w:cs="Arial" w:eastAsia="Arial" w:hAnsi="Arial"/>
                <w:sz w:val="16"/>
                <w:szCs w:val="16"/>
                <w:b w:val="1"/>
                <w:bCs w:val="1"/>
                <w:color w:val="FFFFFF"/>
              </w:rPr>
              <w:t>​</w:t>
            </w:r>
          </w:p>
        </w:tc>
        <w:tc>
          <w:tcPr>
            <w:tcW w:w="1320" w:type="dxa"/>
            <w:vAlign w:val="bottom"/>
            <w:tcBorders>
              <w:top w:val="single" w:sz="8" w:color="auto"/>
            </w:tcBorders>
            <w:shd w:val="clear" w:color="auto" w:fill="248ED8"/>
          </w:tcPr>
          <w:p>
            <w:pPr>
              <w:spacing w:after="0"/>
              <w:rPr>
                <w:sz w:val="20"/>
                <w:szCs w:val="20"/>
                <w:color w:val="auto"/>
              </w:rPr>
            </w:pPr>
            <w:r>
              <w:rPr>
                <w:rFonts w:ascii="Arial" w:cs="Arial" w:eastAsia="Arial" w:hAnsi="Arial"/>
                <w:sz w:val="16"/>
                <w:szCs w:val="16"/>
                <w:b w:val="1"/>
                <w:bCs w:val="1"/>
                <w:color w:val="FFFFFF"/>
              </w:rPr>
              <w:t>NAME</w:t>
            </w:r>
          </w:p>
        </w:tc>
        <w:tc>
          <w:tcPr>
            <w:tcW w:w="2260" w:type="dxa"/>
            <w:vAlign w:val="bottom"/>
            <w:tcBorders>
              <w:top w:val="single" w:sz="8" w:color="auto"/>
            </w:tcBorders>
            <w:gridSpan w:val="2"/>
            <w:shd w:val="clear" w:color="auto" w:fill="248ED8"/>
          </w:tcPr>
          <w:p>
            <w:pPr>
              <w:ind w:left="40"/>
              <w:spacing w:after="0" w:line="283" w:lineRule="exact"/>
              <w:rPr>
                <w:sz w:val="20"/>
                <w:szCs w:val="20"/>
                <w:color w:val="auto"/>
              </w:rPr>
            </w:pPr>
            <w:r>
              <w:rPr>
                <w:rFonts w:ascii="Arial" w:cs="Arial" w:eastAsia="Arial" w:hAnsi="Arial"/>
                <w:sz w:val="32"/>
                <w:szCs w:val="32"/>
                <w:b w:val="1"/>
                <w:bCs w:val="1"/>
                <w:color w:val="FFFFFF"/>
                <w:vertAlign w:val="subscript"/>
              </w:rPr>
              <w:t>​ ​</w:t>
            </w:r>
            <w:r>
              <w:rPr>
                <w:rFonts w:ascii="Arial" w:cs="Arial" w:eastAsia="Arial" w:hAnsi="Arial"/>
                <w:sz w:val="16"/>
                <w:szCs w:val="16"/>
                <w:b w:val="1"/>
                <w:bCs w:val="1"/>
                <w:color w:val="FFFFFF"/>
              </w:rPr>
              <w:t>FEES EARNED OR PAID IN</w:t>
            </w:r>
          </w:p>
        </w:tc>
        <w:tc>
          <w:tcPr>
            <w:tcW w:w="3360" w:type="dxa"/>
            <w:vAlign w:val="bottom"/>
            <w:tcBorders>
              <w:top w:val="single" w:sz="8" w:color="auto"/>
            </w:tcBorders>
            <w:gridSpan w:val="4"/>
            <w:shd w:val="clear" w:color="auto" w:fill="248ED8"/>
          </w:tcPr>
          <w:p>
            <w:pPr>
              <w:ind w:left="60"/>
              <w:spacing w:after="0" w:line="283" w:lineRule="exact"/>
              <w:rPr>
                <w:sz w:val="20"/>
                <w:szCs w:val="20"/>
                <w:color w:val="auto"/>
              </w:rPr>
            </w:pPr>
            <w:r>
              <w:rPr>
                <w:rFonts w:ascii="Arial" w:cs="Arial" w:eastAsia="Arial" w:hAnsi="Arial"/>
                <w:sz w:val="16"/>
                <w:szCs w:val="16"/>
                <w:b w:val="1"/>
                <w:bCs w:val="1"/>
                <w:color w:val="FFFFFF"/>
                <w:w w:val="93"/>
              </w:rPr>
              <w:t>​ ​STOCK AWARDS(1) ​ ​</w:t>
            </w:r>
            <w:r>
              <w:rPr>
                <w:rFonts w:ascii="Arial" w:cs="Arial" w:eastAsia="Arial" w:hAnsi="Arial"/>
                <w:sz w:val="32"/>
                <w:szCs w:val="32"/>
                <w:b w:val="1"/>
                <w:bCs w:val="1"/>
                <w:color w:val="FFFFFF"/>
                <w:w w:val="93"/>
                <w:vertAlign w:val="superscript"/>
              </w:rPr>
              <w:t>OPTION AWARDS</w:t>
            </w:r>
          </w:p>
        </w:tc>
        <w:tc>
          <w:tcPr>
            <w:tcW w:w="1140" w:type="dxa"/>
            <w:vAlign w:val="bottom"/>
            <w:tcBorders>
              <w:top w:val="single" w:sz="8" w:color="auto"/>
              <w:right w:val="single" w:sz="8" w:color="auto"/>
            </w:tcBorders>
            <w:gridSpan w:val="3"/>
            <w:shd w:val="clear" w:color="auto" w:fill="248ED8"/>
          </w:tcPr>
          <w:p>
            <w:pPr>
              <w:jc w:val="center"/>
              <w:spacing w:after="0"/>
              <w:rPr>
                <w:sz w:val="20"/>
                <w:szCs w:val="20"/>
                <w:color w:val="auto"/>
              </w:rPr>
            </w:pPr>
            <w:r>
              <w:rPr>
                <w:rFonts w:ascii="Arial" w:cs="Arial" w:eastAsia="Arial" w:hAnsi="Arial"/>
                <w:sz w:val="16"/>
                <w:szCs w:val="16"/>
                <w:b w:val="1"/>
                <w:bCs w:val="1"/>
                <w:color w:val="FFFFFF"/>
              </w:rPr>
              <w:t>​ ​ TOTAL ($) ​</w:t>
            </w:r>
          </w:p>
        </w:tc>
      </w:tr>
      <w:tr>
        <w:trPr>
          <w:trHeight w:val="176"/>
        </w:trPr>
        <w:tc>
          <w:tcPr>
            <w:tcW w:w="920" w:type="dxa"/>
            <w:vAlign w:val="bottom"/>
            <w:tcBorders>
              <w:left w:val="single" w:sz="8" w:color="auto"/>
              <w:bottom w:val="single" w:sz="8" w:color="auto"/>
            </w:tcBorders>
            <w:shd w:val="clear" w:color="auto" w:fill="248ED8"/>
          </w:tcPr>
          <w:p>
            <w:pPr>
              <w:spacing w:after="0"/>
              <w:rPr>
                <w:sz w:val="15"/>
                <w:szCs w:val="15"/>
                <w:color w:val="auto"/>
              </w:rPr>
            </w:pPr>
          </w:p>
        </w:tc>
        <w:tc>
          <w:tcPr>
            <w:tcW w:w="1320" w:type="dxa"/>
            <w:vAlign w:val="bottom"/>
            <w:tcBorders>
              <w:bottom w:val="single" w:sz="8" w:color="auto"/>
            </w:tcBorders>
            <w:shd w:val="clear" w:color="auto" w:fill="248ED8"/>
          </w:tcPr>
          <w:p>
            <w:pPr>
              <w:spacing w:after="0"/>
              <w:rPr>
                <w:sz w:val="15"/>
                <w:szCs w:val="15"/>
                <w:color w:val="auto"/>
              </w:rPr>
            </w:pPr>
          </w:p>
        </w:tc>
        <w:tc>
          <w:tcPr>
            <w:tcW w:w="520" w:type="dxa"/>
            <w:vAlign w:val="bottom"/>
            <w:tcBorders>
              <w:bottom w:val="single" w:sz="8" w:color="auto"/>
            </w:tcBorders>
            <w:shd w:val="clear" w:color="auto" w:fill="248ED8"/>
          </w:tcPr>
          <w:p>
            <w:pPr>
              <w:spacing w:after="0"/>
              <w:rPr>
                <w:sz w:val="15"/>
                <w:szCs w:val="15"/>
                <w:color w:val="auto"/>
              </w:rPr>
            </w:pPr>
          </w:p>
        </w:tc>
        <w:tc>
          <w:tcPr>
            <w:tcW w:w="1740" w:type="dxa"/>
            <w:vAlign w:val="bottom"/>
            <w:tcBorders>
              <w:bottom w:val="single" w:sz="8" w:color="auto"/>
            </w:tcBorders>
            <w:shd w:val="clear" w:color="auto" w:fill="248ED8"/>
          </w:tcPr>
          <w:p>
            <w:pPr>
              <w:ind w:left="340"/>
              <w:spacing w:after="0" w:line="175" w:lineRule="exact"/>
              <w:rPr>
                <w:sz w:val="20"/>
                <w:szCs w:val="20"/>
                <w:color w:val="auto"/>
              </w:rPr>
            </w:pPr>
            <w:r>
              <w:rPr>
                <w:rFonts w:ascii="Arial" w:cs="Arial" w:eastAsia="Arial" w:hAnsi="Arial"/>
                <w:sz w:val="16"/>
                <w:szCs w:val="16"/>
                <w:b w:val="1"/>
                <w:bCs w:val="1"/>
                <w:color w:val="FFFFFF"/>
              </w:rPr>
              <w:t>CASH ($)</w:t>
            </w:r>
          </w:p>
        </w:tc>
        <w:tc>
          <w:tcPr>
            <w:tcW w:w="420" w:type="dxa"/>
            <w:vAlign w:val="bottom"/>
            <w:tcBorders>
              <w:bottom w:val="single" w:sz="8" w:color="auto"/>
            </w:tcBorders>
            <w:shd w:val="clear" w:color="auto" w:fill="248ED8"/>
          </w:tcPr>
          <w:p>
            <w:pPr>
              <w:spacing w:after="0"/>
              <w:rPr>
                <w:sz w:val="15"/>
                <w:szCs w:val="15"/>
                <w:color w:val="auto"/>
              </w:rPr>
            </w:pPr>
          </w:p>
        </w:tc>
        <w:tc>
          <w:tcPr>
            <w:tcW w:w="1120" w:type="dxa"/>
            <w:vAlign w:val="bottom"/>
            <w:tcBorders>
              <w:bottom w:val="single" w:sz="8" w:color="auto"/>
            </w:tcBorders>
            <w:shd w:val="clear" w:color="auto" w:fill="248ED8"/>
          </w:tcPr>
          <w:p>
            <w:pPr>
              <w:spacing w:after="0"/>
              <w:rPr>
                <w:sz w:val="15"/>
                <w:szCs w:val="15"/>
                <w:color w:val="auto"/>
              </w:rPr>
            </w:pPr>
          </w:p>
        </w:tc>
        <w:tc>
          <w:tcPr>
            <w:tcW w:w="560" w:type="dxa"/>
            <w:vAlign w:val="bottom"/>
            <w:tcBorders>
              <w:bottom w:val="single" w:sz="8" w:color="auto"/>
            </w:tcBorders>
            <w:shd w:val="clear" w:color="auto" w:fill="248ED8"/>
          </w:tcPr>
          <w:p>
            <w:pPr>
              <w:spacing w:after="0"/>
              <w:rPr>
                <w:sz w:val="15"/>
                <w:szCs w:val="15"/>
                <w:color w:val="auto"/>
              </w:rPr>
            </w:pPr>
          </w:p>
        </w:tc>
        <w:tc>
          <w:tcPr>
            <w:tcW w:w="1260" w:type="dxa"/>
            <w:vAlign w:val="bottom"/>
            <w:tcBorders>
              <w:bottom w:val="single" w:sz="8" w:color="auto"/>
            </w:tcBorders>
            <w:shd w:val="clear" w:color="auto" w:fill="248ED8"/>
          </w:tcPr>
          <w:p>
            <w:pPr>
              <w:jc w:val="center"/>
              <w:ind w:right="71"/>
              <w:spacing w:after="0" w:line="175" w:lineRule="exact"/>
              <w:rPr>
                <w:sz w:val="20"/>
                <w:szCs w:val="20"/>
                <w:color w:val="auto"/>
              </w:rPr>
            </w:pPr>
            <w:r>
              <w:rPr>
                <w:rFonts w:ascii="Arial" w:cs="Arial" w:eastAsia="Arial" w:hAnsi="Arial"/>
                <w:sz w:val="16"/>
                <w:szCs w:val="16"/>
                <w:b w:val="1"/>
                <w:bCs w:val="1"/>
                <w:color w:val="FFFFFF"/>
                <w:w w:val="98"/>
              </w:rPr>
              <w:t>($)(2)(3)</w:t>
            </w:r>
          </w:p>
        </w:tc>
        <w:tc>
          <w:tcPr>
            <w:tcW w:w="360" w:type="dxa"/>
            <w:vAlign w:val="bottom"/>
            <w:tcBorders>
              <w:bottom w:val="single" w:sz="8" w:color="auto"/>
            </w:tcBorders>
            <w:shd w:val="clear" w:color="auto" w:fill="248ED8"/>
          </w:tcPr>
          <w:p>
            <w:pPr>
              <w:spacing w:after="0"/>
              <w:rPr>
                <w:sz w:val="15"/>
                <w:szCs w:val="15"/>
                <w:color w:val="auto"/>
              </w:rPr>
            </w:pPr>
          </w:p>
        </w:tc>
        <w:tc>
          <w:tcPr>
            <w:tcW w:w="640" w:type="dxa"/>
            <w:vAlign w:val="bottom"/>
            <w:tcBorders>
              <w:bottom w:val="single" w:sz="8" w:color="auto"/>
            </w:tcBorders>
            <w:shd w:val="clear" w:color="auto" w:fill="248ED8"/>
          </w:tcPr>
          <w:p>
            <w:pPr>
              <w:spacing w:after="0"/>
              <w:rPr>
                <w:sz w:val="15"/>
                <w:szCs w:val="15"/>
                <w:color w:val="auto"/>
              </w:rPr>
            </w:pPr>
          </w:p>
        </w:tc>
        <w:tc>
          <w:tcPr>
            <w:tcW w:w="140" w:type="dxa"/>
            <w:vAlign w:val="bottom"/>
            <w:tcBorders>
              <w:bottom w:val="single" w:sz="8" w:color="auto"/>
              <w:right w:val="single" w:sz="8" w:color="auto"/>
            </w:tcBorders>
            <w:shd w:val="clear" w:color="auto" w:fill="248ED8"/>
          </w:tcPr>
          <w:p>
            <w:pPr>
              <w:spacing w:after="0"/>
              <w:rPr>
                <w:sz w:val="15"/>
                <w:szCs w:val="15"/>
                <w:color w:val="auto"/>
              </w:rPr>
            </w:pPr>
          </w:p>
        </w:tc>
      </w:tr>
      <w:tr>
        <w:trPr>
          <w:trHeight w:val="250"/>
        </w:trPr>
        <w:tc>
          <w:tcPr>
            <w:tcW w:w="2240" w:type="dxa"/>
            <w:vAlign w:val="bottom"/>
            <w:tcBorders>
              <w:left w:val="single" w:sz="8" w:color="auto"/>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Kimberly Blackwell, M.D.</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25,333</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rPr>
              <w:t>685,121</w:t>
            </w:r>
          </w:p>
        </w:tc>
        <w:tc>
          <w:tcPr>
            <w:tcW w:w="100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710,454</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240" w:type="dxa"/>
            <w:vAlign w:val="bottom"/>
            <w:tcBorders>
              <w:left w:val="single" w:sz="8" w:color="auto"/>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Cynthia Butitta</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41,551</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719,416</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rPr>
              <w:t>233,784</w:t>
            </w:r>
          </w:p>
        </w:tc>
        <w:tc>
          <w:tcPr>
            <w:tcW w:w="100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994,751</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92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Eli Casdin</w:t>
            </w:r>
          </w:p>
        </w:tc>
        <w:tc>
          <w:tcPr>
            <w:tcW w:w="13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22,000</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rPr>
              <w:t>481,423</w:t>
            </w:r>
          </w:p>
        </w:tc>
        <w:tc>
          <w:tcPr>
            <w:tcW w:w="100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503,423</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240" w:type="dxa"/>
            <w:vAlign w:val="bottom"/>
            <w:tcBorders>
              <w:left w:val="single" w:sz="8" w:color="auto"/>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Joseph Jimenez</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55,667</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9"/>
              </w:rPr>
              <w:t>1,461,668</w:t>
            </w:r>
          </w:p>
        </w:tc>
        <w:tc>
          <w:tcPr>
            <w:tcW w:w="1140" w:type="dxa"/>
            <w:vAlign w:val="bottom"/>
            <w:tcBorders>
              <w:bottom w:val="single" w:sz="8" w:color="auto"/>
              <w:right w:val="single" w:sz="8" w:color="auto"/>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1,517,335 </w:t>
            </w:r>
            <w:r>
              <w:rPr>
                <w:rFonts w:ascii="Arial" w:cs="Arial" w:eastAsia="Arial" w:hAnsi="Arial"/>
                <w:sz w:val="28"/>
                <w:szCs w:val="28"/>
                <w:color w:val="auto"/>
                <w:vertAlign w:val="subscript"/>
              </w:rPr>
              <w:t>​</w:t>
            </w:r>
          </w:p>
        </w:tc>
      </w:tr>
      <w:tr>
        <w:trPr>
          <w:trHeight w:val="250"/>
        </w:trPr>
        <w:tc>
          <w:tcPr>
            <w:tcW w:w="2240" w:type="dxa"/>
            <w:vAlign w:val="bottom"/>
            <w:tcBorders>
              <w:left w:val="single" w:sz="8" w:color="auto"/>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Alessandro Riva, M.D.</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23,333</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rPr>
              <w:t>685,121</w:t>
            </w:r>
          </w:p>
        </w:tc>
        <w:tc>
          <w:tcPr>
            <w:tcW w:w="100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708,454</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240" w:type="dxa"/>
            <w:vAlign w:val="bottom"/>
            <w:tcBorders>
              <w:left w:val="single" w:sz="8" w:color="auto"/>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Carlo Rizzuto, Ph.D.</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8"/>
              </w:rPr>
              <w:t>24,500</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rPr>
              <w:t>481,423</w:t>
            </w:r>
          </w:p>
        </w:tc>
        <w:tc>
          <w:tcPr>
            <w:tcW w:w="1000" w:type="dxa"/>
            <w:vAlign w:val="bottom"/>
            <w:tcBorders>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505,923</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240" w:type="dxa"/>
            <w:vAlign w:val="bottom"/>
            <w:tcBorders>
              <w:left w:val="single" w:sz="8" w:color="auto"/>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Juergen Eckhardt, M.D.(4)</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240" w:type="dxa"/>
            <w:vAlign w:val="bottom"/>
            <w:tcBorders>
              <w:left w:val="single" w:sz="8" w:color="auto"/>
              <w:bottom w:val="single" w:sz="8" w:color="auto"/>
            </w:tcBorders>
            <w:gridSpan w:val="2"/>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Toshikazu Ban(4)</w:t>
            </w: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74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jc w:val="both"/>
        <w:ind w:left="1240" w:right="39" w:hanging="370"/>
        <w:spacing w:after="0" w:line="243"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December 31, 2021, Ms. Butitta held 98,936 shares of restricted stock. Amounts shown in this column do not reflect dollar amounts actually received by our directors. Instead, these amounts reflect the aggregate grant date fair value of each stock award granted in 2021 determined in accordance with the provisions of Financial Accounting Standards Board Accounting Standards, Codification Topic 718, Compensation  —  Stock Compensation, or FASB ASC Topic 718.</w:t>
      </w:r>
    </w:p>
    <w:p>
      <w:pPr>
        <w:spacing w:after="0" w:line="226" w:lineRule="exact"/>
        <w:rPr>
          <w:rFonts w:ascii="Arial" w:cs="Arial" w:eastAsia="Arial" w:hAnsi="Arial"/>
          <w:sz w:val="16"/>
          <w:szCs w:val="16"/>
          <w:color w:val="auto"/>
        </w:rPr>
      </w:pPr>
    </w:p>
    <w:p>
      <w:pPr>
        <w:jc w:val="both"/>
        <w:ind w:left="1240" w:right="19" w:hanging="370"/>
        <w:spacing w:after="0" w:line="243"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shown in this column do not reflect dollar amounts actually received by our directors. Instead, these amounts reflect the aggregate grant date fair value of each stock option granted in 2021 determined in accordance with the provisions of Financial Accounting Standards Board Accounting Standards, Codification Topic 718, Compensation  —   Stock Compensation, or FASB ASC Topic 718. The assumptions made in the calculation of these amounts are included in Note 2 of the Notes to Consolidated Financial Statements included in our 2021 Annual Report.</w:t>
      </w:r>
    </w:p>
    <w:p>
      <w:pPr>
        <w:spacing w:after="0" w:line="40" w:lineRule="exact"/>
        <w:rPr>
          <w:rFonts w:ascii="Arial" w:cs="Arial" w:eastAsia="Arial" w:hAnsi="Arial"/>
          <w:sz w:val="16"/>
          <w:szCs w:val="16"/>
          <w:color w:val="auto"/>
        </w:rPr>
      </w:pPr>
    </w:p>
    <w:p>
      <w:pPr>
        <w:jc w:val="both"/>
        <w:ind w:left="1240" w:right="19" w:hanging="370"/>
        <w:spacing w:after="0" w:line="257"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of December 31, 2021, Mr. Casdin and Dr. Rizzuto each held options to purchase 39,744 shares of our common stock; Ms. Butitta and Mr. Jimenez each held options to purchase 19,872 shares of our common stock; and Dr. Riva and Dr. Blackwell each held options to purchase 59,410 shares of our common stock.</w:t>
      </w:r>
    </w:p>
    <w:p>
      <w:pPr>
        <w:spacing w:after="0" w:line="16" w:lineRule="exact"/>
        <w:rPr>
          <w:rFonts w:ascii="Arial" w:cs="Arial" w:eastAsia="Arial" w:hAnsi="Arial"/>
          <w:sz w:val="16"/>
          <w:szCs w:val="16"/>
          <w:color w:val="auto"/>
        </w:rPr>
      </w:pPr>
    </w:p>
    <w:p>
      <w:pPr>
        <w:ind w:left="1240" w:hanging="370"/>
        <w:spacing w:after="0"/>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Dr. Eckhardt and Mr. Ban resigned from our Board immediately prior to our IPO in June 2021.</w:t>
      </w:r>
    </w:p>
    <w:p>
      <w:pPr>
        <w:spacing w:after="0" w:line="149"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In February 2021, we entered into letter agreements with Ms. Butitta and Mr. Jimenez regarding their service as members of our Board and their compensation for that service. The letter agreements provided for the issuance of stock options to purchase 149,224 and 271,690 shares of our common stock to Ms. Butitta and Mr. Jimenez, respectively. In June 2021, after further discussions, our Board determined to cancel the stock option award to Ms. Butitta described above, and instead issued a restricted stock award to Ms. Butitta with respect to 98,936 shares of our common stock. The restricted stock award vests on the same schedule as the original stock option award.</w:t>
      </w:r>
    </w:p>
    <w:p>
      <w:pPr>
        <w:spacing w:after="0" w:line="115"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In May 2021, we entered into letter agreements with Dr. Blackwell and Dr. Riva regarding their service as members of our Board and their compensation for that service. The letter agreements provide for the issuance of a stock option to purchase 99,483 shares of our common stock to each of Dr. Blackwell and Dr. Riva.</w:t>
      </w:r>
    </w:p>
    <w:p>
      <w:pPr>
        <w:spacing w:after="0" w:line="103" w:lineRule="exact"/>
        <w:rPr>
          <w:sz w:val="20"/>
          <w:szCs w:val="20"/>
          <w:color w:val="auto"/>
        </w:rPr>
      </w:pPr>
    </w:p>
    <w:p>
      <w:pPr>
        <w:jc w:val="both"/>
        <w:ind w:left="880" w:right="19"/>
        <w:spacing w:after="0" w:line="259" w:lineRule="auto"/>
        <w:rPr>
          <w:sz w:val="20"/>
          <w:szCs w:val="20"/>
          <w:color w:val="auto"/>
        </w:rPr>
      </w:pPr>
      <w:r>
        <w:rPr>
          <w:rFonts w:ascii="Arial" w:cs="Arial" w:eastAsia="Arial" w:hAnsi="Arial"/>
          <w:sz w:val="18"/>
          <w:szCs w:val="18"/>
          <w:color w:val="auto"/>
        </w:rPr>
        <w:t>In connection with our IPO, each of our non-employee directors (other than Mr. Casdin and Dr. Rizzuto) were granted an option to purchase 19,872 shares of our common stock, with an exercise price of $20 per share. Each of Mr. Casdin and Dr. Rizzuto were granted an option to purchase 39,744 shares of our common stock, with an exercise price of $20 per share. Neither Mr. Casdin nor Dr. Rizzuto had previously received any equity awards from us for their prior service as members of our Board prior to this award.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71"/>
        </w:trPr>
        <w:tc>
          <w:tcPr>
            <w:tcW w:w="9400" w:type="dxa"/>
            <w:vAlign w:val="bottom"/>
            <w:gridSpan w:val="2"/>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440" w:type="dxa"/>
            <w:vAlign w:val="bottom"/>
          </w:tcPr>
          <w:p>
            <w:pPr>
              <w:spacing w:after="0"/>
              <w:rPr>
                <w:sz w:val="14"/>
                <w:szCs w:val="14"/>
                <w:color w:val="auto"/>
              </w:rPr>
            </w:pPr>
          </w:p>
        </w:tc>
      </w:tr>
      <w:tr>
        <w:trPr>
          <w:trHeight w:val="182"/>
        </w:trPr>
        <w:tc>
          <w:tcPr>
            <w:tcW w:w="86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61"/>
        </w:trPr>
        <w:tc>
          <w:tcPr>
            <w:tcW w:w="860" w:type="dxa"/>
            <w:vAlign w:val="bottom"/>
          </w:tcPr>
          <w:p>
            <w:pPr>
              <w:spacing w:after="0"/>
              <w:rPr>
                <w:sz w:val="24"/>
                <w:szCs w:val="24"/>
                <w:color w:val="auto"/>
              </w:rPr>
            </w:pPr>
          </w:p>
        </w:tc>
        <w:tc>
          <w:tcPr>
            <w:tcW w:w="8540" w:type="dxa"/>
            <w:vAlign w:val="bottom"/>
            <w:shd w:val="clear" w:color="auto" w:fill="27A770"/>
          </w:tcPr>
          <w:p>
            <w:pPr>
              <w:ind w:left="120"/>
              <w:spacing w:after="0" w:line="361" w:lineRule="exact"/>
              <w:rPr>
                <w:sz w:val="20"/>
                <w:szCs w:val="20"/>
                <w:color w:val="auto"/>
              </w:rPr>
            </w:pPr>
            <w:r>
              <w:rPr>
                <w:rFonts w:ascii="Arial" w:cs="Arial" w:eastAsia="Arial" w:hAnsi="Arial"/>
                <w:sz w:val="32"/>
                <w:szCs w:val="32"/>
                <w:b w:val="1"/>
                <w:bCs w:val="1"/>
                <w:color w:val="FFFFFF"/>
              </w:rPr>
              <w:t>INDEPENDENT REGISTERED PUBLIC ACCOUNTING</w:t>
            </w:r>
          </w:p>
        </w:tc>
        <w:tc>
          <w:tcPr>
            <w:tcW w:w="440" w:type="dxa"/>
            <w:vAlign w:val="bottom"/>
            <w:shd w:val="clear" w:color="auto" w:fill="27A770"/>
          </w:tcPr>
          <w:p>
            <w:pPr>
              <w:spacing w:after="0"/>
              <w:rPr>
                <w:sz w:val="24"/>
                <w:szCs w:val="24"/>
                <w:color w:val="auto"/>
              </w:rPr>
            </w:pPr>
          </w:p>
        </w:tc>
      </w:tr>
      <w:tr>
        <w:trPr>
          <w:trHeight w:val="422"/>
        </w:trPr>
        <w:tc>
          <w:tcPr>
            <w:tcW w:w="860" w:type="dxa"/>
            <w:vAlign w:val="bottom"/>
          </w:tcPr>
          <w:p>
            <w:pPr>
              <w:spacing w:after="0"/>
              <w:rPr>
                <w:sz w:val="24"/>
                <w:szCs w:val="24"/>
                <w:color w:val="auto"/>
              </w:rPr>
            </w:pPr>
          </w:p>
        </w:tc>
        <w:tc>
          <w:tcPr>
            <w:tcW w:w="8540" w:type="dxa"/>
            <w:vAlign w:val="bottom"/>
            <w:shd w:val="clear" w:color="auto" w:fill="27A770"/>
          </w:tcPr>
          <w:p>
            <w:pPr>
              <w:ind w:left="20"/>
              <w:spacing w:after="0"/>
              <w:rPr>
                <w:sz w:val="20"/>
                <w:szCs w:val="20"/>
                <w:color w:val="auto"/>
              </w:rPr>
            </w:pPr>
            <w:r>
              <w:rPr>
                <w:rFonts w:ascii="Arial" w:cs="Arial" w:eastAsia="Arial" w:hAnsi="Arial"/>
                <w:sz w:val="32"/>
                <w:szCs w:val="32"/>
                <w:b w:val="1"/>
                <w:bCs w:val="1"/>
                <w:color w:val="FFFFFF"/>
              </w:rPr>
              <w:t>​FIRM</w:t>
            </w:r>
          </w:p>
        </w:tc>
        <w:tc>
          <w:tcPr>
            <w:tcW w:w="440" w:type="dxa"/>
            <w:vAlign w:val="bottom"/>
            <w:shd w:val="clear" w:color="auto" w:fill="27A770"/>
          </w:tcPr>
          <w:p>
            <w:pPr>
              <w:ind w:left="340"/>
              <w:spacing w:after="0"/>
              <w:rPr>
                <w:sz w:val="20"/>
                <w:szCs w:val="20"/>
                <w:color w:val="auto"/>
              </w:rPr>
            </w:pPr>
            <w:r>
              <w:rPr>
                <w:rFonts w:ascii="Arial" w:cs="Arial" w:eastAsia="Arial" w:hAnsi="Arial"/>
                <w:sz w:val="32"/>
                <w:szCs w:val="32"/>
                <w:b w:val="1"/>
                <w:bCs w:val="1"/>
                <w:color w:val="FFFFFF"/>
              </w:rPr>
              <w:t>​</w:t>
            </w:r>
          </w:p>
        </w:tc>
      </w:tr>
    </w:tbl>
    <w:p>
      <w:pPr>
        <w:spacing w:after="0" w:line="30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158"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8"/>
          <w:szCs w:val="18"/>
          <w:color w:val="auto"/>
        </w:rPr>
        <w:t>The Audit Committee works with our management in order to negotiate appropriate fees with EY and is ultimately responsible for approving those fees. The following is a summary and description of fees for services provided by EY in 2021 and 2020.</w:t>
      </w:r>
    </w:p>
    <w:p>
      <w:pPr>
        <w:spacing w:after="0" w:line="129" w:lineRule="exact"/>
        <w:rPr>
          <w:sz w:val="20"/>
          <w:szCs w:val="20"/>
          <w:color w:val="auto"/>
        </w:rPr>
      </w:pPr>
    </w:p>
    <w:tbl>
      <w:tblPr>
        <w:tblLayout w:type="fixed"/>
        <w:tblInd w:w="1250" w:type="dxa"/>
        <w:tblCellMar>
          <w:top w:w="0" w:type="dxa"/>
          <w:left w:w="0" w:type="dxa"/>
          <w:bottom w:w="0" w:type="dxa"/>
          <w:right w:w="0" w:type="dxa"/>
        </w:tblCellMar>
      </w:tblPr>
      <w:tr>
        <w:trPr>
          <w:trHeight w:val="270"/>
        </w:trPr>
        <w:tc>
          <w:tcPr>
            <w:tcW w:w="1960" w:type="dxa"/>
            <w:vAlign w:val="bottom"/>
            <w:tcBorders>
              <w:top w:val="single" w:sz="8" w:color="auto"/>
              <w:left w:val="single" w:sz="8" w:color="auto"/>
              <w:bottom w:val="single" w:sz="8" w:color="auto"/>
            </w:tcBorders>
            <w:shd w:val="clear" w:color="auto" w:fill="248ED8"/>
          </w:tcPr>
          <w:p>
            <w:pPr>
              <w:ind w:left="60"/>
              <w:spacing w:after="0"/>
              <w:rPr>
                <w:sz w:val="20"/>
                <w:szCs w:val="20"/>
                <w:color w:val="auto"/>
              </w:rPr>
            </w:pPr>
            <w:r>
              <w:rPr>
                <w:rFonts w:ascii="Arial" w:cs="Arial" w:eastAsia="Arial" w:hAnsi="Arial"/>
                <w:sz w:val="16"/>
                <w:szCs w:val="16"/>
                <w:b w:val="1"/>
                <w:bCs w:val="1"/>
                <w:color w:val="FFFFFF"/>
              </w:rPr>
              <w:t>​</w:t>
            </w:r>
          </w:p>
        </w:tc>
        <w:tc>
          <w:tcPr>
            <w:tcW w:w="2100" w:type="dxa"/>
            <w:vAlign w:val="bottom"/>
            <w:tcBorders>
              <w:top w:val="single" w:sz="8" w:color="auto"/>
              <w:bottom w:val="single" w:sz="8" w:color="auto"/>
            </w:tcBorders>
            <w:shd w:val="clear" w:color="auto" w:fill="248ED8"/>
          </w:tcPr>
          <w:p>
            <w:pPr>
              <w:ind w:left="300"/>
              <w:spacing w:after="0"/>
              <w:rPr>
                <w:sz w:val="20"/>
                <w:szCs w:val="20"/>
                <w:color w:val="auto"/>
              </w:rPr>
            </w:pPr>
            <w:r>
              <w:rPr>
                <w:rFonts w:ascii="Arial" w:cs="Arial" w:eastAsia="Arial" w:hAnsi="Arial"/>
                <w:sz w:val="16"/>
                <w:szCs w:val="16"/>
                <w:b w:val="1"/>
                <w:bCs w:val="1"/>
                <w:color w:val="FFFFFF"/>
              </w:rPr>
              <w:t>SERVICE</w:t>
            </w:r>
          </w:p>
        </w:tc>
        <w:tc>
          <w:tcPr>
            <w:tcW w:w="1180" w:type="dxa"/>
            <w:vAlign w:val="bottom"/>
            <w:tcBorders>
              <w:top w:val="single" w:sz="8" w:color="auto"/>
              <w:bottom w:val="single" w:sz="8" w:color="auto"/>
              <w:right w:val="single" w:sz="8" w:color="auto"/>
            </w:tcBorders>
            <w:shd w:val="clear" w:color="auto" w:fill="248ED8"/>
          </w:tcPr>
          <w:p>
            <w:pPr>
              <w:ind w:left="1100"/>
              <w:spacing w:after="0"/>
              <w:rPr>
                <w:sz w:val="20"/>
                <w:szCs w:val="20"/>
                <w:color w:val="auto"/>
              </w:rPr>
            </w:pPr>
            <w:r>
              <w:rPr>
                <w:rFonts w:ascii="Arial" w:cs="Arial" w:eastAsia="Arial" w:hAnsi="Arial"/>
                <w:sz w:val="16"/>
                <w:szCs w:val="16"/>
                <w:b w:val="1"/>
                <w:bCs w:val="1"/>
                <w:color w:val="FFFFFF"/>
              </w:rPr>
              <w:t>​</w:t>
            </w:r>
          </w:p>
        </w:tc>
        <w:tc>
          <w:tcPr>
            <w:tcW w:w="200" w:type="dxa"/>
            <w:vAlign w:val="bottom"/>
            <w:tcBorders>
              <w:top w:val="single" w:sz="8" w:color="auto"/>
              <w:bottom w:val="single" w:sz="8" w:color="auto"/>
            </w:tcBorders>
            <w:shd w:val="clear" w:color="auto" w:fill="248ED8"/>
          </w:tcPr>
          <w:p>
            <w:pPr>
              <w:ind w:left="40"/>
              <w:spacing w:after="0"/>
              <w:rPr>
                <w:sz w:val="20"/>
                <w:szCs w:val="20"/>
                <w:color w:val="auto"/>
              </w:rPr>
            </w:pPr>
            <w:r>
              <w:rPr>
                <w:rFonts w:ascii="Arial" w:cs="Arial" w:eastAsia="Arial" w:hAnsi="Arial"/>
                <w:sz w:val="16"/>
                <w:szCs w:val="16"/>
                <w:b w:val="1"/>
                <w:bCs w:val="1"/>
                <w:color w:val="FFFFFF"/>
              </w:rPr>
              <w:t>​</w:t>
            </w:r>
          </w:p>
        </w:tc>
        <w:tc>
          <w:tcPr>
            <w:tcW w:w="1080" w:type="dxa"/>
            <w:vAlign w:val="bottom"/>
            <w:tcBorders>
              <w:top w:val="single" w:sz="8" w:color="auto"/>
              <w:bottom w:val="single" w:sz="8" w:color="auto"/>
            </w:tcBorders>
            <w:shd w:val="clear" w:color="auto" w:fill="248ED8"/>
          </w:tcPr>
          <w:p>
            <w:pPr>
              <w:jc w:val="center"/>
              <w:spacing w:after="0"/>
              <w:rPr>
                <w:sz w:val="20"/>
                <w:szCs w:val="20"/>
                <w:color w:val="auto"/>
              </w:rPr>
            </w:pPr>
            <w:r>
              <w:rPr>
                <w:rFonts w:ascii="Arial" w:cs="Arial" w:eastAsia="Arial" w:hAnsi="Arial"/>
                <w:sz w:val="16"/>
                <w:szCs w:val="16"/>
                <w:b w:val="1"/>
                <w:bCs w:val="1"/>
                <w:color w:val="FFFFFF"/>
              </w:rPr>
              <w:t>2021 ($)</w:t>
            </w:r>
          </w:p>
        </w:tc>
        <w:tc>
          <w:tcPr>
            <w:tcW w:w="220" w:type="dxa"/>
            <w:vAlign w:val="bottom"/>
            <w:tcBorders>
              <w:top w:val="single" w:sz="8" w:color="auto"/>
              <w:bottom w:val="single" w:sz="8" w:color="auto"/>
              <w:right w:val="single" w:sz="8" w:color="auto"/>
            </w:tcBorders>
            <w:shd w:val="clear" w:color="auto" w:fill="248ED8"/>
          </w:tcPr>
          <w:p>
            <w:pPr>
              <w:ind w:left="140"/>
              <w:spacing w:after="0"/>
              <w:rPr>
                <w:sz w:val="20"/>
                <w:szCs w:val="20"/>
                <w:color w:val="auto"/>
              </w:rPr>
            </w:pPr>
            <w:r>
              <w:rPr>
                <w:rFonts w:ascii="Arial" w:cs="Arial" w:eastAsia="Arial" w:hAnsi="Arial"/>
                <w:sz w:val="16"/>
                <w:szCs w:val="16"/>
                <w:b w:val="1"/>
                <w:bCs w:val="1"/>
                <w:color w:val="FFFFFF"/>
              </w:rPr>
              <w:t>​</w:t>
            </w:r>
          </w:p>
        </w:tc>
        <w:tc>
          <w:tcPr>
            <w:tcW w:w="240" w:type="dxa"/>
            <w:vAlign w:val="bottom"/>
            <w:tcBorders>
              <w:top w:val="single" w:sz="8" w:color="auto"/>
              <w:bottom w:val="single" w:sz="8" w:color="auto"/>
            </w:tcBorders>
            <w:shd w:val="clear" w:color="auto" w:fill="248ED8"/>
          </w:tcPr>
          <w:p>
            <w:pPr>
              <w:ind w:left="40"/>
              <w:spacing w:after="0"/>
              <w:rPr>
                <w:sz w:val="20"/>
                <w:szCs w:val="20"/>
                <w:color w:val="auto"/>
              </w:rPr>
            </w:pPr>
            <w:r>
              <w:rPr>
                <w:rFonts w:ascii="Arial" w:cs="Arial" w:eastAsia="Arial" w:hAnsi="Arial"/>
                <w:sz w:val="16"/>
                <w:szCs w:val="16"/>
                <w:b w:val="1"/>
                <w:bCs w:val="1"/>
                <w:color w:val="FFFFFF"/>
              </w:rPr>
              <w:t>​</w:t>
            </w:r>
          </w:p>
        </w:tc>
        <w:tc>
          <w:tcPr>
            <w:tcW w:w="1020" w:type="dxa"/>
            <w:vAlign w:val="bottom"/>
            <w:tcBorders>
              <w:top w:val="single" w:sz="8" w:color="auto"/>
              <w:bottom w:val="single" w:sz="8" w:color="auto"/>
            </w:tcBorders>
            <w:shd w:val="clear" w:color="auto" w:fill="248ED8"/>
          </w:tcPr>
          <w:p>
            <w:pPr>
              <w:jc w:val="center"/>
              <w:spacing w:after="0"/>
              <w:rPr>
                <w:sz w:val="20"/>
                <w:szCs w:val="20"/>
                <w:color w:val="auto"/>
              </w:rPr>
            </w:pPr>
            <w:r>
              <w:rPr>
                <w:rFonts w:ascii="Arial" w:cs="Arial" w:eastAsia="Arial" w:hAnsi="Arial"/>
                <w:sz w:val="16"/>
                <w:szCs w:val="16"/>
                <w:b w:val="1"/>
                <w:bCs w:val="1"/>
                <w:color w:val="FFFFFF"/>
              </w:rPr>
              <w:t>2020 ($)</w:t>
            </w:r>
          </w:p>
        </w:tc>
        <w:tc>
          <w:tcPr>
            <w:tcW w:w="260" w:type="dxa"/>
            <w:vAlign w:val="bottom"/>
            <w:tcBorders>
              <w:top w:val="single" w:sz="8" w:color="auto"/>
              <w:bottom w:val="single" w:sz="8" w:color="auto"/>
              <w:right w:val="single" w:sz="8" w:color="auto"/>
            </w:tcBorders>
            <w:shd w:val="clear" w:color="auto" w:fill="248ED8"/>
          </w:tcPr>
          <w:p>
            <w:pPr>
              <w:ind w:left="180"/>
              <w:spacing w:after="0"/>
              <w:rPr>
                <w:sz w:val="20"/>
                <w:szCs w:val="20"/>
                <w:color w:val="auto"/>
              </w:rPr>
            </w:pPr>
            <w:r>
              <w:rPr>
                <w:rFonts w:ascii="Arial" w:cs="Arial" w:eastAsia="Arial" w:hAnsi="Arial"/>
                <w:sz w:val="16"/>
                <w:szCs w:val="16"/>
                <w:b w:val="1"/>
                <w:bCs w:val="1"/>
                <w:color w:val="FFFFFF"/>
              </w:rPr>
              <w:t>​</w:t>
            </w:r>
          </w:p>
        </w:tc>
      </w:tr>
      <w:tr>
        <w:trPr>
          <w:trHeight w:val="250"/>
        </w:trPr>
        <w:tc>
          <w:tcPr>
            <w:tcW w:w="196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Audit Fees</w:t>
            </w:r>
          </w:p>
        </w:tc>
        <w:tc>
          <w:tcPr>
            <w:tcW w:w="210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1,720,251</w:t>
            </w:r>
          </w:p>
        </w:tc>
        <w:tc>
          <w:tcPr>
            <w:tcW w:w="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105,675</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50"/>
        </w:trPr>
        <w:tc>
          <w:tcPr>
            <w:tcW w:w="196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Audit-Related Fees</w:t>
            </w:r>
          </w:p>
        </w:tc>
        <w:tc>
          <w:tcPr>
            <w:tcW w:w="210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50"/>
        </w:trPr>
        <w:tc>
          <w:tcPr>
            <w:tcW w:w="196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Tax Fees</w:t>
            </w:r>
          </w:p>
        </w:tc>
        <w:tc>
          <w:tcPr>
            <w:tcW w:w="210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243,983</w:t>
            </w:r>
          </w:p>
        </w:tc>
        <w:tc>
          <w:tcPr>
            <w:tcW w:w="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66,641</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50"/>
        </w:trPr>
        <w:tc>
          <w:tcPr>
            <w:tcW w:w="196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All Other Fees</w:t>
            </w:r>
          </w:p>
        </w:tc>
        <w:tc>
          <w:tcPr>
            <w:tcW w:w="210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r>
        <w:trPr>
          <w:trHeight w:val="250"/>
        </w:trPr>
        <w:tc>
          <w:tcPr>
            <w:tcW w:w="1960" w:type="dxa"/>
            <w:vAlign w:val="bottom"/>
            <w:tcBorders>
              <w:left w:val="single" w:sz="8" w:color="auto"/>
              <w:bottom w:val="single" w:sz="8" w:color="auto"/>
            </w:tcBorders>
          </w:tcPr>
          <w:p>
            <w:pPr>
              <w:ind w:left="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Total</w:t>
            </w:r>
          </w:p>
        </w:tc>
        <w:tc>
          <w:tcPr>
            <w:tcW w:w="2100" w:type="dxa"/>
            <w:vAlign w:val="bottom"/>
            <w:tcBorders>
              <w:bottom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1,847,924</w:t>
            </w:r>
          </w:p>
        </w:tc>
        <w:tc>
          <w:tcPr>
            <w:tcW w:w="2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176,931</w:t>
            </w:r>
          </w:p>
        </w:tc>
        <w:tc>
          <w:tcPr>
            <w:tcW w:w="2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 fees</w:t>
      </w:r>
      <w:r>
        <w:rPr>
          <w:rFonts w:ascii="Arial" w:cs="Arial" w:eastAsia="Arial" w:hAnsi="Arial"/>
          <w:sz w:val="18"/>
          <w:szCs w:val="18"/>
          <w:color w:val="auto"/>
        </w:rPr>
        <w:t>” represents the aggregate fees for professional services rendered for the audit of our financial statements and the review of our quarterly financial statements on Form 10-Q that are customary under the standards of the Public Company Accounting Oversight Board (United States), or the PCAOB. Also included are the fees related to our Registration Statements on Form S-1 and Form S-8.</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fees</w:t>
      </w:r>
      <w:r>
        <w:rPr>
          <w:rFonts w:ascii="Arial" w:cs="Arial" w:eastAsia="Arial" w:hAnsi="Arial"/>
          <w:sz w:val="18"/>
          <w:szCs w:val="18"/>
          <w:color w:val="auto"/>
        </w:rPr>
        <w:t>” consists of fees related to tax compliance, tax planning and tax advice.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44"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p>
    <w:p>
      <w:pPr>
        <w:spacing w:after="0" w:line="109" w:lineRule="exact"/>
        <w:rPr>
          <w:sz w:val="20"/>
          <w:szCs w:val="20"/>
          <w:color w:val="auto"/>
        </w:rPr>
      </w:pPr>
    </w:p>
    <w:p>
      <w:pPr>
        <w:jc w:val="both"/>
        <w:ind w:left="880" w:right="39"/>
        <w:spacing w:after="0" w:line="259" w:lineRule="auto"/>
        <w:rPr>
          <w:sz w:val="20"/>
          <w:szCs w:val="20"/>
          <w:color w:val="auto"/>
        </w:rPr>
      </w:pPr>
      <w:r>
        <w:rPr>
          <w:rFonts w:ascii="Arial" w:cs="Arial" w:eastAsia="Arial" w:hAnsi="Arial"/>
          <w:sz w:val="18"/>
          <w:szCs w:val="18"/>
          <w:color w:val="auto"/>
        </w:rPr>
        <w:t>The above-described services provided to us by EY prior to our IPO were provided under engagements entered into prior to our adoption of our pre-approval policies and, following our IPO, in accordance with such policies. These services may include audit services, audit-related services, tax services and other services. The Audit Committee considers whether the provision of each non-audit service is compatible with maintaining the independence of our independent registered public accounting firm.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​AUDIT COMMITTEE REPORT</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57" w:lineRule="auto"/>
        <w:rPr>
          <w:sz w:val="20"/>
          <w:szCs w:val="20"/>
          <w:color w:val="auto"/>
        </w:rPr>
      </w:pPr>
      <w:r>
        <w:rPr>
          <w:rFonts w:ascii="Arial" w:cs="Arial" w:eastAsia="Arial" w:hAnsi="Arial"/>
          <w:sz w:val="18"/>
          <w:szCs w:val="18"/>
          <w:color w:val="auto"/>
        </w:rPr>
        <w:t>The Audit Committee is appointed by the Board to assist the board of directors in fulfilling its oversight responsibilities with respect to (1) the integrity of the Company’s financial statements and financial reporting process and systems of internal controls regarding finance, accounting, and compliance with legal and regulatory requirements, (2) the qualifications, independence, and performance of the Company’s independent registered public accounting firm, (3) the performance of the Company’s internal audit function, if any, and (4) other matters as set forth in the charter of the Audit Committee approved by the Board.</w:t>
      </w:r>
    </w:p>
    <w:p>
      <w:pPr>
        <w:spacing w:after="0" w:line="101" w:lineRule="exact"/>
        <w:rPr>
          <w:sz w:val="20"/>
          <w:szCs w:val="20"/>
          <w:color w:val="auto"/>
        </w:rPr>
      </w:pPr>
    </w:p>
    <w:p>
      <w:pPr>
        <w:jc w:val="both"/>
        <w:ind w:left="880" w:right="19"/>
        <w:spacing w:after="0" w:line="259" w:lineRule="auto"/>
        <w:rPr>
          <w:sz w:val="20"/>
          <w:szCs w:val="20"/>
          <w:color w:val="auto"/>
        </w:rPr>
      </w:pPr>
      <w:r>
        <w:rPr>
          <w:rFonts w:ascii="Arial" w:cs="Arial" w:eastAsia="Arial" w:hAnsi="Arial"/>
          <w:sz w:val="18"/>
          <w:szCs w:val="18"/>
          <w:color w:val="auto"/>
        </w:rPr>
        <w:t>Management is responsible for the preparation of the Company’s financial statements and the financial reporting process, including its system of internal control over financial reporting and its disclosure controls and procedures. The independent registered public accounting firm is responsible for performing an audit of the Company’s financial statements in accordance with the standards of the PCAOB and issuing a report thereon. The Audit Committee’s responsibility is to monitor and oversee these processes.</w:t>
      </w:r>
    </w:p>
    <w:p>
      <w:pPr>
        <w:spacing w:after="0" w:line="112" w:lineRule="exact"/>
        <w:rPr>
          <w:sz w:val="20"/>
          <w:szCs w:val="20"/>
          <w:color w:val="auto"/>
        </w:rPr>
      </w:pPr>
    </w:p>
    <w:p>
      <w:pPr>
        <w:jc w:val="both"/>
        <w:ind w:left="880" w:right="39"/>
        <w:spacing w:after="0" w:line="255" w:lineRule="auto"/>
        <w:rPr>
          <w:sz w:val="20"/>
          <w:szCs w:val="20"/>
          <w:color w:val="auto"/>
        </w:rPr>
      </w:pPr>
      <w:r>
        <w:rPr>
          <w:rFonts w:ascii="Arial" w:cs="Arial" w:eastAsia="Arial" w:hAnsi="Arial"/>
          <w:sz w:val="18"/>
          <w:szCs w:val="18"/>
          <w:color w:val="auto"/>
        </w:rPr>
        <w:t xml:space="preserve">In connection with these responsibilities, the Audit Committee reviewed and discussed with management and the independent registered public accounting firm the audited consolidated financial statements of the Company for the fiscal year ended December 31, 2021. The Audit Committee also discussed with the independent registered public accounting firm the matters required to be discussed by the PCAOB’s Auditing Standard No. 1301,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In addition, the Audit Committee received written communications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independent registered public accounting firm confirming their independence as required by the applicable requirements of the PCAOB and has discussed with the independent registered public accounting firm their independence.</w:t>
      </w:r>
    </w:p>
    <w:p>
      <w:pPr>
        <w:spacing w:after="0" w:line="117" w:lineRule="exact"/>
        <w:rPr>
          <w:sz w:val="20"/>
          <w:szCs w:val="20"/>
          <w:color w:val="auto"/>
        </w:rPr>
      </w:pPr>
    </w:p>
    <w:p>
      <w:pPr>
        <w:jc w:val="both"/>
        <w:ind w:left="880" w:right="39"/>
        <w:spacing w:after="0" w:line="255"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consolidated financial statements of the Company be included in the Company’s Annual Report on Form 10-K for the fiscal year ended December 31, 2021, that was filed with the SEC. The information contained in this report shall not be deemed to be (1) “soliciting material,” (2)​ “filed” with the SEC, (3) subject to Regulations 14A or 14C of the Securities Exchange Act of 1934, as amended, or the Exchange Act, or (4) subject to the liabilities of Section 18 of the Exchange Act. This report shall not be deemed incorporated by reference into any of our other filings under the Exchange Act or the Securities Act of 1933, as amended, or the Securities Act, except to the extent that we specifically incorporate it by reference into such filing.</w:t>
      </w:r>
    </w:p>
    <w:p>
      <w:pPr>
        <w:spacing w:after="0" w:line="200" w:lineRule="exact"/>
        <w:rPr>
          <w:sz w:val="20"/>
          <w:szCs w:val="20"/>
          <w:color w:val="auto"/>
        </w:rPr>
      </w:pPr>
    </w:p>
    <w:p>
      <w:pPr>
        <w:spacing w:after="0" w:line="20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248ED8"/>
        </w:rPr>
        <w:t>THE AUDIT COMMITTEE OF THE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248ED8"/>
        </w:rPr>
        <w:t>BOARD OF DIRECTORS OF</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248ED8"/>
        </w:rPr>
        <w:t>CENTURY THERAPEUTICS, INC.</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Cynthia Butitta, Chairperson</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Kimberly Blackwell, M.D.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Alessandro Riva, M.D.</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April 21, 2022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OFFICERS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sets forth the name, age and position of each of our executive officers as of the date of this</w:t>
      </w:r>
    </w:p>
    <w:p>
      <w:pPr>
        <w:spacing w:after="0" w:line="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Proxy Statement:</w:t>
      </w:r>
    </w:p>
    <w:p>
      <w:pPr>
        <w:spacing w:after="0" w:line="165"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2980" w:type="dxa"/>
            <w:vAlign w:val="bottom"/>
            <w:tcBorders>
              <w:top w:val="single" w:sz="8" w:color="auto"/>
              <w:left w:val="single" w:sz="8" w:color="auto"/>
              <w:bottom w:val="single" w:sz="8" w:color="auto"/>
            </w:tcBorders>
            <w:shd w:val="clear" w:color="auto" w:fill="248ED8"/>
          </w:tcPr>
          <w:p>
            <w:pPr>
              <w:ind w:left="20"/>
              <w:spacing w:after="0" w:line="269" w:lineRule="exact"/>
              <w:rPr>
                <w:sz w:val="20"/>
                <w:szCs w:val="20"/>
                <w:color w:val="auto"/>
              </w:rPr>
            </w:pPr>
            <w:r>
              <w:rPr>
                <w:rFonts w:ascii="Arial" w:cs="Arial" w:eastAsia="Arial" w:hAnsi="Arial"/>
                <w:sz w:val="31"/>
                <w:szCs w:val="31"/>
                <w:b w:val="1"/>
                <w:bCs w:val="1"/>
                <w:color w:val="FFFFFF"/>
                <w:vertAlign w:val="subscript"/>
              </w:rPr>
              <w:t>​</w:t>
            </w:r>
            <w:r>
              <w:rPr>
                <w:rFonts w:ascii="Arial" w:cs="Arial" w:eastAsia="Arial" w:hAnsi="Arial"/>
                <w:sz w:val="16"/>
                <w:szCs w:val="16"/>
                <w:b w:val="1"/>
                <w:bCs w:val="1"/>
                <w:color w:val="FFFFFF"/>
              </w:rPr>
              <w:t xml:space="preserve"> NAME</w:t>
            </w:r>
          </w:p>
        </w:tc>
        <w:tc>
          <w:tcPr>
            <w:tcW w:w="4620" w:type="dxa"/>
            <w:vAlign w:val="bottom"/>
            <w:tcBorders>
              <w:top w:val="single" w:sz="8" w:color="auto"/>
              <w:bottom w:val="single" w:sz="8" w:color="auto"/>
            </w:tcBorders>
            <w:shd w:val="clear" w:color="auto" w:fill="248ED8"/>
          </w:tcPr>
          <w:p>
            <w:pPr>
              <w:ind w:left="980"/>
              <w:spacing w:after="0" w:line="269" w:lineRule="exact"/>
              <w:rPr>
                <w:sz w:val="20"/>
                <w:szCs w:val="20"/>
                <w:color w:val="auto"/>
              </w:rPr>
            </w:pPr>
            <w:r>
              <w:rPr>
                <w:rFonts w:ascii="Arial" w:cs="Arial" w:eastAsia="Arial" w:hAnsi="Arial"/>
                <w:sz w:val="31"/>
                <w:szCs w:val="31"/>
                <w:b w:val="1"/>
                <w:bCs w:val="1"/>
                <w:color w:val="FFFFFF"/>
                <w:vertAlign w:val="subscript"/>
              </w:rPr>
              <w:t>​ ​</w:t>
            </w:r>
            <w:r>
              <w:rPr>
                <w:rFonts w:ascii="Arial" w:cs="Arial" w:eastAsia="Arial" w:hAnsi="Arial"/>
                <w:sz w:val="16"/>
                <w:szCs w:val="16"/>
                <w:b w:val="1"/>
                <w:bCs w:val="1"/>
                <w:color w:val="FFFFFF"/>
              </w:rPr>
              <w:t xml:space="preserve"> POSITION</w:t>
            </w:r>
          </w:p>
        </w:tc>
        <w:tc>
          <w:tcPr>
            <w:tcW w:w="660" w:type="dxa"/>
            <w:vAlign w:val="bottom"/>
            <w:tcBorders>
              <w:top w:val="single" w:sz="8" w:color="auto"/>
              <w:bottom w:val="single" w:sz="8" w:color="auto"/>
            </w:tcBorders>
            <w:shd w:val="clear" w:color="auto" w:fill="248ED8"/>
          </w:tcPr>
          <w:p>
            <w:pPr>
              <w:ind w:left="400"/>
              <w:spacing w:after="0"/>
              <w:rPr>
                <w:sz w:val="20"/>
                <w:szCs w:val="20"/>
                <w:color w:val="auto"/>
              </w:rPr>
            </w:pPr>
            <w:r>
              <w:rPr>
                <w:rFonts w:ascii="Arial" w:cs="Arial" w:eastAsia="Arial" w:hAnsi="Arial"/>
                <w:sz w:val="16"/>
                <w:szCs w:val="16"/>
                <w:b w:val="1"/>
                <w:bCs w:val="1"/>
                <w:color w:val="FFFFFF"/>
              </w:rPr>
              <w:t>​ ​</w:t>
            </w:r>
          </w:p>
        </w:tc>
        <w:tc>
          <w:tcPr>
            <w:tcW w:w="540" w:type="dxa"/>
            <w:vAlign w:val="bottom"/>
            <w:tcBorders>
              <w:top w:val="single" w:sz="8" w:color="auto"/>
              <w:bottom w:val="single" w:sz="8" w:color="auto"/>
            </w:tcBorders>
            <w:shd w:val="clear" w:color="auto" w:fill="248ED8"/>
          </w:tcPr>
          <w:p>
            <w:pPr>
              <w:jc w:val="center"/>
              <w:spacing w:after="0"/>
              <w:rPr>
                <w:sz w:val="20"/>
                <w:szCs w:val="20"/>
                <w:color w:val="auto"/>
              </w:rPr>
            </w:pPr>
            <w:r>
              <w:rPr>
                <w:rFonts w:ascii="Arial" w:cs="Arial" w:eastAsia="Arial" w:hAnsi="Arial"/>
                <w:sz w:val="16"/>
                <w:szCs w:val="16"/>
                <w:b w:val="1"/>
                <w:bCs w:val="1"/>
                <w:color w:val="FFFFFF"/>
              </w:rPr>
              <w:t>AGE</w:t>
            </w:r>
          </w:p>
        </w:tc>
        <w:tc>
          <w:tcPr>
            <w:tcW w:w="200" w:type="dxa"/>
            <w:vAlign w:val="bottom"/>
            <w:tcBorders>
              <w:top w:val="single" w:sz="8" w:color="auto"/>
              <w:bottom w:val="single" w:sz="8" w:color="auto"/>
              <w:right w:val="single" w:sz="8" w:color="auto"/>
            </w:tcBorders>
            <w:shd w:val="clear" w:color="auto" w:fill="248ED8"/>
          </w:tcPr>
          <w:p>
            <w:pPr>
              <w:ind w:left="60"/>
              <w:spacing w:after="0"/>
              <w:rPr>
                <w:sz w:val="20"/>
                <w:szCs w:val="20"/>
                <w:color w:val="auto"/>
              </w:rPr>
            </w:pPr>
            <w:r>
              <w:rPr>
                <w:rFonts w:ascii="Arial" w:cs="Arial" w:eastAsia="Arial" w:hAnsi="Arial"/>
                <w:sz w:val="16"/>
                <w:szCs w:val="16"/>
                <w:b w:val="1"/>
                <w:bCs w:val="1"/>
                <w:color w:val="FFFFFF"/>
              </w:rPr>
              <w:t>​</w:t>
            </w:r>
          </w:p>
        </w:tc>
      </w:tr>
      <w:tr>
        <w:trPr>
          <w:trHeight w:val="250"/>
        </w:trPr>
        <w:tc>
          <w:tcPr>
            <w:tcW w:w="298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Osvaldo Flores, Ph.D.</w:t>
            </w:r>
          </w:p>
        </w:tc>
        <w:tc>
          <w:tcPr>
            <w:tcW w:w="4620" w:type="dxa"/>
            <w:vAlign w:val="bottom"/>
            <w:tcBorders>
              <w:bottom w:val="single" w:sz="8" w:color="auto"/>
            </w:tcBorders>
          </w:tcPr>
          <w:p>
            <w:pPr>
              <w:ind w:left="98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President, Chief Executive Officer</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59</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98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Adrienne Farid, Ph.D.</w:t>
            </w:r>
          </w:p>
        </w:tc>
        <w:tc>
          <w:tcPr>
            <w:tcW w:w="4620" w:type="dxa"/>
            <w:vAlign w:val="bottom"/>
            <w:tcBorders>
              <w:bottom w:val="single" w:sz="8" w:color="auto"/>
            </w:tcBorders>
          </w:tcPr>
          <w:p>
            <w:pPr>
              <w:ind w:left="98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Chief Operations Officer</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60</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98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Luis Borges, Ph.D.</w:t>
            </w:r>
          </w:p>
        </w:tc>
        <w:tc>
          <w:tcPr>
            <w:tcW w:w="4620" w:type="dxa"/>
            <w:vAlign w:val="bottom"/>
            <w:tcBorders>
              <w:bottom w:val="single" w:sz="8" w:color="auto"/>
            </w:tcBorders>
          </w:tcPr>
          <w:p>
            <w:pPr>
              <w:ind w:left="98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Chief Scientific Officer</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60</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98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Michael Diem, M.D.</w:t>
            </w:r>
          </w:p>
        </w:tc>
        <w:tc>
          <w:tcPr>
            <w:tcW w:w="4620" w:type="dxa"/>
            <w:vAlign w:val="bottom"/>
            <w:tcBorders>
              <w:bottom w:val="single" w:sz="8" w:color="auto"/>
            </w:tcBorders>
          </w:tcPr>
          <w:p>
            <w:pPr>
              <w:ind w:left="98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Chief Business Officer</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52</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98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Hyam Levitsky, M.D.</w:t>
            </w:r>
          </w:p>
        </w:tc>
        <w:tc>
          <w:tcPr>
            <w:tcW w:w="4620" w:type="dxa"/>
            <w:vAlign w:val="bottom"/>
            <w:tcBorders>
              <w:bottom w:val="single" w:sz="8" w:color="auto"/>
            </w:tcBorders>
          </w:tcPr>
          <w:p>
            <w:pPr>
              <w:ind w:left="98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President of Research &amp; Development</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64</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250"/>
        </w:trPr>
        <w:tc>
          <w:tcPr>
            <w:tcW w:w="2980" w:type="dxa"/>
            <w:vAlign w:val="bottom"/>
            <w:tcBorders>
              <w:left w:val="single" w:sz="8" w:color="auto"/>
              <w:bottom w:val="single" w:sz="8" w:color="auto"/>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Gregory Russotti, Ph.D.</w:t>
            </w:r>
          </w:p>
        </w:tc>
        <w:tc>
          <w:tcPr>
            <w:tcW w:w="4620" w:type="dxa"/>
            <w:vAlign w:val="bottom"/>
            <w:tcBorders>
              <w:bottom w:val="single" w:sz="8" w:color="auto"/>
            </w:tcBorders>
          </w:tcPr>
          <w:p>
            <w:pPr>
              <w:ind w:left="98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Chief Technology Officer</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55</w:t>
            </w:r>
          </w:p>
        </w:tc>
        <w:tc>
          <w:tcPr>
            <w:tcW w:w="2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r>
    </w:tbl>
    <w:p>
      <w:pPr>
        <w:spacing w:after="0" w:line="103"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b w:val="1"/>
          <w:bCs w:val="1"/>
          <w:i w:val="1"/>
          <w:iCs w:val="1"/>
          <w:color w:val="auto"/>
        </w:rPr>
        <w:t>Osvaldo Flores, Ph.D.</w:t>
      </w:r>
      <w:r>
        <w:rPr>
          <w:rFonts w:ascii="Arial" w:cs="Arial" w:eastAsia="Arial" w:hAnsi="Arial"/>
          <w:sz w:val="18"/>
          <w:szCs w:val="18"/>
          <w:color w:val="auto"/>
        </w:rPr>
        <w:t> — For biographical information for Dr. Flores, see “Board of Directors —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Nominees.”</w:t>
      </w:r>
    </w:p>
    <w:p>
      <w:pPr>
        <w:spacing w:after="0" w:line="72"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b w:val="1"/>
          <w:bCs w:val="1"/>
          <w:i w:val="1"/>
          <w:iCs w:val="1"/>
          <w:color w:val="auto"/>
        </w:rPr>
        <w:t xml:space="preserve">Adrienne Farid, Ph.D. </w:t>
      </w:r>
      <w:r>
        <w:rPr>
          <w:rFonts w:ascii="Arial" w:cs="Arial" w:eastAsia="Arial" w:hAnsi="Arial"/>
          <w:sz w:val="18"/>
          <w:szCs w:val="18"/>
          <w:color w:val="auto"/>
        </w:rPr>
        <w:t>has served as our Chief Operations Officer since April 2021 and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Development Officer from March 2019 until April 2021. Prior to joining us, Dr. Farid was Corporate Vice President Project Leadership and Business Operations in Research &amp; Early Development from July 2017 to February 2019, and Vice President of Project Leadership, Research &amp; Early Development from July 2014 until July 2017 with Celgene Corporation, a Bristol Myers Squibb global biopharmaceutical company; and held prior positions with Celgene Corporation from 2011. Dr. Farid held positions of Global Head, Project and Portfolio Management in Research &amp; Early Development, or pRED, and in Clinical Research and Exploratory Development and Pharmaceutical and Analytical R&amp;D, at Roche Pharmaceuticals from 1995 to 2011. Dr. Farid also worked as a Senior Investigator at GlaxoSmithKline from 1990 until 1994. Dr. Farid completed her postdoctoral fellowship at the California Institute of Technology. Dr. Farid received a B.A. in biochemistry from Barnard College. She holds a Ph.D. in Chemistry from Columbia University.</w:t>
      </w:r>
    </w:p>
    <w:p>
      <w:pPr>
        <w:spacing w:after="0" w:line="111"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b w:val="1"/>
          <w:bCs w:val="1"/>
          <w:i w:val="1"/>
          <w:iCs w:val="1"/>
          <w:color w:val="auto"/>
        </w:rPr>
        <w:t xml:space="preserve">Luis Borges, Ph.D. </w:t>
      </w:r>
      <w:r>
        <w:rPr>
          <w:rFonts w:ascii="Arial" w:cs="Arial" w:eastAsia="Arial" w:hAnsi="Arial"/>
          <w:sz w:val="18"/>
          <w:szCs w:val="18"/>
          <w:color w:val="auto"/>
        </w:rPr>
        <w:t>has served as our Chief Scientific Officer since April 2019. Dr. Borges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Scientific Officer of Cell Medica, a pharmaceutical company specializing in cellular immunotherapy, from August 2017 until March 2019. Prior to this, Dr. Borges served as Senior Vice President of Research from September 2016 until July 2017, and Vice President of Immuno-Oncology Research from July 2015 until September 2016 at Five Prime Therapeutics, Inc., a publicly-traded biotechnology company. Dr. Borges also served as Executive Director and Senior Director at Five Prime Therapeutics, Inc. from February 2015 until June 2015 and May 2014 until January 2015, respectively. Dr. Borges served in several positions at Amgen Inc., a publicly-traded biotechnology company from 2002 until 2014, most recently serving as Scientific Director from November 2011 until April 2014. Prior to this, Dr. Borges served at Immunex Corp., a publicly-traded biotechnology company, as a Postdoctoral Scientist from September 1996 until September 1999, and as a Staff Scientist from September 1999 until July 2002 when Amgen Inc. acquired Immunex Corp. Dr. Borges holds a Bachelor of Science in marine biology from the University of Lisbon and a Ph.D. in pathology from the University of Washington School of Medicine.</w:t>
      </w:r>
    </w:p>
    <w:p>
      <w:pPr>
        <w:spacing w:after="0" w:line="111" w:lineRule="exact"/>
        <w:rPr>
          <w:sz w:val="20"/>
          <w:szCs w:val="20"/>
          <w:color w:val="auto"/>
        </w:rPr>
      </w:pPr>
    </w:p>
    <w:p>
      <w:pPr>
        <w:jc w:val="both"/>
        <w:ind w:left="880" w:right="19"/>
        <w:spacing w:after="0" w:line="243" w:lineRule="auto"/>
        <w:rPr>
          <w:sz w:val="20"/>
          <w:szCs w:val="20"/>
          <w:color w:val="auto"/>
        </w:rPr>
      </w:pPr>
      <w:r>
        <w:rPr>
          <w:rFonts w:ascii="Arial" w:cs="Arial" w:eastAsia="Arial" w:hAnsi="Arial"/>
          <w:sz w:val="18"/>
          <w:szCs w:val="18"/>
          <w:b w:val="1"/>
          <w:bCs w:val="1"/>
          <w:i w:val="1"/>
          <w:iCs w:val="1"/>
          <w:color w:val="auto"/>
        </w:rPr>
        <w:t xml:space="preserve">Michael Diem, M.D. </w:t>
      </w:r>
      <w:r>
        <w:rPr>
          <w:rFonts w:ascii="Arial" w:cs="Arial" w:eastAsia="Arial" w:hAnsi="Arial"/>
          <w:sz w:val="18"/>
          <w:szCs w:val="18"/>
          <w:color w:val="auto"/>
        </w:rPr>
        <w:t>has served as our Chief Business Officer since September 2020. Prior to joining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Diem was Senior Vice President of Business and Corporate Development at Amicus Therapeutics, a global biotechnology company, from September 2017 to September 2020, and prior to that, he served as Senior Vice President, Business and Corporate Development at Aevi Genomic Medicine, a biopharmaceutical company, from May 2016 to September 2017. From October 2013 to April 2016, Dr. Diem was the Global Head of Corporate Strategy and Corporate Development at AstraZeneca, a global biopharmaceutical company, where he was responsible for mergers and acquisitions, divestitures, and managed the company’s strategic investment activities and MedImmune Ventures. Dr. Diem currently serves as an advisor to an investment fund of UPMC Enterprises, and has held this role since December 2020. Additionally, he serves on the board of directors of Venatorx Pharmaceuticals and the Boys and Girls Clubs of Philadelphia. Dr. Diem holds a B.A. in biological sciences from Rutgers University, an M.D. from the Rutgers-Robert Wood Johnson Medical School, and an M.B.A. from Case Western Reserve University. Dr. Diem completed his medical training at Duke University and is a Kauffman Fellow.</w:t>
      </w:r>
    </w:p>
    <w:p>
      <w:pPr>
        <w:spacing w:after="0" w:line="111"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b w:val="1"/>
          <w:bCs w:val="1"/>
          <w:i w:val="1"/>
          <w:iCs w:val="1"/>
          <w:color w:val="auto"/>
        </w:rPr>
        <w:t xml:space="preserve">Hyam Levitsky, M.D. </w:t>
      </w:r>
      <w:r>
        <w:rPr>
          <w:rFonts w:ascii="Arial" w:cs="Arial" w:eastAsia="Arial" w:hAnsi="Arial"/>
          <w:sz w:val="18"/>
          <w:szCs w:val="18"/>
          <w:color w:val="auto"/>
        </w:rPr>
        <w:t>has served as our President, Research and Development since May 2019. Dr. Levitsky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Executive Vice President and Chief Scientific Officer at Juno Therapeutics, Inc. from 2015 to 2018 and was Head of Cancer Immunotherapy Experimental Medicine at F. Hoffmann-La Roche &amp; Co. from 2011 to 2015. Previously,</w:t>
      </w:r>
    </w:p>
    <w:p>
      <w:pPr>
        <w:spacing w:after="0" w:line="27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OFFICERS</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54" w:lineRule="auto"/>
        <w:rPr>
          <w:sz w:val="20"/>
          <w:szCs w:val="20"/>
          <w:color w:val="auto"/>
        </w:rPr>
      </w:pPr>
      <w:r>
        <w:rPr>
          <w:rFonts w:ascii="Arial" w:cs="Arial" w:eastAsia="Arial" w:hAnsi="Arial"/>
          <w:sz w:val="18"/>
          <w:szCs w:val="18"/>
          <w:color w:val="auto"/>
        </w:rPr>
        <w:t>Dr. Levitsky was Professor of Oncology, Medicine, and Urology at The Johns Hopkins University School of Medicine and the Sidney Kimmel Comprehensive Cancer Center where he began as an Assistant Professor of Oncology in 1991 and rose to Professor in 2002. At The Johns Hopkins University, Dr. Levitsky served as Scientific Director of the George Santos Bone Marrow Transplant Program from 2005 to 2011. He served on the External Scientific Advisory Board of the Pasteur Institute’s Center for Human Immunology from 2008 to 2010. Dr. Levitsky holds a number of honors including being named a Stohlman Scholar by the Leukemia and Lymphoma Society in 2002, and was elected as a member of the American Society for Clinical Investigation in 2002. Dr. Levitsky has served on the board of directors of Replimune Therapeutics, Inc. since May 2018. Dr. Levitsky received a B.S. from the University of Pennsylvania School of Engineering and Applied Science and an M.D. from The Johns Hopkins University School of Medicine.</w:t>
      </w:r>
    </w:p>
    <w:p>
      <w:pPr>
        <w:spacing w:after="0" w:line="104"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b w:val="1"/>
          <w:bCs w:val="1"/>
          <w:i w:val="1"/>
          <w:iCs w:val="1"/>
          <w:color w:val="auto"/>
        </w:rPr>
        <w:t xml:space="preserve">Gregory Russotti, Ph.D. </w:t>
      </w:r>
      <w:r>
        <w:rPr>
          <w:rFonts w:ascii="Arial" w:cs="Arial" w:eastAsia="Arial" w:hAnsi="Arial"/>
          <w:sz w:val="18"/>
          <w:szCs w:val="18"/>
          <w:color w:val="auto"/>
        </w:rPr>
        <w:t>has served as our Chief Technology Officer since January 2020. Prior to joining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Russotti held multiple positions at Celgene Corporation, a Bristol Myers Squibb company, from 2016 until 2019, including, Vice President of Cell Therapy Technical Development from January 2018 to November 2019 and Vice President of Cell Therapy Development and Operations from October 2016 to December 2017. Dr. Russotti served as Vice President of Technical Operations of Celgene Cellular Therapeutics from May 2013 to October 2016, and Executive Director of Technical Operations of Celgene Cellular Therapeutics from June 2011 to May 2013. Prior to this, Dr. Russotti served as Senior Investigator at Merck &amp; Co., where he oversaw process development of vaccines and biologics from December 2004 to November 2006, and various positions of increasing responsibility dating back to 1991, when he began his career at Merck. Dr. Russotti holds a number of honors including the ECI and NIIMBL Cell Therapy Manufacturing Award for leadership in cell therapy process development, scale-up, and manufacturing in 2019 as well as receiving the Rutgers Engineering School Distinguished Alumnus Medal of Excellence in Education and Research in 2013 and the John W. Jackson Leadership Award in 2011, an award that was given to one leader at Celgene each year. Dr. Russotti holds both a B.S. and M.S. in chemical engineering from Rensselaer Polytechnic Institute. He received his Ph.D. in biochemical and chemical engineering from Rutgers University.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or NEOs. In 2021, our NEOs were Osvaldo Flores, Ph.D., our President and Chief Executive Officer, Adrienne Farid, Ph.D., our Chief Operations Officer, and Luis Borges, Ph.D., our Chief Science Officer.</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SUMMARY COMPENSATION TABLE</w:t>
      </w:r>
    </w:p>
    <w:p>
      <w:pPr>
        <w:spacing w:after="0" w:line="144"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The following table sets forth information concerning the compensation of our 2021 NEOs during the fiscal years ended December 31, 2021 and December 31, 2020:</w:t>
      </w:r>
    </w:p>
    <w:p>
      <w:pPr>
        <w:spacing w:after="0" w:line="98" w:lineRule="exact"/>
        <w:rPr>
          <w:sz w:val="20"/>
          <w:szCs w:val="20"/>
          <w:color w:val="auto"/>
        </w:rPr>
      </w:pPr>
    </w:p>
    <w:tbl>
      <w:tblPr>
        <w:tblLayout w:type="fixed"/>
        <w:tblInd w:w="870" w:type="dxa"/>
        <w:tblCellMar>
          <w:top w:w="0" w:type="dxa"/>
          <w:left w:w="0" w:type="dxa"/>
          <w:bottom w:w="0" w:type="dxa"/>
          <w:right w:w="0" w:type="dxa"/>
        </w:tblCellMar>
      </w:tblPr>
      <w:tr>
        <w:trPr>
          <w:trHeight w:val="261"/>
        </w:trPr>
        <w:tc>
          <w:tcPr>
            <w:tcW w:w="1280" w:type="dxa"/>
            <w:vAlign w:val="bottom"/>
            <w:tcBorders>
              <w:top w:val="single" w:sz="8" w:color="auto"/>
              <w:left w:val="single" w:sz="8" w:color="auto"/>
            </w:tcBorders>
            <w:vMerge w:val="restart"/>
            <w:shd w:val="clear" w:color="auto" w:fill="248ED8"/>
          </w:tcPr>
          <w:p>
            <w:pPr>
              <w:ind w:left="100"/>
              <w:spacing w:after="0"/>
              <w:rPr>
                <w:sz w:val="20"/>
                <w:szCs w:val="20"/>
                <w:color w:val="auto"/>
              </w:rPr>
            </w:pPr>
            <w:r>
              <w:rPr>
                <w:rFonts w:ascii="Arial" w:cs="Arial" w:eastAsia="Arial" w:hAnsi="Arial"/>
                <w:sz w:val="14"/>
                <w:szCs w:val="14"/>
                <w:b w:val="1"/>
                <w:bCs w:val="1"/>
                <w:color w:val="FFFFFF"/>
              </w:rPr>
              <w:t>NAME AND</w:t>
            </w:r>
          </w:p>
        </w:tc>
        <w:tc>
          <w:tcPr>
            <w:tcW w:w="80" w:type="dxa"/>
            <w:vAlign w:val="bottom"/>
            <w:tcBorders>
              <w:top w:val="single" w:sz="8" w:color="auto"/>
            </w:tcBorders>
            <w:shd w:val="clear" w:color="auto" w:fill="248ED8"/>
          </w:tcPr>
          <w:p>
            <w:pPr>
              <w:spacing w:after="0"/>
              <w:rPr>
                <w:sz w:val="22"/>
                <w:szCs w:val="22"/>
                <w:color w:val="auto"/>
              </w:rPr>
            </w:pPr>
          </w:p>
        </w:tc>
        <w:tc>
          <w:tcPr>
            <w:tcW w:w="500" w:type="dxa"/>
            <w:vAlign w:val="bottom"/>
            <w:tcBorders>
              <w:top w:val="single" w:sz="8" w:color="auto"/>
            </w:tcBorders>
            <w:shd w:val="clear" w:color="auto" w:fill="248ED8"/>
          </w:tcPr>
          <w:p>
            <w:pPr>
              <w:spacing w:after="0"/>
              <w:rPr>
                <w:sz w:val="22"/>
                <w:szCs w:val="22"/>
                <w:color w:val="auto"/>
              </w:rPr>
            </w:pPr>
          </w:p>
        </w:tc>
        <w:tc>
          <w:tcPr>
            <w:tcW w:w="180" w:type="dxa"/>
            <w:vAlign w:val="bottom"/>
            <w:tcBorders>
              <w:top w:val="single" w:sz="8" w:color="auto"/>
            </w:tcBorders>
            <w:shd w:val="clear" w:color="auto" w:fill="248ED8"/>
          </w:tcPr>
          <w:p>
            <w:pPr>
              <w:spacing w:after="0"/>
              <w:rPr>
                <w:sz w:val="22"/>
                <w:szCs w:val="22"/>
                <w:color w:val="auto"/>
              </w:rPr>
            </w:pPr>
          </w:p>
        </w:tc>
        <w:tc>
          <w:tcPr>
            <w:tcW w:w="640" w:type="dxa"/>
            <w:vAlign w:val="bottom"/>
            <w:tcBorders>
              <w:top w:val="single" w:sz="8" w:color="auto"/>
            </w:tcBorders>
            <w:shd w:val="clear" w:color="auto" w:fill="248ED8"/>
          </w:tcPr>
          <w:p>
            <w:pPr>
              <w:spacing w:after="0"/>
              <w:rPr>
                <w:sz w:val="22"/>
                <w:szCs w:val="22"/>
                <w:color w:val="auto"/>
              </w:rPr>
            </w:pPr>
          </w:p>
        </w:tc>
        <w:tc>
          <w:tcPr>
            <w:tcW w:w="180" w:type="dxa"/>
            <w:vAlign w:val="bottom"/>
            <w:tcBorders>
              <w:top w:val="single" w:sz="8" w:color="auto"/>
            </w:tcBorders>
            <w:shd w:val="clear" w:color="auto" w:fill="248ED8"/>
          </w:tcPr>
          <w:p>
            <w:pPr>
              <w:spacing w:after="0"/>
              <w:rPr>
                <w:sz w:val="22"/>
                <w:szCs w:val="22"/>
                <w:color w:val="auto"/>
              </w:rPr>
            </w:pPr>
          </w:p>
        </w:tc>
        <w:tc>
          <w:tcPr>
            <w:tcW w:w="580" w:type="dxa"/>
            <w:vAlign w:val="bottom"/>
            <w:tcBorders>
              <w:top w:val="single" w:sz="8" w:color="auto"/>
            </w:tcBorders>
            <w:shd w:val="clear" w:color="auto" w:fill="248ED8"/>
          </w:tcPr>
          <w:p>
            <w:pPr>
              <w:spacing w:after="0"/>
              <w:rPr>
                <w:sz w:val="22"/>
                <w:szCs w:val="22"/>
                <w:color w:val="auto"/>
              </w:rPr>
            </w:pPr>
          </w:p>
        </w:tc>
        <w:tc>
          <w:tcPr>
            <w:tcW w:w="220" w:type="dxa"/>
            <w:vAlign w:val="bottom"/>
            <w:tcBorders>
              <w:top w:val="single" w:sz="8" w:color="auto"/>
            </w:tcBorders>
            <w:shd w:val="clear" w:color="auto" w:fill="248ED8"/>
          </w:tcPr>
          <w:p>
            <w:pPr>
              <w:spacing w:after="0"/>
              <w:rPr>
                <w:sz w:val="22"/>
                <w:szCs w:val="22"/>
                <w:color w:val="auto"/>
              </w:rPr>
            </w:pPr>
          </w:p>
        </w:tc>
        <w:tc>
          <w:tcPr>
            <w:tcW w:w="660" w:type="dxa"/>
            <w:vAlign w:val="bottom"/>
            <w:tcBorders>
              <w:top w:val="single" w:sz="8" w:color="auto"/>
            </w:tcBorders>
            <w:vMerge w:val="restart"/>
            <w:shd w:val="clear" w:color="auto" w:fill="248ED8"/>
          </w:tcPr>
          <w:p>
            <w:pPr>
              <w:ind w:left="40"/>
              <w:spacing w:after="0"/>
              <w:rPr>
                <w:sz w:val="20"/>
                <w:szCs w:val="20"/>
                <w:color w:val="auto"/>
              </w:rPr>
            </w:pPr>
            <w:r>
              <w:rPr>
                <w:rFonts w:ascii="Arial" w:cs="Arial" w:eastAsia="Arial" w:hAnsi="Arial"/>
                <w:sz w:val="14"/>
                <w:szCs w:val="14"/>
                <w:b w:val="1"/>
                <w:bCs w:val="1"/>
                <w:color w:val="FFFFFF"/>
              </w:rPr>
              <w:t>STOCK</w:t>
            </w:r>
          </w:p>
        </w:tc>
        <w:tc>
          <w:tcPr>
            <w:tcW w:w="220" w:type="dxa"/>
            <w:vAlign w:val="bottom"/>
            <w:tcBorders>
              <w:top w:val="single" w:sz="8" w:color="auto"/>
            </w:tcBorders>
            <w:shd w:val="clear" w:color="auto" w:fill="248ED8"/>
          </w:tcPr>
          <w:p>
            <w:pPr>
              <w:spacing w:after="0"/>
              <w:rPr>
                <w:sz w:val="22"/>
                <w:szCs w:val="22"/>
                <w:color w:val="auto"/>
              </w:rPr>
            </w:pPr>
          </w:p>
        </w:tc>
        <w:tc>
          <w:tcPr>
            <w:tcW w:w="680" w:type="dxa"/>
            <w:vAlign w:val="bottom"/>
            <w:tcBorders>
              <w:top w:val="single" w:sz="8" w:color="auto"/>
            </w:tcBorders>
            <w:vMerge w:val="restart"/>
            <w:shd w:val="clear" w:color="auto" w:fill="248ED8"/>
          </w:tcPr>
          <w:p>
            <w:pPr>
              <w:ind w:left="20"/>
              <w:spacing w:after="0"/>
              <w:rPr>
                <w:sz w:val="20"/>
                <w:szCs w:val="20"/>
                <w:color w:val="auto"/>
              </w:rPr>
            </w:pPr>
            <w:r>
              <w:rPr>
                <w:rFonts w:ascii="Arial" w:cs="Arial" w:eastAsia="Arial" w:hAnsi="Arial"/>
                <w:sz w:val="14"/>
                <w:szCs w:val="14"/>
                <w:b w:val="1"/>
                <w:bCs w:val="1"/>
                <w:color w:val="FFFFFF"/>
              </w:rPr>
              <w:t>OPTION</w:t>
            </w:r>
          </w:p>
        </w:tc>
        <w:tc>
          <w:tcPr>
            <w:tcW w:w="180" w:type="dxa"/>
            <w:vAlign w:val="bottom"/>
            <w:tcBorders>
              <w:top w:val="single" w:sz="8" w:color="auto"/>
            </w:tcBorders>
            <w:shd w:val="clear" w:color="auto" w:fill="248ED8"/>
          </w:tcPr>
          <w:p>
            <w:pPr>
              <w:spacing w:after="0"/>
              <w:rPr>
                <w:sz w:val="22"/>
                <w:szCs w:val="22"/>
                <w:color w:val="auto"/>
              </w:rPr>
            </w:pPr>
          </w:p>
        </w:tc>
        <w:tc>
          <w:tcPr>
            <w:tcW w:w="1200" w:type="dxa"/>
            <w:vAlign w:val="bottom"/>
            <w:tcBorders>
              <w:top w:val="single" w:sz="8" w:color="auto"/>
            </w:tcBorders>
            <w:shd w:val="clear" w:color="auto" w:fill="248ED8"/>
          </w:tcPr>
          <w:p>
            <w:pPr>
              <w:jc w:val="center"/>
              <w:spacing w:after="0"/>
              <w:rPr>
                <w:sz w:val="20"/>
                <w:szCs w:val="20"/>
                <w:color w:val="auto"/>
              </w:rPr>
            </w:pPr>
            <w:r>
              <w:rPr>
                <w:rFonts w:ascii="Arial" w:cs="Arial" w:eastAsia="Arial" w:hAnsi="Arial"/>
                <w:sz w:val="14"/>
                <w:szCs w:val="14"/>
                <w:b w:val="1"/>
                <w:bCs w:val="1"/>
                <w:color w:val="FFFFFF"/>
              </w:rPr>
              <w:t>NON-EQUITY</w:t>
            </w:r>
          </w:p>
        </w:tc>
        <w:tc>
          <w:tcPr>
            <w:tcW w:w="280" w:type="dxa"/>
            <w:vAlign w:val="bottom"/>
            <w:tcBorders>
              <w:top w:val="single" w:sz="8" w:color="auto"/>
            </w:tcBorders>
            <w:shd w:val="clear" w:color="auto" w:fill="248ED8"/>
          </w:tcPr>
          <w:p>
            <w:pPr>
              <w:spacing w:after="0"/>
              <w:rPr>
                <w:sz w:val="22"/>
                <w:szCs w:val="22"/>
                <w:color w:val="auto"/>
              </w:rPr>
            </w:pPr>
          </w:p>
        </w:tc>
        <w:tc>
          <w:tcPr>
            <w:tcW w:w="1140" w:type="dxa"/>
            <w:vAlign w:val="bottom"/>
            <w:tcBorders>
              <w:top w:val="single" w:sz="8" w:color="auto"/>
            </w:tcBorders>
            <w:vMerge w:val="restart"/>
            <w:shd w:val="clear" w:color="auto" w:fill="248ED8"/>
          </w:tcPr>
          <w:p>
            <w:pPr>
              <w:ind w:left="100"/>
              <w:spacing w:after="0"/>
              <w:rPr>
                <w:sz w:val="20"/>
                <w:szCs w:val="20"/>
                <w:color w:val="auto"/>
              </w:rPr>
            </w:pPr>
            <w:r>
              <w:rPr>
                <w:rFonts w:ascii="Arial" w:cs="Arial" w:eastAsia="Arial" w:hAnsi="Arial"/>
                <w:sz w:val="14"/>
                <w:szCs w:val="14"/>
                <w:b w:val="1"/>
                <w:bCs w:val="1"/>
                <w:color w:val="FFFFFF"/>
              </w:rPr>
              <w:t>ALL OTHER</w:t>
            </w:r>
          </w:p>
        </w:tc>
        <w:tc>
          <w:tcPr>
            <w:tcW w:w="220" w:type="dxa"/>
            <w:vAlign w:val="bottom"/>
            <w:tcBorders>
              <w:top w:val="single" w:sz="8" w:color="auto"/>
            </w:tcBorders>
            <w:shd w:val="clear" w:color="auto" w:fill="248ED8"/>
          </w:tcPr>
          <w:p>
            <w:pPr>
              <w:spacing w:after="0"/>
              <w:rPr>
                <w:sz w:val="22"/>
                <w:szCs w:val="22"/>
                <w:color w:val="auto"/>
              </w:rPr>
            </w:pPr>
          </w:p>
        </w:tc>
        <w:tc>
          <w:tcPr>
            <w:tcW w:w="620" w:type="dxa"/>
            <w:vAlign w:val="bottom"/>
            <w:tcBorders>
              <w:top w:val="single" w:sz="8" w:color="auto"/>
            </w:tcBorders>
            <w:shd w:val="clear" w:color="auto" w:fill="248ED8"/>
          </w:tcPr>
          <w:p>
            <w:pPr>
              <w:spacing w:after="0"/>
              <w:rPr>
                <w:sz w:val="22"/>
                <w:szCs w:val="22"/>
                <w:color w:val="auto"/>
              </w:rPr>
            </w:pPr>
          </w:p>
        </w:tc>
        <w:tc>
          <w:tcPr>
            <w:tcW w:w="140" w:type="dxa"/>
            <w:vAlign w:val="bottom"/>
            <w:tcBorders>
              <w:top w:val="single" w:sz="8" w:color="auto"/>
              <w:right w:val="single" w:sz="8" w:color="auto"/>
            </w:tcBorders>
            <w:shd w:val="clear" w:color="auto" w:fill="248ED8"/>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280" w:type="dxa"/>
            <w:vAlign w:val="bottom"/>
            <w:tcBorders>
              <w:left w:val="single" w:sz="8" w:color="auto"/>
            </w:tcBorders>
            <w:vMerge w:val="continue"/>
            <w:shd w:val="clear" w:color="auto" w:fill="248ED8"/>
          </w:tcPr>
          <w:p>
            <w:pPr>
              <w:spacing w:after="0"/>
              <w:rPr>
                <w:sz w:val="16"/>
                <w:szCs w:val="16"/>
                <w:color w:val="auto"/>
              </w:rPr>
            </w:pPr>
          </w:p>
        </w:tc>
        <w:tc>
          <w:tcPr>
            <w:tcW w:w="760" w:type="dxa"/>
            <w:vAlign w:val="bottom"/>
            <w:gridSpan w:val="3"/>
            <w:vMerge w:val="restart"/>
            <w:shd w:val="clear" w:color="auto" w:fill="248ED8"/>
          </w:tcPr>
          <w:p>
            <w:pPr>
              <w:ind w:left="40"/>
              <w:spacing w:after="0"/>
              <w:rPr>
                <w:sz w:val="20"/>
                <w:szCs w:val="20"/>
                <w:color w:val="auto"/>
              </w:rPr>
            </w:pPr>
            <w:r>
              <w:rPr>
                <w:rFonts w:ascii="Arial" w:cs="Arial" w:eastAsia="Arial" w:hAnsi="Arial"/>
                <w:sz w:val="14"/>
                <w:szCs w:val="14"/>
                <w:b w:val="1"/>
                <w:bCs w:val="1"/>
                <w:color w:val="FFFFFF"/>
              </w:rPr>
              <w:t>​ ​YEAR ​ ​</w:t>
            </w:r>
          </w:p>
        </w:tc>
        <w:tc>
          <w:tcPr>
            <w:tcW w:w="640" w:type="dxa"/>
            <w:vAlign w:val="bottom"/>
            <w:shd w:val="clear" w:color="auto" w:fill="248ED8"/>
          </w:tcPr>
          <w:p>
            <w:pPr>
              <w:jc w:val="center"/>
              <w:spacing w:after="0"/>
              <w:rPr>
                <w:sz w:val="20"/>
                <w:szCs w:val="20"/>
                <w:color w:val="auto"/>
              </w:rPr>
            </w:pPr>
            <w:r>
              <w:rPr>
                <w:rFonts w:ascii="Arial" w:cs="Arial" w:eastAsia="Arial" w:hAnsi="Arial"/>
                <w:sz w:val="14"/>
                <w:szCs w:val="14"/>
                <w:b w:val="1"/>
                <w:bCs w:val="1"/>
                <w:color w:val="FFFFFF"/>
              </w:rPr>
              <w:t>SALARY</w:t>
            </w:r>
          </w:p>
        </w:tc>
        <w:tc>
          <w:tcPr>
            <w:tcW w:w="180" w:type="dxa"/>
            <w:vAlign w:val="bottom"/>
            <w:vMerge w:val="restart"/>
            <w:shd w:val="clear" w:color="auto" w:fill="248ED8"/>
          </w:tcPr>
          <w:p>
            <w:pPr>
              <w:ind w:left="60"/>
              <w:spacing w:after="0"/>
              <w:rPr>
                <w:sz w:val="20"/>
                <w:szCs w:val="20"/>
                <w:color w:val="auto"/>
              </w:rPr>
            </w:pPr>
            <w:r>
              <w:rPr>
                <w:rFonts w:ascii="Arial" w:cs="Arial" w:eastAsia="Arial" w:hAnsi="Arial"/>
                <w:sz w:val="14"/>
                <w:szCs w:val="14"/>
                <w:b w:val="1"/>
                <w:bCs w:val="1"/>
                <w:color w:val="FFFFFF"/>
              </w:rPr>
              <w:t>​ ​</w:t>
            </w:r>
          </w:p>
        </w:tc>
        <w:tc>
          <w:tcPr>
            <w:tcW w:w="580" w:type="dxa"/>
            <w:vAlign w:val="bottom"/>
            <w:shd w:val="clear" w:color="auto" w:fill="248ED8"/>
          </w:tcPr>
          <w:p>
            <w:pPr>
              <w:ind w:left="20"/>
              <w:spacing w:after="0"/>
              <w:rPr>
                <w:sz w:val="20"/>
                <w:szCs w:val="20"/>
                <w:color w:val="auto"/>
              </w:rPr>
            </w:pPr>
            <w:r>
              <w:rPr>
                <w:rFonts w:ascii="Arial" w:cs="Arial" w:eastAsia="Arial" w:hAnsi="Arial"/>
                <w:sz w:val="14"/>
                <w:szCs w:val="14"/>
                <w:b w:val="1"/>
                <w:bCs w:val="1"/>
                <w:color w:val="FFFFFF"/>
              </w:rPr>
              <w:t>BONUS</w:t>
            </w:r>
          </w:p>
        </w:tc>
        <w:tc>
          <w:tcPr>
            <w:tcW w:w="220" w:type="dxa"/>
            <w:vAlign w:val="bottom"/>
            <w:shd w:val="clear" w:color="auto" w:fill="248ED8"/>
          </w:tcPr>
          <w:p>
            <w:pPr>
              <w:spacing w:after="0"/>
              <w:rPr>
                <w:sz w:val="16"/>
                <w:szCs w:val="16"/>
                <w:color w:val="auto"/>
              </w:rPr>
            </w:pPr>
          </w:p>
        </w:tc>
        <w:tc>
          <w:tcPr>
            <w:tcW w:w="660" w:type="dxa"/>
            <w:vAlign w:val="bottom"/>
            <w:vMerge w:val="continue"/>
            <w:shd w:val="clear" w:color="auto" w:fill="248ED8"/>
          </w:tcPr>
          <w:p>
            <w:pPr>
              <w:spacing w:after="0"/>
              <w:rPr>
                <w:sz w:val="16"/>
                <w:szCs w:val="16"/>
                <w:color w:val="auto"/>
              </w:rPr>
            </w:pPr>
          </w:p>
        </w:tc>
        <w:tc>
          <w:tcPr>
            <w:tcW w:w="220" w:type="dxa"/>
            <w:vAlign w:val="bottom"/>
            <w:shd w:val="clear" w:color="auto" w:fill="248ED8"/>
          </w:tcPr>
          <w:p>
            <w:pPr>
              <w:spacing w:after="0"/>
              <w:rPr>
                <w:sz w:val="16"/>
                <w:szCs w:val="16"/>
                <w:color w:val="auto"/>
              </w:rPr>
            </w:pPr>
          </w:p>
        </w:tc>
        <w:tc>
          <w:tcPr>
            <w:tcW w:w="680" w:type="dxa"/>
            <w:vAlign w:val="bottom"/>
            <w:vMerge w:val="continue"/>
            <w:shd w:val="clear" w:color="auto" w:fill="248ED8"/>
          </w:tcPr>
          <w:p>
            <w:pPr>
              <w:spacing w:after="0"/>
              <w:rPr>
                <w:sz w:val="16"/>
                <w:szCs w:val="16"/>
                <w:color w:val="auto"/>
              </w:rPr>
            </w:pPr>
          </w:p>
        </w:tc>
        <w:tc>
          <w:tcPr>
            <w:tcW w:w="180" w:type="dxa"/>
            <w:vAlign w:val="bottom"/>
            <w:vMerge w:val="restart"/>
            <w:shd w:val="clear" w:color="auto" w:fill="248ED8"/>
          </w:tcPr>
          <w:p>
            <w:pPr>
              <w:ind w:left="40"/>
              <w:spacing w:after="0"/>
              <w:rPr>
                <w:sz w:val="20"/>
                <w:szCs w:val="20"/>
                <w:color w:val="auto"/>
              </w:rPr>
            </w:pPr>
            <w:r>
              <w:rPr>
                <w:rFonts w:ascii="Arial" w:cs="Arial" w:eastAsia="Arial" w:hAnsi="Arial"/>
                <w:sz w:val="14"/>
                <w:szCs w:val="14"/>
                <w:b w:val="1"/>
                <w:bCs w:val="1"/>
                <w:color w:val="FFFFFF"/>
              </w:rPr>
              <w:t>​ ​</w:t>
            </w:r>
          </w:p>
        </w:tc>
        <w:tc>
          <w:tcPr>
            <w:tcW w:w="1200" w:type="dxa"/>
            <w:vAlign w:val="bottom"/>
            <w:shd w:val="clear" w:color="auto" w:fill="248ED8"/>
          </w:tcPr>
          <w:p>
            <w:pPr>
              <w:jc w:val="center"/>
              <w:spacing w:after="0"/>
              <w:rPr>
                <w:sz w:val="20"/>
                <w:szCs w:val="20"/>
                <w:color w:val="auto"/>
              </w:rPr>
            </w:pPr>
            <w:r>
              <w:rPr>
                <w:rFonts w:ascii="Arial" w:cs="Arial" w:eastAsia="Arial" w:hAnsi="Arial"/>
                <w:sz w:val="14"/>
                <w:szCs w:val="14"/>
                <w:b w:val="1"/>
                <w:bCs w:val="1"/>
                <w:color w:val="FFFFFF"/>
              </w:rPr>
              <w:t>INCENTIVE</w:t>
            </w:r>
          </w:p>
        </w:tc>
        <w:tc>
          <w:tcPr>
            <w:tcW w:w="280" w:type="dxa"/>
            <w:vAlign w:val="bottom"/>
            <w:shd w:val="clear" w:color="auto" w:fill="248ED8"/>
          </w:tcPr>
          <w:p>
            <w:pPr>
              <w:spacing w:after="0"/>
              <w:rPr>
                <w:sz w:val="16"/>
                <w:szCs w:val="16"/>
                <w:color w:val="auto"/>
              </w:rPr>
            </w:pPr>
          </w:p>
        </w:tc>
        <w:tc>
          <w:tcPr>
            <w:tcW w:w="1140" w:type="dxa"/>
            <w:vAlign w:val="bottom"/>
            <w:vMerge w:val="continue"/>
            <w:shd w:val="clear" w:color="auto" w:fill="248ED8"/>
          </w:tcPr>
          <w:p>
            <w:pPr>
              <w:spacing w:after="0"/>
              <w:rPr>
                <w:sz w:val="16"/>
                <w:szCs w:val="16"/>
                <w:color w:val="auto"/>
              </w:rPr>
            </w:pPr>
          </w:p>
        </w:tc>
        <w:tc>
          <w:tcPr>
            <w:tcW w:w="220" w:type="dxa"/>
            <w:vAlign w:val="bottom"/>
            <w:vMerge w:val="restart"/>
            <w:shd w:val="clear" w:color="auto" w:fill="248ED8"/>
          </w:tcPr>
          <w:p>
            <w:pPr>
              <w:ind w:left="40"/>
              <w:spacing w:after="0"/>
              <w:rPr>
                <w:sz w:val="20"/>
                <w:szCs w:val="20"/>
                <w:color w:val="auto"/>
              </w:rPr>
            </w:pPr>
            <w:r>
              <w:rPr>
                <w:rFonts w:ascii="Arial" w:cs="Arial" w:eastAsia="Arial" w:hAnsi="Arial"/>
                <w:sz w:val="14"/>
                <w:szCs w:val="14"/>
                <w:b w:val="1"/>
                <w:bCs w:val="1"/>
                <w:color w:val="FFFFFF"/>
              </w:rPr>
              <w:t>​ ​</w:t>
            </w:r>
          </w:p>
        </w:tc>
        <w:tc>
          <w:tcPr>
            <w:tcW w:w="620" w:type="dxa"/>
            <w:vAlign w:val="bottom"/>
            <w:shd w:val="clear" w:color="auto" w:fill="248ED8"/>
          </w:tcPr>
          <w:p>
            <w:pPr>
              <w:ind w:left="60"/>
              <w:spacing w:after="0"/>
              <w:rPr>
                <w:sz w:val="20"/>
                <w:szCs w:val="20"/>
                <w:color w:val="auto"/>
              </w:rPr>
            </w:pPr>
            <w:r>
              <w:rPr>
                <w:rFonts w:ascii="Arial" w:cs="Arial" w:eastAsia="Arial" w:hAnsi="Arial"/>
                <w:sz w:val="14"/>
                <w:szCs w:val="14"/>
                <w:b w:val="1"/>
                <w:bCs w:val="1"/>
                <w:color w:val="FFFFFF"/>
              </w:rPr>
              <w:t>TOTAL</w:t>
            </w:r>
          </w:p>
        </w:tc>
        <w:tc>
          <w:tcPr>
            <w:tcW w:w="140" w:type="dxa"/>
            <w:vAlign w:val="bottom"/>
            <w:tcBorders>
              <w:right w:val="single" w:sz="8" w:color="auto"/>
            </w:tcBorders>
            <w:vMerge w:val="restart"/>
            <w:shd w:val="clear" w:color="auto" w:fill="248ED8"/>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13"/>
        </w:trPr>
        <w:tc>
          <w:tcPr>
            <w:tcW w:w="1280" w:type="dxa"/>
            <w:vAlign w:val="bottom"/>
            <w:tcBorders>
              <w:left w:val="single" w:sz="8" w:color="auto"/>
            </w:tcBorders>
            <w:shd w:val="clear" w:color="auto" w:fill="248ED8"/>
          </w:tcPr>
          <w:p>
            <w:pPr>
              <w:ind w:left="60"/>
              <w:spacing w:after="0" w:line="113" w:lineRule="exact"/>
              <w:rPr>
                <w:sz w:val="20"/>
                <w:szCs w:val="20"/>
                <w:color w:val="auto"/>
              </w:rPr>
            </w:pPr>
            <w:r>
              <w:rPr>
                <w:rFonts w:ascii="Arial" w:cs="Arial" w:eastAsia="Arial" w:hAnsi="Arial"/>
                <w:sz w:val="13"/>
                <w:szCs w:val="13"/>
                <w:b w:val="1"/>
                <w:bCs w:val="1"/>
                <w:color w:val="FFFFFF"/>
              </w:rPr>
              <w:t>​PRINCIPAL</w:t>
            </w:r>
          </w:p>
        </w:tc>
        <w:tc>
          <w:tcPr>
            <w:tcW w:w="760" w:type="dxa"/>
            <w:vAlign w:val="bottom"/>
            <w:gridSpan w:val="3"/>
            <w:vMerge w:val="continue"/>
            <w:shd w:val="clear" w:color="auto" w:fill="248ED8"/>
          </w:tcPr>
          <w:p>
            <w:pPr>
              <w:spacing w:after="0"/>
              <w:rPr>
                <w:sz w:val="9"/>
                <w:szCs w:val="9"/>
                <w:color w:val="auto"/>
              </w:rPr>
            </w:pPr>
          </w:p>
        </w:tc>
        <w:tc>
          <w:tcPr>
            <w:tcW w:w="640" w:type="dxa"/>
            <w:vAlign w:val="bottom"/>
            <w:shd w:val="clear" w:color="auto" w:fill="248ED8"/>
          </w:tcPr>
          <w:p>
            <w:pPr>
              <w:jc w:val="right"/>
              <w:ind w:right="151"/>
              <w:spacing w:after="0" w:line="113" w:lineRule="exact"/>
              <w:rPr>
                <w:sz w:val="20"/>
                <w:szCs w:val="20"/>
                <w:color w:val="auto"/>
              </w:rPr>
            </w:pPr>
            <w:r>
              <w:rPr>
                <w:rFonts w:ascii="Arial" w:cs="Arial" w:eastAsia="Arial" w:hAnsi="Arial"/>
                <w:sz w:val="13"/>
                <w:szCs w:val="13"/>
                <w:b w:val="1"/>
                <w:bCs w:val="1"/>
                <w:color w:val="FFFFFF"/>
              </w:rPr>
              <w:t>($)</w:t>
            </w:r>
          </w:p>
        </w:tc>
        <w:tc>
          <w:tcPr>
            <w:tcW w:w="180" w:type="dxa"/>
            <w:vAlign w:val="bottom"/>
            <w:vMerge w:val="continue"/>
            <w:shd w:val="clear" w:color="auto" w:fill="248ED8"/>
          </w:tcPr>
          <w:p>
            <w:pPr>
              <w:spacing w:after="0"/>
              <w:rPr>
                <w:sz w:val="9"/>
                <w:szCs w:val="9"/>
                <w:color w:val="auto"/>
              </w:rPr>
            </w:pPr>
          </w:p>
        </w:tc>
        <w:tc>
          <w:tcPr>
            <w:tcW w:w="580" w:type="dxa"/>
            <w:vAlign w:val="bottom"/>
            <w:shd w:val="clear" w:color="auto" w:fill="248ED8"/>
          </w:tcPr>
          <w:p>
            <w:pPr>
              <w:jc w:val="center"/>
              <w:spacing w:after="0" w:line="113" w:lineRule="exact"/>
              <w:rPr>
                <w:sz w:val="20"/>
                <w:szCs w:val="20"/>
                <w:color w:val="auto"/>
              </w:rPr>
            </w:pPr>
            <w:r>
              <w:rPr>
                <w:rFonts w:ascii="Arial" w:cs="Arial" w:eastAsia="Arial" w:hAnsi="Arial"/>
                <w:sz w:val="13"/>
                <w:szCs w:val="13"/>
                <w:b w:val="1"/>
                <w:bCs w:val="1"/>
                <w:color w:val="FFFFFF"/>
              </w:rPr>
              <w:t>($)</w:t>
            </w:r>
          </w:p>
        </w:tc>
        <w:tc>
          <w:tcPr>
            <w:tcW w:w="880" w:type="dxa"/>
            <w:vAlign w:val="bottom"/>
            <w:gridSpan w:val="2"/>
            <w:shd w:val="clear" w:color="auto" w:fill="248ED8"/>
          </w:tcPr>
          <w:p>
            <w:pPr>
              <w:ind w:left="60"/>
              <w:spacing w:after="0" w:line="113" w:lineRule="exact"/>
              <w:rPr>
                <w:sz w:val="20"/>
                <w:szCs w:val="20"/>
                <w:color w:val="auto"/>
              </w:rPr>
            </w:pPr>
            <w:r>
              <w:rPr>
                <w:rFonts w:ascii="Arial" w:cs="Arial" w:eastAsia="Arial" w:hAnsi="Arial"/>
                <w:sz w:val="13"/>
                <w:szCs w:val="13"/>
                <w:b w:val="1"/>
                <w:bCs w:val="1"/>
                <w:color w:val="FFFFFF"/>
              </w:rPr>
              <w:t>​ ​ AWARDS</w:t>
            </w:r>
          </w:p>
        </w:tc>
        <w:tc>
          <w:tcPr>
            <w:tcW w:w="900" w:type="dxa"/>
            <w:vAlign w:val="bottom"/>
            <w:gridSpan w:val="2"/>
            <w:shd w:val="clear" w:color="auto" w:fill="248ED8"/>
          </w:tcPr>
          <w:p>
            <w:pPr>
              <w:ind w:left="40"/>
              <w:spacing w:after="0" w:line="113" w:lineRule="exact"/>
              <w:rPr>
                <w:sz w:val="20"/>
                <w:szCs w:val="20"/>
                <w:color w:val="auto"/>
              </w:rPr>
            </w:pPr>
            <w:r>
              <w:rPr>
                <w:rFonts w:ascii="Arial" w:cs="Arial" w:eastAsia="Arial" w:hAnsi="Arial"/>
                <w:sz w:val="13"/>
                <w:szCs w:val="13"/>
                <w:b w:val="1"/>
                <w:bCs w:val="1"/>
                <w:color w:val="FFFFFF"/>
              </w:rPr>
              <w:t>​ ​ AWARDS</w:t>
            </w:r>
          </w:p>
        </w:tc>
        <w:tc>
          <w:tcPr>
            <w:tcW w:w="180" w:type="dxa"/>
            <w:vAlign w:val="bottom"/>
            <w:vMerge w:val="continue"/>
            <w:shd w:val="clear" w:color="auto" w:fill="248ED8"/>
          </w:tcPr>
          <w:p>
            <w:pPr>
              <w:spacing w:after="0"/>
              <w:rPr>
                <w:sz w:val="9"/>
                <w:szCs w:val="9"/>
                <w:color w:val="auto"/>
              </w:rPr>
            </w:pPr>
          </w:p>
        </w:tc>
        <w:tc>
          <w:tcPr>
            <w:tcW w:w="1200" w:type="dxa"/>
            <w:vAlign w:val="bottom"/>
            <w:shd w:val="clear" w:color="auto" w:fill="248ED8"/>
          </w:tcPr>
          <w:p>
            <w:pPr>
              <w:jc w:val="center"/>
              <w:spacing w:after="0" w:line="113" w:lineRule="exact"/>
              <w:rPr>
                <w:sz w:val="20"/>
                <w:szCs w:val="20"/>
                <w:color w:val="auto"/>
              </w:rPr>
            </w:pPr>
            <w:r>
              <w:rPr>
                <w:rFonts w:ascii="Arial" w:cs="Arial" w:eastAsia="Arial" w:hAnsi="Arial"/>
                <w:sz w:val="13"/>
                <w:szCs w:val="13"/>
                <w:b w:val="1"/>
                <w:bCs w:val="1"/>
                <w:color w:val="FFFFFF"/>
              </w:rPr>
              <w:t>PLAN</w:t>
            </w:r>
          </w:p>
        </w:tc>
        <w:tc>
          <w:tcPr>
            <w:tcW w:w="1420" w:type="dxa"/>
            <w:vAlign w:val="bottom"/>
            <w:gridSpan w:val="2"/>
            <w:shd w:val="clear" w:color="auto" w:fill="248ED8"/>
          </w:tcPr>
          <w:p>
            <w:pPr>
              <w:ind w:left="40"/>
              <w:spacing w:after="0" w:line="113" w:lineRule="exact"/>
              <w:rPr>
                <w:sz w:val="20"/>
                <w:szCs w:val="20"/>
                <w:color w:val="auto"/>
              </w:rPr>
            </w:pPr>
            <w:r>
              <w:rPr>
                <w:rFonts w:ascii="Arial" w:cs="Arial" w:eastAsia="Arial" w:hAnsi="Arial"/>
                <w:sz w:val="13"/>
                <w:szCs w:val="13"/>
                <w:b w:val="1"/>
                <w:bCs w:val="1"/>
                <w:color w:val="FFFFFF"/>
              </w:rPr>
              <w:t>​ ​ COMPENSATION</w:t>
            </w:r>
          </w:p>
        </w:tc>
        <w:tc>
          <w:tcPr>
            <w:tcW w:w="220" w:type="dxa"/>
            <w:vAlign w:val="bottom"/>
            <w:vMerge w:val="continue"/>
            <w:shd w:val="clear" w:color="auto" w:fill="248ED8"/>
          </w:tcPr>
          <w:p>
            <w:pPr>
              <w:spacing w:after="0"/>
              <w:rPr>
                <w:sz w:val="9"/>
                <w:szCs w:val="9"/>
                <w:color w:val="auto"/>
              </w:rPr>
            </w:pPr>
          </w:p>
        </w:tc>
        <w:tc>
          <w:tcPr>
            <w:tcW w:w="620" w:type="dxa"/>
            <w:vAlign w:val="bottom"/>
            <w:shd w:val="clear" w:color="auto" w:fill="248ED8"/>
          </w:tcPr>
          <w:p>
            <w:pPr>
              <w:jc w:val="center"/>
              <w:spacing w:after="0" w:line="113" w:lineRule="exact"/>
              <w:rPr>
                <w:sz w:val="20"/>
                <w:szCs w:val="20"/>
                <w:color w:val="auto"/>
              </w:rPr>
            </w:pPr>
            <w:r>
              <w:rPr>
                <w:rFonts w:ascii="Arial" w:cs="Arial" w:eastAsia="Arial" w:hAnsi="Arial"/>
                <w:sz w:val="13"/>
                <w:szCs w:val="13"/>
                <w:b w:val="1"/>
                <w:bCs w:val="1"/>
                <w:color w:val="FFFFFF"/>
              </w:rPr>
              <w:t>($)</w:t>
            </w:r>
          </w:p>
        </w:tc>
        <w:tc>
          <w:tcPr>
            <w:tcW w:w="140" w:type="dxa"/>
            <w:vAlign w:val="bottom"/>
            <w:tcBorders>
              <w:right w:val="single" w:sz="8" w:color="auto"/>
            </w:tcBorders>
            <w:vMerge w:val="continue"/>
            <w:shd w:val="clear" w:color="auto" w:fill="248ED8"/>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280" w:type="dxa"/>
            <w:vAlign w:val="bottom"/>
            <w:tcBorders>
              <w:left w:val="single" w:sz="8" w:color="auto"/>
            </w:tcBorders>
            <w:shd w:val="clear" w:color="auto" w:fill="248ED8"/>
          </w:tcPr>
          <w:p>
            <w:pPr>
              <w:ind w:left="100"/>
              <w:spacing w:after="0"/>
              <w:rPr>
                <w:sz w:val="20"/>
                <w:szCs w:val="20"/>
                <w:color w:val="auto"/>
              </w:rPr>
            </w:pPr>
            <w:r>
              <w:rPr>
                <w:rFonts w:ascii="Arial" w:cs="Arial" w:eastAsia="Arial" w:hAnsi="Arial"/>
                <w:sz w:val="14"/>
                <w:szCs w:val="14"/>
                <w:b w:val="1"/>
                <w:bCs w:val="1"/>
                <w:color w:val="FFFFFF"/>
              </w:rPr>
              <w:t>POSITION</w:t>
            </w:r>
          </w:p>
        </w:tc>
        <w:tc>
          <w:tcPr>
            <w:tcW w:w="80" w:type="dxa"/>
            <w:vAlign w:val="bottom"/>
            <w:shd w:val="clear" w:color="auto" w:fill="248ED8"/>
          </w:tcPr>
          <w:p>
            <w:pPr>
              <w:spacing w:after="0"/>
              <w:rPr>
                <w:sz w:val="16"/>
                <w:szCs w:val="16"/>
                <w:color w:val="auto"/>
              </w:rPr>
            </w:pPr>
          </w:p>
        </w:tc>
        <w:tc>
          <w:tcPr>
            <w:tcW w:w="500" w:type="dxa"/>
            <w:vAlign w:val="bottom"/>
            <w:shd w:val="clear" w:color="auto" w:fill="248ED8"/>
          </w:tcPr>
          <w:p>
            <w:pPr>
              <w:spacing w:after="0"/>
              <w:rPr>
                <w:sz w:val="16"/>
                <w:szCs w:val="16"/>
                <w:color w:val="auto"/>
              </w:rPr>
            </w:pPr>
          </w:p>
        </w:tc>
        <w:tc>
          <w:tcPr>
            <w:tcW w:w="180" w:type="dxa"/>
            <w:vAlign w:val="bottom"/>
            <w:shd w:val="clear" w:color="auto" w:fill="248ED8"/>
          </w:tcPr>
          <w:p>
            <w:pPr>
              <w:spacing w:after="0"/>
              <w:rPr>
                <w:sz w:val="16"/>
                <w:szCs w:val="16"/>
                <w:color w:val="auto"/>
              </w:rPr>
            </w:pPr>
          </w:p>
        </w:tc>
        <w:tc>
          <w:tcPr>
            <w:tcW w:w="640" w:type="dxa"/>
            <w:vAlign w:val="bottom"/>
            <w:shd w:val="clear" w:color="auto" w:fill="248ED8"/>
          </w:tcPr>
          <w:p>
            <w:pPr>
              <w:spacing w:after="0"/>
              <w:rPr>
                <w:sz w:val="16"/>
                <w:szCs w:val="16"/>
                <w:color w:val="auto"/>
              </w:rPr>
            </w:pPr>
          </w:p>
        </w:tc>
        <w:tc>
          <w:tcPr>
            <w:tcW w:w="180" w:type="dxa"/>
            <w:vAlign w:val="bottom"/>
            <w:shd w:val="clear" w:color="auto" w:fill="248ED8"/>
          </w:tcPr>
          <w:p>
            <w:pPr>
              <w:spacing w:after="0"/>
              <w:rPr>
                <w:sz w:val="16"/>
                <w:szCs w:val="16"/>
                <w:color w:val="auto"/>
              </w:rPr>
            </w:pPr>
          </w:p>
        </w:tc>
        <w:tc>
          <w:tcPr>
            <w:tcW w:w="580" w:type="dxa"/>
            <w:vAlign w:val="bottom"/>
            <w:shd w:val="clear" w:color="auto" w:fill="248ED8"/>
          </w:tcPr>
          <w:p>
            <w:pPr>
              <w:spacing w:after="0"/>
              <w:rPr>
                <w:sz w:val="16"/>
                <w:szCs w:val="16"/>
                <w:color w:val="auto"/>
              </w:rPr>
            </w:pPr>
          </w:p>
        </w:tc>
        <w:tc>
          <w:tcPr>
            <w:tcW w:w="220" w:type="dxa"/>
            <w:vAlign w:val="bottom"/>
            <w:shd w:val="clear" w:color="auto" w:fill="248ED8"/>
          </w:tcPr>
          <w:p>
            <w:pPr>
              <w:spacing w:after="0"/>
              <w:rPr>
                <w:sz w:val="16"/>
                <w:szCs w:val="16"/>
                <w:color w:val="auto"/>
              </w:rPr>
            </w:pPr>
          </w:p>
        </w:tc>
        <w:tc>
          <w:tcPr>
            <w:tcW w:w="660" w:type="dxa"/>
            <w:vAlign w:val="bottom"/>
            <w:shd w:val="clear" w:color="auto" w:fill="248ED8"/>
          </w:tcPr>
          <w:p>
            <w:pPr>
              <w:jc w:val="center"/>
              <w:spacing w:after="0"/>
              <w:rPr>
                <w:sz w:val="20"/>
                <w:szCs w:val="20"/>
                <w:color w:val="auto"/>
              </w:rPr>
            </w:pPr>
            <w:r>
              <w:rPr>
                <w:rFonts w:ascii="Arial" w:cs="Arial" w:eastAsia="Arial" w:hAnsi="Arial"/>
                <w:sz w:val="14"/>
                <w:szCs w:val="14"/>
                <w:b w:val="1"/>
                <w:bCs w:val="1"/>
                <w:color w:val="FFFFFF"/>
              </w:rPr>
              <w:t>($)</w:t>
            </w:r>
          </w:p>
        </w:tc>
        <w:tc>
          <w:tcPr>
            <w:tcW w:w="220" w:type="dxa"/>
            <w:vAlign w:val="bottom"/>
            <w:shd w:val="clear" w:color="auto" w:fill="248ED8"/>
          </w:tcPr>
          <w:p>
            <w:pPr>
              <w:spacing w:after="0"/>
              <w:rPr>
                <w:sz w:val="16"/>
                <w:szCs w:val="16"/>
                <w:color w:val="auto"/>
              </w:rPr>
            </w:pPr>
          </w:p>
        </w:tc>
        <w:tc>
          <w:tcPr>
            <w:tcW w:w="680" w:type="dxa"/>
            <w:vAlign w:val="bottom"/>
            <w:shd w:val="clear" w:color="auto" w:fill="248ED8"/>
          </w:tcPr>
          <w:p>
            <w:pPr>
              <w:jc w:val="center"/>
              <w:spacing w:after="0"/>
              <w:rPr>
                <w:sz w:val="20"/>
                <w:szCs w:val="20"/>
                <w:color w:val="auto"/>
              </w:rPr>
            </w:pPr>
            <w:r>
              <w:rPr>
                <w:rFonts w:ascii="Arial" w:cs="Arial" w:eastAsia="Arial" w:hAnsi="Arial"/>
                <w:sz w:val="14"/>
                <w:szCs w:val="14"/>
                <w:b w:val="1"/>
                <w:bCs w:val="1"/>
                <w:color w:val="FFFFFF"/>
              </w:rPr>
              <w:t>($)(1)</w:t>
            </w:r>
          </w:p>
        </w:tc>
        <w:tc>
          <w:tcPr>
            <w:tcW w:w="180" w:type="dxa"/>
            <w:vAlign w:val="bottom"/>
            <w:shd w:val="clear" w:color="auto" w:fill="248ED8"/>
          </w:tcPr>
          <w:p>
            <w:pPr>
              <w:spacing w:after="0"/>
              <w:rPr>
                <w:sz w:val="16"/>
                <w:szCs w:val="16"/>
                <w:color w:val="auto"/>
              </w:rPr>
            </w:pPr>
          </w:p>
        </w:tc>
        <w:tc>
          <w:tcPr>
            <w:tcW w:w="1200" w:type="dxa"/>
            <w:vAlign w:val="bottom"/>
            <w:shd w:val="clear" w:color="auto" w:fill="248ED8"/>
          </w:tcPr>
          <w:p>
            <w:pPr>
              <w:jc w:val="center"/>
              <w:spacing w:after="0"/>
              <w:rPr>
                <w:sz w:val="20"/>
                <w:szCs w:val="20"/>
                <w:color w:val="auto"/>
              </w:rPr>
            </w:pPr>
            <w:r>
              <w:rPr>
                <w:rFonts w:ascii="Arial" w:cs="Arial" w:eastAsia="Arial" w:hAnsi="Arial"/>
                <w:sz w:val="14"/>
                <w:szCs w:val="14"/>
                <w:b w:val="1"/>
                <w:bCs w:val="1"/>
                <w:color w:val="FFFFFF"/>
              </w:rPr>
              <w:t>COMPENSATION</w:t>
            </w:r>
          </w:p>
        </w:tc>
        <w:tc>
          <w:tcPr>
            <w:tcW w:w="280" w:type="dxa"/>
            <w:vAlign w:val="bottom"/>
            <w:shd w:val="clear" w:color="auto" w:fill="248ED8"/>
          </w:tcPr>
          <w:p>
            <w:pPr>
              <w:spacing w:after="0"/>
              <w:rPr>
                <w:sz w:val="16"/>
                <w:szCs w:val="16"/>
                <w:color w:val="auto"/>
              </w:rPr>
            </w:pPr>
          </w:p>
        </w:tc>
        <w:tc>
          <w:tcPr>
            <w:tcW w:w="1140" w:type="dxa"/>
            <w:vAlign w:val="bottom"/>
            <w:shd w:val="clear" w:color="auto" w:fill="248ED8"/>
          </w:tcPr>
          <w:p>
            <w:pPr>
              <w:jc w:val="center"/>
              <w:ind w:right="28"/>
              <w:spacing w:after="0"/>
              <w:rPr>
                <w:sz w:val="20"/>
                <w:szCs w:val="20"/>
                <w:color w:val="auto"/>
              </w:rPr>
            </w:pPr>
            <w:r>
              <w:rPr>
                <w:rFonts w:ascii="Arial" w:cs="Arial" w:eastAsia="Arial" w:hAnsi="Arial"/>
                <w:sz w:val="14"/>
                <w:szCs w:val="14"/>
                <w:b w:val="1"/>
                <w:bCs w:val="1"/>
                <w:color w:val="FFFFFF"/>
              </w:rPr>
              <w:t>($)(3)</w:t>
            </w:r>
          </w:p>
        </w:tc>
        <w:tc>
          <w:tcPr>
            <w:tcW w:w="220" w:type="dxa"/>
            <w:vAlign w:val="bottom"/>
            <w:shd w:val="clear" w:color="auto" w:fill="248ED8"/>
          </w:tcPr>
          <w:p>
            <w:pPr>
              <w:spacing w:after="0"/>
              <w:rPr>
                <w:sz w:val="16"/>
                <w:szCs w:val="16"/>
                <w:color w:val="auto"/>
              </w:rPr>
            </w:pPr>
          </w:p>
        </w:tc>
        <w:tc>
          <w:tcPr>
            <w:tcW w:w="620" w:type="dxa"/>
            <w:vAlign w:val="bottom"/>
            <w:shd w:val="clear" w:color="auto" w:fill="248ED8"/>
          </w:tcPr>
          <w:p>
            <w:pPr>
              <w:spacing w:after="0"/>
              <w:rPr>
                <w:sz w:val="16"/>
                <w:szCs w:val="16"/>
                <w:color w:val="auto"/>
              </w:rPr>
            </w:pPr>
          </w:p>
        </w:tc>
        <w:tc>
          <w:tcPr>
            <w:tcW w:w="140" w:type="dxa"/>
            <w:vAlign w:val="bottom"/>
            <w:tcBorders>
              <w:right w:val="single" w:sz="8" w:color="auto"/>
            </w:tcBorders>
            <w:shd w:val="clear" w:color="auto" w:fill="248ED8"/>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80" w:type="dxa"/>
            <w:vAlign w:val="bottom"/>
            <w:tcBorders>
              <w:left w:val="single" w:sz="8" w:color="auto"/>
            </w:tcBorders>
            <w:shd w:val="clear" w:color="auto" w:fill="248ED8"/>
          </w:tcPr>
          <w:p>
            <w:pPr>
              <w:spacing w:after="0"/>
              <w:rPr>
                <w:sz w:val="16"/>
                <w:szCs w:val="16"/>
                <w:color w:val="auto"/>
              </w:rPr>
            </w:pPr>
          </w:p>
        </w:tc>
        <w:tc>
          <w:tcPr>
            <w:tcW w:w="80" w:type="dxa"/>
            <w:vAlign w:val="bottom"/>
            <w:shd w:val="clear" w:color="auto" w:fill="248ED8"/>
          </w:tcPr>
          <w:p>
            <w:pPr>
              <w:spacing w:after="0"/>
              <w:rPr>
                <w:sz w:val="16"/>
                <w:szCs w:val="16"/>
                <w:color w:val="auto"/>
              </w:rPr>
            </w:pPr>
          </w:p>
        </w:tc>
        <w:tc>
          <w:tcPr>
            <w:tcW w:w="500" w:type="dxa"/>
            <w:vAlign w:val="bottom"/>
            <w:shd w:val="clear" w:color="auto" w:fill="248ED8"/>
          </w:tcPr>
          <w:p>
            <w:pPr>
              <w:spacing w:after="0"/>
              <w:rPr>
                <w:sz w:val="16"/>
                <w:szCs w:val="16"/>
                <w:color w:val="auto"/>
              </w:rPr>
            </w:pPr>
          </w:p>
        </w:tc>
        <w:tc>
          <w:tcPr>
            <w:tcW w:w="180" w:type="dxa"/>
            <w:vAlign w:val="bottom"/>
            <w:shd w:val="clear" w:color="auto" w:fill="248ED8"/>
          </w:tcPr>
          <w:p>
            <w:pPr>
              <w:spacing w:after="0"/>
              <w:rPr>
                <w:sz w:val="16"/>
                <w:szCs w:val="16"/>
                <w:color w:val="auto"/>
              </w:rPr>
            </w:pPr>
          </w:p>
        </w:tc>
        <w:tc>
          <w:tcPr>
            <w:tcW w:w="640" w:type="dxa"/>
            <w:vAlign w:val="bottom"/>
            <w:shd w:val="clear" w:color="auto" w:fill="248ED8"/>
          </w:tcPr>
          <w:p>
            <w:pPr>
              <w:spacing w:after="0"/>
              <w:rPr>
                <w:sz w:val="16"/>
                <w:szCs w:val="16"/>
                <w:color w:val="auto"/>
              </w:rPr>
            </w:pPr>
          </w:p>
        </w:tc>
        <w:tc>
          <w:tcPr>
            <w:tcW w:w="180" w:type="dxa"/>
            <w:vAlign w:val="bottom"/>
            <w:shd w:val="clear" w:color="auto" w:fill="248ED8"/>
          </w:tcPr>
          <w:p>
            <w:pPr>
              <w:spacing w:after="0"/>
              <w:rPr>
                <w:sz w:val="16"/>
                <w:szCs w:val="16"/>
                <w:color w:val="auto"/>
              </w:rPr>
            </w:pPr>
          </w:p>
        </w:tc>
        <w:tc>
          <w:tcPr>
            <w:tcW w:w="580" w:type="dxa"/>
            <w:vAlign w:val="bottom"/>
            <w:shd w:val="clear" w:color="auto" w:fill="248ED8"/>
          </w:tcPr>
          <w:p>
            <w:pPr>
              <w:spacing w:after="0"/>
              <w:rPr>
                <w:sz w:val="16"/>
                <w:szCs w:val="16"/>
                <w:color w:val="auto"/>
              </w:rPr>
            </w:pPr>
          </w:p>
        </w:tc>
        <w:tc>
          <w:tcPr>
            <w:tcW w:w="220" w:type="dxa"/>
            <w:vAlign w:val="bottom"/>
            <w:shd w:val="clear" w:color="auto" w:fill="248ED8"/>
          </w:tcPr>
          <w:p>
            <w:pPr>
              <w:spacing w:after="0"/>
              <w:rPr>
                <w:sz w:val="16"/>
                <w:szCs w:val="16"/>
                <w:color w:val="auto"/>
              </w:rPr>
            </w:pPr>
          </w:p>
        </w:tc>
        <w:tc>
          <w:tcPr>
            <w:tcW w:w="660" w:type="dxa"/>
            <w:vAlign w:val="bottom"/>
            <w:shd w:val="clear" w:color="auto" w:fill="248ED8"/>
          </w:tcPr>
          <w:p>
            <w:pPr>
              <w:spacing w:after="0"/>
              <w:rPr>
                <w:sz w:val="16"/>
                <w:szCs w:val="16"/>
                <w:color w:val="auto"/>
              </w:rPr>
            </w:pPr>
          </w:p>
        </w:tc>
        <w:tc>
          <w:tcPr>
            <w:tcW w:w="220" w:type="dxa"/>
            <w:vAlign w:val="bottom"/>
            <w:shd w:val="clear" w:color="auto" w:fill="248ED8"/>
          </w:tcPr>
          <w:p>
            <w:pPr>
              <w:spacing w:after="0"/>
              <w:rPr>
                <w:sz w:val="16"/>
                <w:szCs w:val="16"/>
                <w:color w:val="auto"/>
              </w:rPr>
            </w:pPr>
          </w:p>
        </w:tc>
        <w:tc>
          <w:tcPr>
            <w:tcW w:w="680" w:type="dxa"/>
            <w:vAlign w:val="bottom"/>
            <w:shd w:val="clear" w:color="auto" w:fill="248ED8"/>
          </w:tcPr>
          <w:p>
            <w:pPr>
              <w:spacing w:after="0"/>
              <w:rPr>
                <w:sz w:val="16"/>
                <w:szCs w:val="16"/>
                <w:color w:val="auto"/>
              </w:rPr>
            </w:pPr>
          </w:p>
        </w:tc>
        <w:tc>
          <w:tcPr>
            <w:tcW w:w="180" w:type="dxa"/>
            <w:vAlign w:val="bottom"/>
            <w:shd w:val="clear" w:color="auto" w:fill="248ED8"/>
          </w:tcPr>
          <w:p>
            <w:pPr>
              <w:spacing w:after="0"/>
              <w:rPr>
                <w:sz w:val="16"/>
                <w:szCs w:val="16"/>
                <w:color w:val="auto"/>
              </w:rPr>
            </w:pPr>
          </w:p>
        </w:tc>
        <w:tc>
          <w:tcPr>
            <w:tcW w:w="1200" w:type="dxa"/>
            <w:vAlign w:val="bottom"/>
            <w:shd w:val="clear" w:color="auto" w:fill="248ED8"/>
          </w:tcPr>
          <w:p>
            <w:pPr>
              <w:jc w:val="center"/>
              <w:spacing w:after="0"/>
              <w:rPr>
                <w:sz w:val="20"/>
                <w:szCs w:val="20"/>
                <w:color w:val="auto"/>
              </w:rPr>
            </w:pPr>
            <w:r>
              <w:rPr>
                <w:rFonts w:ascii="Arial" w:cs="Arial" w:eastAsia="Arial" w:hAnsi="Arial"/>
                <w:sz w:val="14"/>
                <w:szCs w:val="14"/>
                <w:b w:val="1"/>
                <w:bCs w:val="1"/>
                <w:color w:val="FFFFFF"/>
                <w:w w:val="93"/>
              </w:rPr>
              <w:t>($)</w:t>
            </w:r>
          </w:p>
        </w:tc>
        <w:tc>
          <w:tcPr>
            <w:tcW w:w="280" w:type="dxa"/>
            <w:vAlign w:val="bottom"/>
            <w:shd w:val="clear" w:color="auto" w:fill="248ED8"/>
          </w:tcPr>
          <w:p>
            <w:pPr>
              <w:spacing w:after="0"/>
              <w:rPr>
                <w:sz w:val="16"/>
                <w:szCs w:val="16"/>
                <w:color w:val="auto"/>
              </w:rPr>
            </w:pPr>
          </w:p>
        </w:tc>
        <w:tc>
          <w:tcPr>
            <w:tcW w:w="1140" w:type="dxa"/>
            <w:vAlign w:val="bottom"/>
            <w:shd w:val="clear" w:color="auto" w:fill="248ED8"/>
          </w:tcPr>
          <w:p>
            <w:pPr>
              <w:spacing w:after="0"/>
              <w:rPr>
                <w:sz w:val="16"/>
                <w:szCs w:val="16"/>
                <w:color w:val="auto"/>
              </w:rPr>
            </w:pPr>
          </w:p>
        </w:tc>
        <w:tc>
          <w:tcPr>
            <w:tcW w:w="220" w:type="dxa"/>
            <w:vAlign w:val="bottom"/>
            <w:shd w:val="clear" w:color="auto" w:fill="248ED8"/>
          </w:tcPr>
          <w:p>
            <w:pPr>
              <w:spacing w:after="0"/>
              <w:rPr>
                <w:sz w:val="16"/>
                <w:szCs w:val="16"/>
                <w:color w:val="auto"/>
              </w:rPr>
            </w:pPr>
          </w:p>
        </w:tc>
        <w:tc>
          <w:tcPr>
            <w:tcW w:w="620" w:type="dxa"/>
            <w:vAlign w:val="bottom"/>
            <w:shd w:val="clear" w:color="auto" w:fill="248ED8"/>
          </w:tcPr>
          <w:p>
            <w:pPr>
              <w:spacing w:after="0"/>
              <w:rPr>
                <w:sz w:val="16"/>
                <w:szCs w:val="16"/>
                <w:color w:val="auto"/>
              </w:rPr>
            </w:pPr>
          </w:p>
        </w:tc>
        <w:tc>
          <w:tcPr>
            <w:tcW w:w="140" w:type="dxa"/>
            <w:vAlign w:val="bottom"/>
            <w:tcBorders>
              <w:right w:val="single" w:sz="8" w:color="auto"/>
            </w:tcBorders>
            <w:shd w:val="clear" w:color="auto" w:fill="248ED8"/>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8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Osvaldo Flores,</w:t>
            </w:r>
          </w:p>
        </w:tc>
        <w:tc>
          <w:tcPr>
            <w:tcW w:w="80" w:type="dxa"/>
            <w:vAlign w:val="bottom"/>
          </w:tcPr>
          <w:p>
            <w:pPr>
              <w:spacing w:after="0"/>
              <w:rPr>
                <w:sz w:val="17"/>
                <w:szCs w:val="17"/>
                <w:color w:val="auto"/>
              </w:rPr>
            </w:pPr>
          </w:p>
        </w:tc>
        <w:tc>
          <w:tcPr>
            <w:tcW w:w="500" w:type="dxa"/>
            <w:vAlign w:val="bottom"/>
            <w:vMerge w:val="restart"/>
          </w:tcPr>
          <w:p>
            <w:pPr>
              <w:ind w:left="40"/>
              <w:spacing w:after="0"/>
              <w:rPr>
                <w:sz w:val="20"/>
                <w:szCs w:val="20"/>
                <w:color w:val="auto"/>
              </w:rPr>
            </w:pPr>
            <w:r>
              <w:rPr>
                <w:rFonts w:ascii="Arial" w:cs="Arial" w:eastAsia="Arial" w:hAnsi="Arial"/>
                <w:sz w:val="14"/>
                <w:szCs w:val="14"/>
                <w:color w:val="auto"/>
              </w:rPr>
              <w:t>​ 2021</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 ​ 519,313</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color w:val="auto"/>
              </w:rPr>
              <w:t>​ ​ 3,539,110</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258,745</w:t>
            </w:r>
          </w:p>
        </w:tc>
        <w:tc>
          <w:tcPr>
            <w:tcW w:w="28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140" w:type="dxa"/>
            <w:vAlign w:val="bottom"/>
            <w:vMerge w:val="restart"/>
          </w:tcPr>
          <w:p>
            <w:pPr>
              <w:jc w:val="center"/>
              <w:ind w:right="8"/>
              <w:spacing w:after="0"/>
              <w:rPr>
                <w:sz w:val="20"/>
                <w:szCs w:val="20"/>
                <w:color w:val="auto"/>
              </w:rPr>
            </w:pPr>
            <w:r>
              <w:rPr>
                <w:rFonts w:ascii="Arial" w:cs="Arial" w:eastAsia="Arial" w:hAnsi="Arial"/>
                <w:sz w:val="14"/>
                <w:szCs w:val="14"/>
                <w:color w:val="auto"/>
                <w:w w:val="99"/>
              </w:rPr>
              <w:t>—</w:t>
            </w:r>
          </w:p>
        </w:tc>
        <w:tc>
          <w:tcPr>
            <w:tcW w:w="980" w:type="dxa"/>
            <w:vAlign w:val="bottom"/>
            <w:tcBorders>
              <w:right w:val="single" w:sz="8" w:color="auto"/>
            </w:tcBorders>
            <w:gridSpan w:val="3"/>
            <w:vMerge w:val="restart"/>
          </w:tcPr>
          <w:p>
            <w:pPr>
              <w:jc w:val="right"/>
              <w:spacing w:after="0"/>
              <w:rPr>
                <w:sz w:val="20"/>
                <w:szCs w:val="20"/>
                <w:color w:val="auto"/>
              </w:rPr>
            </w:pPr>
            <w:r>
              <w:rPr>
                <w:rFonts w:ascii="Arial" w:cs="Arial" w:eastAsia="Arial" w:hAnsi="Arial"/>
                <w:sz w:val="14"/>
                <w:szCs w:val="14"/>
                <w:color w:val="auto"/>
              </w:rPr>
              <w:t>​ ​ 4,317,168 ​</w:t>
            </w:r>
          </w:p>
        </w:tc>
        <w:tc>
          <w:tcPr>
            <w:tcW w:w="0" w:type="dxa"/>
            <w:vAlign w:val="bottom"/>
          </w:tcPr>
          <w:p>
            <w:pPr>
              <w:spacing w:after="0"/>
              <w:rPr>
                <w:sz w:val="1"/>
                <w:szCs w:val="1"/>
                <w:color w:val="auto"/>
              </w:rPr>
            </w:pPr>
          </w:p>
        </w:tc>
      </w:tr>
      <w:tr>
        <w:trPr>
          <w:trHeight w:val="69"/>
        </w:trPr>
        <w:tc>
          <w:tcPr>
            <w:tcW w:w="1280" w:type="dxa"/>
            <w:vAlign w:val="bottom"/>
            <w:tcBorders>
              <w:left w:val="single" w:sz="8" w:color="auto"/>
            </w:tcBorders>
            <w:vMerge w:val="restart"/>
          </w:tcPr>
          <w:p>
            <w:pPr>
              <w:ind w:left="60"/>
              <w:spacing w:after="0" w:line="172"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b w:val="1"/>
                <w:bCs w:val="1"/>
                <w:color w:val="auto"/>
              </w:rPr>
              <w:t xml:space="preserve">Ph.D. </w:t>
            </w:r>
            <w:r>
              <w:rPr>
                <w:rFonts w:ascii="Arial" w:cs="Arial" w:eastAsia="Arial" w:hAnsi="Arial"/>
                <w:sz w:val="11"/>
                <w:szCs w:val="11"/>
                <w:color w:val="auto"/>
              </w:rPr>
              <w:t>President</w:t>
            </w: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280" w:type="dxa"/>
            <w:vAlign w:val="bottom"/>
            <w:tcBorders>
              <w:left w:val="single" w:sz="8" w:color="auto"/>
            </w:tcBorders>
            <w:vMerge w:val="continue"/>
          </w:tcPr>
          <w:p>
            <w:pPr>
              <w:spacing w:after="0"/>
              <w:rPr>
                <w:sz w:val="8"/>
                <w:szCs w:val="8"/>
                <w:color w:val="auto"/>
              </w:rPr>
            </w:pPr>
          </w:p>
        </w:tc>
        <w:tc>
          <w:tcPr>
            <w:tcW w:w="80" w:type="dxa"/>
            <w:vAlign w:val="bottom"/>
          </w:tcPr>
          <w:p>
            <w:pPr>
              <w:ind w:left="40"/>
              <w:spacing w:after="0" w:line="103" w:lineRule="exact"/>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280" w:type="dxa"/>
            <w:vAlign w:val="bottom"/>
            <w:tcBorders>
              <w:left w:val="single" w:sz="8" w:color="auto"/>
            </w:tcBorders>
          </w:tcPr>
          <w:p>
            <w:pPr>
              <w:ind w:left="100"/>
              <w:spacing w:after="0" w:line="160" w:lineRule="exact"/>
              <w:rPr>
                <w:sz w:val="20"/>
                <w:szCs w:val="20"/>
                <w:color w:val="auto"/>
              </w:rPr>
            </w:pPr>
            <w:r>
              <w:rPr>
                <w:rFonts w:ascii="Arial" w:cs="Arial" w:eastAsia="Arial" w:hAnsi="Arial"/>
                <w:sz w:val="14"/>
                <w:szCs w:val="14"/>
                <w:color w:val="auto"/>
              </w:rPr>
              <w:t>and Chief</w:t>
            </w:r>
          </w:p>
        </w:tc>
        <w:tc>
          <w:tcPr>
            <w:tcW w:w="80" w:type="dxa"/>
            <w:vAlign w:val="bottom"/>
          </w:tcPr>
          <w:p>
            <w:pPr>
              <w:spacing w:after="0"/>
              <w:rPr>
                <w:sz w:val="13"/>
                <w:szCs w:val="13"/>
                <w:color w:val="auto"/>
              </w:rPr>
            </w:pPr>
          </w:p>
        </w:tc>
        <w:tc>
          <w:tcPr>
            <w:tcW w:w="500" w:type="dxa"/>
            <w:vAlign w:val="bottom"/>
            <w:vMerge w:val="restart"/>
          </w:tcPr>
          <w:p>
            <w:pPr>
              <w:ind w:left="40"/>
              <w:spacing w:after="0"/>
              <w:rPr>
                <w:sz w:val="20"/>
                <w:szCs w:val="20"/>
                <w:color w:val="auto"/>
              </w:rPr>
            </w:pPr>
            <w:r>
              <w:rPr>
                <w:rFonts w:ascii="Arial" w:cs="Arial" w:eastAsia="Arial" w:hAnsi="Arial"/>
                <w:sz w:val="14"/>
                <w:szCs w:val="14"/>
                <w:color w:val="auto"/>
              </w:rPr>
              <w:t>​ 2020</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 ​ 461,250</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741,750</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185,400 (2)</w:t>
            </w:r>
          </w:p>
        </w:tc>
        <w:tc>
          <w:tcPr>
            <w:tcW w:w="28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140" w:type="dxa"/>
            <w:vAlign w:val="bottom"/>
            <w:vMerge w:val="restart"/>
          </w:tcPr>
          <w:p>
            <w:pPr>
              <w:jc w:val="center"/>
              <w:ind w:right="8"/>
              <w:spacing w:after="0"/>
              <w:rPr>
                <w:sz w:val="20"/>
                <w:szCs w:val="20"/>
                <w:color w:val="auto"/>
              </w:rPr>
            </w:pPr>
            <w:r>
              <w:rPr>
                <w:rFonts w:ascii="Arial" w:cs="Arial" w:eastAsia="Arial" w:hAnsi="Arial"/>
                <w:sz w:val="14"/>
                <w:szCs w:val="14"/>
                <w:color w:val="auto"/>
                <w:w w:val="99"/>
              </w:rPr>
              <w:t>—</w:t>
            </w:r>
          </w:p>
        </w:tc>
        <w:tc>
          <w:tcPr>
            <w:tcW w:w="980" w:type="dxa"/>
            <w:vAlign w:val="bottom"/>
            <w:tcBorders>
              <w:right w:val="single" w:sz="8" w:color="auto"/>
            </w:tcBorders>
            <w:gridSpan w:val="3"/>
            <w:vMerge w:val="restart"/>
          </w:tcPr>
          <w:p>
            <w:pPr>
              <w:jc w:val="right"/>
              <w:spacing w:after="0"/>
              <w:rPr>
                <w:sz w:val="20"/>
                <w:szCs w:val="20"/>
                <w:color w:val="auto"/>
              </w:rPr>
            </w:pPr>
            <w:r>
              <w:rPr>
                <w:rFonts w:ascii="Arial" w:cs="Arial" w:eastAsia="Arial" w:hAnsi="Arial"/>
                <w:sz w:val="14"/>
                <w:szCs w:val="14"/>
                <w:color w:val="auto"/>
              </w:rPr>
              <w:t>​ ​ 1,388,400 ​</w:t>
            </w:r>
          </w:p>
        </w:tc>
        <w:tc>
          <w:tcPr>
            <w:tcW w:w="0" w:type="dxa"/>
            <w:vAlign w:val="bottom"/>
          </w:tcPr>
          <w:p>
            <w:pPr>
              <w:spacing w:after="0"/>
              <w:rPr>
                <w:sz w:val="1"/>
                <w:szCs w:val="1"/>
                <w:color w:val="auto"/>
              </w:rPr>
            </w:pPr>
          </w:p>
        </w:tc>
      </w:tr>
      <w:tr>
        <w:trPr>
          <w:trHeight w:val="123"/>
        </w:trPr>
        <w:tc>
          <w:tcPr>
            <w:tcW w:w="1280" w:type="dxa"/>
            <w:vAlign w:val="bottom"/>
            <w:tcBorders>
              <w:left w:val="single" w:sz="8" w:color="auto"/>
            </w:tcBorders>
            <w:vMerge w:val="restart"/>
          </w:tcPr>
          <w:p>
            <w:pPr>
              <w:ind w:left="100"/>
              <w:spacing w:after="0"/>
              <w:rPr>
                <w:sz w:val="20"/>
                <w:szCs w:val="20"/>
                <w:color w:val="auto"/>
              </w:rPr>
            </w:pPr>
            <w:r>
              <w:rPr>
                <w:rFonts w:ascii="Arial" w:cs="Arial" w:eastAsia="Arial" w:hAnsi="Arial"/>
                <w:sz w:val="14"/>
                <w:szCs w:val="14"/>
                <w:color w:val="auto"/>
              </w:rPr>
              <w:t>Executive Officer</w:t>
            </w: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8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280" w:type="dxa"/>
            <w:vAlign w:val="bottom"/>
            <w:tcBorders>
              <w:lef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280" w:type="dxa"/>
            <w:vAlign w:val="bottom"/>
            <w:tcBorders>
              <w:left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28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Adrienne Farid,</w:t>
            </w:r>
          </w:p>
        </w:tc>
        <w:tc>
          <w:tcPr>
            <w:tcW w:w="80" w:type="dxa"/>
            <w:vAlign w:val="bottom"/>
          </w:tcPr>
          <w:p>
            <w:pPr>
              <w:spacing w:after="0"/>
              <w:rPr>
                <w:sz w:val="16"/>
                <w:szCs w:val="16"/>
                <w:color w:val="auto"/>
              </w:rPr>
            </w:pPr>
          </w:p>
        </w:tc>
        <w:tc>
          <w:tcPr>
            <w:tcW w:w="500" w:type="dxa"/>
            <w:vAlign w:val="bottom"/>
          </w:tcPr>
          <w:p>
            <w:pPr>
              <w:ind w:left="40"/>
              <w:spacing w:after="0"/>
              <w:rPr>
                <w:sz w:val="20"/>
                <w:szCs w:val="20"/>
                <w:color w:val="auto"/>
              </w:rPr>
            </w:pPr>
            <w:r>
              <w:rPr>
                <w:rFonts w:ascii="Arial" w:cs="Arial" w:eastAsia="Arial" w:hAnsi="Arial"/>
                <w:sz w:val="14"/>
                <w:szCs w:val="14"/>
                <w:color w:val="auto"/>
              </w:rPr>
              <w:t>​ 2021</w:t>
            </w: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 ​ 416,367</w:t>
            </w:r>
          </w:p>
        </w:tc>
        <w:tc>
          <w:tcPr>
            <w:tcW w:w="180" w:type="dxa"/>
            <w:vAlign w:val="bottom"/>
          </w:tcPr>
          <w:p>
            <w:pPr>
              <w:ind w:left="60"/>
              <w:spacing w:after="0"/>
              <w:rPr>
                <w:sz w:val="20"/>
                <w:szCs w:val="20"/>
                <w:color w:val="auto"/>
              </w:rPr>
            </w:pPr>
            <w:r>
              <w:rPr>
                <w:rFonts w:ascii="Arial" w:cs="Arial" w:eastAsia="Arial" w:hAnsi="Arial"/>
                <w:sz w:val="14"/>
                <w:szCs w:val="14"/>
                <w:color w:val="auto"/>
              </w:rPr>
              <w:t>​ ​</w:t>
            </w:r>
          </w:p>
        </w:tc>
        <w:tc>
          <w:tcPr>
            <w:tcW w:w="5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 ​</w:t>
            </w:r>
          </w:p>
        </w:tc>
        <w:tc>
          <w:tcPr>
            <w:tcW w:w="680" w:type="dxa"/>
            <w:vAlign w:val="bottom"/>
          </w:tcPr>
          <w:p>
            <w:pPr>
              <w:jc w:val="center"/>
              <w:spacing w:after="0"/>
              <w:rPr>
                <w:sz w:val="20"/>
                <w:szCs w:val="20"/>
                <w:color w:val="auto"/>
              </w:rPr>
            </w:pPr>
            <w:r>
              <w:rPr>
                <w:rFonts w:ascii="Arial" w:cs="Arial" w:eastAsia="Arial" w:hAnsi="Arial"/>
                <w:sz w:val="14"/>
                <w:szCs w:val="14"/>
                <w:color w:val="auto"/>
              </w:rPr>
              <w:t>945,301</w:t>
            </w:r>
          </w:p>
        </w:tc>
        <w:tc>
          <w:tcPr>
            <w:tcW w:w="180" w:type="dxa"/>
            <w:vAlign w:val="bottom"/>
          </w:tcPr>
          <w:p>
            <w:pPr>
              <w:ind w:left="40"/>
              <w:spacing w:after="0"/>
              <w:rPr>
                <w:sz w:val="20"/>
                <w:szCs w:val="20"/>
                <w:color w:val="auto"/>
              </w:rPr>
            </w:pPr>
            <w:r>
              <w:rPr>
                <w:rFonts w:ascii="Arial" w:cs="Arial" w:eastAsia="Arial" w:hAnsi="Arial"/>
                <w:sz w:val="14"/>
                <w:szCs w:val="14"/>
                <w:color w:val="auto"/>
              </w:rPr>
              <w:t>​ ​</w:t>
            </w:r>
          </w:p>
        </w:tc>
        <w:tc>
          <w:tcPr>
            <w:tcW w:w="1200" w:type="dxa"/>
            <w:vAlign w:val="bottom"/>
          </w:tcPr>
          <w:p>
            <w:pPr>
              <w:jc w:val="center"/>
              <w:spacing w:after="0"/>
              <w:rPr>
                <w:sz w:val="20"/>
                <w:szCs w:val="20"/>
                <w:color w:val="auto"/>
              </w:rPr>
            </w:pPr>
            <w:r>
              <w:rPr>
                <w:rFonts w:ascii="Arial" w:cs="Arial" w:eastAsia="Arial" w:hAnsi="Arial"/>
                <w:sz w:val="14"/>
                <w:szCs w:val="14"/>
                <w:color w:val="auto"/>
              </w:rPr>
              <w:t>161,498</w:t>
            </w:r>
          </w:p>
        </w:tc>
        <w:tc>
          <w:tcPr>
            <w:tcW w:w="280" w:type="dxa"/>
            <w:vAlign w:val="bottom"/>
          </w:tcPr>
          <w:p>
            <w:pPr>
              <w:ind w:left="40"/>
              <w:spacing w:after="0"/>
              <w:rPr>
                <w:sz w:val="20"/>
                <w:szCs w:val="20"/>
                <w:color w:val="auto"/>
              </w:rPr>
            </w:pPr>
            <w:r>
              <w:rPr>
                <w:rFonts w:ascii="Arial" w:cs="Arial" w:eastAsia="Arial" w:hAnsi="Arial"/>
                <w:sz w:val="14"/>
                <w:szCs w:val="14"/>
                <w:color w:val="auto"/>
              </w:rPr>
              <w:t>​ ​</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rPr>
              <w:t>11,600</w:t>
            </w:r>
          </w:p>
        </w:tc>
        <w:tc>
          <w:tcPr>
            <w:tcW w:w="98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 ​ 1,534,766 ​</w:t>
            </w:r>
          </w:p>
        </w:tc>
        <w:tc>
          <w:tcPr>
            <w:tcW w:w="0" w:type="dxa"/>
            <w:vAlign w:val="bottom"/>
          </w:tcPr>
          <w:p>
            <w:pPr>
              <w:spacing w:after="0"/>
              <w:rPr>
                <w:sz w:val="1"/>
                <w:szCs w:val="1"/>
                <w:color w:val="auto"/>
              </w:rPr>
            </w:pPr>
          </w:p>
        </w:tc>
      </w:tr>
      <w:tr>
        <w:trPr>
          <w:trHeight w:val="90"/>
        </w:trPr>
        <w:tc>
          <w:tcPr>
            <w:tcW w:w="1280" w:type="dxa"/>
            <w:vAlign w:val="bottom"/>
            <w:tcBorders>
              <w:left w:val="single" w:sz="8" w:color="auto"/>
            </w:tcBorders>
            <w:vMerge w:val="restart"/>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Ph.D.</w:t>
            </w:r>
            <w:r>
              <w:rPr>
                <w:rFonts w:ascii="Arial" w:cs="Arial" w:eastAsia="Arial" w:hAnsi="Arial"/>
                <w:sz w:val="14"/>
                <w:szCs w:val="14"/>
                <w:color w:val="auto"/>
              </w:rPr>
              <w:t xml:space="preserve"> Chief</w:t>
            </w:r>
          </w:p>
        </w:tc>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280" w:type="dxa"/>
            <w:vAlign w:val="bottom"/>
            <w:tcBorders>
              <w:left w:val="single" w:sz="8" w:color="auto"/>
            </w:tcBorders>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14"/>
                <w:szCs w:val="14"/>
                <w:color w:val="auto"/>
              </w:rPr>
              <w:t>​ 2020</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 ​ 379,250</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78,877</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114,330 (2)</w:t>
            </w:r>
          </w:p>
        </w:tc>
        <w:tc>
          <w:tcPr>
            <w:tcW w:w="28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140" w:type="dxa"/>
            <w:vAlign w:val="bottom"/>
            <w:vMerge w:val="restart"/>
          </w:tcPr>
          <w:p>
            <w:pPr>
              <w:jc w:val="center"/>
              <w:ind w:right="28"/>
              <w:spacing w:after="0"/>
              <w:rPr>
                <w:sz w:val="20"/>
                <w:szCs w:val="20"/>
                <w:color w:val="auto"/>
              </w:rPr>
            </w:pPr>
            <w:r>
              <w:rPr>
                <w:rFonts w:ascii="Arial" w:cs="Arial" w:eastAsia="Arial" w:hAnsi="Arial"/>
                <w:sz w:val="14"/>
                <w:szCs w:val="14"/>
                <w:color w:val="auto"/>
              </w:rPr>
              <w:t>11,400</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583,857</w:t>
            </w:r>
          </w:p>
        </w:tc>
        <w:tc>
          <w:tcPr>
            <w:tcW w:w="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28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Operations Officer</w:t>
            </w:r>
          </w:p>
        </w:tc>
        <w:tc>
          <w:tcPr>
            <w:tcW w:w="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280" w:type="dxa"/>
            <w:vAlign w:val="bottom"/>
            <w:tcBorders>
              <w:left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28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Luis Borges,</w:t>
            </w:r>
          </w:p>
        </w:tc>
        <w:tc>
          <w:tcPr>
            <w:tcW w:w="80" w:type="dxa"/>
            <w:vAlign w:val="bottom"/>
          </w:tcPr>
          <w:p>
            <w:pPr>
              <w:spacing w:after="0"/>
              <w:rPr>
                <w:sz w:val="17"/>
                <w:szCs w:val="17"/>
                <w:color w:val="auto"/>
              </w:rPr>
            </w:pPr>
          </w:p>
        </w:tc>
        <w:tc>
          <w:tcPr>
            <w:tcW w:w="500" w:type="dxa"/>
            <w:vAlign w:val="bottom"/>
          </w:tcPr>
          <w:p>
            <w:pPr>
              <w:ind w:left="40"/>
              <w:spacing w:after="0"/>
              <w:rPr>
                <w:sz w:val="20"/>
                <w:szCs w:val="20"/>
                <w:color w:val="auto"/>
              </w:rPr>
            </w:pPr>
            <w:r>
              <w:rPr>
                <w:rFonts w:ascii="Arial" w:cs="Arial" w:eastAsia="Arial" w:hAnsi="Arial"/>
                <w:sz w:val="14"/>
                <w:szCs w:val="14"/>
                <w:color w:val="auto"/>
              </w:rPr>
              <w:t>​ 2021</w:t>
            </w: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 ​ 427,698</w:t>
            </w:r>
          </w:p>
        </w:tc>
        <w:tc>
          <w:tcPr>
            <w:tcW w:w="180" w:type="dxa"/>
            <w:vAlign w:val="bottom"/>
          </w:tcPr>
          <w:p>
            <w:pPr>
              <w:ind w:left="60"/>
              <w:spacing w:after="0"/>
              <w:rPr>
                <w:sz w:val="20"/>
                <w:szCs w:val="20"/>
                <w:color w:val="auto"/>
              </w:rPr>
            </w:pPr>
            <w:r>
              <w:rPr>
                <w:rFonts w:ascii="Arial" w:cs="Arial" w:eastAsia="Arial" w:hAnsi="Arial"/>
                <w:sz w:val="14"/>
                <w:szCs w:val="14"/>
                <w:color w:val="auto"/>
              </w:rPr>
              <w:t>​ ​</w:t>
            </w:r>
          </w:p>
        </w:tc>
        <w:tc>
          <w:tcPr>
            <w:tcW w:w="5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tcPr>
          <w:p>
            <w:pPr>
              <w:ind w:left="60"/>
              <w:spacing w:after="0"/>
              <w:rPr>
                <w:sz w:val="20"/>
                <w:szCs w:val="20"/>
                <w:color w:val="auto"/>
              </w:rPr>
            </w:pPr>
            <w:r>
              <w:rPr>
                <w:rFonts w:ascii="Arial" w:cs="Arial" w:eastAsia="Arial" w:hAnsi="Arial"/>
                <w:sz w:val="14"/>
                <w:szCs w:val="14"/>
                <w:color w:val="auto"/>
              </w:rPr>
              <w:t>​ ​</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 ​</w:t>
            </w:r>
          </w:p>
        </w:tc>
        <w:tc>
          <w:tcPr>
            <w:tcW w:w="680" w:type="dxa"/>
            <w:vAlign w:val="bottom"/>
          </w:tcPr>
          <w:p>
            <w:pPr>
              <w:jc w:val="center"/>
              <w:spacing w:after="0"/>
              <w:rPr>
                <w:sz w:val="20"/>
                <w:szCs w:val="20"/>
                <w:color w:val="auto"/>
              </w:rPr>
            </w:pPr>
            <w:r>
              <w:rPr>
                <w:rFonts w:ascii="Arial" w:cs="Arial" w:eastAsia="Arial" w:hAnsi="Arial"/>
                <w:sz w:val="14"/>
                <w:szCs w:val="14"/>
                <w:color w:val="auto"/>
              </w:rPr>
              <w:t>668,410</w:t>
            </w:r>
          </w:p>
        </w:tc>
        <w:tc>
          <w:tcPr>
            <w:tcW w:w="180" w:type="dxa"/>
            <w:vAlign w:val="bottom"/>
          </w:tcPr>
          <w:p>
            <w:pPr>
              <w:ind w:left="40"/>
              <w:spacing w:after="0"/>
              <w:rPr>
                <w:sz w:val="20"/>
                <w:szCs w:val="20"/>
                <w:color w:val="auto"/>
              </w:rPr>
            </w:pPr>
            <w:r>
              <w:rPr>
                <w:rFonts w:ascii="Arial" w:cs="Arial" w:eastAsia="Arial" w:hAnsi="Arial"/>
                <w:sz w:val="14"/>
                <w:szCs w:val="14"/>
                <w:color w:val="auto"/>
              </w:rPr>
              <w:t>​ ​</w:t>
            </w:r>
          </w:p>
        </w:tc>
        <w:tc>
          <w:tcPr>
            <w:tcW w:w="1200" w:type="dxa"/>
            <w:vAlign w:val="bottom"/>
          </w:tcPr>
          <w:p>
            <w:pPr>
              <w:jc w:val="center"/>
              <w:spacing w:after="0"/>
              <w:rPr>
                <w:sz w:val="20"/>
                <w:szCs w:val="20"/>
                <w:color w:val="auto"/>
              </w:rPr>
            </w:pPr>
            <w:r>
              <w:rPr>
                <w:rFonts w:ascii="Arial" w:cs="Arial" w:eastAsia="Arial" w:hAnsi="Arial"/>
                <w:sz w:val="14"/>
                <w:szCs w:val="14"/>
                <w:color w:val="auto"/>
              </w:rPr>
              <w:t>164,818</w:t>
            </w:r>
          </w:p>
        </w:tc>
        <w:tc>
          <w:tcPr>
            <w:tcW w:w="280" w:type="dxa"/>
            <w:vAlign w:val="bottom"/>
          </w:tcPr>
          <w:p>
            <w:pPr>
              <w:ind w:left="40"/>
              <w:spacing w:after="0"/>
              <w:rPr>
                <w:sz w:val="20"/>
                <w:szCs w:val="20"/>
                <w:color w:val="auto"/>
              </w:rPr>
            </w:pPr>
            <w:r>
              <w:rPr>
                <w:rFonts w:ascii="Arial" w:cs="Arial" w:eastAsia="Arial" w:hAnsi="Arial"/>
                <w:sz w:val="14"/>
                <w:szCs w:val="14"/>
                <w:color w:val="auto"/>
              </w:rPr>
              <w:t>​ ​</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rPr>
              <w:t>11,600</w:t>
            </w:r>
          </w:p>
        </w:tc>
        <w:tc>
          <w:tcPr>
            <w:tcW w:w="980" w:type="dxa"/>
            <w:vAlign w:val="bottom"/>
            <w:tcBorders>
              <w:right w:val="single" w:sz="8" w:color="auto"/>
            </w:tcBorders>
            <w:gridSpan w:val="3"/>
          </w:tcPr>
          <w:p>
            <w:pPr>
              <w:jc w:val="right"/>
              <w:spacing w:after="0"/>
              <w:rPr>
                <w:sz w:val="20"/>
                <w:szCs w:val="20"/>
                <w:color w:val="auto"/>
              </w:rPr>
            </w:pPr>
            <w:r>
              <w:rPr>
                <w:rFonts w:ascii="Arial" w:cs="Arial" w:eastAsia="Arial" w:hAnsi="Arial"/>
                <w:sz w:val="14"/>
                <w:szCs w:val="14"/>
                <w:color w:val="auto"/>
              </w:rPr>
              <w:t>​ ​ 1,272,526 ​</w:t>
            </w:r>
          </w:p>
        </w:tc>
        <w:tc>
          <w:tcPr>
            <w:tcW w:w="0" w:type="dxa"/>
            <w:vAlign w:val="bottom"/>
          </w:tcPr>
          <w:p>
            <w:pPr>
              <w:spacing w:after="0"/>
              <w:rPr>
                <w:sz w:val="1"/>
                <w:szCs w:val="1"/>
                <w:color w:val="auto"/>
              </w:rPr>
            </w:pPr>
          </w:p>
        </w:tc>
      </w:tr>
      <w:tr>
        <w:trPr>
          <w:trHeight w:val="77"/>
        </w:trPr>
        <w:tc>
          <w:tcPr>
            <w:tcW w:w="1280" w:type="dxa"/>
            <w:vAlign w:val="bottom"/>
            <w:tcBorders>
              <w:left w:val="single" w:sz="8" w:color="auto"/>
            </w:tcBorders>
            <w:vMerge w:val="restart"/>
          </w:tcPr>
          <w:p>
            <w:pPr>
              <w:ind w:left="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Ph.D.</w:t>
            </w:r>
            <w:r>
              <w:rPr>
                <w:rFonts w:ascii="Arial" w:cs="Arial" w:eastAsia="Arial" w:hAnsi="Arial"/>
                <w:sz w:val="14"/>
                <w:szCs w:val="14"/>
                <w:color w:val="auto"/>
              </w:rPr>
              <w:t xml:space="preserve"> Chief</w:t>
            </w:r>
          </w:p>
        </w:tc>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280" w:type="dxa"/>
            <w:vAlign w:val="bottom"/>
            <w:tcBorders>
              <w:left w:val="single" w:sz="8" w:color="auto"/>
            </w:tcBorders>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500" w:type="dxa"/>
            <w:vAlign w:val="bottom"/>
            <w:vMerge w:val="restart"/>
          </w:tcPr>
          <w:p>
            <w:pPr>
              <w:ind w:left="40"/>
              <w:spacing w:after="0"/>
              <w:rPr>
                <w:sz w:val="20"/>
                <w:szCs w:val="20"/>
                <w:color w:val="auto"/>
              </w:rPr>
            </w:pPr>
            <w:r>
              <w:rPr>
                <w:rFonts w:ascii="Arial" w:cs="Arial" w:eastAsia="Arial" w:hAnsi="Arial"/>
                <w:sz w:val="14"/>
                <w:szCs w:val="14"/>
                <w:color w:val="auto"/>
              </w:rPr>
              <w:t>​ 2020</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 ​ 410,000</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200" w:type="dxa"/>
            <w:vAlign w:val="bottom"/>
            <w:vMerge w:val="restart"/>
          </w:tcPr>
          <w:p>
            <w:pPr>
              <w:jc w:val="center"/>
              <w:spacing w:after="0"/>
              <w:rPr>
                <w:sz w:val="20"/>
                <w:szCs w:val="20"/>
                <w:color w:val="auto"/>
              </w:rPr>
            </w:pPr>
            <w:r>
              <w:rPr>
                <w:rFonts w:ascii="Arial" w:cs="Arial" w:eastAsia="Arial" w:hAnsi="Arial"/>
                <w:sz w:val="14"/>
                <w:szCs w:val="14"/>
                <w:color w:val="auto"/>
              </w:rPr>
              <w:t>123,600 (2)</w:t>
            </w:r>
          </w:p>
        </w:tc>
        <w:tc>
          <w:tcPr>
            <w:tcW w:w="28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140" w:type="dxa"/>
            <w:vAlign w:val="bottom"/>
            <w:vMerge w:val="restart"/>
          </w:tcPr>
          <w:p>
            <w:pPr>
              <w:jc w:val="center"/>
              <w:ind w:right="28"/>
              <w:spacing w:after="0"/>
              <w:rPr>
                <w:sz w:val="20"/>
                <w:szCs w:val="20"/>
                <w:color w:val="auto"/>
              </w:rPr>
            </w:pPr>
            <w:r>
              <w:rPr>
                <w:rFonts w:ascii="Arial" w:cs="Arial" w:eastAsia="Arial" w:hAnsi="Arial"/>
                <w:sz w:val="14"/>
                <w:szCs w:val="14"/>
                <w:color w:val="auto"/>
              </w:rPr>
              <w:t>11,400</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545,000</w:t>
            </w:r>
          </w:p>
        </w:tc>
        <w:tc>
          <w:tcPr>
            <w:tcW w:w="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280" w:type="dxa"/>
            <w:vAlign w:val="bottom"/>
            <w:tcBorders>
              <w:left w:val="single" w:sz="8" w:color="auto"/>
            </w:tcBorders>
          </w:tcPr>
          <w:p>
            <w:pPr>
              <w:ind w:left="100"/>
              <w:spacing w:after="0"/>
              <w:rPr>
                <w:sz w:val="20"/>
                <w:szCs w:val="20"/>
                <w:color w:val="auto"/>
              </w:rPr>
            </w:pPr>
            <w:r>
              <w:rPr>
                <w:rFonts w:ascii="Arial" w:cs="Arial" w:eastAsia="Arial" w:hAnsi="Arial"/>
                <w:sz w:val="14"/>
                <w:szCs w:val="14"/>
                <w:color w:val="auto"/>
              </w:rPr>
              <w:t>Science Officer</w:t>
            </w:r>
          </w:p>
        </w:tc>
        <w:tc>
          <w:tcPr>
            <w:tcW w:w="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1240" w:right="39" w:hanging="370"/>
        <w:spacing w:after="0" w:line="248"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shown in this column do not reflect dollar amounts actually received by our NEOs. Instead, these amounts reflect the aggregate grant date fair value of each stock option, determined in accordance with the provisions of FASB ASC Topic 718. The assumptions made in the calculation of these amounts are included in Note 2 of the Notes to the Consolidated Financial Statements included in our 2021 Annual Report.</w:t>
      </w:r>
    </w:p>
    <w:p>
      <w:pPr>
        <w:spacing w:after="0" w:line="22"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shown for 2020 are cash incentive payments earned in respect of 2020 performance and paid in the first quarter of 2021.</w:t>
      </w:r>
    </w:p>
    <w:p>
      <w:pPr>
        <w:spacing w:after="0" w:line="21" w:lineRule="exact"/>
        <w:rPr>
          <w:rFonts w:ascii="Arial" w:cs="Arial" w:eastAsia="Arial" w:hAnsi="Arial"/>
          <w:sz w:val="16"/>
          <w:szCs w:val="16"/>
          <w:color w:val="auto"/>
        </w:rPr>
      </w:pPr>
    </w:p>
    <w:p>
      <w:pPr>
        <w:ind w:left="1240" w:hanging="370"/>
        <w:spacing w:after="0"/>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represent 401(k) matching contributions.</w:t>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56" w:lineRule="exact"/>
        <w:rPr>
          <w:sz w:val="20"/>
          <w:szCs w:val="20"/>
          <w:color w:val="auto"/>
        </w:rPr>
      </w:pPr>
    </w:p>
    <w:p>
      <w:pPr>
        <w:jc w:val="both"/>
        <w:ind w:left="880" w:right="39"/>
        <w:spacing w:after="0" w:line="271" w:lineRule="auto"/>
        <w:rPr>
          <w:sz w:val="20"/>
          <w:szCs w:val="20"/>
          <w:color w:val="auto"/>
        </w:rPr>
      </w:pPr>
      <w:r>
        <w:rPr>
          <w:rFonts w:ascii="Arial" w:cs="Arial" w:eastAsia="Arial" w:hAnsi="Arial"/>
          <w:sz w:val="18"/>
          <w:szCs w:val="18"/>
          <w:color w:val="auto"/>
        </w:rPr>
        <w:t>The compensation of our NEOs generally consists of base salary, annual cash incentive opportunities, long term incentive compensation in the form of equity awards, and other benefits, as described below.</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Base salary</w:t>
      </w:r>
    </w:p>
    <w:p>
      <w:pPr>
        <w:spacing w:after="0" w:line="156"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The base salary payable to each NEO is intended to provide a fixed component of compensation reflecting the executive’s skill set, experience, role, responsibilities, and contributions. Each NEO’s initial base salary was specified in his or her employment agreement, as described below, and is reviewed (and, if applicable, adjusted) from time to time by our Board or Compensation Committee, as applicable. In 2021, prior to our IPO, the annual base salary rates for our NEOs were $477,405 for Dr. Flores, $392,533 for Dr. Farid, and $424,360 for Dr. Borges. Upon completion of our IPO, and in accordance with the terms of their employment agreements described below, the annual base salary rates for our NEOs increased to $557,000 for Dr. Flores, $437,800 for Dr. Farid and $430,700 for Dr. Borges.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Annual Incentive Opportunities</w:t>
      </w:r>
    </w:p>
    <w:p>
      <w:pPr>
        <w:spacing w:after="0" w:line="156" w:lineRule="exact"/>
        <w:rPr>
          <w:sz w:val="20"/>
          <w:szCs w:val="20"/>
          <w:color w:val="auto"/>
        </w:rPr>
      </w:pPr>
    </w:p>
    <w:p>
      <w:pPr>
        <w:jc w:val="both"/>
        <w:ind w:left="880" w:right="19"/>
        <w:spacing w:after="0" w:line="245" w:lineRule="auto"/>
        <w:rPr>
          <w:sz w:val="20"/>
          <w:szCs w:val="20"/>
          <w:color w:val="auto"/>
        </w:rPr>
      </w:pPr>
      <w:r>
        <w:rPr>
          <w:rFonts w:ascii="Arial" w:cs="Arial" w:eastAsia="Arial" w:hAnsi="Arial"/>
          <w:sz w:val="18"/>
          <w:szCs w:val="18"/>
          <w:color w:val="auto"/>
        </w:rPr>
        <w:t>Each of our NEOs’ annual non-equity incentive opportunity is expressed as a percentage of base salary that can be earned based on the achievement of predetermined corporate and individual performance objectives. The 2021 annual bonus opportunities for Dr. Flores, Dr. Farid, and Dr. Borges were targeted at 50%, 40%, and 40% of their respective base salaries. For 2021, all NEOs were eligible to earn their annual cash incentives pursuant to the achievement of corporate and/or individual performance goals approved by our Board. These goals primarily related to pipeline and platform development, financing, operations, business development, intellectual property and increasing external visibility. The Board determined that the 2021 corporate goals were achieved at a 110% level. Following a review of 2021 performance, our Compensation Committee approved, and, in the case of Dr. Flores,</w:t>
      </w:r>
    </w:p>
    <w:p>
      <w:pPr>
        <w:spacing w:after="0" w:line="28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76" w:lineRule="auto"/>
        <w:rPr>
          <w:sz w:val="20"/>
          <w:szCs w:val="20"/>
          <w:color w:val="auto"/>
        </w:rPr>
      </w:pPr>
      <w:r>
        <w:rPr>
          <w:rFonts w:ascii="Arial" w:cs="Arial" w:eastAsia="Arial" w:hAnsi="Arial"/>
          <w:sz w:val="18"/>
          <w:szCs w:val="18"/>
          <w:color w:val="auto"/>
        </w:rPr>
        <w:t>our Compensation Committee recommended and our Board approved 2021 annual cash incentive payouts to each of Dr. Flores, Dr. Farid, and Dr. Borges equal to $258,745, $161,219 and $164,817, respectively, in each case representing 110% of the target cash incentive for each such NEO.</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Long Term Equity Incentives</w:t>
      </w:r>
    </w:p>
    <w:p>
      <w:pPr>
        <w:spacing w:after="0" w:line="142"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Our equity-based incentive awards are designed to align the interests of our stockholders with those of our NEOs. Our Board or Compensation Committee, as applicable, approves equity grants to NEOs. In connection with our IPO, we adopted the 2021 Plan to facilitate the grant of equity incentives to our directors, employees (including our NEOs) and consultants and to enable us to obtain and retain services of these individuals, which we believe are essential to our long-term success. Following the effectiveness of the 2021 Plan, we ceased making grants under our 2018 Stock Option and Grant Plan, or the 2018 Plan. However, our 2018 Plan continues to govern the terms and conditions of the outstanding awards granted under it.</w:t>
      </w:r>
    </w:p>
    <w:p>
      <w:pPr>
        <w:spacing w:after="0" w:line="116" w:lineRule="exact"/>
        <w:rPr>
          <w:sz w:val="20"/>
          <w:szCs w:val="20"/>
          <w:color w:val="auto"/>
        </w:rPr>
      </w:pPr>
    </w:p>
    <w:p>
      <w:pPr>
        <w:jc w:val="both"/>
        <w:ind w:left="880" w:right="19"/>
        <w:spacing w:after="0" w:line="267" w:lineRule="auto"/>
        <w:rPr>
          <w:sz w:val="20"/>
          <w:szCs w:val="20"/>
          <w:color w:val="auto"/>
        </w:rPr>
      </w:pPr>
      <w:r>
        <w:rPr>
          <w:rFonts w:ascii="Arial" w:cs="Arial" w:eastAsia="Arial" w:hAnsi="Arial"/>
          <w:sz w:val="18"/>
          <w:szCs w:val="18"/>
          <w:color w:val="auto"/>
        </w:rPr>
        <w:t>Prior to our IPO, our Board approved 2021 equity grants to each of Dr. Flores, Dr. Farid, and Dr. Borges in the amount of 777,417, 207,649 and 146,826 options to purchase shares of common stock, respectively. Our Compensation Committee approved, and, in the case of Dr. Flores, our Compensation Committee recommended and our Board approved 2022 equity grants to each of Dr. Flores, Dr. Farid, and Dr. Borges in the amount of 315,000, 105,000 and 105,000 options to purchase shares of common stock, respectively.</w:t>
      </w:r>
    </w:p>
    <w:p>
      <w:pPr>
        <w:spacing w:after="0" w:line="118" w:lineRule="exact"/>
        <w:rPr>
          <w:sz w:val="20"/>
          <w:szCs w:val="20"/>
          <w:color w:val="auto"/>
        </w:rPr>
      </w:pPr>
    </w:p>
    <w:p>
      <w:pPr>
        <w:jc w:val="both"/>
        <w:ind w:left="880" w:right="39"/>
        <w:spacing w:after="0" w:line="273" w:lineRule="auto"/>
        <w:rPr>
          <w:sz w:val="20"/>
          <w:szCs w:val="20"/>
          <w:color w:val="auto"/>
        </w:rPr>
      </w:pPr>
      <w:r>
        <w:rPr>
          <w:rFonts w:ascii="Arial" w:cs="Arial" w:eastAsia="Arial" w:hAnsi="Arial"/>
          <w:sz w:val="18"/>
          <w:szCs w:val="18"/>
          <w:color w:val="auto"/>
        </w:rPr>
        <w:t>Stock option awards to our NEOs generally vest 25% on the first anniversary of the grant date, with the remaining 75% vesting in equal monthly installments on the last day of each of the 36 calendar months immediately following the first anniversary of the grant date, subject generally to the NEO’s continuous service through the relevant vesting dates.</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Other Benefits</w:t>
      </w:r>
    </w:p>
    <w:p>
      <w:pPr>
        <w:spacing w:after="0" w:line="156" w:lineRule="exact"/>
        <w:rPr>
          <w:sz w:val="20"/>
          <w:szCs w:val="20"/>
          <w:color w:val="auto"/>
        </w:rPr>
      </w:pPr>
    </w:p>
    <w:p>
      <w:pPr>
        <w:jc w:val="both"/>
        <w:ind w:left="880" w:right="39"/>
        <w:spacing w:after="0" w:line="303" w:lineRule="auto"/>
        <w:rPr>
          <w:sz w:val="20"/>
          <w:szCs w:val="20"/>
          <w:color w:val="auto"/>
        </w:rPr>
      </w:pPr>
      <w:r>
        <w:rPr>
          <w:rFonts w:ascii="Arial" w:cs="Arial" w:eastAsia="Arial" w:hAnsi="Arial"/>
          <w:sz w:val="18"/>
          <w:szCs w:val="18"/>
          <w:color w:val="auto"/>
        </w:rPr>
        <w:t>Our NEOs are eligible for the same welfare benefits that are generally available to all of our salaried employees, including health, dental, life, vision, and disability insurance.</w:t>
      </w:r>
    </w:p>
    <w:p>
      <w:pPr>
        <w:spacing w:after="0" w:line="71" w:lineRule="exact"/>
        <w:rPr>
          <w:sz w:val="20"/>
          <w:szCs w:val="20"/>
          <w:color w:val="auto"/>
        </w:rPr>
      </w:pPr>
    </w:p>
    <w:p>
      <w:pPr>
        <w:jc w:val="both"/>
        <w:ind w:left="880" w:right="19"/>
        <w:spacing w:after="0" w:line="264" w:lineRule="auto"/>
        <w:rPr>
          <w:sz w:val="20"/>
          <w:szCs w:val="20"/>
          <w:color w:val="auto"/>
        </w:rPr>
      </w:pPr>
      <w:r>
        <w:rPr>
          <w:rFonts w:ascii="Arial" w:cs="Arial" w:eastAsia="Arial" w:hAnsi="Arial"/>
          <w:sz w:val="18"/>
          <w:szCs w:val="18"/>
          <w:color w:val="auto"/>
        </w:rPr>
        <w:t>In addition, we maintain, and the NEOs are eligible to participate in, a 401(k) plan that provides eligible employees with an opportunity to save for retirement on a tax-advantaged basis and under which we make safe harbor matching employer contributions. We match 100% of each participating employee’s contributions (up to the first 3% of eligible compensation) and 50% of the participating employee’s contributions (for the next 2% of eligible compensation), and participants are always fully vested in these employer matching contributions. For 2021, the IRS limit on eligible compensation for this purpose was $290,000. Employees’ pre-tax contributions are allocated to each participant’s individual account and are then invested in selected investment alternatives according to the participant’s directions. The 401(k) plan is intended to be qualified under Section 401(a) of the Internal Revenue Code.</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PLEDGING AND HEDGING POLICIES</w:t>
      </w:r>
    </w:p>
    <w:p>
      <w:pPr>
        <w:spacing w:after="0" w:line="144" w:lineRule="exact"/>
        <w:rPr>
          <w:sz w:val="20"/>
          <w:szCs w:val="20"/>
          <w:color w:val="auto"/>
        </w:rPr>
      </w:pPr>
    </w:p>
    <w:p>
      <w:pPr>
        <w:jc w:val="both"/>
        <w:ind w:left="880" w:right="39"/>
        <w:spacing w:after="0" w:line="294" w:lineRule="auto"/>
        <w:rPr>
          <w:sz w:val="20"/>
          <w:szCs w:val="20"/>
          <w:color w:val="auto"/>
        </w:rPr>
      </w:pPr>
      <w:r>
        <w:rPr>
          <w:rFonts w:ascii="Arial" w:cs="Arial" w:eastAsia="Arial" w:hAnsi="Arial"/>
          <w:sz w:val="17"/>
          <w:szCs w:val="17"/>
          <w:color w:val="auto"/>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58"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The following table sets forth information regarding the number of shares of common stock underlying outstanding plan awards held by each of our NEOs as of December 31, 2021:</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73" w:lineRule="exact"/>
        <w:rPr>
          <w:sz w:val="20"/>
          <w:szCs w:val="20"/>
          <w:color w:val="auto"/>
        </w:rPr>
      </w:pPr>
    </w:p>
    <w:tbl>
      <w:tblPr>
        <w:tblLayout w:type="fixed"/>
        <w:tblInd w:w="870" w:type="dxa"/>
        <w:tblCellMar>
          <w:top w:w="0" w:type="dxa"/>
          <w:left w:w="0" w:type="dxa"/>
          <w:bottom w:w="0" w:type="dxa"/>
          <w:right w:w="0" w:type="dxa"/>
        </w:tblCellMar>
      </w:tblPr>
      <w:tr>
        <w:trPr>
          <w:trHeight w:val="378"/>
        </w:trPr>
        <w:tc>
          <w:tcPr>
            <w:tcW w:w="4660" w:type="dxa"/>
            <w:vAlign w:val="bottom"/>
            <w:tcBorders>
              <w:left w:val="single" w:sz="8" w:color="27A770"/>
            </w:tcBorders>
            <w:gridSpan w:val="9"/>
            <w:shd w:val="clear" w:color="auto" w:fill="27A770"/>
          </w:tcPr>
          <w:p>
            <w:pPr>
              <w:ind w:left="20"/>
              <w:spacing w:after="0"/>
              <w:rPr>
                <w:sz w:val="20"/>
                <w:szCs w:val="20"/>
                <w:color w:val="auto"/>
              </w:rPr>
            </w:pPr>
            <w:r>
              <w:rPr>
                <w:rFonts w:ascii="Arial" w:cs="Arial" w:eastAsia="Arial" w:hAnsi="Arial"/>
                <w:sz w:val="32"/>
                <w:szCs w:val="32"/>
                <w:b w:val="1"/>
                <w:bCs w:val="1"/>
                <w:color w:val="FFFFFF"/>
              </w:rPr>
              <w:t>​EXECUTIVE COMPENSATION</w:t>
            </w:r>
          </w:p>
        </w:tc>
        <w:tc>
          <w:tcPr>
            <w:tcW w:w="720" w:type="dxa"/>
            <w:vAlign w:val="bottom"/>
            <w:shd w:val="clear" w:color="auto" w:fill="27A770"/>
          </w:tcPr>
          <w:p>
            <w:pPr>
              <w:spacing w:after="0"/>
              <w:rPr>
                <w:sz w:val="24"/>
                <w:szCs w:val="24"/>
                <w:color w:val="auto"/>
              </w:rPr>
            </w:pPr>
          </w:p>
        </w:tc>
        <w:tc>
          <w:tcPr>
            <w:tcW w:w="220" w:type="dxa"/>
            <w:vAlign w:val="bottom"/>
            <w:shd w:val="clear" w:color="auto" w:fill="27A770"/>
          </w:tcPr>
          <w:p>
            <w:pPr>
              <w:spacing w:after="0"/>
              <w:rPr>
                <w:sz w:val="24"/>
                <w:szCs w:val="24"/>
                <w:color w:val="auto"/>
              </w:rPr>
            </w:pPr>
          </w:p>
        </w:tc>
        <w:tc>
          <w:tcPr>
            <w:tcW w:w="840" w:type="dxa"/>
            <w:vAlign w:val="bottom"/>
            <w:shd w:val="clear" w:color="auto" w:fill="27A770"/>
          </w:tcPr>
          <w:p>
            <w:pPr>
              <w:spacing w:after="0"/>
              <w:rPr>
                <w:sz w:val="24"/>
                <w:szCs w:val="24"/>
                <w:color w:val="auto"/>
              </w:rPr>
            </w:pPr>
          </w:p>
        </w:tc>
        <w:tc>
          <w:tcPr>
            <w:tcW w:w="180" w:type="dxa"/>
            <w:vAlign w:val="bottom"/>
            <w:shd w:val="clear" w:color="auto" w:fill="27A770"/>
          </w:tcPr>
          <w:p>
            <w:pPr>
              <w:spacing w:after="0"/>
              <w:rPr>
                <w:sz w:val="24"/>
                <w:szCs w:val="24"/>
                <w:color w:val="auto"/>
              </w:rPr>
            </w:pPr>
          </w:p>
        </w:tc>
        <w:tc>
          <w:tcPr>
            <w:tcW w:w="920" w:type="dxa"/>
            <w:vAlign w:val="bottom"/>
            <w:shd w:val="clear" w:color="auto" w:fill="27A770"/>
          </w:tcPr>
          <w:p>
            <w:pPr>
              <w:spacing w:after="0"/>
              <w:rPr>
                <w:sz w:val="24"/>
                <w:szCs w:val="24"/>
                <w:color w:val="auto"/>
              </w:rPr>
            </w:pPr>
          </w:p>
        </w:tc>
        <w:tc>
          <w:tcPr>
            <w:tcW w:w="180" w:type="dxa"/>
            <w:vAlign w:val="bottom"/>
            <w:shd w:val="clear" w:color="auto" w:fill="27A770"/>
          </w:tcPr>
          <w:p>
            <w:pPr>
              <w:spacing w:after="0"/>
              <w:rPr>
                <w:sz w:val="24"/>
                <w:szCs w:val="24"/>
                <w:color w:val="auto"/>
              </w:rPr>
            </w:pPr>
          </w:p>
        </w:tc>
        <w:tc>
          <w:tcPr>
            <w:tcW w:w="1140" w:type="dxa"/>
            <w:vAlign w:val="bottom"/>
            <w:shd w:val="clear" w:color="auto" w:fill="27A770"/>
          </w:tcPr>
          <w:p>
            <w:pPr>
              <w:spacing w:after="0"/>
              <w:rPr>
                <w:sz w:val="24"/>
                <w:szCs w:val="24"/>
                <w:color w:val="auto"/>
              </w:rPr>
            </w:pPr>
          </w:p>
        </w:tc>
        <w:tc>
          <w:tcPr>
            <w:tcW w:w="140" w:type="dxa"/>
            <w:vAlign w:val="bottom"/>
            <w:tcBorders>
              <w:right w:val="single" w:sz="8" w:color="27A770"/>
            </w:tcBorders>
            <w:shd w:val="clear" w:color="auto" w:fill="27A770"/>
          </w:tcPr>
          <w:p>
            <w:pPr>
              <w:jc w:val="right"/>
              <w:spacing w:after="0"/>
              <w:rPr>
                <w:sz w:val="20"/>
                <w:szCs w:val="20"/>
                <w:color w:val="auto"/>
              </w:rPr>
            </w:pPr>
            <w:r>
              <w:rPr>
                <w:rFonts w:ascii="Arial" w:cs="Arial" w:eastAsia="Arial" w:hAnsi="Arial"/>
                <w:sz w:val="32"/>
                <w:szCs w:val="32"/>
                <w:b w:val="1"/>
                <w:bCs w:val="1"/>
                <w:color w:val="FFFFFF"/>
              </w:rPr>
              <w:t>​</w:t>
            </w:r>
          </w:p>
        </w:tc>
        <w:tc>
          <w:tcPr>
            <w:tcW w:w="0" w:type="dxa"/>
            <w:vAlign w:val="bottom"/>
          </w:tcPr>
          <w:p>
            <w:pPr>
              <w:spacing w:after="0"/>
              <w:rPr>
                <w:sz w:val="1"/>
                <w:szCs w:val="1"/>
                <w:color w:val="auto"/>
              </w:rPr>
            </w:pPr>
          </w:p>
        </w:tc>
      </w:tr>
      <w:tr>
        <w:trPr>
          <w:trHeight w:val="324"/>
        </w:trPr>
        <w:tc>
          <w:tcPr>
            <w:tcW w:w="7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 w:type="dxa"/>
            <w:vAlign w:val="bottom"/>
            <w:tcBorders>
              <w:left w:val="single" w:sz="8" w:color="auto"/>
              <w:bottom w:val="single" w:sz="8" w:color="248ED8"/>
            </w:tcBorders>
            <w:shd w:val="clear" w:color="auto" w:fill="248ED8"/>
          </w:tcPr>
          <w:p>
            <w:pPr>
              <w:spacing w:after="0"/>
              <w:rPr>
                <w:sz w:val="23"/>
                <w:szCs w:val="23"/>
                <w:color w:val="auto"/>
              </w:rPr>
            </w:pPr>
          </w:p>
        </w:tc>
        <w:tc>
          <w:tcPr>
            <w:tcW w:w="1080" w:type="dxa"/>
            <w:vAlign w:val="bottom"/>
            <w:tcBorders>
              <w:bottom w:val="single" w:sz="8" w:color="248ED8"/>
            </w:tcBorders>
            <w:shd w:val="clear" w:color="auto" w:fill="248ED8"/>
          </w:tcPr>
          <w:p>
            <w:pPr>
              <w:spacing w:after="0"/>
              <w:rPr>
                <w:sz w:val="23"/>
                <w:szCs w:val="23"/>
                <w:color w:val="auto"/>
              </w:rPr>
            </w:pPr>
          </w:p>
        </w:tc>
        <w:tc>
          <w:tcPr>
            <w:tcW w:w="100" w:type="dxa"/>
            <w:vAlign w:val="bottom"/>
            <w:tcBorders>
              <w:bottom w:val="single" w:sz="8" w:color="248ED8"/>
            </w:tcBorders>
            <w:shd w:val="clear" w:color="auto" w:fill="248ED8"/>
          </w:tcPr>
          <w:p>
            <w:pPr>
              <w:spacing w:after="0"/>
              <w:rPr>
                <w:sz w:val="23"/>
                <w:szCs w:val="23"/>
                <w:color w:val="auto"/>
              </w:rPr>
            </w:pPr>
          </w:p>
        </w:tc>
        <w:tc>
          <w:tcPr>
            <w:tcW w:w="60" w:type="dxa"/>
            <w:vAlign w:val="bottom"/>
            <w:tcBorders>
              <w:bottom w:val="single" w:sz="8" w:color="auto"/>
            </w:tcBorders>
            <w:shd w:val="clear" w:color="auto" w:fill="248ED8"/>
          </w:tcPr>
          <w:p>
            <w:pPr>
              <w:ind w:left="20"/>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auto"/>
            </w:tcBorders>
            <w:shd w:val="clear" w:color="auto" w:fill="248ED8"/>
          </w:tcPr>
          <w:p>
            <w:pPr>
              <w:spacing w:after="0"/>
              <w:rPr>
                <w:sz w:val="23"/>
                <w:szCs w:val="23"/>
                <w:color w:val="auto"/>
              </w:rPr>
            </w:pPr>
          </w:p>
        </w:tc>
        <w:tc>
          <w:tcPr>
            <w:tcW w:w="1060" w:type="dxa"/>
            <w:vAlign w:val="bottom"/>
            <w:tcBorders>
              <w:bottom w:val="single" w:sz="8" w:color="auto"/>
            </w:tcBorders>
            <w:shd w:val="clear" w:color="auto" w:fill="248ED8"/>
          </w:tcPr>
          <w:p>
            <w:pPr>
              <w:spacing w:after="0"/>
              <w:rPr>
                <w:sz w:val="23"/>
                <w:szCs w:val="23"/>
                <w:color w:val="auto"/>
              </w:rPr>
            </w:pPr>
          </w:p>
        </w:tc>
        <w:tc>
          <w:tcPr>
            <w:tcW w:w="200" w:type="dxa"/>
            <w:vAlign w:val="bottom"/>
            <w:tcBorders>
              <w:bottom w:val="single" w:sz="8" w:color="auto"/>
            </w:tcBorders>
            <w:shd w:val="clear" w:color="auto" w:fill="248ED8"/>
          </w:tcPr>
          <w:p>
            <w:pPr>
              <w:spacing w:after="0"/>
              <w:rPr>
                <w:sz w:val="23"/>
                <w:szCs w:val="23"/>
                <w:color w:val="auto"/>
              </w:rPr>
            </w:pPr>
          </w:p>
        </w:tc>
        <w:tc>
          <w:tcPr>
            <w:tcW w:w="2120" w:type="dxa"/>
            <w:vAlign w:val="bottom"/>
            <w:tcBorders>
              <w:bottom w:val="single" w:sz="8" w:color="auto"/>
            </w:tcBorders>
            <w:gridSpan w:val="3"/>
            <w:shd w:val="clear" w:color="auto" w:fill="248ED8"/>
          </w:tcPr>
          <w:p>
            <w:pPr>
              <w:ind w:left="240"/>
              <w:spacing w:after="0"/>
              <w:rPr>
                <w:sz w:val="20"/>
                <w:szCs w:val="20"/>
                <w:color w:val="auto"/>
              </w:rPr>
            </w:pPr>
            <w:r>
              <w:rPr>
                <w:rFonts w:ascii="Arial" w:cs="Arial" w:eastAsia="Arial" w:hAnsi="Arial"/>
                <w:sz w:val="14"/>
                <w:szCs w:val="14"/>
                <w:b w:val="1"/>
                <w:bCs w:val="1"/>
                <w:color w:val="FFFFFF"/>
              </w:rPr>
              <w:t>OPTION AWARDS (1)</w:t>
            </w:r>
          </w:p>
        </w:tc>
        <w:tc>
          <w:tcPr>
            <w:tcW w:w="220" w:type="dxa"/>
            <w:vAlign w:val="bottom"/>
            <w:tcBorders>
              <w:bottom w:val="single" w:sz="8" w:color="auto"/>
            </w:tcBorders>
            <w:shd w:val="clear" w:color="auto" w:fill="248ED8"/>
          </w:tcPr>
          <w:p>
            <w:pPr>
              <w:spacing w:after="0"/>
              <w:rPr>
                <w:sz w:val="23"/>
                <w:szCs w:val="23"/>
                <w:color w:val="auto"/>
              </w:rPr>
            </w:pPr>
          </w:p>
        </w:tc>
        <w:tc>
          <w:tcPr>
            <w:tcW w:w="840" w:type="dxa"/>
            <w:vAlign w:val="bottom"/>
            <w:tcBorders>
              <w:bottom w:val="single" w:sz="8" w:color="auto"/>
            </w:tcBorders>
            <w:shd w:val="clear" w:color="auto" w:fill="248ED8"/>
          </w:tcPr>
          <w:p>
            <w:pPr>
              <w:spacing w:after="0"/>
              <w:rPr>
                <w:sz w:val="23"/>
                <w:szCs w:val="23"/>
                <w:color w:val="auto"/>
              </w:rPr>
            </w:pPr>
          </w:p>
        </w:tc>
        <w:tc>
          <w:tcPr>
            <w:tcW w:w="180" w:type="dxa"/>
            <w:vAlign w:val="bottom"/>
            <w:tcBorders>
              <w:bottom w:val="single" w:sz="8" w:color="auto"/>
            </w:tcBorders>
            <w:shd w:val="clear" w:color="auto" w:fill="248ED8"/>
          </w:tcPr>
          <w:p>
            <w:pPr>
              <w:ind w:left="40"/>
              <w:spacing w:after="0"/>
              <w:rPr>
                <w:sz w:val="20"/>
                <w:szCs w:val="20"/>
                <w:color w:val="auto"/>
              </w:rPr>
            </w:pPr>
            <w:r>
              <w:rPr>
                <w:rFonts w:ascii="Arial" w:cs="Arial" w:eastAsia="Arial" w:hAnsi="Arial"/>
                <w:sz w:val="14"/>
                <w:szCs w:val="14"/>
                <w:b w:val="1"/>
                <w:bCs w:val="1"/>
                <w:color w:val="FFFFFF"/>
              </w:rPr>
              <w:t>​ ​</w:t>
            </w:r>
          </w:p>
        </w:tc>
        <w:tc>
          <w:tcPr>
            <w:tcW w:w="2240" w:type="dxa"/>
            <w:vAlign w:val="bottom"/>
            <w:tcBorders>
              <w:bottom w:val="single" w:sz="8" w:color="auto"/>
            </w:tcBorders>
            <w:gridSpan w:val="3"/>
            <w:shd w:val="clear" w:color="auto" w:fill="248ED8"/>
          </w:tcPr>
          <w:p>
            <w:pPr>
              <w:ind w:left="440"/>
              <w:spacing w:after="0"/>
              <w:rPr>
                <w:sz w:val="20"/>
                <w:szCs w:val="20"/>
                <w:color w:val="auto"/>
              </w:rPr>
            </w:pPr>
            <w:r>
              <w:rPr>
                <w:rFonts w:ascii="Arial" w:cs="Arial" w:eastAsia="Arial" w:hAnsi="Arial"/>
                <w:sz w:val="14"/>
                <w:szCs w:val="14"/>
                <w:b w:val="1"/>
                <w:bCs w:val="1"/>
                <w:color w:val="FFFFFF"/>
              </w:rPr>
              <w:t>STOCK AWARDS (2)</w:t>
            </w:r>
          </w:p>
        </w:tc>
        <w:tc>
          <w:tcPr>
            <w:tcW w:w="140" w:type="dxa"/>
            <w:vAlign w:val="bottom"/>
            <w:tcBorders>
              <w:bottom w:val="single" w:sz="8" w:color="auto"/>
              <w:right w:val="single" w:sz="8" w:color="auto"/>
            </w:tcBorders>
            <w:shd w:val="clear" w:color="auto" w:fill="248ED8"/>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0"/>
        </w:trPr>
        <w:tc>
          <w:tcPr>
            <w:tcW w:w="740" w:type="dxa"/>
            <w:vAlign w:val="bottom"/>
            <w:tcBorders>
              <w:left w:val="single" w:sz="8" w:color="auto"/>
            </w:tcBorders>
            <w:shd w:val="clear" w:color="auto" w:fill="248ED8"/>
          </w:tcPr>
          <w:p>
            <w:pPr>
              <w:spacing w:after="0"/>
              <w:rPr>
                <w:sz w:val="15"/>
                <w:szCs w:val="15"/>
                <w:color w:val="auto"/>
              </w:rPr>
            </w:pPr>
          </w:p>
        </w:tc>
        <w:tc>
          <w:tcPr>
            <w:tcW w:w="1080" w:type="dxa"/>
            <w:vAlign w:val="bottom"/>
            <w:shd w:val="clear" w:color="auto" w:fill="248ED8"/>
          </w:tcPr>
          <w:p>
            <w:pPr>
              <w:spacing w:after="0"/>
              <w:rPr>
                <w:sz w:val="15"/>
                <w:szCs w:val="15"/>
                <w:color w:val="auto"/>
              </w:rPr>
            </w:pPr>
          </w:p>
        </w:tc>
        <w:tc>
          <w:tcPr>
            <w:tcW w:w="100" w:type="dxa"/>
            <w:vAlign w:val="bottom"/>
            <w:shd w:val="clear" w:color="auto" w:fill="248ED8"/>
          </w:tcPr>
          <w:p>
            <w:pPr>
              <w:spacing w:after="0"/>
              <w:rPr>
                <w:sz w:val="15"/>
                <w:szCs w:val="15"/>
                <w:color w:val="auto"/>
              </w:rPr>
            </w:pPr>
          </w:p>
        </w:tc>
        <w:tc>
          <w:tcPr>
            <w:tcW w:w="60" w:type="dxa"/>
            <w:vAlign w:val="bottom"/>
            <w:shd w:val="clear" w:color="auto" w:fill="248ED8"/>
          </w:tcPr>
          <w:p>
            <w:pPr>
              <w:spacing w:after="0"/>
              <w:rPr>
                <w:sz w:val="15"/>
                <w:szCs w:val="15"/>
                <w:color w:val="auto"/>
              </w:rPr>
            </w:pPr>
          </w:p>
        </w:tc>
        <w:tc>
          <w:tcPr>
            <w:tcW w:w="20" w:type="dxa"/>
            <w:vAlign w:val="bottom"/>
            <w:shd w:val="clear" w:color="auto" w:fill="248ED8"/>
          </w:tcPr>
          <w:p>
            <w:pPr>
              <w:spacing w:after="0"/>
              <w:rPr>
                <w:sz w:val="15"/>
                <w:szCs w:val="15"/>
                <w:color w:val="auto"/>
              </w:rPr>
            </w:pPr>
          </w:p>
        </w:tc>
        <w:tc>
          <w:tcPr>
            <w:tcW w:w="106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rPr>
              <w:t>NUMBER OF</w:t>
            </w:r>
          </w:p>
        </w:tc>
        <w:tc>
          <w:tcPr>
            <w:tcW w:w="200" w:type="dxa"/>
            <w:vAlign w:val="bottom"/>
            <w:shd w:val="clear" w:color="auto" w:fill="248ED8"/>
          </w:tcPr>
          <w:p>
            <w:pPr>
              <w:spacing w:after="0"/>
              <w:rPr>
                <w:sz w:val="15"/>
                <w:szCs w:val="15"/>
                <w:color w:val="auto"/>
              </w:rPr>
            </w:pPr>
          </w:p>
        </w:tc>
        <w:tc>
          <w:tcPr>
            <w:tcW w:w="1240" w:type="dxa"/>
            <w:vAlign w:val="bottom"/>
            <w:vMerge w:val="restart"/>
            <w:shd w:val="clear" w:color="auto" w:fill="248ED8"/>
          </w:tcPr>
          <w:p>
            <w:pPr>
              <w:jc w:val="center"/>
              <w:ind w:right="49"/>
              <w:spacing w:after="0"/>
              <w:rPr>
                <w:sz w:val="20"/>
                <w:szCs w:val="20"/>
                <w:color w:val="auto"/>
              </w:rPr>
            </w:pPr>
            <w:r>
              <w:rPr>
                <w:rFonts w:ascii="Arial" w:cs="Arial" w:eastAsia="Arial" w:hAnsi="Arial"/>
                <w:sz w:val="14"/>
                <w:szCs w:val="14"/>
                <w:b w:val="1"/>
                <w:bCs w:val="1"/>
                <w:color w:val="FFFFFF"/>
              </w:rPr>
              <w:t>NUMBER OF</w:t>
            </w:r>
          </w:p>
        </w:tc>
        <w:tc>
          <w:tcPr>
            <w:tcW w:w="160" w:type="dxa"/>
            <w:vAlign w:val="bottom"/>
            <w:shd w:val="clear" w:color="auto" w:fill="248ED8"/>
          </w:tcPr>
          <w:p>
            <w:pPr>
              <w:spacing w:after="0"/>
              <w:rPr>
                <w:sz w:val="15"/>
                <w:szCs w:val="15"/>
                <w:color w:val="auto"/>
              </w:rPr>
            </w:pPr>
          </w:p>
        </w:tc>
        <w:tc>
          <w:tcPr>
            <w:tcW w:w="720" w:type="dxa"/>
            <w:vAlign w:val="bottom"/>
            <w:shd w:val="clear" w:color="auto" w:fill="248ED8"/>
          </w:tcPr>
          <w:p>
            <w:pPr>
              <w:spacing w:after="0"/>
              <w:rPr>
                <w:sz w:val="15"/>
                <w:szCs w:val="15"/>
                <w:color w:val="auto"/>
              </w:rPr>
            </w:pPr>
          </w:p>
        </w:tc>
        <w:tc>
          <w:tcPr>
            <w:tcW w:w="220" w:type="dxa"/>
            <w:vAlign w:val="bottom"/>
            <w:shd w:val="clear" w:color="auto" w:fill="248ED8"/>
          </w:tcPr>
          <w:p>
            <w:pPr>
              <w:spacing w:after="0"/>
              <w:rPr>
                <w:sz w:val="15"/>
                <w:szCs w:val="15"/>
                <w:color w:val="auto"/>
              </w:rPr>
            </w:pPr>
          </w:p>
        </w:tc>
        <w:tc>
          <w:tcPr>
            <w:tcW w:w="840" w:type="dxa"/>
            <w:vAlign w:val="bottom"/>
            <w:shd w:val="clear" w:color="auto" w:fill="248ED8"/>
          </w:tcPr>
          <w:p>
            <w:pPr>
              <w:spacing w:after="0"/>
              <w:rPr>
                <w:sz w:val="15"/>
                <w:szCs w:val="15"/>
                <w:color w:val="auto"/>
              </w:rPr>
            </w:pPr>
          </w:p>
        </w:tc>
        <w:tc>
          <w:tcPr>
            <w:tcW w:w="180" w:type="dxa"/>
            <w:vAlign w:val="bottom"/>
            <w:shd w:val="clear" w:color="auto" w:fill="248ED8"/>
          </w:tcPr>
          <w:p>
            <w:pPr>
              <w:spacing w:after="0"/>
              <w:rPr>
                <w:sz w:val="15"/>
                <w:szCs w:val="15"/>
                <w:color w:val="auto"/>
              </w:rPr>
            </w:pPr>
          </w:p>
        </w:tc>
        <w:tc>
          <w:tcPr>
            <w:tcW w:w="920" w:type="dxa"/>
            <w:vAlign w:val="bottom"/>
            <w:shd w:val="clear" w:color="auto" w:fill="248ED8"/>
          </w:tcPr>
          <w:p>
            <w:pPr>
              <w:jc w:val="center"/>
              <w:spacing w:after="0"/>
              <w:rPr>
                <w:sz w:val="20"/>
                <w:szCs w:val="20"/>
                <w:color w:val="auto"/>
              </w:rPr>
            </w:pPr>
            <w:r>
              <w:rPr>
                <w:rFonts w:ascii="Arial" w:cs="Arial" w:eastAsia="Arial" w:hAnsi="Arial"/>
                <w:sz w:val="14"/>
                <w:szCs w:val="14"/>
                <w:b w:val="1"/>
                <w:bCs w:val="1"/>
                <w:color w:val="FFFFFF"/>
              </w:rPr>
              <w:t>NUMBER OF</w:t>
            </w:r>
          </w:p>
        </w:tc>
        <w:tc>
          <w:tcPr>
            <w:tcW w:w="180" w:type="dxa"/>
            <w:vAlign w:val="bottom"/>
            <w:shd w:val="clear" w:color="auto" w:fill="248ED8"/>
          </w:tcPr>
          <w:p>
            <w:pPr>
              <w:spacing w:after="0"/>
              <w:rPr>
                <w:sz w:val="15"/>
                <w:szCs w:val="15"/>
                <w:color w:val="auto"/>
              </w:rPr>
            </w:pPr>
          </w:p>
        </w:tc>
        <w:tc>
          <w:tcPr>
            <w:tcW w:w="1140" w:type="dxa"/>
            <w:vAlign w:val="bottom"/>
            <w:shd w:val="clear" w:color="auto" w:fill="248ED8"/>
          </w:tcPr>
          <w:p>
            <w:pPr>
              <w:jc w:val="center"/>
              <w:spacing w:after="0"/>
              <w:rPr>
                <w:sz w:val="20"/>
                <w:szCs w:val="20"/>
                <w:color w:val="auto"/>
              </w:rPr>
            </w:pPr>
            <w:r>
              <w:rPr>
                <w:rFonts w:ascii="Arial" w:cs="Arial" w:eastAsia="Arial" w:hAnsi="Arial"/>
                <w:sz w:val="14"/>
                <w:szCs w:val="14"/>
                <w:b w:val="1"/>
                <w:bCs w:val="1"/>
                <w:color w:val="FFFFFF"/>
              </w:rPr>
              <w:t>MARKET VALUE</w:t>
            </w:r>
          </w:p>
        </w:tc>
        <w:tc>
          <w:tcPr>
            <w:tcW w:w="140" w:type="dxa"/>
            <w:vAlign w:val="bottom"/>
            <w:tcBorders>
              <w:right w:val="single" w:sz="8" w:color="auto"/>
            </w:tcBorders>
            <w:shd w:val="clear" w:color="auto" w:fill="248ED8"/>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740" w:type="dxa"/>
            <w:vAlign w:val="bottom"/>
            <w:tcBorders>
              <w:left w:val="single" w:sz="8" w:color="auto"/>
            </w:tcBorders>
            <w:shd w:val="clear" w:color="auto" w:fill="248ED8"/>
          </w:tcPr>
          <w:p>
            <w:pPr>
              <w:spacing w:after="0"/>
              <w:rPr>
                <w:sz w:val="7"/>
                <w:szCs w:val="7"/>
                <w:color w:val="auto"/>
              </w:rPr>
            </w:pPr>
          </w:p>
        </w:tc>
        <w:tc>
          <w:tcPr>
            <w:tcW w:w="1080" w:type="dxa"/>
            <w:vAlign w:val="bottom"/>
            <w:shd w:val="clear" w:color="auto" w:fill="248ED8"/>
          </w:tcPr>
          <w:p>
            <w:pPr>
              <w:spacing w:after="0"/>
              <w:rPr>
                <w:sz w:val="7"/>
                <w:szCs w:val="7"/>
                <w:color w:val="auto"/>
              </w:rPr>
            </w:pPr>
          </w:p>
        </w:tc>
        <w:tc>
          <w:tcPr>
            <w:tcW w:w="100" w:type="dxa"/>
            <w:vAlign w:val="bottom"/>
            <w:shd w:val="clear" w:color="auto" w:fill="248ED8"/>
          </w:tcPr>
          <w:p>
            <w:pPr>
              <w:spacing w:after="0"/>
              <w:rPr>
                <w:sz w:val="7"/>
                <w:szCs w:val="7"/>
                <w:color w:val="auto"/>
              </w:rPr>
            </w:pPr>
          </w:p>
        </w:tc>
        <w:tc>
          <w:tcPr>
            <w:tcW w:w="60" w:type="dxa"/>
            <w:vAlign w:val="bottom"/>
            <w:shd w:val="clear" w:color="auto" w:fill="248ED8"/>
          </w:tcPr>
          <w:p>
            <w:pPr>
              <w:spacing w:after="0"/>
              <w:rPr>
                <w:sz w:val="7"/>
                <w:szCs w:val="7"/>
                <w:color w:val="auto"/>
              </w:rPr>
            </w:pPr>
          </w:p>
        </w:tc>
        <w:tc>
          <w:tcPr>
            <w:tcW w:w="20" w:type="dxa"/>
            <w:vAlign w:val="bottom"/>
            <w:shd w:val="clear" w:color="auto" w:fill="248ED8"/>
          </w:tcPr>
          <w:p>
            <w:pPr>
              <w:spacing w:after="0"/>
              <w:rPr>
                <w:sz w:val="7"/>
                <w:szCs w:val="7"/>
                <w:color w:val="auto"/>
              </w:rPr>
            </w:pPr>
          </w:p>
        </w:tc>
        <w:tc>
          <w:tcPr>
            <w:tcW w:w="1060" w:type="dxa"/>
            <w:vAlign w:val="bottom"/>
            <w:vMerge w:val="continue"/>
            <w:shd w:val="clear" w:color="auto" w:fill="248ED8"/>
          </w:tcPr>
          <w:p>
            <w:pPr>
              <w:spacing w:after="0"/>
              <w:rPr>
                <w:sz w:val="7"/>
                <w:szCs w:val="7"/>
                <w:color w:val="auto"/>
              </w:rPr>
            </w:pPr>
          </w:p>
        </w:tc>
        <w:tc>
          <w:tcPr>
            <w:tcW w:w="200" w:type="dxa"/>
            <w:vAlign w:val="bottom"/>
            <w:shd w:val="clear" w:color="auto" w:fill="248ED8"/>
          </w:tcPr>
          <w:p>
            <w:pPr>
              <w:spacing w:after="0"/>
              <w:rPr>
                <w:sz w:val="7"/>
                <w:szCs w:val="7"/>
                <w:color w:val="auto"/>
              </w:rPr>
            </w:pPr>
          </w:p>
        </w:tc>
        <w:tc>
          <w:tcPr>
            <w:tcW w:w="1240" w:type="dxa"/>
            <w:vAlign w:val="bottom"/>
            <w:vMerge w:val="continue"/>
            <w:shd w:val="clear" w:color="auto" w:fill="248ED8"/>
          </w:tcPr>
          <w:p>
            <w:pPr>
              <w:spacing w:after="0"/>
              <w:rPr>
                <w:sz w:val="7"/>
                <w:szCs w:val="7"/>
                <w:color w:val="auto"/>
              </w:rPr>
            </w:pPr>
          </w:p>
        </w:tc>
        <w:tc>
          <w:tcPr>
            <w:tcW w:w="160" w:type="dxa"/>
            <w:vAlign w:val="bottom"/>
            <w:shd w:val="clear" w:color="auto" w:fill="248ED8"/>
          </w:tcPr>
          <w:p>
            <w:pPr>
              <w:spacing w:after="0"/>
              <w:rPr>
                <w:sz w:val="7"/>
                <w:szCs w:val="7"/>
                <w:color w:val="auto"/>
              </w:rPr>
            </w:pPr>
          </w:p>
        </w:tc>
        <w:tc>
          <w:tcPr>
            <w:tcW w:w="720" w:type="dxa"/>
            <w:vAlign w:val="bottom"/>
            <w:shd w:val="clear" w:color="auto" w:fill="248ED8"/>
          </w:tcPr>
          <w:p>
            <w:pPr>
              <w:spacing w:after="0"/>
              <w:rPr>
                <w:sz w:val="7"/>
                <w:szCs w:val="7"/>
                <w:color w:val="auto"/>
              </w:rPr>
            </w:pPr>
          </w:p>
        </w:tc>
        <w:tc>
          <w:tcPr>
            <w:tcW w:w="220" w:type="dxa"/>
            <w:vAlign w:val="bottom"/>
            <w:shd w:val="clear" w:color="auto" w:fill="248ED8"/>
          </w:tcPr>
          <w:p>
            <w:pPr>
              <w:spacing w:after="0"/>
              <w:rPr>
                <w:sz w:val="7"/>
                <w:szCs w:val="7"/>
                <w:color w:val="auto"/>
              </w:rPr>
            </w:pPr>
          </w:p>
        </w:tc>
        <w:tc>
          <w:tcPr>
            <w:tcW w:w="840" w:type="dxa"/>
            <w:vAlign w:val="bottom"/>
            <w:shd w:val="clear" w:color="auto" w:fill="248ED8"/>
          </w:tcPr>
          <w:p>
            <w:pPr>
              <w:spacing w:after="0"/>
              <w:rPr>
                <w:sz w:val="7"/>
                <w:szCs w:val="7"/>
                <w:color w:val="auto"/>
              </w:rPr>
            </w:pPr>
          </w:p>
        </w:tc>
        <w:tc>
          <w:tcPr>
            <w:tcW w:w="180" w:type="dxa"/>
            <w:vAlign w:val="bottom"/>
            <w:shd w:val="clear" w:color="auto" w:fill="248ED8"/>
          </w:tcPr>
          <w:p>
            <w:pPr>
              <w:spacing w:after="0"/>
              <w:rPr>
                <w:sz w:val="7"/>
                <w:szCs w:val="7"/>
                <w:color w:val="auto"/>
              </w:rPr>
            </w:pPr>
          </w:p>
        </w:tc>
        <w:tc>
          <w:tcPr>
            <w:tcW w:w="92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rPr>
              <w:t>SHARES OR</w:t>
            </w:r>
          </w:p>
        </w:tc>
        <w:tc>
          <w:tcPr>
            <w:tcW w:w="180" w:type="dxa"/>
            <w:vAlign w:val="bottom"/>
            <w:shd w:val="clear" w:color="auto" w:fill="248ED8"/>
          </w:tcPr>
          <w:p>
            <w:pPr>
              <w:spacing w:after="0"/>
              <w:rPr>
                <w:sz w:val="7"/>
                <w:szCs w:val="7"/>
                <w:color w:val="auto"/>
              </w:rPr>
            </w:pPr>
          </w:p>
        </w:tc>
        <w:tc>
          <w:tcPr>
            <w:tcW w:w="114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rPr>
              <w:t>OF SHARES</w:t>
            </w:r>
          </w:p>
        </w:tc>
        <w:tc>
          <w:tcPr>
            <w:tcW w:w="140" w:type="dxa"/>
            <w:vAlign w:val="bottom"/>
            <w:tcBorders>
              <w:right w:val="single" w:sz="8" w:color="auto"/>
            </w:tcBorders>
            <w:shd w:val="clear" w:color="auto" w:fill="248ED8"/>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40" w:type="dxa"/>
            <w:vAlign w:val="bottom"/>
            <w:tcBorders>
              <w:left w:val="single" w:sz="8" w:color="auto"/>
            </w:tcBorders>
            <w:shd w:val="clear" w:color="auto" w:fill="248ED8"/>
          </w:tcPr>
          <w:p>
            <w:pPr>
              <w:spacing w:after="0"/>
              <w:rPr>
                <w:sz w:val="7"/>
                <w:szCs w:val="7"/>
                <w:color w:val="auto"/>
              </w:rPr>
            </w:pPr>
          </w:p>
        </w:tc>
        <w:tc>
          <w:tcPr>
            <w:tcW w:w="1080" w:type="dxa"/>
            <w:vAlign w:val="bottom"/>
            <w:shd w:val="clear" w:color="auto" w:fill="248ED8"/>
          </w:tcPr>
          <w:p>
            <w:pPr>
              <w:spacing w:after="0"/>
              <w:rPr>
                <w:sz w:val="7"/>
                <w:szCs w:val="7"/>
                <w:color w:val="auto"/>
              </w:rPr>
            </w:pPr>
          </w:p>
        </w:tc>
        <w:tc>
          <w:tcPr>
            <w:tcW w:w="100" w:type="dxa"/>
            <w:vAlign w:val="bottom"/>
            <w:shd w:val="clear" w:color="auto" w:fill="248ED8"/>
          </w:tcPr>
          <w:p>
            <w:pPr>
              <w:spacing w:after="0"/>
              <w:rPr>
                <w:sz w:val="7"/>
                <w:szCs w:val="7"/>
                <w:color w:val="auto"/>
              </w:rPr>
            </w:pPr>
          </w:p>
        </w:tc>
        <w:tc>
          <w:tcPr>
            <w:tcW w:w="60" w:type="dxa"/>
            <w:vAlign w:val="bottom"/>
            <w:shd w:val="clear" w:color="auto" w:fill="248ED8"/>
          </w:tcPr>
          <w:p>
            <w:pPr>
              <w:spacing w:after="0"/>
              <w:rPr>
                <w:sz w:val="7"/>
                <w:szCs w:val="7"/>
                <w:color w:val="auto"/>
              </w:rPr>
            </w:pPr>
          </w:p>
        </w:tc>
        <w:tc>
          <w:tcPr>
            <w:tcW w:w="20" w:type="dxa"/>
            <w:vAlign w:val="bottom"/>
            <w:shd w:val="clear" w:color="auto" w:fill="248ED8"/>
          </w:tcPr>
          <w:p>
            <w:pPr>
              <w:spacing w:after="0"/>
              <w:rPr>
                <w:sz w:val="7"/>
                <w:szCs w:val="7"/>
                <w:color w:val="auto"/>
              </w:rPr>
            </w:pPr>
          </w:p>
        </w:tc>
        <w:tc>
          <w:tcPr>
            <w:tcW w:w="106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rPr>
              <w:t>SECURITIES</w:t>
            </w:r>
          </w:p>
        </w:tc>
        <w:tc>
          <w:tcPr>
            <w:tcW w:w="200" w:type="dxa"/>
            <w:vAlign w:val="bottom"/>
            <w:shd w:val="clear" w:color="auto" w:fill="248ED8"/>
          </w:tcPr>
          <w:p>
            <w:pPr>
              <w:spacing w:after="0"/>
              <w:rPr>
                <w:sz w:val="7"/>
                <w:szCs w:val="7"/>
                <w:color w:val="auto"/>
              </w:rPr>
            </w:pPr>
          </w:p>
        </w:tc>
        <w:tc>
          <w:tcPr>
            <w:tcW w:w="1240" w:type="dxa"/>
            <w:vAlign w:val="bottom"/>
            <w:vMerge w:val="restart"/>
            <w:shd w:val="clear" w:color="auto" w:fill="248ED8"/>
          </w:tcPr>
          <w:p>
            <w:pPr>
              <w:jc w:val="center"/>
              <w:ind w:right="69"/>
              <w:spacing w:after="0"/>
              <w:rPr>
                <w:sz w:val="20"/>
                <w:szCs w:val="20"/>
                <w:color w:val="auto"/>
              </w:rPr>
            </w:pPr>
            <w:r>
              <w:rPr>
                <w:rFonts w:ascii="Arial" w:cs="Arial" w:eastAsia="Arial" w:hAnsi="Arial"/>
                <w:sz w:val="14"/>
                <w:szCs w:val="14"/>
                <w:b w:val="1"/>
                <w:bCs w:val="1"/>
                <w:color w:val="FFFFFF"/>
              </w:rPr>
              <w:t>SECURITIES</w:t>
            </w:r>
          </w:p>
        </w:tc>
        <w:tc>
          <w:tcPr>
            <w:tcW w:w="160" w:type="dxa"/>
            <w:vAlign w:val="bottom"/>
            <w:shd w:val="clear" w:color="auto" w:fill="248ED8"/>
          </w:tcPr>
          <w:p>
            <w:pPr>
              <w:spacing w:after="0"/>
              <w:rPr>
                <w:sz w:val="7"/>
                <w:szCs w:val="7"/>
                <w:color w:val="auto"/>
              </w:rPr>
            </w:pPr>
          </w:p>
        </w:tc>
        <w:tc>
          <w:tcPr>
            <w:tcW w:w="720" w:type="dxa"/>
            <w:vAlign w:val="bottom"/>
            <w:shd w:val="clear" w:color="auto" w:fill="248ED8"/>
          </w:tcPr>
          <w:p>
            <w:pPr>
              <w:spacing w:after="0"/>
              <w:rPr>
                <w:sz w:val="7"/>
                <w:szCs w:val="7"/>
                <w:color w:val="auto"/>
              </w:rPr>
            </w:pPr>
          </w:p>
        </w:tc>
        <w:tc>
          <w:tcPr>
            <w:tcW w:w="220" w:type="dxa"/>
            <w:vAlign w:val="bottom"/>
            <w:shd w:val="clear" w:color="auto" w:fill="248ED8"/>
          </w:tcPr>
          <w:p>
            <w:pPr>
              <w:spacing w:after="0"/>
              <w:rPr>
                <w:sz w:val="7"/>
                <w:szCs w:val="7"/>
                <w:color w:val="auto"/>
              </w:rPr>
            </w:pPr>
          </w:p>
        </w:tc>
        <w:tc>
          <w:tcPr>
            <w:tcW w:w="840" w:type="dxa"/>
            <w:vAlign w:val="bottom"/>
            <w:shd w:val="clear" w:color="auto" w:fill="248ED8"/>
          </w:tcPr>
          <w:p>
            <w:pPr>
              <w:spacing w:after="0"/>
              <w:rPr>
                <w:sz w:val="7"/>
                <w:szCs w:val="7"/>
                <w:color w:val="auto"/>
              </w:rPr>
            </w:pPr>
          </w:p>
        </w:tc>
        <w:tc>
          <w:tcPr>
            <w:tcW w:w="180" w:type="dxa"/>
            <w:vAlign w:val="bottom"/>
            <w:shd w:val="clear" w:color="auto" w:fill="248ED8"/>
          </w:tcPr>
          <w:p>
            <w:pPr>
              <w:spacing w:after="0"/>
              <w:rPr>
                <w:sz w:val="7"/>
                <w:szCs w:val="7"/>
                <w:color w:val="auto"/>
              </w:rPr>
            </w:pPr>
          </w:p>
        </w:tc>
        <w:tc>
          <w:tcPr>
            <w:tcW w:w="920" w:type="dxa"/>
            <w:vAlign w:val="bottom"/>
            <w:vMerge w:val="continue"/>
            <w:shd w:val="clear" w:color="auto" w:fill="248ED8"/>
          </w:tcPr>
          <w:p>
            <w:pPr>
              <w:spacing w:after="0"/>
              <w:rPr>
                <w:sz w:val="7"/>
                <w:szCs w:val="7"/>
                <w:color w:val="auto"/>
              </w:rPr>
            </w:pPr>
          </w:p>
        </w:tc>
        <w:tc>
          <w:tcPr>
            <w:tcW w:w="180" w:type="dxa"/>
            <w:vAlign w:val="bottom"/>
            <w:shd w:val="clear" w:color="auto" w:fill="248ED8"/>
          </w:tcPr>
          <w:p>
            <w:pPr>
              <w:spacing w:after="0"/>
              <w:rPr>
                <w:sz w:val="7"/>
                <w:szCs w:val="7"/>
                <w:color w:val="auto"/>
              </w:rPr>
            </w:pPr>
          </w:p>
        </w:tc>
        <w:tc>
          <w:tcPr>
            <w:tcW w:w="1140" w:type="dxa"/>
            <w:vAlign w:val="bottom"/>
            <w:vMerge w:val="continue"/>
            <w:shd w:val="clear" w:color="auto" w:fill="248ED8"/>
          </w:tcPr>
          <w:p>
            <w:pPr>
              <w:spacing w:after="0"/>
              <w:rPr>
                <w:sz w:val="7"/>
                <w:szCs w:val="7"/>
                <w:color w:val="auto"/>
              </w:rPr>
            </w:pPr>
          </w:p>
        </w:tc>
        <w:tc>
          <w:tcPr>
            <w:tcW w:w="140" w:type="dxa"/>
            <w:vAlign w:val="bottom"/>
            <w:tcBorders>
              <w:right w:val="single" w:sz="8" w:color="auto"/>
            </w:tcBorders>
            <w:shd w:val="clear" w:color="auto" w:fill="248ED8"/>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740" w:type="dxa"/>
            <w:vAlign w:val="bottom"/>
            <w:tcBorders>
              <w:left w:val="single" w:sz="8" w:color="auto"/>
            </w:tcBorders>
            <w:shd w:val="clear" w:color="auto" w:fill="248ED8"/>
          </w:tcPr>
          <w:p>
            <w:pPr>
              <w:ind w:left="60"/>
              <w:spacing w:after="0" w:line="158" w:lineRule="exact"/>
              <w:rPr>
                <w:sz w:val="20"/>
                <w:szCs w:val="20"/>
                <w:color w:val="auto"/>
              </w:rPr>
            </w:pPr>
            <w:r>
              <w:rPr>
                <w:rFonts w:ascii="Arial" w:cs="Arial" w:eastAsia="Arial" w:hAnsi="Arial"/>
                <w:sz w:val="14"/>
                <w:szCs w:val="14"/>
                <w:b w:val="1"/>
                <w:bCs w:val="1"/>
                <w:color w:val="FFFFFF"/>
              </w:rPr>
              <w:t>​NAME</w:t>
            </w:r>
          </w:p>
        </w:tc>
        <w:tc>
          <w:tcPr>
            <w:tcW w:w="1240" w:type="dxa"/>
            <w:vAlign w:val="bottom"/>
            <w:gridSpan w:val="3"/>
            <w:shd w:val="clear" w:color="auto" w:fill="248ED8"/>
          </w:tcPr>
          <w:p>
            <w:pPr>
              <w:ind w:left="40"/>
              <w:spacing w:after="0" w:line="158" w:lineRule="exact"/>
              <w:rPr>
                <w:sz w:val="20"/>
                <w:szCs w:val="20"/>
                <w:color w:val="auto"/>
              </w:rPr>
            </w:pPr>
            <w:r>
              <w:rPr>
                <w:rFonts w:ascii="Arial" w:cs="Arial" w:eastAsia="Arial" w:hAnsi="Arial"/>
                <w:sz w:val="14"/>
                <w:szCs w:val="14"/>
                <w:b w:val="1"/>
                <w:bCs w:val="1"/>
                <w:color w:val="FFFFFF"/>
              </w:rPr>
              <w:t>​ ​GRANT DATE ​</w:t>
            </w:r>
          </w:p>
        </w:tc>
        <w:tc>
          <w:tcPr>
            <w:tcW w:w="20" w:type="dxa"/>
            <w:vAlign w:val="bottom"/>
            <w:shd w:val="clear" w:color="auto" w:fill="248ED8"/>
          </w:tcPr>
          <w:p>
            <w:pPr>
              <w:spacing w:after="0"/>
              <w:rPr>
                <w:sz w:val="13"/>
                <w:szCs w:val="13"/>
                <w:color w:val="auto"/>
              </w:rPr>
            </w:pPr>
          </w:p>
        </w:tc>
        <w:tc>
          <w:tcPr>
            <w:tcW w:w="1060" w:type="dxa"/>
            <w:vAlign w:val="bottom"/>
            <w:vMerge w:val="continue"/>
            <w:shd w:val="clear" w:color="auto" w:fill="248ED8"/>
          </w:tcPr>
          <w:p>
            <w:pPr>
              <w:spacing w:after="0"/>
              <w:rPr>
                <w:sz w:val="13"/>
                <w:szCs w:val="13"/>
                <w:color w:val="auto"/>
              </w:rPr>
            </w:pPr>
          </w:p>
        </w:tc>
        <w:tc>
          <w:tcPr>
            <w:tcW w:w="200" w:type="dxa"/>
            <w:vAlign w:val="bottom"/>
            <w:vMerge w:val="restart"/>
            <w:shd w:val="clear" w:color="auto" w:fill="248ED8"/>
          </w:tcPr>
          <w:p>
            <w:pPr>
              <w:ind w:left="40"/>
              <w:spacing w:after="0"/>
              <w:rPr>
                <w:sz w:val="20"/>
                <w:szCs w:val="20"/>
                <w:color w:val="auto"/>
              </w:rPr>
            </w:pPr>
            <w:r>
              <w:rPr>
                <w:rFonts w:ascii="Arial" w:cs="Arial" w:eastAsia="Arial" w:hAnsi="Arial"/>
                <w:sz w:val="14"/>
                <w:szCs w:val="14"/>
                <w:b w:val="1"/>
                <w:bCs w:val="1"/>
                <w:color w:val="FFFFFF"/>
              </w:rPr>
              <w:t>​ ​</w:t>
            </w:r>
          </w:p>
        </w:tc>
        <w:tc>
          <w:tcPr>
            <w:tcW w:w="1240" w:type="dxa"/>
            <w:vAlign w:val="bottom"/>
            <w:vMerge w:val="continue"/>
            <w:shd w:val="clear" w:color="auto" w:fill="248ED8"/>
          </w:tcPr>
          <w:p>
            <w:pPr>
              <w:spacing w:after="0"/>
              <w:rPr>
                <w:sz w:val="13"/>
                <w:szCs w:val="13"/>
                <w:color w:val="auto"/>
              </w:rPr>
            </w:pPr>
          </w:p>
        </w:tc>
        <w:tc>
          <w:tcPr>
            <w:tcW w:w="160" w:type="dxa"/>
            <w:vAlign w:val="bottom"/>
            <w:shd w:val="clear" w:color="auto" w:fill="248ED8"/>
          </w:tcPr>
          <w:p>
            <w:pPr>
              <w:spacing w:after="0"/>
              <w:rPr>
                <w:sz w:val="13"/>
                <w:szCs w:val="13"/>
                <w:color w:val="auto"/>
              </w:rPr>
            </w:pPr>
          </w:p>
        </w:tc>
        <w:tc>
          <w:tcPr>
            <w:tcW w:w="720" w:type="dxa"/>
            <w:vAlign w:val="bottom"/>
            <w:shd w:val="clear" w:color="auto" w:fill="248ED8"/>
          </w:tcPr>
          <w:p>
            <w:pPr>
              <w:jc w:val="center"/>
              <w:ind w:right="8"/>
              <w:spacing w:after="0" w:line="158" w:lineRule="exact"/>
              <w:rPr>
                <w:sz w:val="20"/>
                <w:szCs w:val="20"/>
                <w:color w:val="auto"/>
              </w:rPr>
            </w:pPr>
            <w:r>
              <w:rPr>
                <w:rFonts w:ascii="Arial" w:cs="Arial" w:eastAsia="Arial" w:hAnsi="Arial"/>
                <w:sz w:val="14"/>
                <w:szCs w:val="14"/>
                <w:b w:val="1"/>
                <w:bCs w:val="1"/>
                <w:color w:val="FFFFFF"/>
              </w:rPr>
              <w:t>OPTION</w:t>
            </w:r>
          </w:p>
        </w:tc>
        <w:tc>
          <w:tcPr>
            <w:tcW w:w="220" w:type="dxa"/>
            <w:vAlign w:val="bottom"/>
            <w:shd w:val="clear" w:color="auto" w:fill="248ED8"/>
          </w:tcPr>
          <w:p>
            <w:pPr>
              <w:spacing w:after="0"/>
              <w:rPr>
                <w:sz w:val="13"/>
                <w:szCs w:val="13"/>
                <w:color w:val="auto"/>
              </w:rPr>
            </w:pPr>
          </w:p>
        </w:tc>
        <w:tc>
          <w:tcPr>
            <w:tcW w:w="840" w:type="dxa"/>
            <w:vAlign w:val="bottom"/>
            <w:shd w:val="clear" w:color="auto" w:fill="248ED8"/>
          </w:tcPr>
          <w:p>
            <w:pPr>
              <w:jc w:val="center"/>
              <w:ind w:right="48"/>
              <w:spacing w:after="0" w:line="158" w:lineRule="exact"/>
              <w:rPr>
                <w:sz w:val="20"/>
                <w:szCs w:val="20"/>
                <w:color w:val="auto"/>
              </w:rPr>
            </w:pPr>
            <w:r>
              <w:rPr>
                <w:rFonts w:ascii="Arial" w:cs="Arial" w:eastAsia="Arial" w:hAnsi="Arial"/>
                <w:sz w:val="14"/>
                <w:szCs w:val="14"/>
                <w:b w:val="1"/>
                <w:bCs w:val="1"/>
                <w:color w:val="FFFFFF"/>
              </w:rPr>
              <w:t>OPTION</w:t>
            </w:r>
          </w:p>
        </w:tc>
        <w:tc>
          <w:tcPr>
            <w:tcW w:w="180" w:type="dxa"/>
            <w:vAlign w:val="bottom"/>
            <w:shd w:val="clear" w:color="auto" w:fill="248ED8"/>
          </w:tcPr>
          <w:p>
            <w:pPr>
              <w:spacing w:after="0"/>
              <w:rPr>
                <w:sz w:val="13"/>
                <w:szCs w:val="13"/>
                <w:color w:val="auto"/>
              </w:rPr>
            </w:pPr>
          </w:p>
        </w:tc>
        <w:tc>
          <w:tcPr>
            <w:tcW w:w="920" w:type="dxa"/>
            <w:vAlign w:val="bottom"/>
            <w:shd w:val="clear" w:color="auto" w:fill="248ED8"/>
          </w:tcPr>
          <w:p>
            <w:pPr>
              <w:jc w:val="center"/>
              <w:spacing w:after="0" w:line="158" w:lineRule="exact"/>
              <w:rPr>
                <w:sz w:val="20"/>
                <w:szCs w:val="20"/>
                <w:color w:val="auto"/>
              </w:rPr>
            </w:pPr>
            <w:r>
              <w:rPr>
                <w:rFonts w:ascii="Arial" w:cs="Arial" w:eastAsia="Arial" w:hAnsi="Arial"/>
                <w:sz w:val="14"/>
                <w:szCs w:val="14"/>
                <w:b w:val="1"/>
                <w:bCs w:val="1"/>
                <w:color w:val="FFFFFF"/>
              </w:rPr>
              <w:t>UNITS OF</w:t>
            </w:r>
          </w:p>
        </w:tc>
        <w:tc>
          <w:tcPr>
            <w:tcW w:w="180" w:type="dxa"/>
            <w:vAlign w:val="bottom"/>
            <w:shd w:val="clear" w:color="auto" w:fill="248ED8"/>
          </w:tcPr>
          <w:p>
            <w:pPr>
              <w:spacing w:after="0"/>
              <w:rPr>
                <w:sz w:val="13"/>
                <w:szCs w:val="13"/>
                <w:color w:val="auto"/>
              </w:rPr>
            </w:pPr>
          </w:p>
        </w:tc>
        <w:tc>
          <w:tcPr>
            <w:tcW w:w="1140" w:type="dxa"/>
            <w:vAlign w:val="bottom"/>
            <w:shd w:val="clear" w:color="auto" w:fill="248ED8"/>
          </w:tcPr>
          <w:p>
            <w:pPr>
              <w:jc w:val="center"/>
              <w:spacing w:after="0" w:line="158" w:lineRule="exact"/>
              <w:rPr>
                <w:sz w:val="20"/>
                <w:szCs w:val="20"/>
                <w:color w:val="auto"/>
              </w:rPr>
            </w:pPr>
            <w:r>
              <w:rPr>
                <w:rFonts w:ascii="Arial" w:cs="Arial" w:eastAsia="Arial" w:hAnsi="Arial"/>
                <w:sz w:val="14"/>
                <w:szCs w:val="14"/>
                <w:b w:val="1"/>
                <w:bCs w:val="1"/>
                <w:color w:val="FFFFFF"/>
              </w:rPr>
              <w:t>OR UNITS OF</w:t>
            </w:r>
          </w:p>
        </w:tc>
        <w:tc>
          <w:tcPr>
            <w:tcW w:w="140" w:type="dxa"/>
            <w:vAlign w:val="bottom"/>
            <w:tcBorders>
              <w:right w:val="single" w:sz="8" w:color="auto"/>
            </w:tcBorders>
            <w:vMerge w:val="restart"/>
            <w:shd w:val="clear" w:color="auto" w:fill="248ED8"/>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48"/>
        </w:trPr>
        <w:tc>
          <w:tcPr>
            <w:tcW w:w="740" w:type="dxa"/>
            <w:vAlign w:val="bottom"/>
            <w:tcBorders>
              <w:left w:val="single" w:sz="8" w:color="auto"/>
            </w:tcBorders>
            <w:shd w:val="clear" w:color="auto" w:fill="248ED8"/>
          </w:tcPr>
          <w:p>
            <w:pPr>
              <w:spacing w:after="0"/>
              <w:rPr>
                <w:sz w:val="12"/>
                <w:szCs w:val="12"/>
                <w:color w:val="auto"/>
              </w:rPr>
            </w:pPr>
          </w:p>
        </w:tc>
        <w:tc>
          <w:tcPr>
            <w:tcW w:w="1080" w:type="dxa"/>
            <w:vAlign w:val="bottom"/>
            <w:shd w:val="clear" w:color="auto" w:fill="248ED8"/>
          </w:tcPr>
          <w:p>
            <w:pPr>
              <w:spacing w:after="0"/>
              <w:rPr>
                <w:sz w:val="12"/>
                <w:szCs w:val="12"/>
                <w:color w:val="auto"/>
              </w:rPr>
            </w:pPr>
          </w:p>
        </w:tc>
        <w:tc>
          <w:tcPr>
            <w:tcW w:w="100" w:type="dxa"/>
            <w:vAlign w:val="bottom"/>
            <w:shd w:val="clear" w:color="auto" w:fill="248ED8"/>
          </w:tcPr>
          <w:p>
            <w:pPr>
              <w:spacing w:after="0"/>
              <w:rPr>
                <w:sz w:val="12"/>
                <w:szCs w:val="12"/>
                <w:color w:val="auto"/>
              </w:rPr>
            </w:pPr>
          </w:p>
        </w:tc>
        <w:tc>
          <w:tcPr>
            <w:tcW w:w="60" w:type="dxa"/>
            <w:vAlign w:val="bottom"/>
            <w:shd w:val="clear" w:color="auto" w:fill="248ED8"/>
          </w:tcPr>
          <w:p>
            <w:pPr>
              <w:ind w:left="20"/>
              <w:spacing w:after="0" w:line="149" w:lineRule="exact"/>
              <w:rPr>
                <w:sz w:val="20"/>
                <w:szCs w:val="20"/>
                <w:color w:val="auto"/>
              </w:rPr>
            </w:pPr>
            <w:r>
              <w:rPr>
                <w:rFonts w:ascii="Arial" w:cs="Arial" w:eastAsia="Arial" w:hAnsi="Arial"/>
                <w:sz w:val="14"/>
                <w:szCs w:val="14"/>
                <w:b w:val="1"/>
                <w:bCs w:val="1"/>
                <w:color w:val="FFFFFF"/>
              </w:rPr>
              <w:t>​</w:t>
            </w:r>
          </w:p>
        </w:tc>
        <w:tc>
          <w:tcPr>
            <w:tcW w:w="20" w:type="dxa"/>
            <w:vAlign w:val="bottom"/>
            <w:shd w:val="clear" w:color="auto" w:fill="248ED8"/>
          </w:tcPr>
          <w:p>
            <w:pPr>
              <w:spacing w:after="0"/>
              <w:rPr>
                <w:sz w:val="12"/>
                <w:szCs w:val="12"/>
                <w:color w:val="auto"/>
              </w:rPr>
            </w:pPr>
          </w:p>
        </w:tc>
        <w:tc>
          <w:tcPr>
            <w:tcW w:w="1060" w:type="dxa"/>
            <w:vAlign w:val="bottom"/>
            <w:shd w:val="clear" w:color="auto" w:fill="248ED8"/>
          </w:tcPr>
          <w:p>
            <w:pPr>
              <w:jc w:val="center"/>
              <w:spacing w:after="0" w:line="149" w:lineRule="exact"/>
              <w:rPr>
                <w:sz w:val="20"/>
                <w:szCs w:val="20"/>
                <w:color w:val="auto"/>
              </w:rPr>
            </w:pPr>
            <w:r>
              <w:rPr>
                <w:rFonts w:ascii="Arial" w:cs="Arial" w:eastAsia="Arial" w:hAnsi="Arial"/>
                <w:sz w:val="14"/>
                <w:szCs w:val="14"/>
                <w:b w:val="1"/>
                <w:bCs w:val="1"/>
                <w:color w:val="FFFFFF"/>
                <w:w w:val="99"/>
              </w:rPr>
              <w:t>UNDERLYING</w:t>
            </w:r>
          </w:p>
        </w:tc>
        <w:tc>
          <w:tcPr>
            <w:tcW w:w="200" w:type="dxa"/>
            <w:vAlign w:val="bottom"/>
            <w:vMerge w:val="continue"/>
            <w:shd w:val="clear" w:color="auto" w:fill="248ED8"/>
          </w:tcPr>
          <w:p>
            <w:pPr>
              <w:spacing w:after="0"/>
              <w:rPr>
                <w:sz w:val="12"/>
                <w:szCs w:val="12"/>
                <w:color w:val="auto"/>
              </w:rPr>
            </w:pPr>
          </w:p>
        </w:tc>
        <w:tc>
          <w:tcPr>
            <w:tcW w:w="1240" w:type="dxa"/>
            <w:vAlign w:val="bottom"/>
            <w:shd w:val="clear" w:color="auto" w:fill="248ED8"/>
          </w:tcPr>
          <w:p>
            <w:pPr>
              <w:jc w:val="center"/>
              <w:ind w:right="49"/>
              <w:spacing w:after="0" w:line="149" w:lineRule="exact"/>
              <w:rPr>
                <w:sz w:val="20"/>
                <w:szCs w:val="20"/>
                <w:color w:val="auto"/>
              </w:rPr>
            </w:pPr>
            <w:r>
              <w:rPr>
                <w:rFonts w:ascii="Arial" w:cs="Arial" w:eastAsia="Arial" w:hAnsi="Arial"/>
                <w:sz w:val="14"/>
                <w:szCs w:val="14"/>
                <w:b w:val="1"/>
                <w:bCs w:val="1"/>
                <w:color w:val="FFFFFF"/>
                <w:w w:val="99"/>
              </w:rPr>
              <w:t>UNDERLYING</w:t>
            </w:r>
          </w:p>
        </w:tc>
        <w:tc>
          <w:tcPr>
            <w:tcW w:w="1940" w:type="dxa"/>
            <w:vAlign w:val="bottom"/>
            <w:gridSpan w:val="4"/>
            <w:shd w:val="clear" w:color="auto" w:fill="248ED8"/>
          </w:tcPr>
          <w:p>
            <w:pPr>
              <w:ind w:left="20"/>
              <w:spacing w:after="0" w:line="149" w:lineRule="exact"/>
              <w:rPr>
                <w:sz w:val="20"/>
                <w:szCs w:val="20"/>
                <w:color w:val="auto"/>
              </w:rPr>
            </w:pPr>
            <w:r>
              <w:rPr>
                <w:rFonts w:ascii="Arial" w:cs="Arial" w:eastAsia="Arial" w:hAnsi="Arial"/>
                <w:sz w:val="14"/>
                <w:szCs w:val="14"/>
                <w:b w:val="1"/>
                <w:bCs w:val="1"/>
                <w:color w:val="FFFFFF"/>
              </w:rPr>
              <w:t>​ ​EXERCISE ​ ​EXPIRATION</w:t>
            </w:r>
          </w:p>
        </w:tc>
        <w:tc>
          <w:tcPr>
            <w:tcW w:w="1280" w:type="dxa"/>
            <w:vAlign w:val="bottom"/>
            <w:gridSpan w:val="3"/>
            <w:shd w:val="clear" w:color="auto" w:fill="248ED8"/>
          </w:tcPr>
          <w:p>
            <w:pPr>
              <w:ind w:left="40"/>
              <w:spacing w:after="0" w:line="149" w:lineRule="exact"/>
              <w:rPr>
                <w:sz w:val="20"/>
                <w:szCs w:val="20"/>
                <w:color w:val="auto"/>
              </w:rPr>
            </w:pPr>
            <w:r>
              <w:rPr>
                <w:rFonts w:ascii="Arial" w:cs="Arial" w:eastAsia="Arial" w:hAnsi="Arial"/>
                <w:sz w:val="14"/>
                <w:szCs w:val="14"/>
                <w:b w:val="1"/>
                <w:bCs w:val="1"/>
                <w:color w:val="FFFFFF"/>
              </w:rPr>
              <w:t>​ ​STOCK THAT ​ ​</w:t>
            </w:r>
          </w:p>
        </w:tc>
        <w:tc>
          <w:tcPr>
            <w:tcW w:w="1140" w:type="dxa"/>
            <w:vAlign w:val="bottom"/>
            <w:shd w:val="clear" w:color="auto" w:fill="248ED8"/>
          </w:tcPr>
          <w:p>
            <w:pPr>
              <w:jc w:val="center"/>
              <w:spacing w:after="0" w:line="149" w:lineRule="exact"/>
              <w:rPr>
                <w:sz w:val="20"/>
                <w:szCs w:val="20"/>
                <w:color w:val="auto"/>
              </w:rPr>
            </w:pPr>
            <w:r>
              <w:rPr>
                <w:rFonts w:ascii="Arial" w:cs="Arial" w:eastAsia="Arial" w:hAnsi="Arial"/>
                <w:sz w:val="14"/>
                <w:szCs w:val="14"/>
                <w:b w:val="1"/>
                <w:bCs w:val="1"/>
                <w:color w:val="FFFFFF"/>
                <w:w w:val="99"/>
              </w:rPr>
              <w:t>STOCK THAT</w:t>
            </w:r>
          </w:p>
        </w:tc>
        <w:tc>
          <w:tcPr>
            <w:tcW w:w="140" w:type="dxa"/>
            <w:vAlign w:val="bottom"/>
            <w:tcBorders>
              <w:right w:val="single" w:sz="8" w:color="auto"/>
            </w:tcBorders>
            <w:vMerge w:val="continue"/>
            <w:shd w:val="clear" w:color="auto" w:fill="248ED8"/>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40" w:type="dxa"/>
            <w:vAlign w:val="bottom"/>
            <w:tcBorders>
              <w:left w:val="single" w:sz="8" w:color="auto"/>
            </w:tcBorders>
            <w:shd w:val="clear" w:color="auto" w:fill="248ED8"/>
          </w:tcPr>
          <w:p>
            <w:pPr>
              <w:spacing w:after="0"/>
              <w:rPr>
                <w:sz w:val="8"/>
                <w:szCs w:val="8"/>
                <w:color w:val="auto"/>
              </w:rPr>
            </w:pPr>
          </w:p>
        </w:tc>
        <w:tc>
          <w:tcPr>
            <w:tcW w:w="1080" w:type="dxa"/>
            <w:vAlign w:val="bottom"/>
            <w:shd w:val="clear" w:color="auto" w:fill="248ED8"/>
          </w:tcPr>
          <w:p>
            <w:pPr>
              <w:spacing w:after="0"/>
              <w:rPr>
                <w:sz w:val="8"/>
                <w:szCs w:val="8"/>
                <w:color w:val="auto"/>
              </w:rPr>
            </w:pPr>
          </w:p>
        </w:tc>
        <w:tc>
          <w:tcPr>
            <w:tcW w:w="100" w:type="dxa"/>
            <w:vAlign w:val="bottom"/>
            <w:shd w:val="clear" w:color="auto" w:fill="248ED8"/>
          </w:tcPr>
          <w:p>
            <w:pPr>
              <w:spacing w:after="0"/>
              <w:rPr>
                <w:sz w:val="8"/>
                <w:szCs w:val="8"/>
                <w:color w:val="auto"/>
              </w:rPr>
            </w:pPr>
          </w:p>
        </w:tc>
        <w:tc>
          <w:tcPr>
            <w:tcW w:w="60" w:type="dxa"/>
            <w:vAlign w:val="bottom"/>
            <w:shd w:val="clear" w:color="auto" w:fill="248ED8"/>
          </w:tcPr>
          <w:p>
            <w:pPr>
              <w:spacing w:after="0"/>
              <w:rPr>
                <w:sz w:val="8"/>
                <w:szCs w:val="8"/>
                <w:color w:val="auto"/>
              </w:rPr>
            </w:pPr>
          </w:p>
        </w:tc>
        <w:tc>
          <w:tcPr>
            <w:tcW w:w="1080" w:type="dxa"/>
            <w:vAlign w:val="bottom"/>
            <w:gridSpan w:val="2"/>
            <w:shd w:val="clear" w:color="auto" w:fill="248ED8"/>
          </w:tcPr>
          <w:p>
            <w:pPr>
              <w:jc w:val="center"/>
              <w:spacing w:after="0" w:line="99" w:lineRule="exact"/>
              <w:rPr>
                <w:sz w:val="20"/>
                <w:szCs w:val="20"/>
                <w:color w:val="auto"/>
              </w:rPr>
            </w:pPr>
            <w:r>
              <w:rPr>
                <w:rFonts w:ascii="Arial" w:cs="Arial" w:eastAsia="Arial" w:hAnsi="Arial"/>
                <w:sz w:val="11"/>
                <w:szCs w:val="11"/>
                <w:b w:val="1"/>
                <w:bCs w:val="1"/>
                <w:color w:val="FFFFFF"/>
              </w:rPr>
              <w:t>UNEXERCISED</w:t>
            </w:r>
          </w:p>
        </w:tc>
        <w:tc>
          <w:tcPr>
            <w:tcW w:w="200" w:type="dxa"/>
            <w:vAlign w:val="bottom"/>
            <w:shd w:val="clear" w:color="auto" w:fill="248ED8"/>
          </w:tcPr>
          <w:p>
            <w:pPr>
              <w:spacing w:after="0"/>
              <w:rPr>
                <w:sz w:val="8"/>
                <w:szCs w:val="8"/>
                <w:color w:val="auto"/>
              </w:rPr>
            </w:pPr>
          </w:p>
        </w:tc>
        <w:tc>
          <w:tcPr>
            <w:tcW w:w="1240" w:type="dxa"/>
            <w:vAlign w:val="bottom"/>
            <w:shd w:val="clear" w:color="auto" w:fill="248ED8"/>
          </w:tcPr>
          <w:p>
            <w:pPr>
              <w:jc w:val="center"/>
              <w:ind w:right="49"/>
              <w:spacing w:after="0" w:line="99" w:lineRule="exact"/>
              <w:rPr>
                <w:sz w:val="20"/>
                <w:szCs w:val="20"/>
                <w:color w:val="auto"/>
              </w:rPr>
            </w:pPr>
            <w:r>
              <w:rPr>
                <w:rFonts w:ascii="Arial" w:cs="Arial" w:eastAsia="Arial" w:hAnsi="Arial"/>
                <w:sz w:val="11"/>
                <w:szCs w:val="11"/>
                <w:b w:val="1"/>
                <w:bCs w:val="1"/>
                <w:color w:val="FFFFFF"/>
              </w:rPr>
              <w:t>UNEXERCISED</w:t>
            </w:r>
          </w:p>
        </w:tc>
        <w:tc>
          <w:tcPr>
            <w:tcW w:w="160" w:type="dxa"/>
            <w:vAlign w:val="bottom"/>
            <w:shd w:val="clear" w:color="auto" w:fill="248ED8"/>
          </w:tcPr>
          <w:p>
            <w:pPr>
              <w:spacing w:after="0"/>
              <w:rPr>
                <w:sz w:val="8"/>
                <w:szCs w:val="8"/>
                <w:color w:val="auto"/>
              </w:rPr>
            </w:pPr>
          </w:p>
        </w:tc>
        <w:tc>
          <w:tcPr>
            <w:tcW w:w="72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rPr>
              <w:t>PRICE ($)</w:t>
            </w:r>
          </w:p>
        </w:tc>
        <w:tc>
          <w:tcPr>
            <w:tcW w:w="220" w:type="dxa"/>
            <w:vAlign w:val="bottom"/>
            <w:shd w:val="clear" w:color="auto" w:fill="248ED8"/>
          </w:tcPr>
          <w:p>
            <w:pPr>
              <w:spacing w:after="0"/>
              <w:rPr>
                <w:sz w:val="8"/>
                <w:szCs w:val="8"/>
                <w:color w:val="auto"/>
              </w:rPr>
            </w:pPr>
          </w:p>
        </w:tc>
        <w:tc>
          <w:tcPr>
            <w:tcW w:w="840" w:type="dxa"/>
            <w:vAlign w:val="bottom"/>
            <w:vMerge w:val="restart"/>
            <w:shd w:val="clear" w:color="auto" w:fill="248ED8"/>
          </w:tcPr>
          <w:p>
            <w:pPr>
              <w:jc w:val="center"/>
              <w:ind w:right="28"/>
              <w:spacing w:after="0"/>
              <w:rPr>
                <w:sz w:val="20"/>
                <w:szCs w:val="20"/>
                <w:color w:val="auto"/>
              </w:rPr>
            </w:pPr>
            <w:r>
              <w:rPr>
                <w:rFonts w:ascii="Arial" w:cs="Arial" w:eastAsia="Arial" w:hAnsi="Arial"/>
                <w:sz w:val="14"/>
                <w:szCs w:val="14"/>
                <w:b w:val="1"/>
                <w:bCs w:val="1"/>
                <w:color w:val="FFFFFF"/>
                <w:w w:val="99"/>
              </w:rPr>
              <w:t>DATE</w:t>
            </w:r>
          </w:p>
        </w:tc>
        <w:tc>
          <w:tcPr>
            <w:tcW w:w="180" w:type="dxa"/>
            <w:vAlign w:val="bottom"/>
            <w:shd w:val="clear" w:color="auto" w:fill="248ED8"/>
          </w:tcPr>
          <w:p>
            <w:pPr>
              <w:spacing w:after="0"/>
              <w:rPr>
                <w:sz w:val="8"/>
                <w:szCs w:val="8"/>
                <w:color w:val="auto"/>
              </w:rPr>
            </w:pPr>
          </w:p>
        </w:tc>
        <w:tc>
          <w:tcPr>
            <w:tcW w:w="92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w w:val="99"/>
              </w:rPr>
              <w:t>HAVE NOT</w:t>
            </w:r>
          </w:p>
        </w:tc>
        <w:tc>
          <w:tcPr>
            <w:tcW w:w="180" w:type="dxa"/>
            <w:vAlign w:val="bottom"/>
            <w:shd w:val="clear" w:color="auto" w:fill="248ED8"/>
          </w:tcPr>
          <w:p>
            <w:pPr>
              <w:spacing w:after="0"/>
              <w:rPr>
                <w:sz w:val="8"/>
                <w:szCs w:val="8"/>
                <w:color w:val="auto"/>
              </w:rPr>
            </w:pPr>
          </w:p>
        </w:tc>
        <w:tc>
          <w:tcPr>
            <w:tcW w:w="114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rPr>
              <w:t>HAVE NOT</w:t>
            </w:r>
          </w:p>
        </w:tc>
        <w:tc>
          <w:tcPr>
            <w:tcW w:w="140" w:type="dxa"/>
            <w:vAlign w:val="bottom"/>
            <w:tcBorders>
              <w:right w:val="single" w:sz="8" w:color="auto"/>
            </w:tcBorders>
            <w:shd w:val="clear" w:color="auto" w:fill="248ED8"/>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40" w:type="dxa"/>
            <w:vAlign w:val="bottom"/>
            <w:tcBorders>
              <w:left w:val="single" w:sz="8" w:color="auto"/>
            </w:tcBorders>
            <w:shd w:val="clear" w:color="auto" w:fill="248ED8"/>
          </w:tcPr>
          <w:p>
            <w:pPr>
              <w:spacing w:after="0"/>
              <w:rPr>
                <w:sz w:val="7"/>
                <w:szCs w:val="7"/>
                <w:color w:val="auto"/>
              </w:rPr>
            </w:pPr>
          </w:p>
        </w:tc>
        <w:tc>
          <w:tcPr>
            <w:tcW w:w="1080" w:type="dxa"/>
            <w:vAlign w:val="bottom"/>
            <w:shd w:val="clear" w:color="auto" w:fill="248ED8"/>
          </w:tcPr>
          <w:p>
            <w:pPr>
              <w:spacing w:after="0"/>
              <w:rPr>
                <w:sz w:val="7"/>
                <w:szCs w:val="7"/>
                <w:color w:val="auto"/>
              </w:rPr>
            </w:pPr>
          </w:p>
        </w:tc>
        <w:tc>
          <w:tcPr>
            <w:tcW w:w="100" w:type="dxa"/>
            <w:vAlign w:val="bottom"/>
            <w:shd w:val="clear" w:color="auto" w:fill="248ED8"/>
          </w:tcPr>
          <w:p>
            <w:pPr>
              <w:spacing w:after="0"/>
              <w:rPr>
                <w:sz w:val="7"/>
                <w:szCs w:val="7"/>
                <w:color w:val="auto"/>
              </w:rPr>
            </w:pPr>
          </w:p>
        </w:tc>
        <w:tc>
          <w:tcPr>
            <w:tcW w:w="60" w:type="dxa"/>
            <w:vAlign w:val="bottom"/>
            <w:shd w:val="clear" w:color="auto" w:fill="248ED8"/>
          </w:tcPr>
          <w:p>
            <w:pPr>
              <w:spacing w:after="0"/>
              <w:rPr>
                <w:sz w:val="7"/>
                <w:szCs w:val="7"/>
                <w:color w:val="auto"/>
              </w:rPr>
            </w:pPr>
          </w:p>
        </w:tc>
        <w:tc>
          <w:tcPr>
            <w:tcW w:w="20" w:type="dxa"/>
            <w:vAlign w:val="bottom"/>
            <w:shd w:val="clear" w:color="auto" w:fill="248ED8"/>
          </w:tcPr>
          <w:p>
            <w:pPr>
              <w:spacing w:after="0"/>
              <w:rPr>
                <w:sz w:val="7"/>
                <w:szCs w:val="7"/>
                <w:color w:val="auto"/>
              </w:rPr>
            </w:pPr>
          </w:p>
        </w:tc>
        <w:tc>
          <w:tcPr>
            <w:tcW w:w="106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rPr>
              <w:t>OPTIONS (#)</w:t>
            </w:r>
          </w:p>
        </w:tc>
        <w:tc>
          <w:tcPr>
            <w:tcW w:w="200" w:type="dxa"/>
            <w:vAlign w:val="bottom"/>
            <w:shd w:val="clear" w:color="auto" w:fill="248ED8"/>
          </w:tcPr>
          <w:p>
            <w:pPr>
              <w:spacing w:after="0"/>
              <w:rPr>
                <w:sz w:val="7"/>
                <w:szCs w:val="7"/>
                <w:color w:val="auto"/>
              </w:rPr>
            </w:pPr>
          </w:p>
        </w:tc>
        <w:tc>
          <w:tcPr>
            <w:tcW w:w="1240" w:type="dxa"/>
            <w:vAlign w:val="bottom"/>
            <w:vMerge w:val="restart"/>
            <w:shd w:val="clear" w:color="auto" w:fill="248ED8"/>
          </w:tcPr>
          <w:p>
            <w:pPr>
              <w:jc w:val="center"/>
              <w:ind w:right="69"/>
              <w:spacing w:after="0"/>
              <w:rPr>
                <w:sz w:val="20"/>
                <w:szCs w:val="20"/>
                <w:color w:val="auto"/>
              </w:rPr>
            </w:pPr>
            <w:r>
              <w:rPr>
                <w:rFonts w:ascii="Arial" w:cs="Arial" w:eastAsia="Arial" w:hAnsi="Arial"/>
                <w:sz w:val="14"/>
                <w:szCs w:val="14"/>
                <w:b w:val="1"/>
                <w:bCs w:val="1"/>
                <w:color w:val="FFFFFF"/>
              </w:rPr>
              <w:t>OPTIONS (#)</w:t>
            </w:r>
          </w:p>
        </w:tc>
        <w:tc>
          <w:tcPr>
            <w:tcW w:w="160" w:type="dxa"/>
            <w:vAlign w:val="bottom"/>
            <w:shd w:val="clear" w:color="auto" w:fill="248ED8"/>
          </w:tcPr>
          <w:p>
            <w:pPr>
              <w:spacing w:after="0"/>
              <w:rPr>
                <w:sz w:val="7"/>
                <w:szCs w:val="7"/>
                <w:color w:val="auto"/>
              </w:rPr>
            </w:pPr>
          </w:p>
        </w:tc>
        <w:tc>
          <w:tcPr>
            <w:tcW w:w="720" w:type="dxa"/>
            <w:vAlign w:val="bottom"/>
            <w:vMerge w:val="continue"/>
            <w:shd w:val="clear" w:color="auto" w:fill="248ED8"/>
          </w:tcPr>
          <w:p>
            <w:pPr>
              <w:spacing w:after="0"/>
              <w:rPr>
                <w:sz w:val="7"/>
                <w:szCs w:val="7"/>
                <w:color w:val="auto"/>
              </w:rPr>
            </w:pPr>
          </w:p>
        </w:tc>
        <w:tc>
          <w:tcPr>
            <w:tcW w:w="220" w:type="dxa"/>
            <w:vAlign w:val="bottom"/>
            <w:shd w:val="clear" w:color="auto" w:fill="248ED8"/>
          </w:tcPr>
          <w:p>
            <w:pPr>
              <w:spacing w:after="0"/>
              <w:rPr>
                <w:sz w:val="7"/>
                <w:szCs w:val="7"/>
                <w:color w:val="auto"/>
              </w:rPr>
            </w:pPr>
          </w:p>
        </w:tc>
        <w:tc>
          <w:tcPr>
            <w:tcW w:w="840" w:type="dxa"/>
            <w:vAlign w:val="bottom"/>
            <w:vMerge w:val="continue"/>
            <w:shd w:val="clear" w:color="auto" w:fill="248ED8"/>
          </w:tcPr>
          <w:p>
            <w:pPr>
              <w:spacing w:after="0"/>
              <w:rPr>
                <w:sz w:val="7"/>
                <w:szCs w:val="7"/>
                <w:color w:val="auto"/>
              </w:rPr>
            </w:pPr>
          </w:p>
        </w:tc>
        <w:tc>
          <w:tcPr>
            <w:tcW w:w="180" w:type="dxa"/>
            <w:vAlign w:val="bottom"/>
            <w:shd w:val="clear" w:color="auto" w:fill="248ED8"/>
          </w:tcPr>
          <w:p>
            <w:pPr>
              <w:spacing w:after="0"/>
              <w:rPr>
                <w:sz w:val="7"/>
                <w:szCs w:val="7"/>
                <w:color w:val="auto"/>
              </w:rPr>
            </w:pPr>
          </w:p>
        </w:tc>
        <w:tc>
          <w:tcPr>
            <w:tcW w:w="920" w:type="dxa"/>
            <w:vAlign w:val="bottom"/>
            <w:vMerge w:val="continue"/>
            <w:shd w:val="clear" w:color="auto" w:fill="248ED8"/>
          </w:tcPr>
          <w:p>
            <w:pPr>
              <w:spacing w:after="0"/>
              <w:rPr>
                <w:sz w:val="7"/>
                <w:szCs w:val="7"/>
                <w:color w:val="auto"/>
              </w:rPr>
            </w:pPr>
          </w:p>
        </w:tc>
        <w:tc>
          <w:tcPr>
            <w:tcW w:w="180" w:type="dxa"/>
            <w:vAlign w:val="bottom"/>
            <w:shd w:val="clear" w:color="auto" w:fill="248ED8"/>
          </w:tcPr>
          <w:p>
            <w:pPr>
              <w:spacing w:after="0"/>
              <w:rPr>
                <w:sz w:val="7"/>
                <w:szCs w:val="7"/>
                <w:color w:val="auto"/>
              </w:rPr>
            </w:pPr>
          </w:p>
        </w:tc>
        <w:tc>
          <w:tcPr>
            <w:tcW w:w="1140" w:type="dxa"/>
            <w:vAlign w:val="bottom"/>
            <w:vMerge w:val="continue"/>
            <w:shd w:val="clear" w:color="auto" w:fill="248ED8"/>
          </w:tcPr>
          <w:p>
            <w:pPr>
              <w:spacing w:after="0"/>
              <w:rPr>
                <w:sz w:val="7"/>
                <w:szCs w:val="7"/>
                <w:color w:val="auto"/>
              </w:rPr>
            </w:pPr>
          </w:p>
        </w:tc>
        <w:tc>
          <w:tcPr>
            <w:tcW w:w="140" w:type="dxa"/>
            <w:vAlign w:val="bottom"/>
            <w:tcBorders>
              <w:right w:val="single" w:sz="8" w:color="auto"/>
            </w:tcBorders>
            <w:shd w:val="clear" w:color="auto" w:fill="248ED8"/>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40" w:type="dxa"/>
            <w:vAlign w:val="bottom"/>
            <w:tcBorders>
              <w:left w:val="single" w:sz="8" w:color="auto"/>
            </w:tcBorders>
            <w:shd w:val="clear" w:color="auto" w:fill="248ED8"/>
          </w:tcPr>
          <w:p>
            <w:pPr>
              <w:spacing w:after="0"/>
              <w:rPr>
                <w:sz w:val="7"/>
                <w:szCs w:val="7"/>
                <w:color w:val="auto"/>
              </w:rPr>
            </w:pPr>
          </w:p>
        </w:tc>
        <w:tc>
          <w:tcPr>
            <w:tcW w:w="1080" w:type="dxa"/>
            <w:vAlign w:val="bottom"/>
            <w:shd w:val="clear" w:color="auto" w:fill="248ED8"/>
          </w:tcPr>
          <w:p>
            <w:pPr>
              <w:spacing w:after="0"/>
              <w:rPr>
                <w:sz w:val="7"/>
                <w:szCs w:val="7"/>
                <w:color w:val="auto"/>
              </w:rPr>
            </w:pPr>
          </w:p>
        </w:tc>
        <w:tc>
          <w:tcPr>
            <w:tcW w:w="100" w:type="dxa"/>
            <w:vAlign w:val="bottom"/>
            <w:shd w:val="clear" w:color="auto" w:fill="248ED8"/>
          </w:tcPr>
          <w:p>
            <w:pPr>
              <w:spacing w:after="0"/>
              <w:rPr>
                <w:sz w:val="7"/>
                <w:szCs w:val="7"/>
                <w:color w:val="auto"/>
              </w:rPr>
            </w:pPr>
          </w:p>
        </w:tc>
        <w:tc>
          <w:tcPr>
            <w:tcW w:w="60" w:type="dxa"/>
            <w:vAlign w:val="bottom"/>
            <w:shd w:val="clear" w:color="auto" w:fill="248ED8"/>
          </w:tcPr>
          <w:p>
            <w:pPr>
              <w:spacing w:after="0"/>
              <w:rPr>
                <w:sz w:val="7"/>
                <w:szCs w:val="7"/>
                <w:color w:val="auto"/>
              </w:rPr>
            </w:pPr>
          </w:p>
        </w:tc>
        <w:tc>
          <w:tcPr>
            <w:tcW w:w="20" w:type="dxa"/>
            <w:vAlign w:val="bottom"/>
            <w:shd w:val="clear" w:color="auto" w:fill="248ED8"/>
          </w:tcPr>
          <w:p>
            <w:pPr>
              <w:spacing w:after="0"/>
              <w:rPr>
                <w:sz w:val="7"/>
                <w:szCs w:val="7"/>
                <w:color w:val="auto"/>
              </w:rPr>
            </w:pPr>
          </w:p>
        </w:tc>
        <w:tc>
          <w:tcPr>
            <w:tcW w:w="1060" w:type="dxa"/>
            <w:vAlign w:val="bottom"/>
            <w:vMerge w:val="continue"/>
            <w:shd w:val="clear" w:color="auto" w:fill="248ED8"/>
          </w:tcPr>
          <w:p>
            <w:pPr>
              <w:spacing w:after="0"/>
              <w:rPr>
                <w:sz w:val="7"/>
                <w:szCs w:val="7"/>
                <w:color w:val="auto"/>
              </w:rPr>
            </w:pPr>
          </w:p>
        </w:tc>
        <w:tc>
          <w:tcPr>
            <w:tcW w:w="200" w:type="dxa"/>
            <w:vAlign w:val="bottom"/>
            <w:shd w:val="clear" w:color="auto" w:fill="248ED8"/>
          </w:tcPr>
          <w:p>
            <w:pPr>
              <w:spacing w:after="0"/>
              <w:rPr>
                <w:sz w:val="7"/>
                <w:szCs w:val="7"/>
                <w:color w:val="auto"/>
              </w:rPr>
            </w:pPr>
          </w:p>
        </w:tc>
        <w:tc>
          <w:tcPr>
            <w:tcW w:w="1240" w:type="dxa"/>
            <w:vAlign w:val="bottom"/>
            <w:vMerge w:val="continue"/>
            <w:shd w:val="clear" w:color="auto" w:fill="248ED8"/>
          </w:tcPr>
          <w:p>
            <w:pPr>
              <w:spacing w:after="0"/>
              <w:rPr>
                <w:sz w:val="7"/>
                <w:szCs w:val="7"/>
                <w:color w:val="auto"/>
              </w:rPr>
            </w:pPr>
          </w:p>
        </w:tc>
        <w:tc>
          <w:tcPr>
            <w:tcW w:w="160" w:type="dxa"/>
            <w:vAlign w:val="bottom"/>
            <w:shd w:val="clear" w:color="auto" w:fill="248ED8"/>
          </w:tcPr>
          <w:p>
            <w:pPr>
              <w:spacing w:after="0"/>
              <w:rPr>
                <w:sz w:val="7"/>
                <w:szCs w:val="7"/>
                <w:color w:val="auto"/>
              </w:rPr>
            </w:pPr>
          </w:p>
        </w:tc>
        <w:tc>
          <w:tcPr>
            <w:tcW w:w="720" w:type="dxa"/>
            <w:vAlign w:val="bottom"/>
            <w:shd w:val="clear" w:color="auto" w:fill="248ED8"/>
          </w:tcPr>
          <w:p>
            <w:pPr>
              <w:spacing w:after="0"/>
              <w:rPr>
                <w:sz w:val="7"/>
                <w:szCs w:val="7"/>
                <w:color w:val="auto"/>
              </w:rPr>
            </w:pPr>
          </w:p>
        </w:tc>
        <w:tc>
          <w:tcPr>
            <w:tcW w:w="220" w:type="dxa"/>
            <w:vAlign w:val="bottom"/>
            <w:shd w:val="clear" w:color="auto" w:fill="248ED8"/>
          </w:tcPr>
          <w:p>
            <w:pPr>
              <w:spacing w:after="0"/>
              <w:rPr>
                <w:sz w:val="7"/>
                <w:szCs w:val="7"/>
                <w:color w:val="auto"/>
              </w:rPr>
            </w:pPr>
          </w:p>
        </w:tc>
        <w:tc>
          <w:tcPr>
            <w:tcW w:w="840" w:type="dxa"/>
            <w:vAlign w:val="bottom"/>
            <w:shd w:val="clear" w:color="auto" w:fill="248ED8"/>
          </w:tcPr>
          <w:p>
            <w:pPr>
              <w:spacing w:after="0"/>
              <w:rPr>
                <w:sz w:val="7"/>
                <w:szCs w:val="7"/>
                <w:color w:val="auto"/>
              </w:rPr>
            </w:pPr>
          </w:p>
        </w:tc>
        <w:tc>
          <w:tcPr>
            <w:tcW w:w="180" w:type="dxa"/>
            <w:vAlign w:val="bottom"/>
            <w:shd w:val="clear" w:color="auto" w:fill="248ED8"/>
          </w:tcPr>
          <w:p>
            <w:pPr>
              <w:spacing w:after="0"/>
              <w:rPr>
                <w:sz w:val="7"/>
                <w:szCs w:val="7"/>
                <w:color w:val="auto"/>
              </w:rPr>
            </w:pPr>
          </w:p>
        </w:tc>
        <w:tc>
          <w:tcPr>
            <w:tcW w:w="92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w w:val="99"/>
              </w:rPr>
              <w:t>VESTED</w:t>
            </w:r>
          </w:p>
        </w:tc>
        <w:tc>
          <w:tcPr>
            <w:tcW w:w="180" w:type="dxa"/>
            <w:vAlign w:val="bottom"/>
            <w:shd w:val="clear" w:color="auto" w:fill="248ED8"/>
          </w:tcPr>
          <w:p>
            <w:pPr>
              <w:spacing w:after="0"/>
              <w:rPr>
                <w:sz w:val="7"/>
                <w:szCs w:val="7"/>
                <w:color w:val="auto"/>
              </w:rPr>
            </w:pPr>
          </w:p>
        </w:tc>
        <w:tc>
          <w:tcPr>
            <w:tcW w:w="114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rPr>
              <w:t>VESTED</w:t>
            </w:r>
          </w:p>
        </w:tc>
        <w:tc>
          <w:tcPr>
            <w:tcW w:w="140" w:type="dxa"/>
            <w:vAlign w:val="bottom"/>
            <w:tcBorders>
              <w:right w:val="single" w:sz="8" w:color="auto"/>
            </w:tcBorders>
            <w:shd w:val="clear" w:color="auto" w:fill="248ED8"/>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40" w:type="dxa"/>
            <w:vAlign w:val="bottom"/>
            <w:tcBorders>
              <w:left w:val="single" w:sz="8" w:color="auto"/>
            </w:tcBorders>
            <w:shd w:val="clear" w:color="auto" w:fill="248ED8"/>
          </w:tcPr>
          <w:p>
            <w:pPr>
              <w:spacing w:after="0"/>
              <w:rPr>
                <w:sz w:val="7"/>
                <w:szCs w:val="7"/>
                <w:color w:val="auto"/>
              </w:rPr>
            </w:pPr>
          </w:p>
        </w:tc>
        <w:tc>
          <w:tcPr>
            <w:tcW w:w="1080" w:type="dxa"/>
            <w:vAlign w:val="bottom"/>
            <w:shd w:val="clear" w:color="auto" w:fill="248ED8"/>
          </w:tcPr>
          <w:p>
            <w:pPr>
              <w:spacing w:after="0"/>
              <w:rPr>
                <w:sz w:val="7"/>
                <w:szCs w:val="7"/>
                <w:color w:val="auto"/>
              </w:rPr>
            </w:pPr>
          </w:p>
        </w:tc>
        <w:tc>
          <w:tcPr>
            <w:tcW w:w="100" w:type="dxa"/>
            <w:vAlign w:val="bottom"/>
            <w:shd w:val="clear" w:color="auto" w:fill="248ED8"/>
          </w:tcPr>
          <w:p>
            <w:pPr>
              <w:spacing w:after="0"/>
              <w:rPr>
                <w:sz w:val="7"/>
                <w:szCs w:val="7"/>
                <w:color w:val="auto"/>
              </w:rPr>
            </w:pPr>
          </w:p>
        </w:tc>
        <w:tc>
          <w:tcPr>
            <w:tcW w:w="60" w:type="dxa"/>
            <w:vAlign w:val="bottom"/>
            <w:shd w:val="clear" w:color="auto" w:fill="248ED8"/>
          </w:tcPr>
          <w:p>
            <w:pPr>
              <w:spacing w:after="0"/>
              <w:rPr>
                <w:sz w:val="7"/>
                <w:szCs w:val="7"/>
                <w:color w:val="auto"/>
              </w:rPr>
            </w:pPr>
          </w:p>
        </w:tc>
        <w:tc>
          <w:tcPr>
            <w:tcW w:w="20" w:type="dxa"/>
            <w:vAlign w:val="bottom"/>
            <w:shd w:val="clear" w:color="auto" w:fill="248ED8"/>
          </w:tcPr>
          <w:p>
            <w:pPr>
              <w:spacing w:after="0"/>
              <w:rPr>
                <w:sz w:val="7"/>
                <w:szCs w:val="7"/>
                <w:color w:val="auto"/>
              </w:rPr>
            </w:pPr>
          </w:p>
        </w:tc>
        <w:tc>
          <w:tcPr>
            <w:tcW w:w="106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rPr>
              <w:t>EXERCISABLE</w:t>
            </w:r>
          </w:p>
        </w:tc>
        <w:tc>
          <w:tcPr>
            <w:tcW w:w="1440" w:type="dxa"/>
            <w:vAlign w:val="bottom"/>
            <w:gridSpan w:val="2"/>
            <w:vMerge w:val="restart"/>
            <w:shd w:val="clear" w:color="auto" w:fill="248ED8"/>
          </w:tcPr>
          <w:p>
            <w:pPr>
              <w:jc w:val="center"/>
              <w:ind w:left="48"/>
              <w:spacing w:after="0"/>
              <w:rPr>
                <w:sz w:val="20"/>
                <w:szCs w:val="20"/>
                <w:color w:val="auto"/>
              </w:rPr>
            </w:pPr>
            <w:r>
              <w:rPr>
                <w:rFonts w:ascii="Arial" w:cs="Arial" w:eastAsia="Arial" w:hAnsi="Arial"/>
                <w:sz w:val="14"/>
                <w:szCs w:val="14"/>
                <w:b w:val="1"/>
                <w:bCs w:val="1"/>
                <w:color w:val="FFFFFF"/>
              </w:rPr>
              <w:t>UN-EXERCISABLE</w:t>
            </w:r>
          </w:p>
        </w:tc>
        <w:tc>
          <w:tcPr>
            <w:tcW w:w="160" w:type="dxa"/>
            <w:vAlign w:val="bottom"/>
            <w:shd w:val="clear" w:color="auto" w:fill="248ED8"/>
          </w:tcPr>
          <w:p>
            <w:pPr>
              <w:spacing w:after="0"/>
              <w:rPr>
                <w:sz w:val="7"/>
                <w:szCs w:val="7"/>
                <w:color w:val="auto"/>
              </w:rPr>
            </w:pPr>
          </w:p>
        </w:tc>
        <w:tc>
          <w:tcPr>
            <w:tcW w:w="720" w:type="dxa"/>
            <w:vAlign w:val="bottom"/>
            <w:shd w:val="clear" w:color="auto" w:fill="248ED8"/>
          </w:tcPr>
          <w:p>
            <w:pPr>
              <w:spacing w:after="0"/>
              <w:rPr>
                <w:sz w:val="7"/>
                <w:szCs w:val="7"/>
                <w:color w:val="auto"/>
              </w:rPr>
            </w:pPr>
          </w:p>
        </w:tc>
        <w:tc>
          <w:tcPr>
            <w:tcW w:w="220" w:type="dxa"/>
            <w:vAlign w:val="bottom"/>
            <w:shd w:val="clear" w:color="auto" w:fill="248ED8"/>
          </w:tcPr>
          <w:p>
            <w:pPr>
              <w:spacing w:after="0"/>
              <w:rPr>
                <w:sz w:val="7"/>
                <w:szCs w:val="7"/>
                <w:color w:val="auto"/>
              </w:rPr>
            </w:pPr>
          </w:p>
        </w:tc>
        <w:tc>
          <w:tcPr>
            <w:tcW w:w="840" w:type="dxa"/>
            <w:vAlign w:val="bottom"/>
            <w:shd w:val="clear" w:color="auto" w:fill="248ED8"/>
          </w:tcPr>
          <w:p>
            <w:pPr>
              <w:spacing w:after="0"/>
              <w:rPr>
                <w:sz w:val="7"/>
                <w:szCs w:val="7"/>
                <w:color w:val="auto"/>
              </w:rPr>
            </w:pPr>
          </w:p>
        </w:tc>
        <w:tc>
          <w:tcPr>
            <w:tcW w:w="180" w:type="dxa"/>
            <w:vAlign w:val="bottom"/>
            <w:shd w:val="clear" w:color="auto" w:fill="248ED8"/>
          </w:tcPr>
          <w:p>
            <w:pPr>
              <w:spacing w:after="0"/>
              <w:rPr>
                <w:sz w:val="7"/>
                <w:szCs w:val="7"/>
                <w:color w:val="auto"/>
              </w:rPr>
            </w:pPr>
          </w:p>
        </w:tc>
        <w:tc>
          <w:tcPr>
            <w:tcW w:w="920" w:type="dxa"/>
            <w:vAlign w:val="bottom"/>
            <w:vMerge w:val="continue"/>
            <w:shd w:val="clear" w:color="auto" w:fill="248ED8"/>
          </w:tcPr>
          <w:p>
            <w:pPr>
              <w:spacing w:after="0"/>
              <w:rPr>
                <w:sz w:val="7"/>
                <w:szCs w:val="7"/>
                <w:color w:val="auto"/>
              </w:rPr>
            </w:pPr>
          </w:p>
        </w:tc>
        <w:tc>
          <w:tcPr>
            <w:tcW w:w="180" w:type="dxa"/>
            <w:vAlign w:val="bottom"/>
            <w:shd w:val="clear" w:color="auto" w:fill="248ED8"/>
          </w:tcPr>
          <w:p>
            <w:pPr>
              <w:spacing w:after="0"/>
              <w:rPr>
                <w:sz w:val="7"/>
                <w:szCs w:val="7"/>
                <w:color w:val="auto"/>
              </w:rPr>
            </w:pPr>
          </w:p>
        </w:tc>
        <w:tc>
          <w:tcPr>
            <w:tcW w:w="1140" w:type="dxa"/>
            <w:vAlign w:val="bottom"/>
            <w:vMerge w:val="continue"/>
            <w:shd w:val="clear" w:color="auto" w:fill="248ED8"/>
          </w:tcPr>
          <w:p>
            <w:pPr>
              <w:spacing w:after="0"/>
              <w:rPr>
                <w:sz w:val="7"/>
                <w:szCs w:val="7"/>
                <w:color w:val="auto"/>
              </w:rPr>
            </w:pPr>
          </w:p>
        </w:tc>
        <w:tc>
          <w:tcPr>
            <w:tcW w:w="140" w:type="dxa"/>
            <w:vAlign w:val="bottom"/>
            <w:tcBorders>
              <w:right w:val="single" w:sz="8" w:color="auto"/>
            </w:tcBorders>
            <w:shd w:val="clear" w:color="auto" w:fill="248ED8"/>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740" w:type="dxa"/>
            <w:vAlign w:val="bottom"/>
            <w:tcBorders>
              <w:left w:val="single" w:sz="8" w:color="auto"/>
            </w:tcBorders>
            <w:shd w:val="clear" w:color="auto" w:fill="248ED8"/>
          </w:tcPr>
          <w:p>
            <w:pPr>
              <w:spacing w:after="0"/>
              <w:rPr>
                <w:sz w:val="10"/>
                <w:szCs w:val="10"/>
                <w:color w:val="auto"/>
              </w:rPr>
            </w:pPr>
          </w:p>
        </w:tc>
        <w:tc>
          <w:tcPr>
            <w:tcW w:w="1080" w:type="dxa"/>
            <w:vAlign w:val="bottom"/>
            <w:shd w:val="clear" w:color="auto" w:fill="248ED8"/>
          </w:tcPr>
          <w:p>
            <w:pPr>
              <w:spacing w:after="0"/>
              <w:rPr>
                <w:sz w:val="10"/>
                <w:szCs w:val="10"/>
                <w:color w:val="auto"/>
              </w:rPr>
            </w:pPr>
          </w:p>
        </w:tc>
        <w:tc>
          <w:tcPr>
            <w:tcW w:w="100" w:type="dxa"/>
            <w:vAlign w:val="bottom"/>
            <w:shd w:val="clear" w:color="auto" w:fill="248ED8"/>
          </w:tcPr>
          <w:p>
            <w:pPr>
              <w:spacing w:after="0"/>
              <w:rPr>
                <w:sz w:val="10"/>
                <w:szCs w:val="10"/>
                <w:color w:val="auto"/>
              </w:rPr>
            </w:pPr>
          </w:p>
        </w:tc>
        <w:tc>
          <w:tcPr>
            <w:tcW w:w="60" w:type="dxa"/>
            <w:vAlign w:val="bottom"/>
            <w:shd w:val="clear" w:color="auto" w:fill="248ED8"/>
          </w:tcPr>
          <w:p>
            <w:pPr>
              <w:spacing w:after="0"/>
              <w:rPr>
                <w:sz w:val="10"/>
                <w:szCs w:val="10"/>
                <w:color w:val="auto"/>
              </w:rPr>
            </w:pPr>
          </w:p>
        </w:tc>
        <w:tc>
          <w:tcPr>
            <w:tcW w:w="20" w:type="dxa"/>
            <w:vAlign w:val="bottom"/>
            <w:shd w:val="clear" w:color="auto" w:fill="248ED8"/>
          </w:tcPr>
          <w:p>
            <w:pPr>
              <w:spacing w:after="0"/>
              <w:rPr>
                <w:sz w:val="10"/>
                <w:szCs w:val="10"/>
                <w:color w:val="auto"/>
              </w:rPr>
            </w:pPr>
          </w:p>
        </w:tc>
        <w:tc>
          <w:tcPr>
            <w:tcW w:w="1060" w:type="dxa"/>
            <w:vAlign w:val="bottom"/>
            <w:vMerge w:val="continue"/>
            <w:shd w:val="clear" w:color="auto" w:fill="248ED8"/>
          </w:tcPr>
          <w:p>
            <w:pPr>
              <w:spacing w:after="0"/>
              <w:rPr>
                <w:sz w:val="10"/>
                <w:szCs w:val="10"/>
                <w:color w:val="auto"/>
              </w:rPr>
            </w:pPr>
          </w:p>
        </w:tc>
        <w:tc>
          <w:tcPr>
            <w:tcW w:w="1440" w:type="dxa"/>
            <w:vAlign w:val="bottom"/>
            <w:gridSpan w:val="2"/>
            <w:vMerge w:val="continue"/>
            <w:shd w:val="clear" w:color="auto" w:fill="248ED8"/>
          </w:tcPr>
          <w:p>
            <w:pPr>
              <w:spacing w:after="0"/>
              <w:rPr>
                <w:sz w:val="10"/>
                <w:szCs w:val="10"/>
                <w:color w:val="auto"/>
              </w:rPr>
            </w:pPr>
          </w:p>
        </w:tc>
        <w:tc>
          <w:tcPr>
            <w:tcW w:w="160" w:type="dxa"/>
            <w:vAlign w:val="bottom"/>
            <w:shd w:val="clear" w:color="auto" w:fill="248ED8"/>
          </w:tcPr>
          <w:p>
            <w:pPr>
              <w:spacing w:after="0"/>
              <w:rPr>
                <w:sz w:val="10"/>
                <w:szCs w:val="10"/>
                <w:color w:val="auto"/>
              </w:rPr>
            </w:pPr>
          </w:p>
        </w:tc>
        <w:tc>
          <w:tcPr>
            <w:tcW w:w="720" w:type="dxa"/>
            <w:vAlign w:val="bottom"/>
            <w:shd w:val="clear" w:color="auto" w:fill="248ED8"/>
          </w:tcPr>
          <w:p>
            <w:pPr>
              <w:spacing w:after="0"/>
              <w:rPr>
                <w:sz w:val="10"/>
                <w:szCs w:val="10"/>
                <w:color w:val="auto"/>
              </w:rPr>
            </w:pPr>
          </w:p>
        </w:tc>
        <w:tc>
          <w:tcPr>
            <w:tcW w:w="220" w:type="dxa"/>
            <w:vAlign w:val="bottom"/>
            <w:shd w:val="clear" w:color="auto" w:fill="248ED8"/>
          </w:tcPr>
          <w:p>
            <w:pPr>
              <w:spacing w:after="0"/>
              <w:rPr>
                <w:sz w:val="10"/>
                <w:szCs w:val="10"/>
                <w:color w:val="auto"/>
              </w:rPr>
            </w:pPr>
          </w:p>
        </w:tc>
        <w:tc>
          <w:tcPr>
            <w:tcW w:w="840" w:type="dxa"/>
            <w:vAlign w:val="bottom"/>
            <w:shd w:val="clear" w:color="auto" w:fill="248ED8"/>
          </w:tcPr>
          <w:p>
            <w:pPr>
              <w:spacing w:after="0"/>
              <w:rPr>
                <w:sz w:val="10"/>
                <w:szCs w:val="10"/>
                <w:color w:val="auto"/>
              </w:rPr>
            </w:pPr>
          </w:p>
        </w:tc>
        <w:tc>
          <w:tcPr>
            <w:tcW w:w="180" w:type="dxa"/>
            <w:vAlign w:val="bottom"/>
            <w:shd w:val="clear" w:color="auto" w:fill="248ED8"/>
          </w:tcPr>
          <w:p>
            <w:pPr>
              <w:spacing w:after="0"/>
              <w:rPr>
                <w:sz w:val="10"/>
                <w:szCs w:val="10"/>
                <w:color w:val="auto"/>
              </w:rPr>
            </w:pPr>
          </w:p>
        </w:tc>
        <w:tc>
          <w:tcPr>
            <w:tcW w:w="92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w w:val="93"/>
              </w:rPr>
              <w:t>(#)</w:t>
            </w:r>
          </w:p>
        </w:tc>
        <w:tc>
          <w:tcPr>
            <w:tcW w:w="180" w:type="dxa"/>
            <w:vAlign w:val="bottom"/>
            <w:shd w:val="clear" w:color="auto" w:fill="248ED8"/>
          </w:tcPr>
          <w:p>
            <w:pPr>
              <w:spacing w:after="0"/>
              <w:rPr>
                <w:sz w:val="10"/>
                <w:szCs w:val="10"/>
                <w:color w:val="auto"/>
              </w:rPr>
            </w:pPr>
          </w:p>
        </w:tc>
        <w:tc>
          <w:tcPr>
            <w:tcW w:w="1140" w:type="dxa"/>
            <w:vAlign w:val="bottom"/>
            <w:vMerge w:val="restart"/>
            <w:shd w:val="clear" w:color="auto" w:fill="248ED8"/>
          </w:tcPr>
          <w:p>
            <w:pPr>
              <w:jc w:val="center"/>
              <w:spacing w:after="0"/>
              <w:rPr>
                <w:sz w:val="20"/>
                <w:szCs w:val="20"/>
                <w:color w:val="auto"/>
              </w:rPr>
            </w:pPr>
            <w:r>
              <w:rPr>
                <w:rFonts w:ascii="Arial" w:cs="Arial" w:eastAsia="Arial" w:hAnsi="Arial"/>
                <w:sz w:val="14"/>
                <w:szCs w:val="14"/>
                <w:b w:val="1"/>
                <w:bCs w:val="1"/>
                <w:color w:val="FFFFFF"/>
                <w:w w:val="99"/>
              </w:rPr>
              <w:t>($)(1)</w:t>
            </w:r>
          </w:p>
        </w:tc>
        <w:tc>
          <w:tcPr>
            <w:tcW w:w="140" w:type="dxa"/>
            <w:vAlign w:val="bottom"/>
            <w:tcBorders>
              <w:right w:val="single" w:sz="8" w:color="auto"/>
            </w:tcBorders>
            <w:shd w:val="clear" w:color="auto" w:fill="248ED8"/>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40" w:type="dxa"/>
            <w:vAlign w:val="bottom"/>
            <w:tcBorders>
              <w:left w:val="single" w:sz="8" w:color="auto"/>
              <w:bottom w:val="single" w:sz="8" w:color="auto"/>
            </w:tcBorders>
            <w:shd w:val="clear" w:color="auto" w:fill="248ED8"/>
          </w:tcPr>
          <w:p>
            <w:pPr>
              <w:spacing w:after="0"/>
              <w:rPr>
                <w:sz w:val="7"/>
                <w:szCs w:val="7"/>
                <w:color w:val="auto"/>
              </w:rPr>
            </w:pPr>
          </w:p>
        </w:tc>
        <w:tc>
          <w:tcPr>
            <w:tcW w:w="1080" w:type="dxa"/>
            <w:vAlign w:val="bottom"/>
            <w:tcBorders>
              <w:bottom w:val="single" w:sz="8" w:color="auto"/>
            </w:tcBorders>
            <w:shd w:val="clear" w:color="auto" w:fill="248ED8"/>
          </w:tcPr>
          <w:p>
            <w:pPr>
              <w:spacing w:after="0"/>
              <w:rPr>
                <w:sz w:val="7"/>
                <w:szCs w:val="7"/>
                <w:color w:val="auto"/>
              </w:rPr>
            </w:pPr>
          </w:p>
        </w:tc>
        <w:tc>
          <w:tcPr>
            <w:tcW w:w="100" w:type="dxa"/>
            <w:vAlign w:val="bottom"/>
            <w:tcBorders>
              <w:bottom w:val="single" w:sz="8" w:color="auto"/>
            </w:tcBorders>
            <w:shd w:val="clear" w:color="auto" w:fill="248ED8"/>
          </w:tcPr>
          <w:p>
            <w:pPr>
              <w:spacing w:after="0"/>
              <w:rPr>
                <w:sz w:val="7"/>
                <w:szCs w:val="7"/>
                <w:color w:val="auto"/>
              </w:rPr>
            </w:pPr>
          </w:p>
        </w:tc>
        <w:tc>
          <w:tcPr>
            <w:tcW w:w="60" w:type="dxa"/>
            <w:vAlign w:val="bottom"/>
            <w:tcBorders>
              <w:bottom w:val="single" w:sz="8" w:color="auto"/>
            </w:tcBorders>
            <w:shd w:val="clear" w:color="auto" w:fill="248ED8"/>
          </w:tcPr>
          <w:p>
            <w:pPr>
              <w:spacing w:after="0"/>
              <w:rPr>
                <w:sz w:val="7"/>
                <w:szCs w:val="7"/>
                <w:color w:val="auto"/>
              </w:rPr>
            </w:pPr>
          </w:p>
        </w:tc>
        <w:tc>
          <w:tcPr>
            <w:tcW w:w="20" w:type="dxa"/>
            <w:vAlign w:val="bottom"/>
            <w:tcBorders>
              <w:bottom w:val="single" w:sz="8" w:color="auto"/>
            </w:tcBorders>
            <w:shd w:val="clear" w:color="auto" w:fill="248ED8"/>
          </w:tcPr>
          <w:p>
            <w:pPr>
              <w:spacing w:after="0"/>
              <w:rPr>
                <w:sz w:val="7"/>
                <w:szCs w:val="7"/>
                <w:color w:val="auto"/>
              </w:rPr>
            </w:pPr>
          </w:p>
        </w:tc>
        <w:tc>
          <w:tcPr>
            <w:tcW w:w="1060" w:type="dxa"/>
            <w:vAlign w:val="bottom"/>
            <w:tcBorders>
              <w:bottom w:val="single" w:sz="8" w:color="auto"/>
            </w:tcBorders>
            <w:shd w:val="clear" w:color="auto" w:fill="248ED8"/>
          </w:tcPr>
          <w:p>
            <w:pPr>
              <w:spacing w:after="0"/>
              <w:rPr>
                <w:sz w:val="7"/>
                <w:szCs w:val="7"/>
                <w:color w:val="auto"/>
              </w:rPr>
            </w:pPr>
          </w:p>
        </w:tc>
        <w:tc>
          <w:tcPr>
            <w:tcW w:w="200" w:type="dxa"/>
            <w:vAlign w:val="bottom"/>
            <w:tcBorders>
              <w:bottom w:val="single" w:sz="8" w:color="auto"/>
            </w:tcBorders>
            <w:shd w:val="clear" w:color="auto" w:fill="248ED8"/>
          </w:tcPr>
          <w:p>
            <w:pPr>
              <w:spacing w:after="0"/>
              <w:rPr>
                <w:sz w:val="7"/>
                <w:szCs w:val="7"/>
                <w:color w:val="auto"/>
              </w:rPr>
            </w:pPr>
          </w:p>
        </w:tc>
        <w:tc>
          <w:tcPr>
            <w:tcW w:w="1240" w:type="dxa"/>
            <w:vAlign w:val="bottom"/>
            <w:tcBorders>
              <w:bottom w:val="single" w:sz="8" w:color="auto"/>
            </w:tcBorders>
            <w:shd w:val="clear" w:color="auto" w:fill="248ED8"/>
          </w:tcPr>
          <w:p>
            <w:pPr>
              <w:spacing w:after="0"/>
              <w:rPr>
                <w:sz w:val="7"/>
                <w:szCs w:val="7"/>
                <w:color w:val="auto"/>
              </w:rPr>
            </w:pPr>
          </w:p>
        </w:tc>
        <w:tc>
          <w:tcPr>
            <w:tcW w:w="160" w:type="dxa"/>
            <w:vAlign w:val="bottom"/>
            <w:tcBorders>
              <w:bottom w:val="single" w:sz="8" w:color="auto"/>
            </w:tcBorders>
            <w:shd w:val="clear" w:color="auto" w:fill="248ED8"/>
          </w:tcPr>
          <w:p>
            <w:pPr>
              <w:spacing w:after="0"/>
              <w:rPr>
                <w:sz w:val="7"/>
                <w:szCs w:val="7"/>
                <w:color w:val="auto"/>
              </w:rPr>
            </w:pPr>
          </w:p>
        </w:tc>
        <w:tc>
          <w:tcPr>
            <w:tcW w:w="720" w:type="dxa"/>
            <w:vAlign w:val="bottom"/>
            <w:tcBorders>
              <w:bottom w:val="single" w:sz="8" w:color="auto"/>
            </w:tcBorders>
            <w:shd w:val="clear" w:color="auto" w:fill="248ED8"/>
          </w:tcPr>
          <w:p>
            <w:pPr>
              <w:spacing w:after="0"/>
              <w:rPr>
                <w:sz w:val="7"/>
                <w:szCs w:val="7"/>
                <w:color w:val="auto"/>
              </w:rPr>
            </w:pPr>
          </w:p>
        </w:tc>
        <w:tc>
          <w:tcPr>
            <w:tcW w:w="220" w:type="dxa"/>
            <w:vAlign w:val="bottom"/>
            <w:tcBorders>
              <w:bottom w:val="single" w:sz="8" w:color="auto"/>
            </w:tcBorders>
            <w:shd w:val="clear" w:color="auto" w:fill="248ED8"/>
          </w:tcPr>
          <w:p>
            <w:pPr>
              <w:spacing w:after="0"/>
              <w:rPr>
                <w:sz w:val="7"/>
                <w:szCs w:val="7"/>
                <w:color w:val="auto"/>
              </w:rPr>
            </w:pPr>
          </w:p>
        </w:tc>
        <w:tc>
          <w:tcPr>
            <w:tcW w:w="840" w:type="dxa"/>
            <w:vAlign w:val="bottom"/>
            <w:tcBorders>
              <w:bottom w:val="single" w:sz="8" w:color="auto"/>
            </w:tcBorders>
            <w:shd w:val="clear" w:color="auto" w:fill="248ED8"/>
          </w:tcPr>
          <w:p>
            <w:pPr>
              <w:spacing w:after="0"/>
              <w:rPr>
                <w:sz w:val="7"/>
                <w:szCs w:val="7"/>
                <w:color w:val="auto"/>
              </w:rPr>
            </w:pPr>
          </w:p>
        </w:tc>
        <w:tc>
          <w:tcPr>
            <w:tcW w:w="180" w:type="dxa"/>
            <w:vAlign w:val="bottom"/>
            <w:tcBorders>
              <w:bottom w:val="single" w:sz="8" w:color="auto"/>
            </w:tcBorders>
            <w:shd w:val="clear" w:color="auto" w:fill="248ED8"/>
          </w:tcPr>
          <w:p>
            <w:pPr>
              <w:spacing w:after="0"/>
              <w:rPr>
                <w:sz w:val="7"/>
                <w:szCs w:val="7"/>
                <w:color w:val="auto"/>
              </w:rPr>
            </w:pPr>
          </w:p>
        </w:tc>
        <w:tc>
          <w:tcPr>
            <w:tcW w:w="920" w:type="dxa"/>
            <w:vAlign w:val="bottom"/>
            <w:tcBorders>
              <w:bottom w:val="single" w:sz="8" w:color="auto"/>
            </w:tcBorders>
            <w:vMerge w:val="continue"/>
            <w:shd w:val="clear" w:color="auto" w:fill="248ED8"/>
          </w:tcPr>
          <w:p>
            <w:pPr>
              <w:spacing w:after="0"/>
              <w:rPr>
                <w:sz w:val="7"/>
                <w:szCs w:val="7"/>
                <w:color w:val="auto"/>
              </w:rPr>
            </w:pPr>
          </w:p>
        </w:tc>
        <w:tc>
          <w:tcPr>
            <w:tcW w:w="180" w:type="dxa"/>
            <w:vAlign w:val="bottom"/>
            <w:tcBorders>
              <w:bottom w:val="single" w:sz="8" w:color="auto"/>
            </w:tcBorders>
            <w:shd w:val="clear" w:color="auto" w:fill="248ED8"/>
          </w:tcPr>
          <w:p>
            <w:pPr>
              <w:spacing w:after="0"/>
              <w:rPr>
                <w:sz w:val="7"/>
                <w:szCs w:val="7"/>
                <w:color w:val="auto"/>
              </w:rPr>
            </w:pPr>
          </w:p>
        </w:tc>
        <w:tc>
          <w:tcPr>
            <w:tcW w:w="1140" w:type="dxa"/>
            <w:vAlign w:val="bottom"/>
            <w:tcBorders>
              <w:bottom w:val="single" w:sz="8" w:color="auto"/>
            </w:tcBorders>
            <w:vMerge w:val="continue"/>
            <w:shd w:val="clear" w:color="auto" w:fill="248ED8"/>
          </w:tcPr>
          <w:p>
            <w:pPr>
              <w:spacing w:after="0"/>
              <w:rPr>
                <w:sz w:val="7"/>
                <w:szCs w:val="7"/>
                <w:color w:val="auto"/>
              </w:rPr>
            </w:pPr>
          </w:p>
        </w:tc>
        <w:tc>
          <w:tcPr>
            <w:tcW w:w="140" w:type="dxa"/>
            <w:vAlign w:val="bottom"/>
            <w:tcBorders>
              <w:bottom w:val="single" w:sz="8" w:color="auto"/>
              <w:right w:val="single" w:sz="8" w:color="auto"/>
            </w:tcBorders>
            <w:shd w:val="clear" w:color="auto" w:fill="248ED8"/>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74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Osvaldo</w:t>
            </w:r>
          </w:p>
        </w:tc>
        <w:tc>
          <w:tcPr>
            <w:tcW w:w="1260" w:type="dxa"/>
            <w:vAlign w:val="bottom"/>
            <w:gridSpan w:val="4"/>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9/10/2018(2) ​​ ​</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124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 ​</w:t>
            </w:r>
          </w:p>
        </w:tc>
        <w:tc>
          <w:tcPr>
            <w:tcW w:w="84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80" w:type="dxa"/>
            <w:vAlign w:val="bottom"/>
          </w:tcPr>
          <w:p>
            <w:pPr>
              <w:ind w:left="40"/>
              <w:spacing w:after="0"/>
              <w:rPr>
                <w:sz w:val="20"/>
                <w:szCs w:val="20"/>
                <w:color w:val="auto"/>
              </w:rPr>
            </w:pPr>
            <w:r>
              <w:rPr>
                <w:rFonts w:ascii="Arial" w:cs="Arial" w:eastAsia="Arial" w:hAnsi="Arial"/>
                <w:sz w:val="14"/>
                <w:szCs w:val="14"/>
                <w:color w:val="auto"/>
              </w:rPr>
              <w:t>​ ​</w:t>
            </w:r>
          </w:p>
        </w:tc>
        <w:tc>
          <w:tcPr>
            <w:tcW w:w="920" w:type="dxa"/>
            <w:vAlign w:val="bottom"/>
          </w:tcPr>
          <w:p>
            <w:pPr>
              <w:jc w:val="center"/>
              <w:spacing w:after="0"/>
              <w:rPr>
                <w:sz w:val="20"/>
                <w:szCs w:val="20"/>
                <w:color w:val="auto"/>
              </w:rPr>
            </w:pPr>
            <w:r>
              <w:rPr>
                <w:rFonts w:ascii="Arial" w:cs="Arial" w:eastAsia="Arial" w:hAnsi="Arial"/>
                <w:sz w:val="14"/>
                <w:szCs w:val="14"/>
                <w:color w:val="auto"/>
              </w:rPr>
              <w:t>207,768</w:t>
            </w:r>
          </w:p>
        </w:tc>
        <w:tc>
          <w:tcPr>
            <w:tcW w:w="180" w:type="dxa"/>
            <w:vAlign w:val="bottom"/>
          </w:tcPr>
          <w:p>
            <w:pPr>
              <w:ind w:left="60"/>
              <w:spacing w:after="0"/>
              <w:rPr>
                <w:sz w:val="20"/>
                <w:szCs w:val="20"/>
                <w:color w:val="auto"/>
              </w:rPr>
            </w:pPr>
            <w:r>
              <w:rPr>
                <w:rFonts w:ascii="Arial" w:cs="Arial" w:eastAsia="Arial" w:hAnsi="Arial"/>
                <w:sz w:val="14"/>
                <w:szCs w:val="14"/>
                <w:color w:val="auto"/>
              </w:rPr>
              <w:t>​ ​</w:t>
            </w:r>
          </w:p>
        </w:tc>
        <w:tc>
          <w:tcPr>
            <w:tcW w:w="1140" w:type="dxa"/>
            <w:vAlign w:val="bottom"/>
          </w:tcPr>
          <w:p>
            <w:pPr>
              <w:jc w:val="center"/>
              <w:spacing w:after="0"/>
              <w:rPr>
                <w:sz w:val="20"/>
                <w:szCs w:val="20"/>
                <w:color w:val="auto"/>
              </w:rPr>
            </w:pPr>
            <w:r>
              <w:rPr>
                <w:rFonts w:ascii="Arial" w:cs="Arial" w:eastAsia="Arial" w:hAnsi="Arial"/>
                <w:sz w:val="14"/>
                <w:szCs w:val="14"/>
                <w:color w:val="auto"/>
              </w:rPr>
              <w:t>$3,295,198</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740" w:type="dxa"/>
            <w:vAlign w:val="bottom"/>
            <w:tcBorders>
              <w:left w:val="single" w:sz="8" w:color="auto"/>
            </w:tcBorders>
          </w:tcPr>
          <w:p>
            <w:pPr>
              <w:ind w:left="60"/>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b w:val="1"/>
                <w:bCs w:val="1"/>
                <w:color w:val="auto"/>
              </w:rPr>
              <w:t>Flores,</w:t>
            </w:r>
          </w:p>
        </w:tc>
        <w:tc>
          <w:tcPr>
            <w:tcW w:w="1260" w:type="dxa"/>
            <w:vAlign w:val="bottom"/>
            <w:gridSpan w:val="4"/>
          </w:tcPr>
          <w:p>
            <w:pPr>
              <w:jc w:val="right"/>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r>
              <w:rPr>
                <w:rFonts w:ascii="Arial" w:cs="Arial" w:eastAsia="Arial" w:hAnsi="Arial"/>
                <w:sz w:val="14"/>
                <w:szCs w:val="14"/>
                <w:color w:val="auto"/>
              </w:rPr>
              <w:t>10/1/2020(3) ​​ ​</w:t>
            </w:r>
          </w:p>
        </w:tc>
        <w:tc>
          <w:tcPr>
            <w:tcW w:w="1060" w:type="dxa"/>
            <w:vAlign w:val="bottom"/>
          </w:tcPr>
          <w:p>
            <w:pPr>
              <w:jc w:val="center"/>
              <w:spacing w:after="0"/>
              <w:rPr>
                <w:sz w:val="20"/>
                <w:szCs w:val="20"/>
                <w:color w:val="auto"/>
              </w:rPr>
            </w:pPr>
            <w:r>
              <w:rPr>
                <w:rFonts w:ascii="Arial" w:cs="Arial" w:eastAsia="Arial" w:hAnsi="Arial"/>
                <w:sz w:val="14"/>
                <w:szCs w:val="14"/>
                <w:color w:val="auto"/>
              </w:rPr>
              <w:t>213,624</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1240" w:type="dxa"/>
            <w:vAlign w:val="bottom"/>
          </w:tcPr>
          <w:p>
            <w:pPr>
              <w:jc w:val="center"/>
              <w:ind w:right="29"/>
              <w:spacing w:after="0"/>
              <w:rPr>
                <w:sz w:val="20"/>
                <w:szCs w:val="20"/>
                <w:color w:val="auto"/>
              </w:rPr>
            </w:pPr>
            <w:r>
              <w:rPr>
                <w:rFonts w:ascii="Arial" w:cs="Arial" w:eastAsia="Arial" w:hAnsi="Arial"/>
                <w:sz w:val="14"/>
                <w:szCs w:val="14"/>
                <w:color w:val="auto"/>
                <w:w w:val="99"/>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$1.74</w:t>
            </w:r>
          </w:p>
        </w:tc>
        <w:tc>
          <w:tcPr>
            <w:tcW w:w="220" w:type="dxa"/>
            <w:vAlign w:val="bottom"/>
          </w:tcPr>
          <w:p>
            <w:pPr>
              <w:ind w:left="40"/>
              <w:spacing w:after="0"/>
              <w:rPr>
                <w:sz w:val="20"/>
                <w:szCs w:val="20"/>
                <w:color w:val="auto"/>
              </w:rPr>
            </w:pPr>
            <w:r>
              <w:rPr>
                <w:rFonts w:ascii="Arial" w:cs="Arial" w:eastAsia="Arial" w:hAnsi="Arial"/>
                <w:sz w:val="14"/>
                <w:szCs w:val="14"/>
                <w:color w:val="auto"/>
              </w:rPr>
              <w:t>​ ​</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9/30/2030</w:t>
            </w:r>
          </w:p>
        </w:tc>
        <w:tc>
          <w:tcPr>
            <w:tcW w:w="180" w:type="dxa"/>
            <w:vAlign w:val="bottom"/>
          </w:tcPr>
          <w:p>
            <w:pPr>
              <w:ind w:left="40"/>
              <w:spacing w:after="0"/>
              <w:rPr>
                <w:sz w:val="20"/>
                <w:szCs w:val="20"/>
                <w:color w:val="auto"/>
              </w:rPr>
            </w:pPr>
            <w:r>
              <w:rPr>
                <w:rFonts w:ascii="Arial" w:cs="Arial" w:eastAsia="Arial" w:hAnsi="Arial"/>
                <w:sz w:val="14"/>
                <w:szCs w:val="14"/>
                <w:color w:val="auto"/>
              </w:rPr>
              <w:t>​ ​</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 ​</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4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Ph.D.</w:t>
            </w:r>
          </w:p>
        </w:tc>
        <w:tc>
          <w:tcPr>
            <w:tcW w:w="1260" w:type="dxa"/>
            <w:vAlign w:val="bottom"/>
            <w:gridSpan w:val="4"/>
            <w:vMerge w:val="restart"/>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4/16/2021(4) ​​ ​</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240" w:type="dxa"/>
            <w:vAlign w:val="bottom"/>
            <w:vMerge w:val="restart"/>
          </w:tcPr>
          <w:p>
            <w:pPr>
              <w:jc w:val="center"/>
              <w:ind w:right="9"/>
              <w:spacing w:after="0"/>
              <w:rPr>
                <w:sz w:val="20"/>
                <w:szCs w:val="20"/>
                <w:color w:val="auto"/>
              </w:rPr>
            </w:pPr>
            <w:r>
              <w:rPr>
                <w:rFonts w:ascii="Arial" w:cs="Arial" w:eastAsia="Arial" w:hAnsi="Arial"/>
                <w:sz w:val="14"/>
                <w:szCs w:val="14"/>
                <w:color w:val="auto"/>
              </w:rPr>
              <w:t>777,417</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$7.27</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center"/>
              <w:ind w:right="8"/>
              <w:spacing w:after="0"/>
              <w:rPr>
                <w:sz w:val="20"/>
                <w:szCs w:val="20"/>
                <w:color w:val="auto"/>
              </w:rPr>
            </w:pPr>
            <w:r>
              <w:rPr>
                <w:rFonts w:ascii="Arial" w:cs="Arial" w:eastAsia="Arial" w:hAnsi="Arial"/>
                <w:sz w:val="14"/>
                <w:szCs w:val="14"/>
                <w:color w:val="auto"/>
              </w:rPr>
              <w:t>4/15/2031</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740" w:type="dxa"/>
            <w:vAlign w:val="bottom"/>
            <w:tcBorders>
              <w:left w:val="single" w:sz="8" w:color="auto"/>
            </w:tcBorders>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740" w:type="dxa"/>
            <w:vAlign w:val="bottom"/>
            <w:tcBorders>
              <w:left w:val="single" w:sz="8" w:color="auto"/>
              <w:bottom w:val="single" w:sz="8" w:color="auto"/>
            </w:tcBorders>
          </w:tcPr>
          <w:p>
            <w:pPr>
              <w:spacing w:after="0"/>
              <w:rPr>
                <w:sz w:val="3"/>
                <w:szCs w:val="3"/>
                <w:color w:val="auto"/>
              </w:rPr>
            </w:pPr>
          </w:p>
        </w:tc>
        <w:tc>
          <w:tcPr>
            <w:tcW w:w="1260" w:type="dxa"/>
            <w:vAlign w:val="bottom"/>
            <w:tcBorders>
              <w:bottom w:val="single" w:sz="8" w:color="auto"/>
            </w:tcBorders>
            <w:gridSpan w:val="4"/>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74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Adrienne</w:t>
            </w:r>
          </w:p>
        </w:tc>
        <w:tc>
          <w:tcPr>
            <w:tcW w:w="1260" w:type="dxa"/>
            <w:vAlign w:val="bottom"/>
            <w:gridSpan w:val="4"/>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w:t>
            </w:r>
            <w:r>
              <w:rPr>
                <w:rFonts w:ascii="Arial" w:cs="Arial" w:eastAsia="Arial" w:hAnsi="Arial"/>
                <w:sz w:val="14"/>
                <w:szCs w:val="14"/>
                <w:color w:val="auto"/>
              </w:rPr>
              <w:t>7/18/2019(5) ​​ ​</w:t>
            </w:r>
          </w:p>
        </w:tc>
        <w:tc>
          <w:tcPr>
            <w:tcW w:w="1060" w:type="dxa"/>
            <w:vAlign w:val="bottom"/>
          </w:tcPr>
          <w:p>
            <w:pPr>
              <w:jc w:val="center"/>
              <w:spacing w:after="0"/>
              <w:rPr>
                <w:sz w:val="20"/>
                <w:szCs w:val="20"/>
                <w:color w:val="auto"/>
              </w:rPr>
            </w:pPr>
            <w:r>
              <w:rPr>
                <w:rFonts w:ascii="Arial" w:cs="Arial" w:eastAsia="Arial" w:hAnsi="Arial"/>
                <w:sz w:val="14"/>
                <w:szCs w:val="14"/>
                <w:color w:val="auto"/>
              </w:rPr>
              <w:t>153,075</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1240" w:type="dxa"/>
            <w:vAlign w:val="bottom"/>
          </w:tcPr>
          <w:p>
            <w:pPr>
              <w:jc w:val="center"/>
              <w:ind w:right="9"/>
              <w:spacing w:after="0"/>
              <w:rPr>
                <w:sz w:val="20"/>
                <w:szCs w:val="20"/>
                <w:color w:val="auto"/>
              </w:rPr>
            </w:pPr>
            <w:r>
              <w:rPr>
                <w:rFonts w:ascii="Arial" w:cs="Arial" w:eastAsia="Arial" w:hAnsi="Arial"/>
                <w:sz w:val="14"/>
                <w:szCs w:val="14"/>
                <w:color w:val="auto"/>
              </w:rPr>
              <w:t>69,580</w:t>
            </w:r>
          </w:p>
        </w:tc>
        <w:tc>
          <w:tcPr>
            <w:tcW w:w="16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$1.03</w:t>
            </w:r>
          </w:p>
        </w:tc>
        <w:tc>
          <w:tcPr>
            <w:tcW w:w="220" w:type="dxa"/>
            <w:vAlign w:val="bottom"/>
          </w:tcPr>
          <w:p>
            <w:pPr>
              <w:ind w:left="40"/>
              <w:spacing w:after="0"/>
              <w:rPr>
                <w:sz w:val="20"/>
                <w:szCs w:val="20"/>
                <w:color w:val="auto"/>
              </w:rPr>
            </w:pPr>
            <w:r>
              <w:rPr>
                <w:rFonts w:ascii="Arial" w:cs="Arial" w:eastAsia="Arial" w:hAnsi="Arial"/>
                <w:sz w:val="14"/>
                <w:szCs w:val="14"/>
                <w:color w:val="auto"/>
              </w:rPr>
              <w:t>​ ​</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7/17/2029</w:t>
            </w:r>
          </w:p>
        </w:tc>
        <w:tc>
          <w:tcPr>
            <w:tcW w:w="180" w:type="dxa"/>
            <w:vAlign w:val="bottom"/>
          </w:tcPr>
          <w:p>
            <w:pPr>
              <w:ind w:left="40"/>
              <w:spacing w:after="0"/>
              <w:rPr>
                <w:sz w:val="20"/>
                <w:szCs w:val="20"/>
                <w:color w:val="auto"/>
              </w:rPr>
            </w:pPr>
            <w:r>
              <w:rPr>
                <w:rFonts w:ascii="Arial" w:cs="Arial" w:eastAsia="Arial" w:hAnsi="Arial"/>
                <w:sz w:val="14"/>
                <w:szCs w:val="14"/>
                <w:color w:val="auto"/>
              </w:rPr>
              <w:t>​ ​</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 ​</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740" w:type="dxa"/>
            <w:vAlign w:val="bottom"/>
            <w:tcBorders>
              <w:left w:val="single" w:sz="8" w:color="auto"/>
            </w:tcBorders>
          </w:tcPr>
          <w:p>
            <w:pPr>
              <w:ind w:left="60"/>
              <w:spacing w:after="0" w:line="158" w:lineRule="exact"/>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Farid,</w:t>
            </w:r>
          </w:p>
        </w:tc>
        <w:tc>
          <w:tcPr>
            <w:tcW w:w="108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Ph.D.</w:t>
            </w:r>
          </w:p>
        </w:tc>
        <w:tc>
          <w:tcPr>
            <w:tcW w:w="1260" w:type="dxa"/>
            <w:vAlign w:val="bottom"/>
            <w:tcBorders>
              <w:bottom w:val="single" w:sz="8" w:color="auto"/>
            </w:tcBorders>
            <w:gridSpan w:val="4"/>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r>
              <w:rPr>
                <w:rFonts w:ascii="Arial" w:cs="Arial" w:eastAsia="Arial" w:hAnsi="Arial"/>
                <w:sz w:val="14"/>
                <w:szCs w:val="14"/>
                <w:color w:val="auto"/>
              </w:rPr>
              <w:t xml:space="preserve">4/16/2021(4) </w:t>
            </w:r>
            <w:r>
              <w:rPr>
                <w:rFonts w:ascii="Arial" w:cs="Arial" w:eastAsia="Arial" w:hAnsi="Arial"/>
                <w:sz w:val="28"/>
                <w:szCs w:val="28"/>
                <w:color w:val="auto"/>
                <w:vertAlign w:val="subscript"/>
              </w:rPr>
              <w:t>​​ ​</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rPr>
              <w:t>207,649</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$7.27</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4/15/2031</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40" w:type="dxa"/>
            <w:vAlign w:val="bottom"/>
            <w:tcBorders>
              <w:left w:val="single" w:sz="8" w:color="auto"/>
            </w:tcBorders>
          </w:tcPr>
          <w:p>
            <w:pPr>
              <w:ind w:left="100"/>
              <w:spacing w:after="0"/>
              <w:rPr>
                <w:sz w:val="20"/>
                <w:szCs w:val="20"/>
                <w:color w:val="auto"/>
              </w:rPr>
            </w:pPr>
            <w:r>
              <w:rPr>
                <w:rFonts w:ascii="Arial" w:cs="Arial" w:eastAsia="Arial" w:hAnsi="Arial"/>
                <w:sz w:val="14"/>
                <w:szCs w:val="14"/>
                <w:b w:val="1"/>
                <w:bCs w:val="1"/>
                <w:color w:val="auto"/>
              </w:rPr>
              <w:t>Luis</w:t>
            </w:r>
          </w:p>
        </w:tc>
        <w:tc>
          <w:tcPr>
            <w:tcW w:w="1260" w:type="dxa"/>
            <w:vAlign w:val="bottom"/>
            <w:gridSpan w:val="4"/>
          </w:tcPr>
          <w:p>
            <w:pPr>
              <w:jc w:val="right"/>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7/18/2019(5)</w:t>
            </w:r>
            <w:r>
              <w:rPr>
                <w:rFonts w:ascii="Arial" w:cs="Arial" w:eastAsia="Arial" w:hAnsi="Arial"/>
                <w:sz w:val="12"/>
                <w:szCs w:val="12"/>
                <w:b w:val="1"/>
                <w:bCs w:val="1"/>
                <w:color w:val="auto"/>
              </w:rPr>
              <w:t xml:space="preserve"> </w:t>
            </w:r>
            <w:r>
              <w:rPr>
                <w:rFonts w:ascii="Arial" w:cs="Arial" w:eastAsia="Arial" w:hAnsi="Arial"/>
                <w:sz w:val="21"/>
                <w:szCs w:val="21"/>
                <w:color w:val="auto"/>
                <w:vertAlign w:val="subscript"/>
              </w:rPr>
              <w:t>​​ ​</w:t>
            </w:r>
          </w:p>
        </w:tc>
        <w:tc>
          <w:tcPr>
            <w:tcW w:w="1060" w:type="dxa"/>
            <w:vAlign w:val="bottom"/>
          </w:tcPr>
          <w:p>
            <w:pPr>
              <w:jc w:val="center"/>
              <w:spacing w:after="0"/>
              <w:rPr>
                <w:sz w:val="20"/>
                <w:szCs w:val="20"/>
                <w:color w:val="auto"/>
              </w:rPr>
            </w:pPr>
            <w:r>
              <w:rPr>
                <w:rFonts w:ascii="Arial" w:cs="Arial" w:eastAsia="Arial" w:hAnsi="Arial"/>
                <w:sz w:val="14"/>
                <w:szCs w:val="14"/>
                <w:color w:val="auto"/>
              </w:rPr>
              <w:t>238,464</w:t>
            </w:r>
          </w:p>
        </w:tc>
        <w:tc>
          <w:tcPr>
            <w:tcW w:w="200" w:type="dxa"/>
            <w:vAlign w:val="bottom"/>
          </w:tcPr>
          <w:p>
            <w:pPr>
              <w:ind w:left="40"/>
              <w:spacing w:after="0"/>
              <w:rPr>
                <w:sz w:val="20"/>
                <w:szCs w:val="20"/>
                <w:color w:val="auto"/>
              </w:rPr>
            </w:pPr>
            <w:r>
              <w:rPr>
                <w:rFonts w:ascii="Arial" w:cs="Arial" w:eastAsia="Arial" w:hAnsi="Arial"/>
                <w:sz w:val="14"/>
                <w:szCs w:val="14"/>
                <w:color w:val="auto"/>
              </w:rPr>
              <w:t>​ ​</w:t>
            </w:r>
          </w:p>
        </w:tc>
        <w:tc>
          <w:tcPr>
            <w:tcW w:w="1240" w:type="dxa"/>
            <w:vAlign w:val="bottom"/>
          </w:tcPr>
          <w:p>
            <w:pPr>
              <w:jc w:val="center"/>
              <w:ind w:right="9"/>
              <w:spacing w:after="0"/>
              <w:rPr>
                <w:sz w:val="20"/>
                <w:szCs w:val="20"/>
                <w:color w:val="auto"/>
              </w:rPr>
            </w:pPr>
            <w:r>
              <w:rPr>
                <w:rFonts w:ascii="Arial" w:cs="Arial" w:eastAsia="Arial" w:hAnsi="Arial"/>
                <w:sz w:val="14"/>
                <w:szCs w:val="14"/>
                <w:color w:val="auto"/>
              </w:rPr>
              <w:t>119,232</w:t>
            </w:r>
          </w:p>
        </w:tc>
        <w:tc>
          <w:tcPr>
            <w:tcW w:w="160" w:type="dxa"/>
            <w:vAlign w:val="bottom"/>
          </w:tcPr>
          <w:p>
            <w:pPr>
              <w:ind w:left="20"/>
              <w:spacing w:after="0"/>
              <w:rPr>
                <w:sz w:val="20"/>
                <w:szCs w:val="20"/>
                <w:color w:val="auto"/>
              </w:rPr>
            </w:pPr>
            <w:r>
              <w:rPr>
                <w:rFonts w:ascii="Arial" w:cs="Arial" w:eastAsia="Arial" w:hAnsi="Arial"/>
                <w:sz w:val="14"/>
                <w:szCs w:val="14"/>
                <w:color w:val="auto"/>
              </w:rPr>
              <w:t>​ ​</w:t>
            </w:r>
          </w:p>
        </w:tc>
        <w:tc>
          <w:tcPr>
            <w:tcW w:w="720" w:type="dxa"/>
            <w:vAlign w:val="bottom"/>
          </w:tcPr>
          <w:p>
            <w:pPr>
              <w:jc w:val="center"/>
              <w:spacing w:after="0"/>
              <w:rPr>
                <w:sz w:val="20"/>
                <w:szCs w:val="20"/>
                <w:color w:val="auto"/>
              </w:rPr>
            </w:pPr>
            <w:r>
              <w:rPr>
                <w:rFonts w:ascii="Arial" w:cs="Arial" w:eastAsia="Arial" w:hAnsi="Arial"/>
                <w:sz w:val="14"/>
                <w:szCs w:val="14"/>
                <w:color w:val="auto"/>
              </w:rPr>
              <w:t>$1.03</w:t>
            </w:r>
          </w:p>
        </w:tc>
        <w:tc>
          <w:tcPr>
            <w:tcW w:w="220" w:type="dxa"/>
            <w:vAlign w:val="bottom"/>
          </w:tcPr>
          <w:p>
            <w:pPr>
              <w:ind w:left="40"/>
              <w:spacing w:after="0"/>
              <w:rPr>
                <w:sz w:val="20"/>
                <w:szCs w:val="20"/>
                <w:color w:val="auto"/>
              </w:rPr>
            </w:pPr>
            <w:r>
              <w:rPr>
                <w:rFonts w:ascii="Arial" w:cs="Arial" w:eastAsia="Arial" w:hAnsi="Arial"/>
                <w:sz w:val="14"/>
                <w:szCs w:val="14"/>
                <w:color w:val="auto"/>
              </w:rPr>
              <w:t>​ ​</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rPr>
              <w:t>7/17/2029</w:t>
            </w:r>
          </w:p>
        </w:tc>
        <w:tc>
          <w:tcPr>
            <w:tcW w:w="180" w:type="dxa"/>
            <w:vAlign w:val="bottom"/>
          </w:tcPr>
          <w:p>
            <w:pPr>
              <w:ind w:left="40"/>
              <w:spacing w:after="0"/>
              <w:rPr>
                <w:sz w:val="20"/>
                <w:szCs w:val="20"/>
                <w:color w:val="auto"/>
              </w:rPr>
            </w:pPr>
            <w:r>
              <w:rPr>
                <w:rFonts w:ascii="Arial" w:cs="Arial" w:eastAsia="Arial" w:hAnsi="Arial"/>
                <w:sz w:val="14"/>
                <w:szCs w:val="14"/>
                <w:color w:val="auto"/>
              </w:rPr>
              <w:t>​ ​</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ind w:left="60"/>
              <w:spacing w:after="0"/>
              <w:rPr>
                <w:sz w:val="20"/>
                <w:szCs w:val="20"/>
                <w:color w:val="auto"/>
              </w:rPr>
            </w:pPr>
            <w:r>
              <w:rPr>
                <w:rFonts w:ascii="Arial" w:cs="Arial" w:eastAsia="Arial" w:hAnsi="Arial"/>
                <w:sz w:val="14"/>
                <w:szCs w:val="14"/>
                <w:color w:val="auto"/>
              </w:rPr>
              <w:t>​ ​</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2"/>
        </w:trPr>
        <w:tc>
          <w:tcPr>
            <w:tcW w:w="740" w:type="dxa"/>
            <w:vAlign w:val="bottom"/>
            <w:tcBorders>
              <w:left w:val="single" w:sz="8" w:color="auto"/>
            </w:tcBorders>
          </w:tcPr>
          <w:p>
            <w:pPr>
              <w:ind w:left="60"/>
              <w:spacing w:after="0" w:line="25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b w:val="1"/>
                <w:bCs w:val="1"/>
                <w:color w:val="auto"/>
              </w:rPr>
              <w:t>Borges,</w:t>
            </w:r>
          </w:p>
        </w:tc>
        <w:tc>
          <w:tcPr>
            <w:tcW w:w="1080" w:type="dxa"/>
            <w:vAlign w:val="bottom"/>
          </w:tcPr>
          <w:p>
            <w:pPr>
              <w:jc w:val="right"/>
              <w:spacing w:after="0" w:line="25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​4/16/2021(4)</w:t>
            </w:r>
          </w:p>
        </w:tc>
        <w:tc>
          <w:tcPr>
            <w:tcW w:w="18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240" w:type="dxa"/>
            <w:vAlign w:val="bottom"/>
            <w:vMerge w:val="restart"/>
          </w:tcPr>
          <w:p>
            <w:pPr>
              <w:jc w:val="center"/>
              <w:ind w:right="9"/>
              <w:spacing w:after="0"/>
              <w:rPr>
                <w:sz w:val="20"/>
                <w:szCs w:val="20"/>
                <w:color w:val="auto"/>
              </w:rPr>
            </w:pPr>
            <w:r>
              <w:rPr>
                <w:rFonts w:ascii="Arial" w:cs="Arial" w:eastAsia="Arial" w:hAnsi="Arial"/>
                <w:sz w:val="14"/>
                <w:szCs w:val="14"/>
                <w:color w:val="auto"/>
              </w:rPr>
              <w:t>146,826</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$7.27</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center"/>
              <w:ind w:right="8"/>
              <w:spacing w:after="0"/>
              <w:rPr>
                <w:sz w:val="20"/>
                <w:szCs w:val="20"/>
                <w:color w:val="auto"/>
              </w:rPr>
            </w:pPr>
            <w:r>
              <w:rPr>
                <w:rFonts w:ascii="Arial" w:cs="Arial" w:eastAsia="Arial" w:hAnsi="Arial"/>
                <w:sz w:val="14"/>
                <w:szCs w:val="14"/>
                <w:color w:val="auto"/>
              </w:rPr>
              <w:t>4/15/2031</w:t>
            </w:r>
          </w:p>
        </w:tc>
        <w:tc>
          <w:tcPr>
            <w:tcW w:w="18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4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Ph.D.</w:t>
            </w: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auto"/>
            </w:tcBorders>
            <w:gridSpan w:val="3"/>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240" w:right="19" w:hanging="370"/>
        <w:spacing w:after="0" w:line="268"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market value is based on the closing stock price of $15.86 on December 31, 2021 (the last trading date in the 2021 fiscal year).</w:t>
      </w:r>
    </w:p>
    <w:p>
      <w:pPr>
        <w:spacing w:after="0" w:line="21" w:lineRule="exact"/>
        <w:rPr>
          <w:rFonts w:ascii="Arial" w:cs="Arial" w:eastAsia="Arial" w:hAnsi="Arial"/>
          <w:sz w:val="16"/>
          <w:szCs w:val="16"/>
          <w:color w:val="auto"/>
        </w:rPr>
      </w:pPr>
    </w:p>
    <w:p>
      <w:pPr>
        <w:ind w:left="1240" w:right="19" w:hanging="370"/>
        <w:spacing w:after="0" w:line="268"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restricted stock award vests as follows 25% on the first anniversary of the grant date and the remaining 75% in 36 equal monthly installments thereafter, subject generally to the NEO’s continued employment with us.</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option vests 25% on the first anniversary of the grant date and the remaining 75% in 36 equal monthly installments thereafter, subject generally to the NEO’s continued employment with us.</w:t>
      </w:r>
    </w:p>
    <w:p>
      <w:pPr>
        <w:spacing w:after="0" w:line="21" w:lineRule="exact"/>
        <w:rPr>
          <w:rFonts w:ascii="Arial" w:cs="Arial" w:eastAsia="Arial" w:hAnsi="Arial"/>
          <w:sz w:val="16"/>
          <w:szCs w:val="16"/>
          <w:color w:val="auto"/>
        </w:rPr>
      </w:pPr>
    </w:p>
    <w:p>
      <w:pPr>
        <w:ind w:left="1240" w:right="39" w:hanging="370"/>
        <w:spacing w:after="0" w:line="268"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option vests 25% on June 22, 2022, with the remaining 75% vesting in 36 equal monthly installments, subject generally to the NEO’s continued employment with us.</w:t>
      </w:r>
    </w:p>
    <w:p>
      <w:pPr>
        <w:spacing w:after="0" w:line="21" w:lineRule="exact"/>
        <w:rPr>
          <w:rFonts w:ascii="Arial" w:cs="Arial" w:eastAsia="Arial" w:hAnsi="Arial"/>
          <w:sz w:val="16"/>
          <w:szCs w:val="16"/>
          <w:color w:val="auto"/>
        </w:rPr>
      </w:pPr>
    </w:p>
    <w:p>
      <w:pPr>
        <w:jc w:val="both"/>
        <w:ind w:left="1240" w:right="19" w:hanging="370"/>
        <w:spacing w:after="0" w:line="248" w:lineRule="auto"/>
        <w:tabs>
          <w:tab w:leader="none" w:pos="1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option vests 25% on March 1, 2020, with the remaining 75% vesting in 36 equal monthly installments, subject generally to the NEO’s continued employment with us. The unexercisable options are subject to an “early exercise” feature that permits exercise prior to vesting. Upon such an early exercise, the NEO will acquire restricted shares subject to the same vesting schedule as the original option.</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EMPLOYMENT AGREEMENTS</w:t>
      </w:r>
    </w:p>
    <w:p>
      <w:pPr>
        <w:spacing w:after="0" w:line="158"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We have entered into employment agreements with all of our executive officers. The material terms of the employment agreements between us and our NEOs are described in more detail below.</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Osvaldo Flores, Ph.D.</w:t>
      </w:r>
    </w:p>
    <w:p>
      <w:pPr>
        <w:spacing w:after="0" w:line="158"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In connection with the IPO, we entered into an employment agreement with Dr. Flores dated May 26, 2021. Dr. Flores’ employment agreement provides for a base salary of $557,000, an annual bonus opportunity equal to 50% of his base salary, and eligibility to participate generally in our employee benefit plans.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Adrienne Farid, Ph.D.</w:t>
      </w:r>
    </w:p>
    <w:p>
      <w:pPr>
        <w:spacing w:after="0" w:line="144" w:lineRule="exact"/>
        <w:rPr>
          <w:sz w:val="20"/>
          <w:szCs w:val="20"/>
          <w:color w:val="auto"/>
        </w:rPr>
      </w:pPr>
    </w:p>
    <w:p>
      <w:pPr>
        <w:jc w:val="both"/>
        <w:ind w:left="880" w:right="39"/>
        <w:spacing w:after="0" w:line="268" w:lineRule="auto"/>
        <w:rPr>
          <w:sz w:val="20"/>
          <w:szCs w:val="20"/>
          <w:color w:val="auto"/>
        </w:rPr>
      </w:pPr>
      <w:r>
        <w:rPr>
          <w:rFonts w:ascii="Arial" w:cs="Arial" w:eastAsia="Arial" w:hAnsi="Arial"/>
          <w:sz w:val="18"/>
          <w:szCs w:val="18"/>
          <w:color w:val="auto"/>
        </w:rPr>
        <w:t>In connection with the IPO, we entered into an employment agreement with Dr. Farid dated May 26, 2021. Dr. Farid’s employment agreement provides for a base salary of $437,800, an annual bonus opportunity equal to 40% of her base salary, and eligibility to participate generally in our employee benefit plans.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Luis Borges, Ph.D.</w:t>
      </w:r>
    </w:p>
    <w:p>
      <w:pPr>
        <w:spacing w:after="0" w:line="158" w:lineRule="exact"/>
        <w:rPr>
          <w:sz w:val="20"/>
          <w:szCs w:val="20"/>
          <w:color w:val="auto"/>
        </w:rPr>
      </w:pPr>
    </w:p>
    <w:p>
      <w:pPr>
        <w:jc w:val="both"/>
        <w:ind w:left="880" w:right="19"/>
        <w:spacing w:after="0" w:line="268" w:lineRule="auto"/>
        <w:rPr>
          <w:sz w:val="20"/>
          <w:szCs w:val="20"/>
          <w:color w:val="auto"/>
        </w:rPr>
      </w:pPr>
      <w:r>
        <w:rPr>
          <w:rFonts w:ascii="Arial" w:cs="Arial" w:eastAsia="Arial" w:hAnsi="Arial"/>
          <w:sz w:val="18"/>
          <w:szCs w:val="18"/>
          <w:color w:val="auto"/>
        </w:rPr>
        <w:t>In connection with the IPO, we entered into an employment agreement with Dr. Borges dated May 26, 2021. Dr. Borges’ employment agreement provides for a base salary of $430,700, an annual bonus opportunity equal to 40% of his base salary, and eligibility to participate generally in our employee benefit plans.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Severance Benefits Under the Employment Agreements</w:t>
      </w:r>
    </w:p>
    <w:p>
      <w:pPr>
        <w:spacing w:after="0" w:line="144" w:lineRule="exact"/>
        <w:rPr>
          <w:sz w:val="20"/>
          <w:szCs w:val="20"/>
          <w:color w:val="auto"/>
        </w:rPr>
      </w:pPr>
    </w:p>
    <w:p>
      <w:pPr>
        <w:jc w:val="both"/>
        <w:ind w:left="880" w:right="39"/>
        <w:spacing w:after="0" w:line="261" w:lineRule="auto"/>
        <w:rPr>
          <w:sz w:val="20"/>
          <w:szCs w:val="20"/>
          <w:color w:val="auto"/>
        </w:rPr>
      </w:pPr>
      <w:r>
        <w:rPr>
          <w:rFonts w:ascii="Arial" w:cs="Arial" w:eastAsia="Arial" w:hAnsi="Arial"/>
          <w:sz w:val="18"/>
          <w:szCs w:val="18"/>
          <w:color w:val="auto"/>
        </w:rPr>
        <w:t>Each of the employment agreements between us and our NEOs provides for severance benefits upon a termination of the NEO’s employment by us without cause, or resignation by the NEO for good reason, subject to each NEO’s execution of a general release of claims. The severance benefits are:</w:t>
      </w:r>
    </w:p>
    <w:p>
      <w:pPr>
        <w:spacing w:after="0" w:line="54" w:lineRule="exact"/>
        <w:rPr>
          <w:sz w:val="20"/>
          <w:szCs w:val="20"/>
          <w:color w:val="auto"/>
        </w:rPr>
      </w:pPr>
    </w:p>
    <w:p>
      <w:pPr>
        <w:ind w:left="1420" w:hanging="19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of any otherwise earned but unpaid annual bonus for the prior year, and</w:t>
      </w:r>
    </w:p>
    <w:p>
      <w:pPr>
        <w:spacing w:after="0" w:line="117" w:lineRule="exact"/>
        <w:rPr>
          <w:rFonts w:ascii="Arial" w:cs="Arial" w:eastAsia="Arial" w:hAnsi="Arial"/>
          <w:sz w:val="18"/>
          <w:szCs w:val="18"/>
          <w:color w:val="auto"/>
        </w:rPr>
      </w:pPr>
    </w:p>
    <w:p>
      <w:pPr>
        <w:ind w:left="1420" w:right="39" w:hanging="190"/>
        <w:spacing w:after="0" w:line="28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continuation of such NEO’s base salary and payment of such NEO’s COBRA premiums by us for a period of nine months for each of Dr. Farid and Dr. Borges and a period of twelve months for Dr. Flores.</w:t>
      </w:r>
    </w:p>
    <w:p>
      <w:pPr>
        <w:spacing w:after="0" w:line="85" w:lineRule="exact"/>
        <w:rPr>
          <w:sz w:val="20"/>
          <w:szCs w:val="20"/>
          <w:color w:val="auto"/>
        </w:rPr>
      </w:pPr>
    </w:p>
    <w:p>
      <w:pPr>
        <w:ind w:left="880" w:right="39"/>
        <w:spacing w:after="0" w:line="271" w:lineRule="auto"/>
        <w:rPr>
          <w:sz w:val="20"/>
          <w:szCs w:val="20"/>
          <w:color w:val="auto"/>
        </w:rPr>
      </w:pPr>
      <w:r>
        <w:rPr>
          <w:rFonts w:ascii="Arial" w:cs="Arial" w:eastAsia="Arial" w:hAnsi="Arial"/>
          <w:sz w:val="18"/>
          <w:szCs w:val="18"/>
          <w:color w:val="auto"/>
        </w:rPr>
        <w:t>In addition, if such termination without cause or resignation for good reason occurs within three months prior to or twelve months immediately following a change in control:</w:t>
      </w:r>
    </w:p>
    <w:p>
      <w:pPr>
        <w:spacing w:after="0" w:line="46" w:lineRule="exact"/>
        <w:rPr>
          <w:sz w:val="20"/>
          <w:szCs w:val="20"/>
          <w:color w:val="auto"/>
        </w:rPr>
      </w:pPr>
    </w:p>
    <w:p>
      <w:pPr>
        <w:ind w:left="1420" w:right="19" w:hanging="190"/>
        <w:spacing w:after="0" w:line="28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 of the NEO’s salary continuation and COBRA premium subsidy will be extended from nine months to 12 months for Dr. Farid and Dr. Borges and from 12 months to 18 months for Dr. Flores,</w:t>
      </w:r>
    </w:p>
    <w:p>
      <w:pPr>
        <w:spacing w:after="0" w:line="44" w:lineRule="exact"/>
        <w:rPr>
          <w:rFonts w:ascii="Arial" w:cs="Arial" w:eastAsia="Arial" w:hAnsi="Arial"/>
          <w:sz w:val="18"/>
          <w:szCs w:val="18"/>
          <w:color w:val="auto"/>
        </w:rPr>
      </w:pPr>
    </w:p>
    <w:p>
      <w:pPr>
        <w:ind w:left="1420" w:hanging="190"/>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NEO will receive a lump sum payment in an amount equal to such NEO’s target annual bonus, and</w:t>
      </w:r>
    </w:p>
    <w:p>
      <w:pPr>
        <w:spacing w:after="0" w:line="103" w:lineRule="exact"/>
        <w:rPr>
          <w:rFonts w:ascii="Arial" w:cs="Arial" w:eastAsia="Arial" w:hAnsi="Arial"/>
          <w:sz w:val="18"/>
          <w:szCs w:val="18"/>
          <w:color w:val="auto"/>
        </w:rPr>
      </w:pPr>
    </w:p>
    <w:p>
      <w:pPr>
        <w:ind w:left="1420" w:right="19" w:hanging="190"/>
        <w:spacing w:after="0" w:line="28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such NEO’s outstanding equity awards that are subject to vesting solely based on the passage of time will vest in full on the later of the NEO’s termination date and the change in control.</w:t>
      </w:r>
    </w:p>
    <w:p>
      <w:pPr>
        <w:spacing w:after="0" w:line="85"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In each case, the payment of severance benefits will be conditioned on the NEO’s execution of a release of claims.</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purposes of each of the employment agreements described above:</w:t>
      </w:r>
    </w:p>
    <w:p>
      <w:pPr>
        <w:spacing w:after="0" w:line="104" w:lineRule="exact"/>
        <w:rPr>
          <w:sz w:val="20"/>
          <w:szCs w:val="20"/>
          <w:color w:val="auto"/>
        </w:rPr>
      </w:pPr>
    </w:p>
    <w:p>
      <w:pPr>
        <w:jc w:val="both"/>
        <w:ind w:left="1420" w:right="19" w:hanging="190"/>
        <w:spacing w:after="0" w:line="252"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(i) conduct constituting a material act of misconduct in connection with the performance of the executive’s duties, including, without limitation, a material misappropriation of our or any of our subsidiaries or affiliates’ funds or property; (ii) the commission of any felony or a misdemeanor involving moral turpitude, deceit, dishonesty or fraud, or any conduct that would reasonably be expected to result in material injury or reputational harm to us or any of our subsidiaries and affiliates; (iii) continued material non-performance duties (other than by reason of physical or mental illness, incapacity or disability) which has continued for more than 10 days following written notice of such non-performance from the Board; (iv) a material breach of the Information Agreement (as defined below), any other agreement with the us or our affiliates, or of any duty owed to the us or our affiliates, which breach is not cured within 10 days after the delivery of written notice thereof; (v) a material violation of our written employment policies, including policies prohibiting sexual harassment, which violation is not cured within 10 days after the delivery of written notice thereof; (vi) alcohol abuse or use of controlled substances (other than prescription drugs taken in accordance with a physician’s prescription); or (vii) failure to cooperate with a bona fide internal investigation or an investigation by regulatory or law enforcement authorities, after being instructed by us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85" w:lineRule="exact"/>
        <w:rPr>
          <w:rFonts w:ascii="Arial" w:cs="Arial" w:eastAsia="Arial" w:hAnsi="Arial"/>
          <w:sz w:val="18"/>
          <w:szCs w:val="18"/>
          <w:color w:val="auto"/>
        </w:rPr>
      </w:pPr>
    </w:p>
    <w:p>
      <w:pPr>
        <w:jc w:val="both"/>
        <w:ind w:left="1420" w:right="19" w:hanging="190"/>
        <w:spacing w:after="0" w:line="254"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means (i) a material diminution in title, responsibilities, authority or duties (provided that, in the case of Dr. Flores, the failure of our stockholders to re-elect him to the Board will not be construed as a material diminution in his title, responsibilities, authority or duties); (ii) a material diminution in base salary, except for across-the-board salary reductions similarly affecting all or substantially all executives of the Company; (iii) a change of more than 50 miles in the geographic location at which the executive provides services to the Company; or (iv) the material breach of the employment agreement by us; provided, however, that (a) the executive provides the Company with written objection to such event within 60 days after the initial occurrence thereof, (b) such event is not reversed or corrected by the Company within 30 days of its receipt of such written objection, and (c) the executive separates from service within 60 days following the expiration of that cure period.</w:t>
      </w:r>
    </w:p>
    <w:p>
      <w:pPr>
        <w:spacing w:after="0" w:line="77" w:lineRule="exact"/>
        <w:rPr>
          <w:rFonts w:ascii="Arial" w:cs="Arial" w:eastAsia="Arial" w:hAnsi="Arial"/>
          <w:sz w:val="18"/>
          <w:szCs w:val="18"/>
          <w:color w:val="auto"/>
        </w:rPr>
      </w:pPr>
    </w:p>
    <w:p>
      <w:pPr>
        <w:jc w:val="both"/>
        <w:ind w:left="1420" w:right="39" w:hanging="190"/>
        <w:spacing w:after="0" w:line="259" w:lineRule="auto"/>
        <w:tabs>
          <w:tab w:leader="none" w:pos="1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(i) any sale, of all or substantially all of our assets or (ii) our acquisition by another entity by means of any transaction (including a series of related transactions, but excluding our sale of securities for the purpose of raising additional capital) whereby our stockholders of record immediately prior to such transaction hold, immediately after such transactions, 50% or less of the voting power of the surviving or acquiring entity.</w:t>
      </w:r>
    </w:p>
    <w:p>
      <w:pPr>
        <w:spacing w:after="0" w:line="287"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​EXECUTIVE COMPENSATION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Proprietary Information and Assignment Agreements</w:t>
      </w:r>
    </w:p>
    <w:p>
      <w:pPr>
        <w:spacing w:after="0" w:line="144"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We have entered into proprietary information and assignment agreements, or the Information Agreements, with all of our NEOs, that include customary prohibitions against competition with us and solicitation of our customers and employees, both during employment and for one year following any cessation of employment (for Dr. Flores) or for nine months following cessation of employment (for each of Dr. Farid and Dr. Borges). The Information Agreements are incorporated by reference into the employment agreements and payment of any severance benefits under each executive’s employment agreement is conditioned on continued compliance with his or her Information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152" w:lineRule="exact"/>
        <w:rPr>
          <w:sz w:val="20"/>
          <w:szCs w:val="20"/>
          <w:color w:val="auto"/>
        </w:rPr>
      </w:pPr>
    </w:p>
    <w:p>
      <w:pPr>
        <w:ind w:left="880" w:right="400" w:firstLine="108"/>
        <w:spacing w:after="0" w:line="315" w:lineRule="auto"/>
        <w:rPr>
          <w:sz w:val="20"/>
          <w:szCs w:val="20"/>
          <w:color w:val="auto"/>
        </w:rPr>
      </w:pPr>
      <w:r>
        <w:rPr>
          <w:rFonts w:ascii="Arial" w:cs="Arial" w:eastAsia="Arial" w:hAnsi="Arial"/>
          <w:sz w:val="32"/>
          <w:szCs w:val="32"/>
          <w:b w:val="1"/>
          <w:bCs w:val="1"/>
          <w:color w:val="FFFFFF"/>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-593725</wp:posOffset>
            </wp:positionV>
            <wp:extent cx="5700395" cy="4972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w:t>
      </w:r>
    </w:p>
    <w:p>
      <w:pPr>
        <w:spacing w:after="0" w:line="344" w:lineRule="exact"/>
        <w:rPr>
          <w:sz w:val="20"/>
          <w:szCs w:val="20"/>
          <w:color w:val="auto"/>
        </w:rPr>
      </w:pPr>
    </w:p>
    <w:p>
      <w:pPr>
        <w:sectPr>
          <w:pgSz w:w="11900" w:h="16838" w:orient="portrait"/>
          <w:cols w:equalWidth="0" w:num="2">
            <w:col w:w="9020" w:space="720"/>
            <w:col w:w="139"/>
          </w:cols>
          <w:pgMar w:left="580" w:top="97" w:right="1440" w:bottom="1440" w:gutter="0" w:footer="0" w:header="0"/>
          <w:type w:val="continuous"/>
        </w:sectPr>
      </w:pPr>
    </w:p>
    <w:p>
      <w:pPr>
        <w:jc w:val="both"/>
        <w:ind w:left="880" w:right="19"/>
        <w:spacing w:after="0" w:line="252" w:lineRule="auto"/>
        <w:rPr>
          <w:sz w:val="20"/>
          <w:szCs w:val="20"/>
          <w:color w:val="auto"/>
        </w:rPr>
      </w:pPr>
      <w:r>
        <w:rPr>
          <w:rFonts w:ascii="Arial" w:cs="Arial" w:eastAsia="Arial" w:hAnsi="Arial"/>
          <w:sz w:val="18"/>
          <w:szCs w:val="18"/>
          <w:color w:val="auto"/>
        </w:rPr>
        <w:t>Since January 1, 2020,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Series C Financing</w:t>
      </w:r>
    </w:p>
    <w:p>
      <w:pPr>
        <w:spacing w:after="0" w:line="158"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On February 25, 2021, we sold 24,721,999 shares of our Series C preferred stock, par value $0.0001 per share, or the Series C Preferred Stock for gross proceeds of approximately $160 million, or the Series C Financing. The table below sets forth the number of shares of Series C Preferred Stock purchased by holders of more than 5% of our capital stock and their affiliated entities or immediate family members.</w:t>
      </w:r>
    </w:p>
    <w:p>
      <w:pPr>
        <w:spacing w:after="0" w:line="142" w:lineRule="exact"/>
        <w:rPr>
          <w:sz w:val="20"/>
          <w:szCs w:val="20"/>
          <w:color w:val="auto"/>
        </w:rPr>
      </w:pPr>
    </w:p>
    <w:tbl>
      <w:tblPr>
        <w:tblLayout w:type="fixed"/>
        <w:tblInd w:w="870" w:type="dxa"/>
        <w:tblCellMar>
          <w:top w:w="0" w:type="dxa"/>
          <w:left w:w="0" w:type="dxa"/>
          <w:bottom w:w="0" w:type="dxa"/>
          <w:right w:w="0" w:type="dxa"/>
        </w:tblCellMar>
      </w:tblPr>
      <w:tr>
        <w:trPr>
          <w:trHeight w:val="202"/>
        </w:trPr>
        <w:tc>
          <w:tcPr>
            <w:tcW w:w="1880" w:type="dxa"/>
            <w:vAlign w:val="bottom"/>
            <w:tcBorders>
              <w:top w:val="single" w:sz="8" w:color="auto"/>
              <w:left w:val="single" w:sz="8" w:color="auto"/>
            </w:tcBorders>
            <w:shd w:val="clear" w:color="auto" w:fill="248ED8"/>
          </w:tcPr>
          <w:p>
            <w:pPr>
              <w:spacing w:after="0"/>
              <w:rPr>
                <w:sz w:val="17"/>
                <w:szCs w:val="17"/>
                <w:color w:val="auto"/>
              </w:rPr>
            </w:pPr>
          </w:p>
        </w:tc>
        <w:tc>
          <w:tcPr>
            <w:tcW w:w="1840" w:type="dxa"/>
            <w:vAlign w:val="bottom"/>
            <w:tcBorders>
              <w:top w:val="single" w:sz="8" w:color="auto"/>
            </w:tcBorders>
            <w:shd w:val="clear" w:color="auto" w:fill="248ED8"/>
          </w:tcPr>
          <w:p>
            <w:pPr>
              <w:spacing w:after="0"/>
              <w:rPr>
                <w:sz w:val="17"/>
                <w:szCs w:val="17"/>
                <w:color w:val="auto"/>
              </w:rPr>
            </w:pPr>
          </w:p>
        </w:tc>
        <w:tc>
          <w:tcPr>
            <w:tcW w:w="1200" w:type="dxa"/>
            <w:vAlign w:val="bottom"/>
            <w:tcBorders>
              <w:top w:val="single" w:sz="8" w:color="auto"/>
            </w:tcBorders>
            <w:shd w:val="clear" w:color="auto" w:fill="248ED8"/>
          </w:tcPr>
          <w:p>
            <w:pPr>
              <w:spacing w:after="0"/>
              <w:rPr>
                <w:sz w:val="17"/>
                <w:szCs w:val="17"/>
                <w:color w:val="auto"/>
              </w:rPr>
            </w:pPr>
          </w:p>
        </w:tc>
        <w:tc>
          <w:tcPr>
            <w:tcW w:w="1860" w:type="dxa"/>
            <w:vAlign w:val="bottom"/>
            <w:tcBorders>
              <w:top w:val="single" w:sz="8" w:color="auto"/>
            </w:tcBorders>
            <w:vMerge w:val="restart"/>
            <w:shd w:val="clear" w:color="auto" w:fill="248ED8"/>
          </w:tcPr>
          <w:p>
            <w:pPr>
              <w:jc w:val="center"/>
              <w:spacing w:after="0"/>
              <w:rPr>
                <w:sz w:val="20"/>
                <w:szCs w:val="20"/>
                <w:color w:val="auto"/>
              </w:rPr>
            </w:pPr>
            <w:r>
              <w:rPr>
                <w:rFonts w:ascii="Arial" w:cs="Arial" w:eastAsia="Arial" w:hAnsi="Arial"/>
                <w:sz w:val="16"/>
                <w:szCs w:val="16"/>
                <w:b w:val="1"/>
                <w:bCs w:val="1"/>
                <w:color w:val="FFFFFF"/>
              </w:rPr>
              <w:t>SHARES OF SERIES C</w:t>
            </w:r>
          </w:p>
        </w:tc>
        <w:tc>
          <w:tcPr>
            <w:tcW w:w="200" w:type="dxa"/>
            <w:vAlign w:val="bottom"/>
            <w:tcBorders>
              <w:top w:val="single" w:sz="8" w:color="auto"/>
            </w:tcBorders>
            <w:shd w:val="clear" w:color="auto" w:fill="248ED8"/>
          </w:tcPr>
          <w:p>
            <w:pPr>
              <w:spacing w:after="0"/>
              <w:rPr>
                <w:sz w:val="17"/>
                <w:szCs w:val="17"/>
                <w:color w:val="auto"/>
              </w:rPr>
            </w:pPr>
          </w:p>
        </w:tc>
        <w:tc>
          <w:tcPr>
            <w:tcW w:w="1880" w:type="dxa"/>
            <w:vAlign w:val="bottom"/>
            <w:tcBorders>
              <w:top w:val="single" w:sz="8" w:color="auto"/>
            </w:tcBorders>
            <w:shd w:val="clear" w:color="auto" w:fill="248ED8"/>
          </w:tcPr>
          <w:p>
            <w:pPr>
              <w:jc w:val="center"/>
              <w:spacing w:after="0"/>
              <w:rPr>
                <w:sz w:val="20"/>
                <w:szCs w:val="20"/>
                <w:color w:val="auto"/>
              </w:rPr>
            </w:pPr>
            <w:r>
              <w:rPr>
                <w:rFonts w:ascii="Arial" w:cs="Arial" w:eastAsia="Arial" w:hAnsi="Arial"/>
                <w:sz w:val="16"/>
                <w:szCs w:val="16"/>
                <w:b w:val="1"/>
                <w:bCs w:val="1"/>
                <w:color w:val="FFFFFF"/>
                <w:w w:val="99"/>
              </w:rPr>
              <w:t>AGGREGATE CASH</w:t>
            </w:r>
          </w:p>
        </w:tc>
        <w:tc>
          <w:tcPr>
            <w:tcW w:w="140" w:type="dxa"/>
            <w:vAlign w:val="bottom"/>
            <w:tcBorders>
              <w:top w:val="single" w:sz="8" w:color="auto"/>
              <w:right w:val="single" w:sz="8" w:color="auto"/>
            </w:tcBorders>
            <w:shd w:val="clear" w:color="auto" w:fill="248ED8"/>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880" w:type="dxa"/>
            <w:vAlign w:val="bottom"/>
            <w:tcBorders>
              <w:left w:val="single" w:sz="8" w:color="auto"/>
            </w:tcBorders>
            <w:shd w:val="clear" w:color="auto" w:fill="248ED8"/>
          </w:tcPr>
          <w:p>
            <w:pPr>
              <w:spacing w:after="0"/>
              <w:rPr>
                <w:sz w:val="14"/>
                <w:szCs w:val="14"/>
                <w:color w:val="auto"/>
              </w:rPr>
            </w:pPr>
          </w:p>
        </w:tc>
        <w:tc>
          <w:tcPr>
            <w:tcW w:w="1840" w:type="dxa"/>
            <w:vAlign w:val="bottom"/>
            <w:shd w:val="clear" w:color="auto" w:fill="248ED8"/>
          </w:tcPr>
          <w:p>
            <w:pPr>
              <w:spacing w:after="0"/>
              <w:rPr>
                <w:sz w:val="14"/>
                <w:szCs w:val="14"/>
                <w:color w:val="auto"/>
              </w:rPr>
            </w:pPr>
          </w:p>
        </w:tc>
        <w:tc>
          <w:tcPr>
            <w:tcW w:w="1200" w:type="dxa"/>
            <w:vAlign w:val="bottom"/>
            <w:shd w:val="clear" w:color="auto" w:fill="248ED8"/>
          </w:tcPr>
          <w:p>
            <w:pPr>
              <w:spacing w:after="0"/>
              <w:rPr>
                <w:sz w:val="14"/>
                <w:szCs w:val="14"/>
                <w:color w:val="auto"/>
              </w:rPr>
            </w:pPr>
          </w:p>
        </w:tc>
        <w:tc>
          <w:tcPr>
            <w:tcW w:w="1860" w:type="dxa"/>
            <w:vAlign w:val="bottom"/>
            <w:vMerge w:val="continue"/>
            <w:shd w:val="clear" w:color="auto" w:fill="248ED8"/>
          </w:tcPr>
          <w:p>
            <w:pPr>
              <w:spacing w:after="0"/>
              <w:rPr>
                <w:sz w:val="14"/>
                <w:szCs w:val="14"/>
                <w:color w:val="auto"/>
              </w:rPr>
            </w:pPr>
          </w:p>
        </w:tc>
        <w:tc>
          <w:tcPr>
            <w:tcW w:w="200" w:type="dxa"/>
            <w:vAlign w:val="bottom"/>
            <w:shd w:val="clear" w:color="auto" w:fill="248ED8"/>
          </w:tcPr>
          <w:p>
            <w:pPr>
              <w:spacing w:after="0"/>
              <w:rPr>
                <w:sz w:val="14"/>
                <w:szCs w:val="14"/>
                <w:color w:val="auto"/>
              </w:rPr>
            </w:pPr>
          </w:p>
        </w:tc>
        <w:tc>
          <w:tcPr>
            <w:tcW w:w="1880" w:type="dxa"/>
            <w:vAlign w:val="bottom"/>
            <w:shd w:val="clear" w:color="auto" w:fill="248ED8"/>
          </w:tcPr>
          <w:p>
            <w:pPr>
              <w:jc w:val="center"/>
              <w:spacing w:after="0" w:line="163" w:lineRule="exact"/>
              <w:rPr>
                <w:sz w:val="20"/>
                <w:szCs w:val="20"/>
                <w:color w:val="auto"/>
              </w:rPr>
            </w:pPr>
            <w:r>
              <w:rPr>
                <w:rFonts w:ascii="Arial" w:cs="Arial" w:eastAsia="Arial" w:hAnsi="Arial"/>
                <w:sz w:val="16"/>
                <w:szCs w:val="16"/>
                <w:b w:val="1"/>
                <w:bCs w:val="1"/>
                <w:color w:val="FFFFFF"/>
              </w:rPr>
              <w:t>PURCHASE PRICE FOR</w:t>
            </w:r>
          </w:p>
        </w:tc>
        <w:tc>
          <w:tcPr>
            <w:tcW w:w="140" w:type="dxa"/>
            <w:vAlign w:val="bottom"/>
            <w:tcBorders>
              <w:right w:val="single" w:sz="8" w:color="auto"/>
            </w:tcBorders>
            <w:shd w:val="clear" w:color="auto" w:fill="248ED8"/>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880" w:type="dxa"/>
            <w:vAlign w:val="bottom"/>
            <w:tcBorders>
              <w:left w:val="single" w:sz="8" w:color="auto"/>
            </w:tcBorders>
            <w:shd w:val="clear" w:color="auto" w:fill="248ED8"/>
          </w:tcPr>
          <w:p>
            <w:pPr>
              <w:ind w:left="80"/>
              <w:spacing w:after="0"/>
              <w:rPr>
                <w:sz w:val="20"/>
                <w:szCs w:val="20"/>
                <w:color w:val="auto"/>
              </w:rPr>
            </w:pPr>
            <w:r>
              <w:rPr>
                <w:rFonts w:ascii="Arial" w:cs="Arial" w:eastAsia="Arial" w:hAnsi="Arial"/>
                <w:sz w:val="16"/>
                <w:szCs w:val="16"/>
                <w:b w:val="1"/>
                <w:bCs w:val="1"/>
                <w:color w:val="FFFFFF"/>
              </w:rPr>
              <w:t>​</w:t>
            </w:r>
          </w:p>
        </w:tc>
        <w:tc>
          <w:tcPr>
            <w:tcW w:w="1840" w:type="dxa"/>
            <w:vAlign w:val="bottom"/>
            <w:shd w:val="clear" w:color="auto" w:fill="248ED8"/>
          </w:tcPr>
          <w:p>
            <w:pPr>
              <w:ind w:left="280"/>
              <w:spacing w:after="0"/>
              <w:rPr>
                <w:sz w:val="20"/>
                <w:szCs w:val="20"/>
                <w:color w:val="auto"/>
              </w:rPr>
            </w:pPr>
            <w:r>
              <w:rPr>
                <w:rFonts w:ascii="Arial" w:cs="Arial" w:eastAsia="Arial" w:hAnsi="Arial"/>
                <w:sz w:val="16"/>
                <w:szCs w:val="16"/>
                <w:b w:val="1"/>
                <w:bCs w:val="1"/>
                <w:color w:val="FFFFFF"/>
              </w:rPr>
              <w:t>NAME</w:t>
            </w:r>
          </w:p>
        </w:tc>
        <w:tc>
          <w:tcPr>
            <w:tcW w:w="3060" w:type="dxa"/>
            <w:vAlign w:val="bottom"/>
            <w:gridSpan w:val="2"/>
            <w:shd w:val="clear" w:color="auto" w:fill="248ED8"/>
          </w:tcPr>
          <w:p>
            <w:pPr>
              <w:ind w:left="1020"/>
              <w:spacing w:after="0" w:line="202" w:lineRule="exact"/>
              <w:rPr>
                <w:sz w:val="20"/>
                <w:szCs w:val="20"/>
                <w:color w:val="auto"/>
              </w:rPr>
            </w:pPr>
            <w:r>
              <w:rPr>
                <w:rFonts w:ascii="Arial" w:cs="Arial" w:eastAsia="Arial" w:hAnsi="Arial"/>
                <w:sz w:val="23"/>
                <w:szCs w:val="23"/>
                <w:b w:val="1"/>
                <w:bCs w:val="1"/>
                <w:color w:val="FFFFFF"/>
                <w:vertAlign w:val="superscript"/>
              </w:rPr>
              <w:t>​ ​</w:t>
            </w:r>
            <w:r>
              <w:rPr>
                <w:rFonts w:ascii="Arial" w:cs="Arial" w:eastAsia="Arial" w:hAnsi="Arial"/>
                <w:sz w:val="13"/>
                <w:szCs w:val="13"/>
                <w:b w:val="1"/>
                <w:bCs w:val="1"/>
                <w:color w:val="FFFFFF"/>
              </w:rPr>
              <w:t>PREFERRED STOCK (#)</w:t>
            </w:r>
          </w:p>
        </w:tc>
        <w:tc>
          <w:tcPr>
            <w:tcW w:w="200" w:type="dxa"/>
            <w:vAlign w:val="bottom"/>
            <w:shd w:val="clear" w:color="auto" w:fill="248ED8"/>
          </w:tcPr>
          <w:p>
            <w:pPr>
              <w:ind w:left="40"/>
              <w:spacing w:after="0"/>
              <w:rPr>
                <w:sz w:val="20"/>
                <w:szCs w:val="20"/>
                <w:color w:val="auto"/>
              </w:rPr>
            </w:pPr>
            <w:r>
              <w:rPr>
                <w:rFonts w:ascii="Arial" w:cs="Arial" w:eastAsia="Arial" w:hAnsi="Arial"/>
                <w:sz w:val="16"/>
                <w:szCs w:val="16"/>
                <w:b w:val="1"/>
                <w:bCs w:val="1"/>
                <w:color w:val="FFFFFF"/>
              </w:rPr>
              <w:t>​ ​</w:t>
            </w:r>
          </w:p>
        </w:tc>
        <w:tc>
          <w:tcPr>
            <w:tcW w:w="188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rPr>
              <w:t>SERIES B</w:t>
            </w:r>
          </w:p>
        </w:tc>
        <w:tc>
          <w:tcPr>
            <w:tcW w:w="140" w:type="dxa"/>
            <w:vAlign w:val="bottom"/>
            <w:tcBorders>
              <w:right w:val="single" w:sz="8" w:color="auto"/>
            </w:tcBorders>
            <w:shd w:val="clear" w:color="auto" w:fill="248ED8"/>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62"/>
        </w:trPr>
        <w:tc>
          <w:tcPr>
            <w:tcW w:w="1880" w:type="dxa"/>
            <w:vAlign w:val="bottom"/>
            <w:tcBorders>
              <w:left w:val="single" w:sz="8" w:color="auto"/>
              <w:bottom w:val="single" w:sz="8" w:color="248ED8"/>
            </w:tcBorders>
            <w:shd w:val="clear" w:color="auto" w:fill="248ED8"/>
          </w:tcPr>
          <w:p>
            <w:pPr>
              <w:spacing w:after="0"/>
              <w:rPr>
                <w:sz w:val="22"/>
                <w:szCs w:val="22"/>
                <w:color w:val="auto"/>
              </w:rPr>
            </w:pPr>
          </w:p>
        </w:tc>
        <w:tc>
          <w:tcPr>
            <w:tcW w:w="1840" w:type="dxa"/>
            <w:vAlign w:val="bottom"/>
            <w:tcBorders>
              <w:bottom w:val="single" w:sz="8" w:color="248ED8"/>
            </w:tcBorders>
            <w:shd w:val="clear" w:color="auto" w:fill="248ED8"/>
          </w:tcPr>
          <w:p>
            <w:pPr>
              <w:spacing w:after="0"/>
              <w:rPr>
                <w:sz w:val="22"/>
                <w:szCs w:val="22"/>
                <w:color w:val="auto"/>
              </w:rPr>
            </w:pPr>
          </w:p>
        </w:tc>
        <w:tc>
          <w:tcPr>
            <w:tcW w:w="1200" w:type="dxa"/>
            <w:vAlign w:val="bottom"/>
            <w:tcBorders>
              <w:bottom w:val="single" w:sz="8" w:color="248ED8"/>
            </w:tcBorders>
            <w:shd w:val="clear" w:color="auto" w:fill="248ED8"/>
          </w:tcPr>
          <w:p>
            <w:pPr>
              <w:spacing w:after="0"/>
              <w:rPr>
                <w:sz w:val="22"/>
                <w:szCs w:val="22"/>
                <w:color w:val="auto"/>
              </w:rPr>
            </w:pPr>
          </w:p>
        </w:tc>
        <w:tc>
          <w:tcPr>
            <w:tcW w:w="1860" w:type="dxa"/>
            <w:vAlign w:val="bottom"/>
            <w:tcBorders>
              <w:bottom w:val="single" w:sz="8" w:color="248ED8"/>
            </w:tcBorders>
            <w:shd w:val="clear" w:color="auto" w:fill="248ED8"/>
          </w:tcPr>
          <w:p>
            <w:pPr>
              <w:spacing w:after="0"/>
              <w:rPr>
                <w:sz w:val="22"/>
                <w:szCs w:val="22"/>
                <w:color w:val="auto"/>
              </w:rPr>
            </w:pPr>
          </w:p>
        </w:tc>
        <w:tc>
          <w:tcPr>
            <w:tcW w:w="200" w:type="dxa"/>
            <w:vAlign w:val="bottom"/>
            <w:tcBorders>
              <w:bottom w:val="single" w:sz="8" w:color="248ED8"/>
            </w:tcBorders>
            <w:shd w:val="clear" w:color="auto" w:fill="248ED8"/>
          </w:tcPr>
          <w:p>
            <w:pPr>
              <w:spacing w:after="0"/>
              <w:rPr>
                <w:sz w:val="22"/>
                <w:szCs w:val="22"/>
                <w:color w:val="auto"/>
              </w:rPr>
            </w:pPr>
          </w:p>
        </w:tc>
        <w:tc>
          <w:tcPr>
            <w:tcW w:w="1880" w:type="dxa"/>
            <w:vAlign w:val="bottom"/>
            <w:tcBorders>
              <w:bottom w:val="single" w:sz="8" w:color="248ED8"/>
            </w:tcBorders>
            <w:shd w:val="clear" w:color="auto" w:fill="248ED8"/>
          </w:tcPr>
          <w:p>
            <w:pPr>
              <w:jc w:val="center"/>
              <w:spacing w:after="0"/>
              <w:rPr>
                <w:sz w:val="20"/>
                <w:szCs w:val="20"/>
                <w:color w:val="auto"/>
              </w:rPr>
            </w:pPr>
            <w:r>
              <w:rPr>
                <w:rFonts w:ascii="Arial" w:cs="Arial" w:eastAsia="Arial" w:hAnsi="Arial"/>
                <w:sz w:val="16"/>
                <w:szCs w:val="16"/>
                <w:b w:val="1"/>
                <w:bCs w:val="1"/>
                <w:color w:val="FFFFFF"/>
              </w:rPr>
              <w:t>PREFERRED STOCK ($)</w:t>
            </w:r>
          </w:p>
        </w:tc>
        <w:tc>
          <w:tcPr>
            <w:tcW w:w="140" w:type="dxa"/>
            <w:vAlign w:val="bottom"/>
            <w:tcBorders>
              <w:bottom w:val="single" w:sz="8" w:color="248ED8"/>
              <w:right w:val="single" w:sz="8" w:color="auto"/>
            </w:tcBorders>
            <w:shd w:val="clear" w:color="auto" w:fill="248ED8"/>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880" w:type="dxa"/>
            <w:vAlign w:val="bottom"/>
            <w:tcBorders>
              <w:top w:val="single" w:sz="8" w:color="auto"/>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Versant Entities(1)</w:t>
            </w:r>
          </w:p>
        </w:tc>
        <w:tc>
          <w:tcPr>
            <w:tcW w:w="18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 ​</w:t>
            </w:r>
          </w:p>
        </w:tc>
        <w:tc>
          <w:tcPr>
            <w:tcW w:w="1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​1,545,125</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880" w:type="dxa"/>
            <w:vAlign w:val="bottom"/>
            <w:tcBorders>
              <w:top w:val="single" w:sz="8" w:color="auto"/>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$10,000,049.00</w:t>
            </w:r>
          </w:p>
        </w:tc>
        <w:tc>
          <w:tcPr>
            <w:tcW w:w="1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7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Bayer World Investments B.V.(2)</w:t>
            </w: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 ​</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​3,862,813</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8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$25,000,125.77</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88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Casdin Entities (3)</w:t>
            </w:r>
          </w:p>
        </w:tc>
        <w:tc>
          <w:tcPr>
            <w:tcW w:w="18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 ​</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​6,180,500</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188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$40,000,196.00</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240" w:right="39" w:hanging="370"/>
        <w:spacing w:after="0" w:line="268"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Versant Venture Capital VI, L.P. and Versant Vantage II, L.P., or the Versant Entities, hold more than 5% of our outstanding capital stock.</w:t>
      </w:r>
    </w:p>
    <w:p>
      <w:pPr>
        <w:spacing w:after="0" w:line="21" w:lineRule="exact"/>
        <w:rPr>
          <w:rFonts w:ascii="Arial" w:cs="Arial" w:eastAsia="Arial" w:hAnsi="Arial"/>
          <w:sz w:val="16"/>
          <w:szCs w:val="16"/>
          <w:color w:val="auto"/>
        </w:rPr>
      </w:pPr>
    </w:p>
    <w:p>
      <w:pPr>
        <w:ind w:left="1240" w:hanging="370"/>
        <w:spacing w:after="0"/>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Bayer World Investments B.V. holds more than 5% of our outstanding capital stock.</w:t>
      </w:r>
    </w:p>
    <w:p>
      <w:pPr>
        <w:spacing w:after="0" w:line="59" w:lineRule="exact"/>
        <w:rPr>
          <w:rFonts w:ascii="Arial" w:cs="Arial" w:eastAsia="Arial" w:hAnsi="Arial"/>
          <w:sz w:val="16"/>
          <w:szCs w:val="16"/>
          <w:color w:val="auto"/>
        </w:rPr>
      </w:pPr>
    </w:p>
    <w:p>
      <w:pPr>
        <w:jc w:val="both"/>
        <w:ind w:left="1240" w:right="39" w:hanging="370"/>
        <w:spacing w:after="0" w:line="257"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Casdin Partners Master Fund, L.P. and Casdin Private Growth Equity Fund, L.P., or the Casdin Entities, hold more than 5% of our outstanding capital stock. Eli Casdin, a member of our Board, was designated to our Board by the Casdin Entities in connection with this investment.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Investors’ Rights Agreement</w:t>
      </w:r>
    </w:p>
    <w:p>
      <w:pPr>
        <w:spacing w:after="0" w:line="158" w:lineRule="exact"/>
        <w:rPr>
          <w:sz w:val="20"/>
          <w:szCs w:val="20"/>
          <w:color w:val="auto"/>
        </w:rPr>
      </w:pPr>
    </w:p>
    <w:p>
      <w:pPr>
        <w:jc w:val="both"/>
        <w:ind w:left="880" w:right="19"/>
        <w:spacing w:after="0" w:line="246" w:lineRule="auto"/>
        <w:rPr>
          <w:sz w:val="20"/>
          <w:szCs w:val="20"/>
          <w:color w:val="auto"/>
        </w:rPr>
      </w:pPr>
      <w:r>
        <w:rPr>
          <w:rFonts w:ascii="Arial" w:cs="Arial" w:eastAsia="Arial" w:hAnsi="Arial"/>
          <w:sz w:val="18"/>
          <w:szCs w:val="18"/>
          <w:color w:val="auto"/>
        </w:rPr>
        <w:t>In connection with the Series C financing, we entered into an investors’ rights agreement, or the investors’ rights agreement, with certain holders of our common stock and each holder of our preferred stock, which included each holder of more than 5% of our capital stock. The investors’ rights agreement imposes certain affirmative obligations on us, including with respect to financial reporting obligations and investor inspections, and also grants certain rights to certain of the holders of our capital stock party thereto, including rights of first offer, demand, and piggyback registration rights and, if we are eligible, Form S-3 registration rights, with respect to the registrable securities held by them.</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Initial Public Offering</w:t>
      </w:r>
    </w:p>
    <w:p>
      <w:pPr>
        <w:spacing w:after="0" w:line="158" w:lineRule="exact"/>
        <w:rPr>
          <w:sz w:val="20"/>
          <w:szCs w:val="20"/>
          <w:color w:val="auto"/>
        </w:rPr>
      </w:pPr>
    </w:p>
    <w:p>
      <w:pPr>
        <w:jc w:val="both"/>
        <w:ind w:left="880" w:right="19"/>
        <w:spacing w:after="0" w:line="247" w:lineRule="auto"/>
        <w:rPr>
          <w:sz w:val="20"/>
          <w:szCs w:val="20"/>
          <w:color w:val="auto"/>
        </w:rPr>
      </w:pPr>
      <w:r>
        <w:rPr>
          <w:rFonts w:ascii="Arial" w:cs="Arial" w:eastAsia="Arial" w:hAnsi="Arial"/>
          <w:sz w:val="18"/>
          <w:szCs w:val="18"/>
          <w:color w:val="auto"/>
        </w:rPr>
        <w:t>On June 22, 2021, we completed our IPO. We issued an aggregate of 12,132,500 shares of our common stock at a price of $20.00 per share for aggregate net cash proceeds of $221.24 million, after deducting underwriting discounts and commissions and other offering costs. The table below sets forth the number of shares of Series C Preferred Stock purchased by holders of more than 5% of our capital stock and their affiliated entities or immediate family members.</w:t>
      </w:r>
    </w:p>
    <w:p>
      <w:pPr>
        <w:spacing w:after="0" w:line="149" w:lineRule="exact"/>
        <w:rPr>
          <w:sz w:val="20"/>
          <w:szCs w:val="20"/>
          <w:color w:val="auto"/>
        </w:rPr>
      </w:pPr>
    </w:p>
    <w:tbl>
      <w:tblPr>
        <w:tblLayout w:type="fixed"/>
        <w:tblInd w:w="870" w:type="dxa"/>
        <w:tblCellMar>
          <w:top w:w="0" w:type="dxa"/>
          <w:left w:w="0" w:type="dxa"/>
          <w:bottom w:w="0" w:type="dxa"/>
          <w:right w:w="0" w:type="dxa"/>
        </w:tblCellMar>
      </w:tblPr>
      <w:tr>
        <w:trPr>
          <w:trHeight w:val="202"/>
        </w:trPr>
        <w:tc>
          <w:tcPr>
            <w:tcW w:w="1700" w:type="dxa"/>
            <w:vAlign w:val="bottom"/>
            <w:tcBorders>
              <w:top w:val="single" w:sz="8" w:color="auto"/>
              <w:left w:val="single" w:sz="8" w:color="auto"/>
            </w:tcBorders>
            <w:vMerge w:val="restart"/>
            <w:shd w:val="clear" w:color="auto" w:fill="248ED8"/>
          </w:tcPr>
          <w:p>
            <w:pPr>
              <w:ind w:left="80"/>
              <w:spacing w:after="0"/>
              <w:rPr>
                <w:sz w:val="20"/>
                <w:szCs w:val="20"/>
                <w:color w:val="auto"/>
              </w:rPr>
            </w:pPr>
            <w:r>
              <w:rPr>
                <w:rFonts w:ascii="Arial" w:cs="Arial" w:eastAsia="Arial" w:hAnsi="Arial"/>
                <w:sz w:val="16"/>
                <w:szCs w:val="16"/>
                <w:b w:val="1"/>
                <w:bCs w:val="1"/>
                <w:color w:val="FFFFFF"/>
              </w:rPr>
              <w:t>​</w:t>
            </w:r>
          </w:p>
        </w:tc>
        <w:tc>
          <w:tcPr>
            <w:tcW w:w="1780" w:type="dxa"/>
            <w:vAlign w:val="bottom"/>
            <w:tcBorders>
              <w:top w:val="single" w:sz="8" w:color="auto"/>
            </w:tcBorders>
            <w:vMerge w:val="restart"/>
            <w:shd w:val="clear" w:color="auto" w:fill="248ED8"/>
          </w:tcPr>
          <w:p>
            <w:pPr>
              <w:ind w:left="320"/>
              <w:spacing w:after="0"/>
              <w:rPr>
                <w:sz w:val="20"/>
                <w:szCs w:val="20"/>
                <w:color w:val="auto"/>
              </w:rPr>
            </w:pPr>
            <w:r>
              <w:rPr>
                <w:rFonts w:ascii="Arial" w:cs="Arial" w:eastAsia="Arial" w:hAnsi="Arial"/>
                <w:sz w:val="16"/>
                <w:szCs w:val="16"/>
                <w:b w:val="1"/>
                <w:bCs w:val="1"/>
                <w:color w:val="FFFFFF"/>
              </w:rPr>
              <w:t>NAME</w:t>
            </w:r>
          </w:p>
        </w:tc>
        <w:tc>
          <w:tcPr>
            <w:tcW w:w="1180" w:type="dxa"/>
            <w:vAlign w:val="bottom"/>
            <w:tcBorders>
              <w:top w:val="single" w:sz="8" w:color="auto"/>
            </w:tcBorders>
            <w:shd w:val="clear" w:color="auto" w:fill="248ED8"/>
          </w:tcPr>
          <w:p>
            <w:pPr>
              <w:spacing w:after="0"/>
              <w:rPr>
                <w:sz w:val="17"/>
                <w:szCs w:val="17"/>
                <w:color w:val="auto"/>
              </w:rPr>
            </w:pPr>
          </w:p>
        </w:tc>
        <w:tc>
          <w:tcPr>
            <w:tcW w:w="1800" w:type="dxa"/>
            <w:vAlign w:val="bottom"/>
            <w:tcBorders>
              <w:top w:val="single" w:sz="8" w:color="auto"/>
            </w:tcBorders>
            <w:shd w:val="clear" w:color="auto" w:fill="248ED8"/>
          </w:tcPr>
          <w:p>
            <w:pPr>
              <w:jc w:val="center"/>
              <w:spacing w:after="0"/>
              <w:rPr>
                <w:sz w:val="20"/>
                <w:szCs w:val="20"/>
                <w:color w:val="auto"/>
              </w:rPr>
            </w:pPr>
            <w:r>
              <w:rPr>
                <w:rFonts w:ascii="Arial" w:cs="Arial" w:eastAsia="Arial" w:hAnsi="Arial"/>
                <w:sz w:val="16"/>
                <w:szCs w:val="16"/>
                <w:b w:val="1"/>
                <w:bCs w:val="1"/>
                <w:color w:val="FFFFFF"/>
              </w:rPr>
              <w:t>SHARES OF COMMON</w:t>
            </w:r>
          </w:p>
        </w:tc>
        <w:tc>
          <w:tcPr>
            <w:tcW w:w="280" w:type="dxa"/>
            <w:vAlign w:val="bottom"/>
            <w:tcBorders>
              <w:top w:val="single" w:sz="8" w:color="auto"/>
            </w:tcBorders>
            <w:shd w:val="clear" w:color="auto" w:fill="248ED8"/>
          </w:tcPr>
          <w:p>
            <w:pPr>
              <w:spacing w:after="0"/>
              <w:rPr>
                <w:sz w:val="17"/>
                <w:szCs w:val="17"/>
                <w:color w:val="auto"/>
              </w:rPr>
            </w:pPr>
          </w:p>
        </w:tc>
        <w:tc>
          <w:tcPr>
            <w:tcW w:w="2160" w:type="dxa"/>
            <w:vAlign w:val="bottom"/>
            <w:tcBorders>
              <w:top w:val="single" w:sz="8" w:color="auto"/>
            </w:tcBorders>
            <w:shd w:val="clear" w:color="auto" w:fill="248ED8"/>
          </w:tcPr>
          <w:p>
            <w:pPr>
              <w:jc w:val="center"/>
              <w:spacing w:after="0"/>
              <w:rPr>
                <w:sz w:val="20"/>
                <w:szCs w:val="20"/>
                <w:color w:val="auto"/>
              </w:rPr>
            </w:pPr>
            <w:r>
              <w:rPr>
                <w:rFonts w:ascii="Arial" w:cs="Arial" w:eastAsia="Arial" w:hAnsi="Arial"/>
                <w:sz w:val="16"/>
                <w:szCs w:val="16"/>
                <w:b w:val="1"/>
                <w:bCs w:val="1"/>
                <w:color w:val="FFFFFF"/>
                <w:w w:val="99"/>
              </w:rPr>
              <w:t>AGGREGATE CASH</w:t>
            </w:r>
          </w:p>
        </w:tc>
        <w:tc>
          <w:tcPr>
            <w:tcW w:w="100" w:type="dxa"/>
            <w:vAlign w:val="bottom"/>
            <w:tcBorders>
              <w:top w:val="single" w:sz="8" w:color="auto"/>
              <w:right w:val="single" w:sz="8" w:color="auto"/>
            </w:tcBorders>
            <w:vMerge w:val="restart"/>
            <w:shd w:val="clear" w:color="auto" w:fill="248ED8"/>
          </w:tcPr>
          <w:p>
            <w:pPr>
              <w:ind w:left="2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89"/>
        </w:trPr>
        <w:tc>
          <w:tcPr>
            <w:tcW w:w="1700" w:type="dxa"/>
            <w:vAlign w:val="bottom"/>
            <w:tcBorders>
              <w:left w:val="single" w:sz="8" w:color="auto"/>
            </w:tcBorders>
            <w:vMerge w:val="continue"/>
            <w:shd w:val="clear" w:color="auto" w:fill="248ED8"/>
          </w:tcPr>
          <w:p>
            <w:pPr>
              <w:spacing w:after="0"/>
              <w:rPr>
                <w:sz w:val="16"/>
                <w:szCs w:val="16"/>
                <w:color w:val="auto"/>
              </w:rPr>
            </w:pPr>
          </w:p>
        </w:tc>
        <w:tc>
          <w:tcPr>
            <w:tcW w:w="1780" w:type="dxa"/>
            <w:vAlign w:val="bottom"/>
            <w:vMerge w:val="continue"/>
            <w:shd w:val="clear" w:color="auto" w:fill="248ED8"/>
          </w:tcPr>
          <w:p>
            <w:pPr>
              <w:spacing w:after="0"/>
              <w:rPr>
                <w:sz w:val="16"/>
                <w:szCs w:val="16"/>
                <w:color w:val="auto"/>
              </w:rPr>
            </w:pPr>
          </w:p>
        </w:tc>
        <w:tc>
          <w:tcPr>
            <w:tcW w:w="3260" w:type="dxa"/>
            <w:vAlign w:val="bottom"/>
            <w:gridSpan w:val="3"/>
            <w:shd w:val="clear" w:color="auto" w:fill="248ED8"/>
          </w:tcPr>
          <w:p>
            <w:pPr>
              <w:ind w:left="980"/>
              <w:spacing w:after="0"/>
              <w:rPr>
                <w:sz w:val="20"/>
                <w:szCs w:val="20"/>
                <w:color w:val="auto"/>
              </w:rPr>
            </w:pPr>
            <w:r>
              <w:rPr>
                <w:rFonts w:ascii="Arial" w:cs="Arial" w:eastAsia="Arial" w:hAnsi="Arial"/>
                <w:sz w:val="16"/>
                <w:szCs w:val="16"/>
                <w:b w:val="1"/>
                <w:bCs w:val="1"/>
                <w:color w:val="FFFFFF"/>
              </w:rPr>
              <w:t>​ ​STOCK PURCHASED IN ​ ​</w:t>
            </w:r>
          </w:p>
        </w:tc>
        <w:tc>
          <w:tcPr>
            <w:tcW w:w="216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rPr>
              <w:t>PURCHASE PRICE FOR</w:t>
            </w:r>
          </w:p>
        </w:tc>
        <w:tc>
          <w:tcPr>
            <w:tcW w:w="100" w:type="dxa"/>
            <w:vAlign w:val="bottom"/>
            <w:tcBorders>
              <w:right w:val="single" w:sz="8" w:color="auto"/>
            </w:tcBorders>
            <w:vMerge w:val="continue"/>
            <w:shd w:val="clear" w:color="auto" w:fill="248ED8"/>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700" w:type="dxa"/>
            <w:vAlign w:val="bottom"/>
            <w:tcBorders>
              <w:left w:val="single" w:sz="8" w:color="auto"/>
              <w:bottom w:val="single" w:sz="8" w:color="248ED8"/>
            </w:tcBorders>
            <w:shd w:val="clear" w:color="auto" w:fill="248ED8"/>
          </w:tcPr>
          <w:p>
            <w:pPr>
              <w:spacing w:after="0"/>
              <w:rPr>
                <w:sz w:val="21"/>
                <w:szCs w:val="21"/>
                <w:color w:val="auto"/>
              </w:rPr>
            </w:pPr>
          </w:p>
        </w:tc>
        <w:tc>
          <w:tcPr>
            <w:tcW w:w="1780" w:type="dxa"/>
            <w:vAlign w:val="bottom"/>
            <w:tcBorders>
              <w:bottom w:val="single" w:sz="8" w:color="248ED8"/>
            </w:tcBorders>
            <w:shd w:val="clear" w:color="auto" w:fill="248ED8"/>
          </w:tcPr>
          <w:p>
            <w:pPr>
              <w:spacing w:after="0"/>
              <w:rPr>
                <w:sz w:val="21"/>
                <w:szCs w:val="21"/>
                <w:color w:val="auto"/>
              </w:rPr>
            </w:pPr>
          </w:p>
        </w:tc>
        <w:tc>
          <w:tcPr>
            <w:tcW w:w="1180" w:type="dxa"/>
            <w:vAlign w:val="bottom"/>
            <w:tcBorders>
              <w:bottom w:val="single" w:sz="8" w:color="248ED8"/>
            </w:tcBorders>
            <w:shd w:val="clear" w:color="auto" w:fill="248ED8"/>
          </w:tcPr>
          <w:p>
            <w:pPr>
              <w:spacing w:after="0"/>
              <w:rPr>
                <w:sz w:val="21"/>
                <w:szCs w:val="21"/>
                <w:color w:val="auto"/>
              </w:rPr>
            </w:pPr>
          </w:p>
        </w:tc>
        <w:tc>
          <w:tcPr>
            <w:tcW w:w="1800" w:type="dxa"/>
            <w:vAlign w:val="bottom"/>
            <w:tcBorders>
              <w:bottom w:val="single" w:sz="8" w:color="248ED8"/>
            </w:tcBorders>
            <w:shd w:val="clear" w:color="auto" w:fill="248ED8"/>
          </w:tcPr>
          <w:p>
            <w:pPr>
              <w:jc w:val="center"/>
              <w:spacing w:after="0"/>
              <w:rPr>
                <w:sz w:val="20"/>
                <w:szCs w:val="20"/>
                <w:color w:val="auto"/>
              </w:rPr>
            </w:pPr>
            <w:r>
              <w:rPr>
                <w:rFonts w:ascii="Arial" w:cs="Arial" w:eastAsia="Arial" w:hAnsi="Arial"/>
                <w:sz w:val="16"/>
                <w:szCs w:val="16"/>
                <w:b w:val="1"/>
                <w:bCs w:val="1"/>
                <w:color w:val="FFFFFF"/>
              </w:rPr>
              <w:t>IPO (#)</w:t>
            </w:r>
          </w:p>
        </w:tc>
        <w:tc>
          <w:tcPr>
            <w:tcW w:w="280" w:type="dxa"/>
            <w:vAlign w:val="bottom"/>
            <w:tcBorders>
              <w:bottom w:val="single" w:sz="8" w:color="248ED8"/>
            </w:tcBorders>
            <w:shd w:val="clear" w:color="auto" w:fill="248ED8"/>
          </w:tcPr>
          <w:p>
            <w:pPr>
              <w:spacing w:after="0"/>
              <w:rPr>
                <w:sz w:val="21"/>
                <w:szCs w:val="21"/>
                <w:color w:val="auto"/>
              </w:rPr>
            </w:pPr>
          </w:p>
        </w:tc>
        <w:tc>
          <w:tcPr>
            <w:tcW w:w="2160" w:type="dxa"/>
            <w:vAlign w:val="bottom"/>
            <w:tcBorders>
              <w:bottom w:val="single" w:sz="8" w:color="248ED8"/>
            </w:tcBorders>
            <w:shd w:val="clear" w:color="auto" w:fill="248ED8"/>
          </w:tcPr>
          <w:p>
            <w:pPr>
              <w:jc w:val="center"/>
              <w:spacing w:after="0"/>
              <w:rPr>
                <w:sz w:val="20"/>
                <w:szCs w:val="20"/>
                <w:color w:val="auto"/>
              </w:rPr>
            </w:pPr>
            <w:r>
              <w:rPr>
                <w:rFonts w:ascii="Arial" w:cs="Arial" w:eastAsia="Arial" w:hAnsi="Arial"/>
                <w:sz w:val="16"/>
                <w:szCs w:val="16"/>
                <w:b w:val="1"/>
                <w:bCs w:val="1"/>
                <w:color w:val="FFFFFF"/>
              </w:rPr>
              <w:t>COMMON STOCK IN IPO ($)</w:t>
            </w:r>
          </w:p>
        </w:tc>
        <w:tc>
          <w:tcPr>
            <w:tcW w:w="100" w:type="dxa"/>
            <w:vAlign w:val="bottom"/>
            <w:tcBorders>
              <w:bottom w:val="single" w:sz="8" w:color="248ED8"/>
              <w:right w:val="single" w:sz="8" w:color="auto"/>
            </w:tcBorders>
            <w:shd w:val="clear" w:color="auto" w:fill="248ED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00" w:type="dxa"/>
            <w:vAlign w:val="bottom"/>
            <w:tcBorders>
              <w:top w:val="single" w:sz="8" w:color="auto"/>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Versant Entities</w:t>
            </w:r>
          </w:p>
        </w:tc>
        <w:tc>
          <w:tcPr>
            <w:tcW w:w="17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 ​</w:t>
            </w: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​100,000</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2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rPr>
              <w:t>$2,000,000.00</w:t>
            </w:r>
          </w:p>
        </w:tc>
        <w:tc>
          <w:tcPr>
            <w:tcW w:w="1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48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Bayer World Investments B.V.</w:t>
            </w: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 ​</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​750,000</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$15,000,000.00</w:t>
            </w: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70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Casdin Entities</w:t>
            </w:r>
          </w:p>
        </w:tc>
        <w:tc>
          <w:tcPr>
            <w:tcW w:w="17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 ​</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​750,000</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$15,000,000.00</w:t>
            </w:r>
          </w:p>
        </w:tc>
        <w:tc>
          <w:tcPr>
            <w:tcW w:w="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Bayer HealthCare LLC</w:t>
      </w:r>
    </w:p>
    <w:p>
      <w:pPr>
        <w:spacing w:after="0" w:line="144" w:lineRule="exact"/>
        <w:rPr>
          <w:sz w:val="20"/>
          <w:szCs w:val="20"/>
          <w:color w:val="auto"/>
        </w:rPr>
      </w:pPr>
    </w:p>
    <w:p>
      <w:pPr>
        <w:jc w:val="both"/>
        <w:ind w:left="880" w:right="39"/>
        <w:spacing w:after="0" w:line="261" w:lineRule="auto"/>
        <w:rPr>
          <w:sz w:val="20"/>
          <w:szCs w:val="20"/>
          <w:color w:val="auto"/>
        </w:rPr>
      </w:pPr>
      <w:r>
        <w:rPr>
          <w:rFonts w:ascii="Arial" w:cs="Arial" w:eastAsia="Arial" w:hAnsi="Arial"/>
          <w:sz w:val="18"/>
          <w:szCs w:val="18"/>
          <w:color w:val="auto"/>
        </w:rPr>
        <w:t>Bayer World Investments B.V. is holder of greater than 5% of our securities. Below is a summary of the transactions entered into between Bayer, an affiliate of Bayer World Investments B.V., and us since January 1, 2020.</w:t>
      </w:r>
    </w:p>
    <w:p>
      <w:pPr>
        <w:spacing w:after="0" w:line="27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152" w:lineRule="exact"/>
        <w:rPr>
          <w:sz w:val="20"/>
          <w:szCs w:val="20"/>
          <w:color w:val="auto"/>
        </w:rPr>
      </w:pPr>
    </w:p>
    <w:p>
      <w:pPr>
        <w:ind w:left="880" w:right="400" w:firstLine="108"/>
        <w:spacing w:after="0" w:line="315" w:lineRule="auto"/>
        <w:rPr>
          <w:sz w:val="20"/>
          <w:szCs w:val="20"/>
          <w:color w:val="auto"/>
        </w:rPr>
      </w:pPr>
      <w:r>
        <w:rPr>
          <w:rFonts w:ascii="Arial" w:cs="Arial" w:eastAsia="Arial" w:hAnsi="Arial"/>
          <w:sz w:val="32"/>
          <w:szCs w:val="32"/>
          <w:b w:val="1"/>
          <w:bCs w:val="1"/>
          <w:color w:val="FFFFFF"/>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-593725</wp:posOffset>
            </wp:positionV>
            <wp:extent cx="5700395" cy="4972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w:t>
      </w:r>
    </w:p>
    <w:p>
      <w:pPr>
        <w:spacing w:after="0" w:line="346" w:lineRule="exact"/>
        <w:rPr>
          <w:sz w:val="20"/>
          <w:szCs w:val="20"/>
          <w:color w:val="auto"/>
        </w:rPr>
      </w:pPr>
    </w:p>
    <w:p>
      <w:pPr>
        <w:sectPr>
          <w:pgSz w:w="11900" w:h="16838" w:orient="portrait"/>
          <w:cols w:equalWidth="0" w:num="2">
            <w:col w:w="9020" w:space="720"/>
            <w:col w:w="139"/>
          </w:cols>
          <w:pgMar w:left="580" w:top="97" w:right="1440" w:bottom="1440" w:gutter="0" w:footer="0" w:header="0"/>
          <w:type w:val="continuous"/>
        </w:sectPr>
      </w:pPr>
    </w:p>
    <w:p>
      <w:pPr>
        <w:ind w:left="880"/>
        <w:spacing w:after="0"/>
        <w:rPr>
          <w:sz w:val="20"/>
          <w:szCs w:val="20"/>
          <w:color w:val="auto"/>
        </w:rPr>
      </w:pPr>
      <w:r>
        <w:rPr>
          <w:rFonts w:ascii="Arial" w:cs="Arial" w:eastAsia="Arial" w:hAnsi="Arial"/>
          <w:sz w:val="18"/>
          <w:szCs w:val="18"/>
          <w:b w:val="1"/>
          <w:bCs w:val="1"/>
          <w:i w:val="1"/>
          <w:iCs w:val="1"/>
          <w:color w:val="auto"/>
        </w:rPr>
        <w:t>Commitment Agreement</w:t>
      </w:r>
    </w:p>
    <w:p>
      <w:pPr>
        <w:spacing w:after="0" w:line="156" w:lineRule="exact"/>
        <w:rPr>
          <w:sz w:val="20"/>
          <w:szCs w:val="20"/>
          <w:color w:val="auto"/>
        </w:rPr>
      </w:pPr>
    </w:p>
    <w:p>
      <w:pPr>
        <w:jc w:val="both"/>
        <w:ind w:left="880" w:right="19"/>
        <w:spacing w:after="0" w:line="246" w:lineRule="auto"/>
        <w:rPr>
          <w:sz w:val="20"/>
          <w:szCs w:val="20"/>
          <w:color w:val="auto"/>
        </w:rPr>
      </w:pPr>
      <w:r>
        <w:rPr>
          <w:rFonts w:ascii="Arial" w:cs="Arial" w:eastAsia="Arial" w:hAnsi="Arial"/>
          <w:sz w:val="18"/>
          <w:szCs w:val="18"/>
          <w:color w:val="auto"/>
        </w:rPr>
        <w:t>In June 2019, we entered into a Commitment Agreement by and among Prior Century, Bayer and us, or the Commitment Agreement, pursuant to which Bayer agreed to make an aggregate capital contribution of up to $215 million, upon the achievement of certain milestones. In June 2019, Bayer invested $75 million in consideration for 26,143,709 units in the LLC Entity. Bayer invested an additional $70 million in 2020 and 2021, for no additional consideration. The Commitment Agreement terminated on February 25, 2021 in connection with the Series C Financing and Bayer has no continuing obligation to invest any additional amounts under the Commitment Agreement.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Option Agreement</w:t>
      </w:r>
    </w:p>
    <w:p>
      <w:pPr>
        <w:spacing w:after="0" w:line="156" w:lineRule="exact"/>
        <w:rPr>
          <w:sz w:val="20"/>
          <w:szCs w:val="20"/>
          <w:color w:val="auto"/>
        </w:rPr>
      </w:pPr>
    </w:p>
    <w:p>
      <w:pPr>
        <w:jc w:val="both"/>
        <w:ind w:left="880" w:right="19"/>
        <w:spacing w:after="0" w:line="242" w:lineRule="auto"/>
        <w:rPr>
          <w:sz w:val="20"/>
          <w:szCs w:val="20"/>
          <w:color w:val="auto"/>
        </w:rPr>
      </w:pPr>
      <w:r>
        <w:rPr>
          <w:rFonts w:ascii="Arial" w:cs="Arial" w:eastAsia="Arial" w:hAnsi="Arial"/>
          <w:sz w:val="18"/>
          <w:szCs w:val="18"/>
          <w:color w:val="auto"/>
        </w:rPr>
        <w:t>In June 2019, we entered into an Option Agreement by and among Prior Century, Bayer and us, which, following the 2021 Reorganization, was subsequently amended and restated in February 2021, or the Option Agreement,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 Bayer has not exercised any of its rights under the Option Agreement.</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FUJIFILM Cellular Dynamics, Inc.</w:t>
      </w:r>
    </w:p>
    <w:p>
      <w:pPr>
        <w:spacing w:after="0" w:line="144"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FUJIFILM Cellular Dynamics, Inc., or FCDI, is a holder of greater than 5% of our securities. Below are the transactions entered into between FCDI and us since January 1, 2020.</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56" w:lineRule="exact"/>
        <w:rPr>
          <w:sz w:val="20"/>
          <w:szCs w:val="20"/>
          <w:color w:val="auto"/>
        </w:rPr>
      </w:pPr>
    </w:p>
    <w:p>
      <w:pPr>
        <w:jc w:val="both"/>
        <w:ind w:left="880" w:right="19"/>
        <w:spacing w:after="0" w:line="252" w:lineRule="auto"/>
        <w:rPr>
          <w:sz w:val="20"/>
          <w:szCs w:val="20"/>
          <w:color w:val="auto"/>
        </w:rPr>
      </w:pPr>
      <w:r>
        <w:rPr>
          <w:rFonts w:ascii="Arial" w:cs="Arial" w:eastAsia="Arial" w:hAnsi="Arial"/>
          <w:sz w:val="18"/>
          <w:szCs w:val="18"/>
          <w:color w:val="auto"/>
        </w:rPr>
        <w:t>On March 23, 2021, we entered into a Manufacturing and Supply Agreement with FCDI, or the Manufacturing Agreement, pursuant to which FCDI will provide certain analytical testing, process and analytical development and manufacturing services to us with respect to clinical supply of our product candidates. No payments were made under the Manufacturing Agreement in 2020 or 2021.</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56"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We are party to an exclusive license with FCDI, dated September 18, 2018, as amended, with respect to certain patents and know-how related to the differentiation of induced pluripotent stem cells, or IPSCs, into immune-effector cells in the field of cancer immunotherapeutics, or the Differentiation License, and a non-exclusive license with FCDI, also dated September 18, 2018, as amended, with respect to certain patents and know-how related to the reprogramming of human somatic cells to iPSCs in the field of cancer immunotherapeutics or the Reprogramming License, and together with the Differentiation License, the FCDI Agreements. On March 23, 2021, in connection with our entry into the Manufacturing Agreement, we amended each of the FCDI Agreements, which are described in greater detail below.</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Differentiation License</w:t>
      </w:r>
    </w:p>
    <w:p>
      <w:pPr>
        <w:spacing w:after="0" w:line="156" w:lineRule="exact"/>
        <w:rPr>
          <w:sz w:val="20"/>
          <w:szCs w:val="20"/>
          <w:color w:val="auto"/>
        </w:rPr>
      </w:pPr>
    </w:p>
    <w:p>
      <w:pPr>
        <w:jc w:val="both"/>
        <w:ind w:left="880" w:right="19"/>
        <w:spacing w:after="0" w:line="244" w:lineRule="auto"/>
        <w:rPr>
          <w:sz w:val="20"/>
          <w:szCs w:val="20"/>
          <w:color w:val="auto"/>
        </w:rPr>
      </w:pPr>
      <w:r>
        <w:rPr>
          <w:rFonts w:ascii="Arial" w:cs="Arial" w:eastAsia="Arial" w:hAnsi="Arial"/>
          <w:sz w:val="18"/>
          <w:szCs w:val="18"/>
          <w:color w:val="auto"/>
        </w:rPr>
        <w:t>Under the Differentiation License, FCDI granted us an exclusive, fully paid-up, sublicensable, worldwide, excluding Japan, license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w:t>
      </w:r>
    </w:p>
    <w:p>
      <w:pPr>
        <w:spacing w:after="0" w:line="288"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152" w:lineRule="exact"/>
        <w:rPr>
          <w:sz w:val="20"/>
          <w:szCs w:val="20"/>
          <w:color w:val="auto"/>
        </w:rPr>
      </w:pPr>
    </w:p>
    <w:p>
      <w:pPr>
        <w:ind w:left="880" w:right="400" w:firstLine="108"/>
        <w:spacing w:after="0" w:line="315" w:lineRule="auto"/>
        <w:rPr>
          <w:sz w:val="20"/>
          <w:szCs w:val="20"/>
          <w:color w:val="auto"/>
        </w:rPr>
      </w:pPr>
      <w:r>
        <w:rPr>
          <w:rFonts w:ascii="Arial" w:cs="Arial" w:eastAsia="Arial" w:hAnsi="Arial"/>
          <w:sz w:val="32"/>
          <w:szCs w:val="32"/>
          <w:b w:val="1"/>
          <w:bCs w:val="1"/>
          <w:color w:val="FFFFFF"/>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-593725</wp:posOffset>
            </wp:positionV>
            <wp:extent cx="5700395" cy="4972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w:t>
      </w:r>
    </w:p>
    <w:p>
      <w:pPr>
        <w:spacing w:after="0" w:line="344" w:lineRule="exact"/>
        <w:rPr>
          <w:sz w:val="20"/>
          <w:szCs w:val="20"/>
          <w:color w:val="auto"/>
        </w:rPr>
      </w:pPr>
    </w:p>
    <w:p>
      <w:pPr>
        <w:sectPr>
          <w:pgSz w:w="11900" w:h="16838" w:orient="portrait"/>
          <w:cols w:equalWidth="0" w:num="2">
            <w:col w:w="9020" w:space="720"/>
            <w:col w:w="139"/>
          </w:cols>
          <w:pgMar w:left="580" w:top="97" w:right="1440" w:bottom="1440" w:gutter="0" w:footer="0" w:header="0"/>
          <w:type w:val="continuous"/>
        </w:sectPr>
      </w:pPr>
    </w:p>
    <w:p>
      <w:pPr>
        <w:jc w:val="both"/>
        <w:ind w:left="880" w:right="39"/>
        <w:spacing w:after="0" w:line="259" w:lineRule="auto"/>
        <w:rPr>
          <w:sz w:val="20"/>
          <w:szCs w:val="20"/>
          <w:color w:val="auto"/>
        </w:rPr>
      </w:pPr>
      <w:r>
        <w:rPr>
          <w:rFonts w:ascii="Arial" w:cs="Arial" w:eastAsia="Arial" w:hAnsi="Arial"/>
          <w:sz w:val="18"/>
          <w:szCs w:val="18"/>
          <w:color w:val="auto"/>
        </w:rPr>
        <w:t>until the termination of the Differentiation License. We also granted to FCDI a non-exclusive, sublicensable, worldwide license under certain manufacturing know-how developed by us under the Differentiation License or Collaboration Agreement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112"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In consideration for the Differentiation License, Prior Century issued 2,980,803 shares of common stock to FCDI, which were exchanged for 2,980,803 shares of common stock in connection with the 2021 Reorganization. No payments were made under the Reprogramming License in 2020 or 2021.</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Reprogramming License</w:t>
      </w:r>
    </w:p>
    <w:p>
      <w:pPr>
        <w:spacing w:after="0" w:line="142"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Under the Reprogramming License, FCDI granted us a non-exclusive, worldwide, excluding Japan, license under certain patent rights and know-how related to cell reprogramming of human cells to iPSCs to exploit FCDI Licensed Products within the field of cancer immunotherapeutics.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120" w:lineRule="exact"/>
        <w:rPr>
          <w:sz w:val="20"/>
          <w:szCs w:val="20"/>
          <w:color w:val="auto"/>
        </w:rPr>
      </w:pPr>
    </w:p>
    <w:p>
      <w:pPr>
        <w:jc w:val="both"/>
        <w:ind w:left="880" w:right="39"/>
        <w:spacing w:after="0" w:line="257" w:lineRule="auto"/>
        <w:rPr>
          <w:sz w:val="20"/>
          <w:szCs w:val="20"/>
          <w:color w:val="auto"/>
        </w:rPr>
      </w:pPr>
      <w:r>
        <w:rPr>
          <w:rFonts w:ascii="Arial" w:cs="Arial" w:eastAsia="Arial" w:hAnsi="Arial"/>
          <w:sz w:val="18"/>
          <w:szCs w:val="18"/>
          <w:color w:val="auto"/>
        </w:rPr>
        <w:t>Under the Reprogramming License, we agreed to pay FCDI low single-digit percentage royalty payments on net sales of FCDI Licensed Products, as required by the WARF License, until the expiration of the last-to-expire patent licensed thereunder. We also agreed to pay certain milestone payments to FCDI as required by the WARF License upon the achievement of certain development and commercial milestones up to an aggregate of $6 million per FCDI Licensed Product. No payments were made under the Reprogramming License in 2020 or 2021.</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Letter Agreement</w:t>
      </w:r>
    </w:p>
    <w:p>
      <w:pPr>
        <w:spacing w:after="0" w:line="156" w:lineRule="exact"/>
        <w:rPr>
          <w:sz w:val="20"/>
          <w:szCs w:val="20"/>
          <w:color w:val="auto"/>
        </w:rPr>
      </w:pPr>
    </w:p>
    <w:p>
      <w:pPr>
        <w:jc w:val="both"/>
        <w:ind w:left="880" w:right="39"/>
        <w:spacing w:after="0" w:line="256" w:lineRule="auto"/>
        <w:rPr>
          <w:sz w:val="20"/>
          <w:szCs w:val="20"/>
          <w:color w:val="auto"/>
        </w:rPr>
      </w:pPr>
      <w:r>
        <w:rPr>
          <w:rFonts w:ascii="Arial" w:cs="Arial" w:eastAsia="Arial" w:hAnsi="Arial"/>
          <w:sz w:val="18"/>
          <w:szCs w:val="18"/>
          <w:color w:val="auto"/>
        </w:rPr>
        <w:t>On January 7, 2022, we and FCDI entered into a letter agreement, or the Letter Agreement, which amends each of the FCDI Agreements such that (i) the definition of Territory under each of the FCDI Agreements, for purposes of the sublicenses under the FCDI Agreements pursuant to the Company’s Research Collaboration and License Agreement with Bristol-Myers Squibb Company, or BMS, dated January 7, 2022, or the Collaboration Agreement, includes Japan, (ii) the licenses granted to us and our affiliates under the FCDI Agreements are sublicensable to BMS, including with respect to Japan and (iii) BMS is not subject to grant-back and option provisions under the Reprogramming License.</w:t>
      </w:r>
    </w:p>
    <w:p>
      <w:pPr>
        <w:spacing w:after="0" w:line="102" w:lineRule="exact"/>
        <w:rPr>
          <w:sz w:val="20"/>
          <w:szCs w:val="20"/>
          <w:color w:val="auto"/>
        </w:rPr>
      </w:pPr>
    </w:p>
    <w:p>
      <w:pPr>
        <w:jc w:val="both"/>
        <w:ind w:left="880" w:right="39"/>
        <w:spacing w:after="0" w:line="259" w:lineRule="auto"/>
        <w:rPr>
          <w:sz w:val="20"/>
          <w:szCs w:val="20"/>
          <w:color w:val="auto"/>
        </w:rPr>
      </w:pPr>
      <w:r>
        <w:rPr>
          <w:rFonts w:ascii="Arial" w:cs="Arial" w:eastAsia="Arial" w:hAnsi="Arial"/>
          <w:sz w:val="18"/>
          <w:szCs w:val="18"/>
          <w:color w:val="auto"/>
        </w:rPr>
        <w:t>Pursuant to the Letter Agreement, and in consideration for amending the FCDI Agreements, we (i) paid to FCDI an upfront payment of $10 million, (ii) will pay to FCDI a percentage of any milestone payments received by us under the Collaboration Agreement in respect of achievement of development or regulatory milestones specific to Japan, and (iii) will pay to FCDI a percentage of all royalties received by the Company under the Collaboration Agreement in respect of sales of products in Japan.</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8"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Please see “Executive Compensation” and “Director Compensation” for information regarding the compensation of our directors and executive officers.</w:t>
      </w:r>
    </w:p>
    <w:p>
      <w:pPr>
        <w:spacing w:after="0" w:line="26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FFFFFF"/>
        </w:rPr>
        <w:t>CERTAIN RELATIONSHIPS AND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4972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38"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​TRANSACTIONS</w:t>
      </w:r>
      <w:r>
        <w:rPr>
          <w:sz w:val="20"/>
          <w:szCs w:val="20"/>
          <w:color w:val="auto"/>
        </w:rPr>
        <w:tab/>
      </w:r>
      <w:r>
        <w:rPr>
          <w:rFonts w:ascii="Arial" w:cs="Arial" w:eastAsia="Arial" w:hAnsi="Arial"/>
          <w:sz w:val="32"/>
          <w:szCs w:val="32"/>
          <w:b w:val="1"/>
          <w:bCs w:val="1"/>
          <w:color w:val="FFFFFF"/>
        </w:rPr>
        <w:t>​</w:t>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Employment Agreements</w:t>
      </w:r>
    </w:p>
    <w:p>
      <w:pPr>
        <w:spacing w:after="0" w:line="158"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that, among other things, provide for certain compensatory and change in control benefits, as well as severance benefits. For a description of these agreements with our NEOs, see the Section titled “Executive Compensation”-”Employment Agreements.”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Proprietary Information and Assignment Agreements</w:t>
      </w:r>
    </w:p>
    <w:p>
      <w:pPr>
        <w:spacing w:after="0" w:line="144"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We have entered into the Information Agreements with all of our executive officers. For a description of these agreements with our NEOs, see the Section titled “Executive Compensation”-”Employment Agreements.”</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Indemnification Agreements</w:t>
      </w:r>
    </w:p>
    <w:p>
      <w:pPr>
        <w:spacing w:after="0" w:line="158" w:lineRule="exact"/>
        <w:rPr>
          <w:sz w:val="20"/>
          <w:szCs w:val="20"/>
          <w:color w:val="auto"/>
        </w:rPr>
      </w:pPr>
    </w:p>
    <w:p>
      <w:pPr>
        <w:jc w:val="both"/>
        <w:ind w:left="880" w:right="39"/>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58" w:lineRule="exact"/>
        <w:rPr>
          <w:sz w:val="20"/>
          <w:szCs w:val="20"/>
          <w:color w:val="auto"/>
        </w:rPr>
      </w:pPr>
    </w:p>
    <w:p>
      <w:pPr>
        <w:jc w:val="both"/>
        <w:ind w:left="880" w:right="19"/>
        <w:spacing w:after="0" w:line="253" w:lineRule="auto"/>
        <w:rPr>
          <w:sz w:val="20"/>
          <w:szCs w:val="20"/>
          <w:color w:val="auto"/>
        </w:rPr>
      </w:pPr>
      <w:r>
        <w:rPr>
          <w:rFonts w:ascii="Arial" w:cs="Arial" w:eastAsia="Arial" w:hAnsi="Arial"/>
          <w:sz w:val="18"/>
          <w:szCs w:val="18"/>
          <w:color w:val="auto"/>
        </w:rPr>
        <w:t>Our Board has adopted a written Related Party Transaction Policy that governs the review and approval of related party transactions. This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its stockholders.</w:t>
      </w:r>
    </w:p>
    <w:p>
      <w:pPr>
        <w:spacing w:after="0" w:line="102" w:lineRule="exact"/>
        <w:rPr>
          <w:sz w:val="20"/>
          <w:szCs w:val="20"/>
          <w:color w:val="auto"/>
        </w:rPr>
      </w:pPr>
    </w:p>
    <w:p>
      <w:pPr>
        <w:jc w:val="both"/>
        <w:ind w:left="880" w:right="19"/>
        <w:spacing w:after="0" w:line="259" w:lineRule="auto"/>
        <w:rPr>
          <w:sz w:val="20"/>
          <w:szCs w:val="20"/>
          <w:color w:val="auto"/>
        </w:rPr>
      </w:pPr>
      <w:r>
        <w:rPr>
          <w:rFonts w:ascii="Arial" w:cs="Arial" w:eastAsia="Arial" w:hAnsi="Arial"/>
          <w:sz w:val="18"/>
          <w:szCs w:val="18"/>
          <w:color w:val="auto"/>
        </w:rPr>
        <w:t>Other than entry into the Letter Agreement, all of the transactions described under “Certain Relationships and Related Party Transactions” in this Proxy Statement occurred prior to or concurrently with the adoption of the Related Party Transaction Policy and as such, these transactions were not subject to the approval and review procedures set forth in the policy. However, these transactions were reviewed and approved by our Board, and the Letter Agreement was reviewed and approved in accordance with our Related Party Transaction Policy.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FFFFF"/>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​EQUITY COMPENSATION PLAN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right="39"/>
        <w:spacing w:after="0" w:line="287" w:lineRule="auto"/>
        <w:rPr>
          <w:sz w:val="20"/>
          <w:szCs w:val="20"/>
          <w:color w:val="auto"/>
        </w:rPr>
      </w:pPr>
      <w:r>
        <w:rPr>
          <w:rFonts w:ascii="Arial" w:cs="Arial" w:eastAsia="Arial" w:hAnsi="Arial"/>
          <w:sz w:val="18"/>
          <w:szCs w:val="18"/>
          <w:color w:val="auto"/>
        </w:rPr>
        <w:t>The following table sets forth certain information regarding our equity compensation plans as of December 31, 2021:</w:t>
      </w:r>
    </w:p>
    <w:p>
      <w:pPr>
        <w:spacing w:after="0" w:line="111" w:lineRule="exact"/>
        <w:rPr>
          <w:sz w:val="20"/>
          <w:szCs w:val="20"/>
          <w:color w:val="auto"/>
        </w:rPr>
      </w:pPr>
    </w:p>
    <w:tbl>
      <w:tblPr>
        <w:tblLayout w:type="fixed"/>
        <w:tblInd w:w="870" w:type="dxa"/>
        <w:tblCellMar>
          <w:top w:w="0" w:type="dxa"/>
          <w:left w:w="0" w:type="dxa"/>
          <w:bottom w:w="0" w:type="dxa"/>
          <w:right w:w="0" w:type="dxa"/>
        </w:tblCellMar>
      </w:tblPr>
      <w:tr>
        <w:trPr>
          <w:trHeight w:val="215"/>
        </w:trPr>
        <w:tc>
          <w:tcPr>
            <w:tcW w:w="4160" w:type="dxa"/>
            <w:vAlign w:val="bottom"/>
            <w:tcBorders>
              <w:top w:val="single" w:sz="8" w:color="auto"/>
              <w:left w:val="single" w:sz="8" w:color="auto"/>
            </w:tcBorders>
            <w:shd w:val="clear" w:color="auto" w:fill="248ED8"/>
          </w:tcPr>
          <w:p>
            <w:pPr>
              <w:spacing w:after="0"/>
              <w:rPr>
                <w:sz w:val="18"/>
                <w:szCs w:val="18"/>
                <w:color w:val="auto"/>
              </w:rPr>
            </w:pPr>
          </w:p>
        </w:tc>
        <w:tc>
          <w:tcPr>
            <w:tcW w:w="280" w:type="dxa"/>
            <w:vAlign w:val="bottom"/>
            <w:tcBorders>
              <w:top w:val="single" w:sz="8" w:color="auto"/>
              <w:right w:val="single" w:sz="8" w:color="248ED8"/>
            </w:tcBorders>
            <w:shd w:val="clear" w:color="auto" w:fill="248ED8"/>
          </w:tcPr>
          <w:p>
            <w:pPr>
              <w:spacing w:after="0"/>
              <w:rPr>
                <w:sz w:val="18"/>
                <w:szCs w:val="18"/>
                <w:color w:val="auto"/>
              </w:rPr>
            </w:pPr>
          </w:p>
        </w:tc>
        <w:tc>
          <w:tcPr>
            <w:tcW w:w="100" w:type="dxa"/>
            <w:vAlign w:val="bottom"/>
            <w:tcBorders>
              <w:top w:val="single" w:sz="8" w:color="auto"/>
            </w:tcBorders>
            <w:shd w:val="clear" w:color="auto" w:fill="248ED8"/>
          </w:tcPr>
          <w:p>
            <w:pPr>
              <w:spacing w:after="0"/>
              <w:rPr>
                <w:sz w:val="18"/>
                <w:szCs w:val="18"/>
                <w:color w:val="auto"/>
              </w:rPr>
            </w:pPr>
          </w:p>
        </w:tc>
        <w:tc>
          <w:tcPr>
            <w:tcW w:w="1160" w:type="dxa"/>
            <w:vAlign w:val="bottom"/>
            <w:tcBorders>
              <w:top w:val="single" w:sz="8" w:color="auto"/>
            </w:tcBorders>
            <w:shd w:val="clear" w:color="auto" w:fill="248ED8"/>
          </w:tcPr>
          <w:p>
            <w:pPr>
              <w:spacing w:after="0"/>
              <w:rPr>
                <w:sz w:val="18"/>
                <w:szCs w:val="18"/>
                <w:color w:val="auto"/>
              </w:rPr>
            </w:pPr>
          </w:p>
        </w:tc>
        <w:tc>
          <w:tcPr>
            <w:tcW w:w="120" w:type="dxa"/>
            <w:vAlign w:val="bottom"/>
            <w:tcBorders>
              <w:top w:val="single" w:sz="8" w:color="auto"/>
              <w:right w:val="single" w:sz="8" w:color="248ED8"/>
            </w:tcBorders>
            <w:shd w:val="clear" w:color="auto" w:fill="248ED8"/>
          </w:tcPr>
          <w:p>
            <w:pPr>
              <w:spacing w:after="0"/>
              <w:rPr>
                <w:sz w:val="18"/>
                <w:szCs w:val="18"/>
                <w:color w:val="auto"/>
              </w:rPr>
            </w:pPr>
          </w:p>
        </w:tc>
        <w:tc>
          <w:tcPr>
            <w:tcW w:w="120" w:type="dxa"/>
            <w:vAlign w:val="bottom"/>
            <w:tcBorders>
              <w:top w:val="single" w:sz="8" w:color="auto"/>
            </w:tcBorders>
            <w:shd w:val="clear" w:color="auto" w:fill="248ED8"/>
          </w:tcPr>
          <w:p>
            <w:pPr>
              <w:spacing w:after="0"/>
              <w:rPr>
                <w:sz w:val="18"/>
                <w:szCs w:val="18"/>
                <w:color w:val="auto"/>
              </w:rPr>
            </w:pPr>
          </w:p>
        </w:tc>
        <w:tc>
          <w:tcPr>
            <w:tcW w:w="1040" w:type="dxa"/>
            <w:vAlign w:val="bottom"/>
            <w:tcBorders>
              <w:top w:val="single" w:sz="8" w:color="auto"/>
            </w:tcBorders>
            <w:shd w:val="clear" w:color="auto" w:fill="248ED8"/>
          </w:tcPr>
          <w:p>
            <w:pPr>
              <w:spacing w:after="0"/>
              <w:rPr>
                <w:sz w:val="18"/>
                <w:szCs w:val="18"/>
                <w:color w:val="auto"/>
              </w:rPr>
            </w:pPr>
          </w:p>
        </w:tc>
        <w:tc>
          <w:tcPr>
            <w:tcW w:w="140" w:type="dxa"/>
            <w:vAlign w:val="bottom"/>
            <w:tcBorders>
              <w:top w:val="single" w:sz="8" w:color="auto"/>
              <w:right w:val="single" w:sz="8" w:color="248ED8"/>
            </w:tcBorders>
            <w:shd w:val="clear" w:color="auto" w:fill="248ED8"/>
          </w:tcPr>
          <w:p>
            <w:pPr>
              <w:spacing w:after="0"/>
              <w:rPr>
                <w:sz w:val="18"/>
                <w:szCs w:val="18"/>
                <w:color w:val="auto"/>
              </w:rPr>
            </w:pPr>
          </w:p>
        </w:tc>
        <w:tc>
          <w:tcPr>
            <w:tcW w:w="100" w:type="dxa"/>
            <w:vAlign w:val="bottom"/>
            <w:tcBorders>
              <w:top w:val="single" w:sz="8" w:color="auto"/>
            </w:tcBorders>
            <w:shd w:val="clear" w:color="auto" w:fill="248ED8"/>
          </w:tcPr>
          <w:p>
            <w:pPr>
              <w:spacing w:after="0"/>
              <w:rPr>
                <w:sz w:val="18"/>
                <w:szCs w:val="18"/>
                <w:color w:val="auto"/>
              </w:rPr>
            </w:pPr>
          </w:p>
        </w:tc>
        <w:tc>
          <w:tcPr>
            <w:tcW w:w="1640" w:type="dxa"/>
            <w:vAlign w:val="bottom"/>
            <w:tcBorders>
              <w:top w:val="single" w:sz="8" w:color="auto"/>
            </w:tcBorders>
            <w:shd w:val="clear" w:color="auto" w:fill="248ED8"/>
          </w:tcPr>
          <w:p>
            <w:pPr>
              <w:jc w:val="center"/>
              <w:spacing w:after="0"/>
              <w:rPr>
                <w:sz w:val="20"/>
                <w:szCs w:val="20"/>
                <w:color w:val="auto"/>
              </w:rPr>
            </w:pPr>
            <w:r>
              <w:rPr>
                <w:rFonts w:ascii="Arial" w:cs="Arial" w:eastAsia="Arial" w:hAnsi="Arial"/>
                <w:sz w:val="16"/>
                <w:szCs w:val="16"/>
                <w:b w:val="1"/>
                <w:bCs w:val="1"/>
                <w:color w:val="FFFFFF"/>
              </w:rPr>
              <w:t>Number of securities</w:t>
            </w:r>
          </w:p>
        </w:tc>
        <w:tc>
          <w:tcPr>
            <w:tcW w:w="140" w:type="dxa"/>
            <w:vAlign w:val="bottom"/>
            <w:tcBorders>
              <w:top w:val="single" w:sz="8" w:color="auto"/>
              <w:right w:val="single" w:sz="8" w:color="248ED8"/>
            </w:tcBorders>
            <w:shd w:val="clear" w:color="auto" w:fill="248ED8"/>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60" w:type="dxa"/>
            <w:vAlign w:val="bottom"/>
            <w:tcBorders>
              <w:left w:val="single" w:sz="8" w:color="auto"/>
            </w:tcBorders>
            <w:shd w:val="clear" w:color="auto" w:fill="248ED8"/>
          </w:tcPr>
          <w:p>
            <w:pPr>
              <w:spacing w:after="0"/>
              <w:rPr>
                <w:sz w:val="15"/>
                <w:szCs w:val="15"/>
                <w:color w:val="auto"/>
              </w:rPr>
            </w:pPr>
          </w:p>
        </w:tc>
        <w:tc>
          <w:tcPr>
            <w:tcW w:w="280" w:type="dxa"/>
            <w:vAlign w:val="bottom"/>
            <w:tcBorders>
              <w:right w:val="single" w:sz="8" w:color="248ED8"/>
            </w:tcBorders>
            <w:shd w:val="clear" w:color="auto" w:fill="248ED8"/>
          </w:tcPr>
          <w:p>
            <w:pPr>
              <w:spacing w:after="0"/>
              <w:rPr>
                <w:sz w:val="15"/>
                <w:szCs w:val="15"/>
                <w:color w:val="auto"/>
              </w:rPr>
            </w:pPr>
          </w:p>
        </w:tc>
        <w:tc>
          <w:tcPr>
            <w:tcW w:w="100" w:type="dxa"/>
            <w:vAlign w:val="bottom"/>
            <w:shd w:val="clear" w:color="auto" w:fill="248ED8"/>
          </w:tcPr>
          <w:p>
            <w:pPr>
              <w:spacing w:after="0"/>
              <w:rPr>
                <w:sz w:val="15"/>
                <w:szCs w:val="15"/>
                <w:color w:val="auto"/>
              </w:rPr>
            </w:pPr>
          </w:p>
        </w:tc>
        <w:tc>
          <w:tcPr>
            <w:tcW w:w="1160" w:type="dxa"/>
            <w:vAlign w:val="bottom"/>
            <w:shd w:val="clear" w:color="auto" w:fill="248ED8"/>
          </w:tcPr>
          <w:p>
            <w:pPr>
              <w:jc w:val="center"/>
              <w:spacing w:after="0" w:line="175" w:lineRule="exact"/>
              <w:rPr>
                <w:sz w:val="20"/>
                <w:szCs w:val="20"/>
                <w:color w:val="auto"/>
              </w:rPr>
            </w:pPr>
            <w:r>
              <w:rPr>
                <w:rFonts w:ascii="Arial" w:cs="Arial" w:eastAsia="Arial" w:hAnsi="Arial"/>
                <w:sz w:val="16"/>
                <w:szCs w:val="16"/>
                <w:b w:val="1"/>
                <w:bCs w:val="1"/>
                <w:color w:val="FFFFFF"/>
                <w:w w:val="99"/>
              </w:rPr>
              <w:t>Number of</w:t>
            </w:r>
          </w:p>
        </w:tc>
        <w:tc>
          <w:tcPr>
            <w:tcW w:w="120" w:type="dxa"/>
            <w:vAlign w:val="bottom"/>
            <w:tcBorders>
              <w:right w:val="single" w:sz="8" w:color="248ED8"/>
            </w:tcBorders>
            <w:shd w:val="clear" w:color="auto" w:fill="248ED8"/>
          </w:tcPr>
          <w:p>
            <w:pPr>
              <w:spacing w:after="0"/>
              <w:rPr>
                <w:sz w:val="15"/>
                <w:szCs w:val="15"/>
                <w:color w:val="auto"/>
              </w:rPr>
            </w:pPr>
          </w:p>
        </w:tc>
        <w:tc>
          <w:tcPr>
            <w:tcW w:w="120" w:type="dxa"/>
            <w:vAlign w:val="bottom"/>
            <w:shd w:val="clear" w:color="auto" w:fill="248ED8"/>
          </w:tcPr>
          <w:p>
            <w:pPr>
              <w:spacing w:after="0"/>
              <w:rPr>
                <w:sz w:val="15"/>
                <w:szCs w:val="15"/>
                <w:color w:val="auto"/>
              </w:rPr>
            </w:pPr>
          </w:p>
        </w:tc>
        <w:tc>
          <w:tcPr>
            <w:tcW w:w="1040" w:type="dxa"/>
            <w:vAlign w:val="bottom"/>
            <w:shd w:val="clear" w:color="auto" w:fill="248ED8"/>
          </w:tcPr>
          <w:p>
            <w:pPr>
              <w:jc w:val="center"/>
              <w:spacing w:after="0" w:line="175" w:lineRule="exact"/>
              <w:rPr>
                <w:sz w:val="20"/>
                <w:szCs w:val="20"/>
                <w:color w:val="auto"/>
              </w:rPr>
            </w:pPr>
            <w:r>
              <w:rPr>
                <w:rFonts w:ascii="Arial" w:cs="Arial" w:eastAsia="Arial" w:hAnsi="Arial"/>
                <w:sz w:val="16"/>
                <w:szCs w:val="16"/>
                <w:b w:val="1"/>
                <w:bCs w:val="1"/>
                <w:color w:val="FFFFFF"/>
              </w:rPr>
              <w:t>Weighted-</w:t>
            </w:r>
          </w:p>
        </w:tc>
        <w:tc>
          <w:tcPr>
            <w:tcW w:w="140" w:type="dxa"/>
            <w:vAlign w:val="bottom"/>
            <w:tcBorders>
              <w:right w:val="single" w:sz="8" w:color="248ED8"/>
            </w:tcBorders>
            <w:shd w:val="clear" w:color="auto" w:fill="248ED8"/>
          </w:tcPr>
          <w:p>
            <w:pPr>
              <w:spacing w:after="0"/>
              <w:rPr>
                <w:sz w:val="15"/>
                <w:szCs w:val="15"/>
                <w:color w:val="auto"/>
              </w:rPr>
            </w:pPr>
          </w:p>
        </w:tc>
        <w:tc>
          <w:tcPr>
            <w:tcW w:w="100" w:type="dxa"/>
            <w:vAlign w:val="bottom"/>
            <w:shd w:val="clear" w:color="auto" w:fill="248ED8"/>
          </w:tcPr>
          <w:p>
            <w:pPr>
              <w:spacing w:after="0"/>
              <w:rPr>
                <w:sz w:val="15"/>
                <w:szCs w:val="15"/>
                <w:color w:val="auto"/>
              </w:rPr>
            </w:pPr>
          </w:p>
        </w:tc>
        <w:tc>
          <w:tcPr>
            <w:tcW w:w="1640" w:type="dxa"/>
            <w:vAlign w:val="bottom"/>
            <w:shd w:val="clear" w:color="auto" w:fill="248ED8"/>
          </w:tcPr>
          <w:p>
            <w:pPr>
              <w:jc w:val="center"/>
              <w:spacing w:after="0" w:line="175" w:lineRule="exact"/>
              <w:rPr>
                <w:sz w:val="20"/>
                <w:szCs w:val="20"/>
                <w:color w:val="auto"/>
              </w:rPr>
            </w:pPr>
            <w:r>
              <w:rPr>
                <w:rFonts w:ascii="Arial" w:cs="Arial" w:eastAsia="Arial" w:hAnsi="Arial"/>
                <w:sz w:val="16"/>
                <w:szCs w:val="16"/>
                <w:b w:val="1"/>
                <w:bCs w:val="1"/>
                <w:color w:val="FFFFFF"/>
              </w:rPr>
              <w:t>remaining available</w:t>
            </w:r>
          </w:p>
        </w:tc>
        <w:tc>
          <w:tcPr>
            <w:tcW w:w="140" w:type="dxa"/>
            <w:vAlign w:val="bottom"/>
            <w:tcBorders>
              <w:right w:val="single" w:sz="8" w:color="248ED8"/>
            </w:tcBorders>
            <w:shd w:val="clear" w:color="auto" w:fill="248ED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Borders>
              <w:left w:val="single" w:sz="8" w:color="auto"/>
            </w:tcBorders>
            <w:shd w:val="clear" w:color="auto" w:fill="248ED8"/>
          </w:tcPr>
          <w:p>
            <w:pPr>
              <w:spacing w:after="0"/>
              <w:rPr>
                <w:sz w:val="16"/>
                <w:szCs w:val="16"/>
                <w:color w:val="auto"/>
              </w:rPr>
            </w:pPr>
          </w:p>
        </w:tc>
        <w:tc>
          <w:tcPr>
            <w:tcW w:w="280" w:type="dxa"/>
            <w:vAlign w:val="bottom"/>
            <w:tcBorders>
              <w:right w:val="single" w:sz="8" w:color="248ED8"/>
            </w:tcBorders>
            <w:shd w:val="clear" w:color="auto" w:fill="248ED8"/>
          </w:tcPr>
          <w:p>
            <w:pPr>
              <w:spacing w:after="0"/>
              <w:rPr>
                <w:sz w:val="16"/>
                <w:szCs w:val="16"/>
                <w:color w:val="auto"/>
              </w:rPr>
            </w:pPr>
          </w:p>
        </w:tc>
        <w:tc>
          <w:tcPr>
            <w:tcW w:w="100" w:type="dxa"/>
            <w:vAlign w:val="bottom"/>
            <w:shd w:val="clear" w:color="auto" w:fill="248ED8"/>
          </w:tcPr>
          <w:p>
            <w:pPr>
              <w:spacing w:after="0"/>
              <w:rPr>
                <w:sz w:val="16"/>
                <w:szCs w:val="16"/>
                <w:color w:val="auto"/>
              </w:rPr>
            </w:pPr>
          </w:p>
        </w:tc>
        <w:tc>
          <w:tcPr>
            <w:tcW w:w="116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rPr>
              <w:t>securities to</w:t>
            </w:r>
          </w:p>
        </w:tc>
        <w:tc>
          <w:tcPr>
            <w:tcW w:w="120" w:type="dxa"/>
            <w:vAlign w:val="bottom"/>
            <w:tcBorders>
              <w:right w:val="single" w:sz="8" w:color="248ED8"/>
            </w:tcBorders>
            <w:shd w:val="clear" w:color="auto" w:fill="248ED8"/>
          </w:tcPr>
          <w:p>
            <w:pPr>
              <w:spacing w:after="0"/>
              <w:rPr>
                <w:sz w:val="16"/>
                <w:szCs w:val="16"/>
                <w:color w:val="auto"/>
              </w:rPr>
            </w:pPr>
          </w:p>
        </w:tc>
        <w:tc>
          <w:tcPr>
            <w:tcW w:w="120" w:type="dxa"/>
            <w:vAlign w:val="bottom"/>
            <w:shd w:val="clear" w:color="auto" w:fill="248ED8"/>
          </w:tcPr>
          <w:p>
            <w:pPr>
              <w:spacing w:after="0"/>
              <w:rPr>
                <w:sz w:val="16"/>
                <w:szCs w:val="16"/>
                <w:color w:val="auto"/>
              </w:rPr>
            </w:pPr>
          </w:p>
        </w:tc>
        <w:tc>
          <w:tcPr>
            <w:tcW w:w="104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rPr>
              <w:t>average</w:t>
            </w:r>
          </w:p>
        </w:tc>
        <w:tc>
          <w:tcPr>
            <w:tcW w:w="140" w:type="dxa"/>
            <w:vAlign w:val="bottom"/>
            <w:tcBorders>
              <w:right w:val="single" w:sz="8" w:color="248ED8"/>
            </w:tcBorders>
            <w:shd w:val="clear" w:color="auto" w:fill="248ED8"/>
          </w:tcPr>
          <w:p>
            <w:pPr>
              <w:spacing w:after="0"/>
              <w:rPr>
                <w:sz w:val="16"/>
                <w:szCs w:val="16"/>
                <w:color w:val="auto"/>
              </w:rPr>
            </w:pPr>
          </w:p>
        </w:tc>
        <w:tc>
          <w:tcPr>
            <w:tcW w:w="100" w:type="dxa"/>
            <w:vAlign w:val="bottom"/>
            <w:shd w:val="clear" w:color="auto" w:fill="248ED8"/>
          </w:tcPr>
          <w:p>
            <w:pPr>
              <w:spacing w:after="0"/>
              <w:rPr>
                <w:sz w:val="16"/>
                <w:szCs w:val="16"/>
                <w:color w:val="auto"/>
              </w:rPr>
            </w:pPr>
          </w:p>
        </w:tc>
        <w:tc>
          <w:tcPr>
            <w:tcW w:w="164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rPr>
              <w:t>for future issuance</w:t>
            </w:r>
          </w:p>
        </w:tc>
        <w:tc>
          <w:tcPr>
            <w:tcW w:w="140" w:type="dxa"/>
            <w:vAlign w:val="bottom"/>
            <w:tcBorders>
              <w:right w:val="single" w:sz="8" w:color="248ED8"/>
            </w:tcBorders>
            <w:shd w:val="clear" w:color="auto" w:fill="248ED8"/>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160" w:type="dxa"/>
            <w:vAlign w:val="bottom"/>
            <w:tcBorders>
              <w:left w:val="single" w:sz="8" w:color="auto"/>
            </w:tcBorders>
            <w:vMerge w:val="restart"/>
            <w:shd w:val="clear" w:color="auto" w:fill="248ED8"/>
          </w:tcPr>
          <w:p>
            <w:pPr>
              <w:ind w:left="1680"/>
              <w:spacing w:after="0"/>
              <w:rPr>
                <w:sz w:val="20"/>
                <w:szCs w:val="20"/>
                <w:color w:val="auto"/>
              </w:rPr>
            </w:pPr>
            <w:r>
              <w:rPr>
                <w:rFonts w:ascii="Arial" w:cs="Arial" w:eastAsia="Arial" w:hAnsi="Arial"/>
                <w:sz w:val="16"/>
                <w:szCs w:val="16"/>
                <w:b w:val="1"/>
                <w:bCs w:val="1"/>
                <w:color w:val="FFFFFF"/>
              </w:rPr>
              <w:t>Plan Category</w:t>
            </w:r>
          </w:p>
        </w:tc>
        <w:tc>
          <w:tcPr>
            <w:tcW w:w="280" w:type="dxa"/>
            <w:vAlign w:val="bottom"/>
            <w:tcBorders>
              <w:right w:val="single" w:sz="8" w:color="248ED8"/>
            </w:tcBorders>
            <w:shd w:val="clear" w:color="auto" w:fill="248ED8"/>
          </w:tcPr>
          <w:p>
            <w:pPr>
              <w:spacing w:after="0"/>
              <w:rPr>
                <w:sz w:val="15"/>
                <w:szCs w:val="15"/>
                <w:color w:val="auto"/>
              </w:rPr>
            </w:pPr>
          </w:p>
        </w:tc>
        <w:tc>
          <w:tcPr>
            <w:tcW w:w="100" w:type="dxa"/>
            <w:vAlign w:val="bottom"/>
            <w:shd w:val="clear" w:color="auto" w:fill="248ED8"/>
          </w:tcPr>
          <w:p>
            <w:pPr>
              <w:spacing w:after="0"/>
              <w:rPr>
                <w:sz w:val="15"/>
                <w:szCs w:val="15"/>
                <w:color w:val="auto"/>
              </w:rPr>
            </w:pPr>
          </w:p>
        </w:tc>
        <w:tc>
          <w:tcPr>
            <w:tcW w:w="1160" w:type="dxa"/>
            <w:vAlign w:val="bottom"/>
            <w:shd w:val="clear" w:color="auto" w:fill="248ED8"/>
          </w:tcPr>
          <w:p>
            <w:pPr>
              <w:jc w:val="center"/>
              <w:spacing w:after="0" w:line="175" w:lineRule="exact"/>
              <w:rPr>
                <w:sz w:val="20"/>
                <w:szCs w:val="20"/>
                <w:color w:val="auto"/>
              </w:rPr>
            </w:pPr>
            <w:r>
              <w:rPr>
                <w:rFonts w:ascii="Arial" w:cs="Arial" w:eastAsia="Arial" w:hAnsi="Arial"/>
                <w:sz w:val="16"/>
                <w:szCs w:val="16"/>
                <w:b w:val="1"/>
                <w:bCs w:val="1"/>
                <w:color w:val="FFFFFF"/>
              </w:rPr>
              <w:t>be issued</w:t>
            </w:r>
          </w:p>
        </w:tc>
        <w:tc>
          <w:tcPr>
            <w:tcW w:w="120" w:type="dxa"/>
            <w:vAlign w:val="bottom"/>
            <w:tcBorders>
              <w:right w:val="single" w:sz="8" w:color="248ED8"/>
            </w:tcBorders>
            <w:shd w:val="clear" w:color="auto" w:fill="248ED8"/>
          </w:tcPr>
          <w:p>
            <w:pPr>
              <w:spacing w:after="0"/>
              <w:rPr>
                <w:sz w:val="15"/>
                <w:szCs w:val="15"/>
                <w:color w:val="auto"/>
              </w:rPr>
            </w:pPr>
          </w:p>
        </w:tc>
        <w:tc>
          <w:tcPr>
            <w:tcW w:w="120" w:type="dxa"/>
            <w:vAlign w:val="bottom"/>
            <w:shd w:val="clear" w:color="auto" w:fill="248ED8"/>
          </w:tcPr>
          <w:p>
            <w:pPr>
              <w:spacing w:after="0"/>
              <w:rPr>
                <w:sz w:val="15"/>
                <w:szCs w:val="15"/>
                <w:color w:val="auto"/>
              </w:rPr>
            </w:pPr>
          </w:p>
        </w:tc>
        <w:tc>
          <w:tcPr>
            <w:tcW w:w="1040" w:type="dxa"/>
            <w:vAlign w:val="bottom"/>
            <w:shd w:val="clear" w:color="auto" w:fill="248ED8"/>
          </w:tcPr>
          <w:p>
            <w:pPr>
              <w:jc w:val="center"/>
              <w:spacing w:after="0" w:line="175" w:lineRule="exact"/>
              <w:rPr>
                <w:sz w:val="20"/>
                <w:szCs w:val="20"/>
                <w:color w:val="auto"/>
              </w:rPr>
            </w:pPr>
            <w:r>
              <w:rPr>
                <w:rFonts w:ascii="Arial" w:cs="Arial" w:eastAsia="Arial" w:hAnsi="Arial"/>
                <w:sz w:val="16"/>
                <w:szCs w:val="16"/>
                <w:b w:val="1"/>
                <w:bCs w:val="1"/>
                <w:color w:val="FFFFFF"/>
                <w:w w:val="99"/>
              </w:rPr>
              <w:t>exercise</w:t>
            </w:r>
          </w:p>
        </w:tc>
        <w:tc>
          <w:tcPr>
            <w:tcW w:w="140" w:type="dxa"/>
            <w:vAlign w:val="bottom"/>
            <w:tcBorders>
              <w:right w:val="single" w:sz="8" w:color="248ED8"/>
            </w:tcBorders>
            <w:shd w:val="clear" w:color="auto" w:fill="248ED8"/>
          </w:tcPr>
          <w:p>
            <w:pPr>
              <w:spacing w:after="0"/>
              <w:rPr>
                <w:sz w:val="15"/>
                <w:szCs w:val="15"/>
                <w:color w:val="auto"/>
              </w:rPr>
            </w:pPr>
          </w:p>
        </w:tc>
        <w:tc>
          <w:tcPr>
            <w:tcW w:w="100" w:type="dxa"/>
            <w:vAlign w:val="bottom"/>
            <w:shd w:val="clear" w:color="auto" w:fill="248ED8"/>
          </w:tcPr>
          <w:p>
            <w:pPr>
              <w:spacing w:after="0"/>
              <w:rPr>
                <w:sz w:val="15"/>
                <w:szCs w:val="15"/>
                <w:color w:val="auto"/>
              </w:rPr>
            </w:pPr>
          </w:p>
        </w:tc>
        <w:tc>
          <w:tcPr>
            <w:tcW w:w="1640" w:type="dxa"/>
            <w:vAlign w:val="bottom"/>
            <w:shd w:val="clear" w:color="auto" w:fill="248ED8"/>
          </w:tcPr>
          <w:p>
            <w:pPr>
              <w:jc w:val="center"/>
              <w:spacing w:after="0" w:line="175" w:lineRule="exact"/>
              <w:rPr>
                <w:sz w:val="20"/>
                <w:szCs w:val="20"/>
                <w:color w:val="auto"/>
              </w:rPr>
            </w:pPr>
            <w:r>
              <w:rPr>
                <w:rFonts w:ascii="Arial" w:cs="Arial" w:eastAsia="Arial" w:hAnsi="Arial"/>
                <w:sz w:val="16"/>
                <w:szCs w:val="16"/>
                <w:b w:val="1"/>
                <w:bCs w:val="1"/>
                <w:color w:val="FFFFFF"/>
              </w:rPr>
              <w:t>under equity</w:t>
            </w:r>
          </w:p>
        </w:tc>
        <w:tc>
          <w:tcPr>
            <w:tcW w:w="140" w:type="dxa"/>
            <w:vAlign w:val="bottom"/>
            <w:tcBorders>
              <w:right w:val="single" w:sz="8" w:color="248ED8"/>
            </w:tcBorders>
            <w:shd w:val="clear" w:color="auto" w:fill="248ED8"/>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60" w:type="dxa"/>
            <w:vAlign w:val="bottom"/>
            <w:tcBorders>
              <w:left w:val="single" w:sz="8" w:color="auto"/>
            </w:tcBorders>
            <w:vMerge w:val="continue"/>
            <w:shd w:val="clear" w:color="auto" w:fill="248ED8"/>
          </w:tcPr>
          <w:p>
            <w:pPr>
              <w:spacing w:after="0"/>
              <w:rPr>
                <w:sz w:val="11"/>
                <w:szCs w:val="11"/>
                <w:color w:val="auto"/>
              </w:rPr>
            </w:pPr>
          </w:p>
        </w:tc>
        <w:tc>
          <w:tcPr>
            <w:tcW w:w="280" w:type="dxa"/>
            <w:vAlign w:val="bottom"/>
            <w:tcBorders>
              <w:right w:val="single" w:sz="8" w:color="248ED8"/>
            </w:tcBorders>
            <w:shd w:val="clear" w:color="auto" w:fill="248ED8"/>
          </w:tcPr>
          <w:p>
            <w:pPr>
              <w:spacing w:after="0"/>
              <w:rPr>
                <w:sz w:val="11"/>
                <w:szCs w:val="11"/>
                <w:color w:val="auto"/>
              </w:rPr>
            </w:pPr>
          </w:p>
        </w:tc>
        <w:tc>
          <w:tcPr>
            <w:tcW w:w="100" w:type="dxa"/>
            <w:vAlign w:val="bottom"/>
            <w:shd w:val="clear" w:color="auto" w:fill="248ED8"/>
          </w:tcPr>
          <w:p>
            <w:pPr>
              <w:spacing w:after="0"/>
              <w:rPr>
                <w:sz w:val="11"/>
                <w:szCs w:val="11"/>
                <w:color w:val="auto"/>
              </w:rPr>
            </w:pPr>
          </w:p>
        </w:tc>
        <w:tc>
          <w:tcPr>
            <w:tcW w:w="1160" w:type="dxa"/>
            <w:vAlign w:val="bottom"/>
            <w:vMerge w:val="restart"/>
            <w:shd w:val="clear" w:color="auto" w:fill="248ED8"/>
          </w:tcPr>
          <w:p>
            <w:pPr>
              <w:jc w:val="center"/>
              <w:spacing w:after="0"/>
              <w:rPr>
                <w:sz w:val="20"/>
                <w:szCs w:val="20"/>
                <w:color w:val="auto"/>
              </w:rPr>
            </w:pPr>
            <w:r>
              <w:rPr>
                <w:rFonts w:ascii="Arial" w:cs="Arial" w:eastAsia="Arial" w:hAnsi="Arial"/>
                <w:sz w:val="16"/>
                <w:szCs w:val="16"/>
                <w:b w:val="1"/>
                <w:bCs w:val="1"/>
                <w:color w:val="FFFFFF"/>
              </w:rPr>
              <w:t>upon exercise</w:t>
            </w:r>
          </w:p>
        </w:tc>
        <w:tc>
          <w:tcPr>
            <w:tcW w:w="120" w:type="dxa"/>
            <w:vAlign w:val="bottom"/>
            <w:tcBorders>
              <w:right w:val="single" w:sz="8" w:color="248ED8"/>
            </w:tcBorders>
            <w:shd w:val="clear" w:color="auto" w:fill="248ED8"/>
          </w:tcPr>
          <w:p>
            <w:pPr>
              <w:spacing w:after="0"/>
              <w:rPr>
                <w:sz w:val="11"/>
                <w:szCs w:val="11"/>
                <w:color w:val="auto"/>
              </w:rPr>
            </w:pPr>
          </w:p>
        </w:tc>
        <w:tc>
          <w:tcPr>
            <w:tcW w:w="120" w:type="dxa"/>
            <w:vAlign w:val="bottom"/>
            <w:shd w:val="clear" w:color="auto" w:fill="248ED8"/>
          </w:tcPr>
          <w:p>
            <w:pPr>
              <w:spacing w:after="0"/>
              <w:rPr>
                <w:sz w:val="11"/>
                <w:szCs w:val="11"/>
                <w:color w:val="auto"/>
              </w:rPr>
            </w:pPr>
          </w:p>
        </w:tc>
        <w:tc>
          <w:tcPr>
            <w:tcW w:w="1040" w:type="dxa"/>
            <w:vAlign w:val="bottom"/>
            <w:vMerge w:val="restart"/>
            <w:shd w:val="clear" w:color="auto" w:fill="248ED8"/>
          </w:tcPr>
          <w:p>
            <w:pPr>
              <w:jc w:val="center"/>
              <w:spacing w:after="0"/>
              <w:rPr>
                <w:sz w:val="20"/>
                <w:szCs w:val="20"/>
                <w:color w:val="auto"/>
              </w:rPr>
            </w:pPr>
            <w:r>
              <w:rPr>
                <w:rFonts w:ascii="Arial" w:cs="Arial" w:eastAsia="Arial" w:hAnsi="Arial"/>
                <w:sz w:val="16"/>
                <w:szCs w:val="16"/>
                <w:b w:val="1"/>
                <w:bCs w:val="1"/>
                <w:color w:val="FFFFFF"/>
              </w:rPr>
              <w:t>price of</w:t>
            </w:r>
          </w:p>
        </w:tc>
        <w:tc>
          <w:tcPr>
            <w:tcW w:w="140" w:type="dxa"/>
            <w:vAlign w:val="bottom"/>
            <w:tcBorders>
              <w:right w:val="single" w:sz="8" w:color="248ED8"/>
            </w:tcBorders>
            <w:shd w:val="clear" w:color="auto" w:fill="248ED8"/>
          </w:tcPr>
          <w:p>
            <w:pPr>
              <w:spacing w:after="0"/>
              <w:rPr>
                <w:sz w:val="11"/>
                <w:szCs w:val="11"/>
                <w:color w:val="auto"/>
              </w:rPr>
            </w:pPr>
          </w:p>
        </w:tc>
        <w:tc>
          <w:tcPr>
            <w:tcW w:w="100" w:type="dxa"/>
            <w:vAlign w:val="bottom"/>
            <w:shd w:val="clear" w:color="auto" w:fill="248ED8"/>
          </w:tcPr>
          <w:p>
            <w:pPr>
              <w:spacing w:after="0"/>
              <w:rPr>
                <w:sz w:val="11"/>
                <w:szCs w:val="11"/>
                <w:color w:val="auto"/>
              </w:rPr>
            </w:pPr>
          </w:p>
        </w:tc>
        <w:tc>
          <w:tcPr>
            <w:tcW w:w="1640" w:type="dxa"/>
            <w:vAlign w:val="bottom"/>
            <w:vMerge w:val="restart"/>
            <w:shd w:val="clear" w:color="auto" w:fill="248ED8"/>
          </w:tcPr>
          <w:p>
            <w:pPr>
              <w:jc w:val="center"/>
              <w:spacing w:after="0"/>
              <w:rPr>
                <w:sz w:val="20"/>
                <w:szCs w:val="20"/>
                <w:color w:val="auto"/>
              </w:rPr>
            </w:pPr>
            <w:r>
              <w:rPr>
                <w:rFonts w:ascii="Arial" w:cs="Arial" w:eastAsia="Arial" w:hAnsi="Arial"/>
                <w:sz w:val="16"/>
                <w:szCs w:val="16"/>
                <w:b w:val="1"/>
                <w:bCs w:val="1"/>
                <w:color w:val="FFFFFF"/>
              </w:rPr>
              <w:t>compensation plans</w:t>
            </w:r>
          </w:p>
        </w:tc>
        <w:tc>
          <w:tcPr>
            <w:tcW w:w="140" w:type="dxa"/>
            <w:vAlign w:val="bottom"/>
            <w:tcBorders>
              <w:right w:val="single" w:sz="8" w:color="248ED8"/>
            </w:tcBorders>
            <w:shd w:val="clear" w:color="auto" w:fill="248ED8"/>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160" w:type="dxa"/>
            <w:vAlign w:val="bottom"/>
            <w:tcBorders>
              <w:left w:val="single" w:sz="8" w:color="auto"/>
            </w:tcBorders>
            <w:shd w:val="clear" w:color="auto" w:fill="248ED8"/>
          </w:tcPr>
          <w:p>
            <w:pPr>
              <w:spacing w:after="0"/>
              <w:rPr>
                <w:sz w:val="5"/>
                <w:szCs w:val="5"/>
                <w:color w:val="auto"/>
              </w:rPr>
            </w:pPr>
          </w:p>
        </w:tc>
        <w:tc>
          <w:tcPr>
            <w:tcW w:w="280" w:type="dxa"/>
            <w:vAlign w:val="bottom"/>
            <w:tcBorders>
              <w:right w:val="single" w:sz="8" w:color="248ED8"/>
            </w:tcBorders>
            <w:shd w:val="clear" w:color="auto" w:fill="248ED8"/>
          </w:tcPr>
          <w:p>
            <w:pPr>
              <w:spacing w:after="0"/>
              <w:rPr>
                <w:sz w:val="5"/>
                <w:szCs w:val="5"/>
                <w:color w:val="auto"/>
              </w:rPr>
            </w:pPr>
          </w:p>
        </w:tc>
        <w:tc>
          <w:tcPr>
            <w:tcW w:w="100" w:type="dxa"/>
            <w:vAlign w:val="bottom"/>
            <w:shd w:val="clear" w:color="auto" w:fill="248ED8"/>
          </w:tcPr>
          <w:p>
            <w:pPr>
              <w:spacing w:after="0"/>
              <w:rPr>
                <w:sz w:val="5"/>
                <w:szCs w:val="5"/>
                <w:color w:val="auto"/>
              </w:rPr>
            </w:pPr>
          </w:p>
        </w:tc>
        <w:tc>
          <w:tcPr>
            <w:tcW w:w="1160" w:type="dxa"/>
            <w:vAlign w:val="bottom"/>
            <w:vMerge w:val="continue"/>
            <w:shd w:val="clear" w:color="auto" w:fill="248ED8"/>
          </w:tcPr>
          <w:p>
            <w:pPr>
              <w:spacing w:after="0"/>
              <w:rPr>
                <w:sz w:val="5"/>
                <w:szCs w:val="5"/>
                <w:color w:val="auto"/>
              </w:rPr>
            </w:pPr>
          </w:p>
        </w:tc>
        <w:tc>
          <w:tcPr>
            <w:tcW w:w="120" w:type="dxa"/>
            <w:vAlign w:val="bottom"/>
            <w:tcBorders>
              <w:right w:val="single" w:sz="8" w:color="248ED8"/>
            </w:tcBorders>
            <w:shd w:val="clear" w:color="auto" w:fill="248ED8"/>
          </w:tcPr>
          <w:p>
            <w:pPr>
              <w:spacing w:after="0"/>
              <w:rPr>
                <w:sz w:val="5"/>
                <w:szCs w:val="5"/>
                <w:color w:val="auto"/>
              </w:rPr>
            </w:pPr>
          </w:p>
        </w:tc>
        <w:tc>
          <w:tcPr>
            <w:tcW w:w="120" w:type="dxa"/>
            <w:vAlign w:val="bottom"/>
            <w:shd w:val="clear" w:color="auto" w:fill="248ED8"/>
          </w:tcPr>
          <w:p>
            <w:pPr>
              <w:spacing w:after="0"/>
              <w:rPr>
                <w:sz w:val="5"/>
                <w:szCs w:val="5"/>
                <w:color w:val="auto"/>
              </w:rPr>
            </w:pPr>
          </w:p>
        </w:tc>
        <w:tc>
          <w:tcPr>
            <w:tcW w:w="1040" w:type="dxa"/>
            <w:vAlign w:val="bottom"/>
            <w:vMerge w:val="continue"/>
            <w:shd w:val="clear" w:color="auto" w:fill="248ED8"/>
          </w:tcPr>
          <w:p>
            <w:pPr>
              <w:spacing w:after="0"/>
              <w:rPr>
                <w:sz w:val="5"/>
                <w:szCs w:val="5"/>
                <w:color w:val="auto"/>
              </w:rPr>
            </w:pPr>
          </w:p>
        </w:tc>
        <w:tc>
          <w:tcPr>
            <w:tcW w:w="140" w:type="dxa"/>
            <w:vAlign w:val="bottom"/>
            <w:tcBorders>
              <w:right w:val="single" w:sz="8" w:color="248ED8"/>
            </w:tcBorders>
            <w:shd w:val="clear" w:color="auto" w:fill="248ED8"/>
          </w:tcPr>
          <w:p>
            <w:pPr>
              <w:spacing w:after="0"/>
              <w:rPr>
                <w:sz w:val="5"/>
                <w:szCs w:val="5"/>
                <w:color w:val="auto"/>
              </w:rPr>
            </w:pPr>
          </w:p>
        </w:tc>
        <w:tc>
          <w:tcPr>
            <w:tcW w:w="100" w:type="dxa"/>
            <w:vAlign w:val="bottom"/>
            <w:shd w:val="clear" w:color="auto" w:fill="248ED8"/>
          </w:tcPr>
          <w:p>
            <w:pPr>
              <w:spacing w:after="0"/>
              <w:rPr>
                <w:sz w:val="5"/>
                <w:szCs w:val="5"/>
                <w:color w:val="auto"/>
              </w:rPr>
            </w:pPr>
          </w:p>
        </w:tc>
        <w:tc>
          <w:tcPr>
            <w:tcW w:w="1640" w:type="dxa"/>
            <w:vAlign w:val="bottom"/>
            <w:vMerge w:val="continue"/>
            <w:shd w:val="clear" w:color="auto" w:fill="248ED8"/>
          </w:tcPr>
          <w:p>
            <w:pPr>
              <w:spacing w:after="0"/>
              <w:rPr>
                <w:sz w:val="5"/>
                <w:szCs w:val="5"/>
                <w:color w:val="auto"/>
              </w:rPr>
            </w:pPr>
          </w:p>
        </w:tc>
        <w:tc>
          <w:tcPr>
            <w:tcW w:w="140" w:type="dxa"/>
            <w:vAlign w:val="bottom"/>
            <w:tcBorders>
              <w:right w:val="single" w:sz="8" w:color="248ED8"/>
            </w:tcBorders>
            <w:shd w:val="clear" w:color="auto" w:fill="248ED8"/>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160" w:type="dxa"/>
            <w:vAlign w:val="bottom"/>
            <w:tcBorders>
              <w:left w:val="single" w:sz="8" w:color="auto"/>
            </w:tcBorders>
            <w:shd w:val="clear" w:color="auto" w:fill="248ED8"/>
          </w:tcPr>
          <w:p>
            <w:pPr>
              <w:spacing w:after="0"/>
              <w:rPr>
                <w:sz w:val="15"/>
                <w:szCs w:val="15"/>
                <w:color w:val="auto"/>
              </w:rPr>
            </w:pPr>
          </w:p>
        </w:tc>
        <w:tc>
          <w:tcPr>
            <w:tcW w:w="280" w:type="dxa"/>
            <w:vAlign w:val="bottom"/>
            <w:tcBorders>
              <w:right w:val="single" w:sz="8" w:color="248ED8"/>
            </w:tcBorders>
            <w:shd w:val="clear" w:color="auto" w:fill="248ED8"/>
          </w:tcPr>
          <w:p>
            <w:pPr>
              <w:spacing w:after="0"/>
              <w:rPr>
                <w:sz w:val="15"/>
                <w:szCs w:val="15"/>
                <w:color w:val="auto"/>
              </w:rPr>
            </w:pPr>
          </w:p>
        </w:tc>
        <w:tc>
          <w:tcPr>
            <w:tcW w:w="100" w:type="dxa"/>
            <w:vAlign w:val="bottom"/>
            <w:shd w:val="clear" w:color="auto" w:fill="248ED8"/>
          </w:tcPr>
          <w:p>
            <w:pPr>
              <w:spacing w:after="0"/>
              <w:rPr>
                <w:sz w:val="15"/>
                <w:szCs w:val="15"/>
                <w:color w:val="auto"/>
              </w:rPr>
            </w:pPr>
          </w:p>
        </w:tc>
        <w:tc>
          <w:tcPr>
            <w:tcW w:w="1160" w:type="dxa"/>
            <w:vAlign w:val="bottom"/>
            <w:shd w:val="clear" w:color="auto" w:fill="248ED8"/>
          </w:tcPr>
          <w:p>
            <w:pPr>
              <w:jc w:val="center"/>
              <w:spacing w:after="0" w:line="175" w:lineRule="exact"/>
              <w:rPr>
                <w:sz w:val="20"/>
                <w:szCs w:val="20"/>
                <w:color w:val="auto"/>
              </w:rPr>
            </w:pPr>
            <w:r>
              <w:rPr>
                <w:rFonts w:ascii="Arial" w:cs="Arial" w:eastAsia="Arial" w:hAnsi="Arial"/>
                <w:sz w:val="16"/>
                <w:szCs w:val="16"/>
                <w:b w:val="1"/>
                <w:bCs w:val="1"/>
                <w:color w:val="FFFFFF"/>
              </w:rPr>
              <w:t>of outstanding</w:t>
            </w:r>
          </w:p>
        </w:tc>
        <w:tc>
          <w:tcPr>
            <w:tcW w:w="120" w:type="dxa"/>
            <w:vAlign w:val="bottom"/>
            <w:tcBorders>
              <w:right w:val="single" w:sz="8" w:color="248ED8"/>
            </w:tcBorders>
            <w:shd w:val="clear" w:color="auto" w:fill="248ED8"/>
          </w:tcPr>
          <w:p>
            <w:pPr>
              <w:spacing w:after="0"/>
              <w:rPr>
                <w:sz w:val="15"/>
                <w:szCs w:val="15"/>
                <w:color w:val="auto"/>
              </w:rPr>
            </w:pPr>
          </w:p>
        </w:tc>
        <w:tc>
          <w:tcPr>
            <w:tcW w:w="120" w:type="dxa"/>
            <w:vAlign w:val="bottom"/>
            <w:shd w:val="clear" w:color="auto" w:fill="248ED8"/>
          </w:tcPr>
          <w:p>
            <w:pPr>
              <w:spacing w:after="0"/>
              <w:rPr>
                <w:sz w:val="15"/>
                <w:szCs w:val="15"/>
                <w:color w:val="auto"/>
              </w:rPr>
            </w:pPr>
          </w:p>
        </w:tc>
        <w:tc>
          <w:tcPr>
            <w:tcW w:w="1040" w:type="dxa"/>
            <w:vAlign w:val="bottom"/>
            <w:shd w:val="clear" w:color="auto" w:fill="248ED8"/>
          </w:tcPr>
          <w:p>
            <w:pPr>
              <w:jc w:val="center"/>
              <w:spacing w:after="0" w:line="175" w:lineRule="exact"/>
              <w:rPr>
                <w:sz w:val="20"/>
                <w:szCs w:val="20"/>
                <w:color w:val="auto"/>
              </w:rPr>
            </w:pPr>
            <w:r>
              <w:rPr>
                <w:rFonts w:ascii="Arial" w:cs="Arial" w:eastAsia="Arial" w:hAnsi="Arial"/>
                <w:sz w:val="16"/>
                <w:szCs w:val="16"/>
                <w:b w:val="1"/>
                <w:bCs w:val="1"/>
                <w:color w:val="FFFFFF"/>
              </w:rPr>
              <w:t>outstanding</w:t>
            </w:r>
          </w:p>
        </w:tc>
        <w:tc>
          <w:tcPr>
            <w:tcW w:w="140" w:type="dxa"/>
            <w:vAlign w:val="bottom"/>
            <w:tcBorders>
              <w:right w:val="single" w:sz="8" w:color="248ED8"/>
            </w:tcBorders>
            <w:shd w:val="clear" w:color="auto" w:fill="248ED8"/>
          </w:tcPr>
          <w:p>
            <w:pPr>
              <w:spacing w:after="0"/>
              <w:rPr>
                <w:sz w:val="15"/>
                <w:szCs w:val="15"/>
                <w:color w:val="auto"/>
              </w:rPr>
            </w:pPr>
          </w:p>
        </w:tc>
        <w:tc>
          <w:tcPr>
            <w:tcW w:w="100" w:type="dxa"/>
            <w:vAlign w:val="bottom"/>
            <w:shd w:val="clear" w:color="auto" w:fill="248ED8"/>
          </w:tcPr>
          <w:p>
            <w:pPr>
              <w:spacing w:after="0"/>
              <w:rPr>
                <w:sz w:val="15"/>
                <w:szCs w:val="15"/>
                <w:color w:val="auto"/>
              </w:rPr>
            </w:pPr>
          </w:p>
        </w:tc>
        <w:tc>
          <w:tcPr>
            <w:tcW w:w="1640" w:type="dxa"/>
            <w:vAlign w:val="bottom"/>
            <w:shd w:val="clear" w:color="auto" w:fill="248ED8"/>
          </w:tcPr>
          <w:p>
            <w:pPr>
              <w:jc w:val="center"/>
              <w:spacing w:after="0" w:line="175" w:lineRule="exact"/>
              <w:rPr>
                <w:sz w:val="20"/>
                <w:szCs w:val="20"/>
                <w:color w:val="auto"/>
              </w:rPr>
            </w:pPr>
            <w:r>
              <w:rPr>
                <w:rFonts w:ascii="Arial" w:cs="Arial" w:eastAsia="Arial" w:hAnsi="Arial"/>
                <w:sz w:val="16"/>
                <w:szCs w:val="16"/>
                <w:b w:val="1"/>
                <w:bCs w:val="1"/>
                <w:color w:val="FFFFFF"/>
              </w:rPr>
              <w:t>(excluding securities</w:t>
            </w:r>
          </w:p>
        </w:tc>
        <w:tc>
          <w:tcPr>
            <w:tcW w:w="140" w:type="dxa"/>
            <w:vAlign w:val="bottom"/>
            <w:tcBorders>
              <w:right w:val="single" w:sz="8" w:color="248ED8"/>
            </w:tcBorders>
            <w:shd w:val="clear" w:color="auto" w:fill="248ED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tcBorders>
              <w:left w:val="single" w:sz="8" w:color="auto"/>
            </w:tcBorders>
            <w:shd w:val="clear" w:color="auto" w:fill="248ED8"/>
          </w:tcPr>
          <w:p>
            <w:pPr>
              <w:spacing w:after="0"/>
              <w:rPr>
                <w:sz w:val="15"/>
                <w:szCs w:val="15"/>
                <w:color w:val="auto"/>
              </w:rPr>
            </w:pPr>
          </w:p>
        </w:tc>
        <w:tc>
          <w:tcPr>
            <w:tcW w:w="280" w:type="dxa"/>
            <w:vAlign w:val="bottom"/>
            <w:tcBorders>
              <w:right w:val="single" w:sz="8" w:color="248ED8"/>
            </w:tcBorders>
            <w:shd w:val="clear" w:color="auto" w:fill="248ED8"/>
          </w:tcPr>
          <w:p>
            <w:pPr>
              <w:spacing w:after="0"/>
              <w:rPr>
                <w:sz w:val="15"/>
                <w:szCs w:val="15"/>
                <w:color w:val="auto"/>
              </w:rPr>
            </w:pPr>
          </w:p>
        </w:tc>
        <w:tc>
          <w:tcPr>
            <w:tcW w:w="100" w:type="dxa"/>
            <w:vAlign w:val="bottom"/>
            <w:shd w:val="clear" w:color="auto" w:fill="248ED8"/>
          </w:tcPr>
          <w:p>
            <w:pPr>
              <w:spacing w:after="0"/>
              <w:rPr>
                <w:sz w:val="15"/>
                <w:szCs w:val="15"/>
                <w:color w:val="auto"/>
              </w:rPr>
            </w:pPr>
          </w:p>
        </w:tc>
        <w:tc>
          <w:tcPr>
            <w:tcW w:w="1160" w:type="dxa"/>
            <w:vAlign w:val="bottom"/>
            <w:shd w:val="clear" w:color="auto" w:fill="248ED8"/>
          </w:tcPr>
          <w:p>
            <w:pPr>
              <w:jc w:val="center"/>
              <w:spacing w:after="0" w:line="176" w:lineRule="exact"/>
              <w:rPr>
                <w:sz w:val="20"/>
                <w:szCs w:val="20"/>
                <w:color w:val="auto"/>
              </w:rPr>
            </w:pPr>
            <w:r>
              <w:rPr>
                <w:rFonts w:ascii="Arial" w:cs="Arial" w:eastAsia="Arial" w:hAnsi="Arial"/>
                <w:sz w:val="16"/>
                <w:szCs w:val="16"/>
                <w:b w:val="1"/>
                <w:bCs w:val="1"/>
                <w:color w:val="FFFFFF"/>
              </w:rPr>
              <w:t>options and</w:t>
            </w:r>
          </w:p>
        </w:tc>
        <w:tc>
          <w:tcPr>
            <w:tcW w:w="120" w:type="dxa"/>
            <w:vAlign w:val="bottom"/>
            <w:tcBorders>
              <w:right w:val="single" w:sz="8" w:color="248ED8"/>
            </w:tcBorders>
            <w:shd w:val="clear" w:color="auto" w:fill="248ED8"/>
          </w:tcPr>
          <w:p>
            <w:pPr>
              <w:spacing w:after="0"/>
              <w:rPr>
                <w:sz w:val="15"/>
                <w:szCs w:val="15"/>
                <w:color w:val="auto"/>
              </w:rPr>
            </w:pPr>
          </w:p>
        </w:tc>
        <w:tc>
          <w:tcPr>
            <w:tcW w:w="120" w:type="dxa"/>
            <w:vAlign w:val="bottom"/>
            <w:shd w:val="clear" w:color="auto" w:fill="248ED8"/>
          </w:tcPr>
          <w:p>
            <w:pPr>
              <w:spacing w:after="0"/>
              <w:rPr>
                <w:sz w:val="15"/>
                <w:szCs w:val="15"/>
                <w:color w:val="auto"/>
              </w:rPr>
            </w:pPr>
          </w:p>
        </w:tc>
        <w:tc>
          <w:tcPr>
            <w:tcW w:w="1040" w:type="dxa"/>
            <w:vAlign w:val="bottom"/>
            <w:shd w:val="clear" w:color="auto" w:fill="248ED8"/>
          </w:tcPr>
          <w:p>
            <w:pPr>
              <w:jc w:val="center"/>
              <w:spacing w:after="0" w:line="176" w:lineRule="exact"/>
              <w:rPr>
                <w:sz w:val="20"/>
                <w:szCs w:val="20"/>
                <w:color w:val="auto"/>
              </w:rPr>
            </w:pPr>
            <w:r>
              <w:rPr>
                <w:rFonts w:ascii="Arial" w:cs="Arial" w:eastAsia="Arial" w:hAnsi="Arial"/>
                <w:sz w:val="16"/>
                <w:szCs w:val="16"/>
                <w:b w:val="1"/>
                <w:bCs w:val="1"/>
                <w:color w:val="FFFFFF"/>
              </w:rPr>
              <w:t>options and</w:t>
            </w:r>
          </w:p>
        </w:tc>
        <w:tc>
          <w:tcPr>
            <w:tcW w:w="140" w:type="dxa"/>
            <w:vAlign w:val="bottom"/>
            <w:tcBorders>
              <w:right w:val="single" w:sz="8" w:color="248ED8"/>
            </w:tcBorders>
            <w:shd w:val="clear" w:color="auto" w:fill="248ED8"/>
          </w:tcPr>
          <w:p>
            <w:pPr>
              <w:spacing w:after="0"/>
              <w:rPr>
                <w:sz w:val="15"/>
                <w:szCs w:val="15"/>
                <w:color w:val="auto"/>
              </w:rPr>
            </w:pPr>
          </w:p>
        </w:tc>
        <w:tc>
          <w:tcPr>
            <w:tcW w:w="100" w:type="dxa"/>
            <w:vAlign w:val="bottom"/>
            <w:shd w:val="clear" w:color="auto" w:fill="248ED8"/>
          </w:tcPr>
          <w:p>
            <w:pPr>
              <w:spacing w:after="0"/>
              <w:rPr>
                <w:sz w:val="15"/>
                <w:szCs w:val="15"/>
                <w:color w:val="auto"/>
              </w:rPr>
            </w:pPr>
          </w:p>
        </w:tc>
        <w:tc>
          <w:tcPr>
            <w:tcW w:w="1640" w:type="dxa"/>
            <w:vAlign w:val="bottom"/>
            <w:shd w:val="clear" w:color="auto" w:fill="248ED8"/>
          </w:tcPr>
          <w:p>
            <w:pPr>
              <w:jc w:val="center"/>
              <w:spacing w:after="0" w:line="176" w:lineRule="exact"/>
              <w:rPr>
                <w:sz w:val="20"/>
                <w:szCs w:val="20"/>
                <w:color w:val="auto"/>
              </w:rPr>
            </w:pPr>
            <w:r>
              <w:rPr>
                <w:rFonts w:ascii="Arial" w:cs="Arial" w:eastAsia="Arial" w:hAnsi="Arial"/>
                <w:sz w:val="16"/>
                <w:szCs w:val="16"/>
                <w:b w:val="1"/>
                <w:bCs w:val="1"/>
                <w:color w:val="FFFFFF"/>
              </w:rPr>
              <w:t>reflected in column</w:t>
            </w:r>
          </w:p>
        </w:tc>
        <w:tc>
          <w:tcPr>
            <w:tcW w:w="140" w:type="dxa"/>
            <w:vAlign w:val="bottom"/>
            <w:tcBorders>
              <w:right w:val="single" w:sz="8" w:color="248ED8"/>
            </w:tcBorders>
            <w:shd w:val="clear" w:color="auto" w:fill="248ED8"/>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160" w:type="dxa"/>
            <w:vAlign w:val="bottom"/>
            <w:tcBorders>
              <w:left w:val="single" w:sz="8" w:color="auto"/>
            </w:tcBorders>
            <w:shd w:val="clear" w:color="auto" w:fill="248ED8"/>
          </w:tcPr>
          <w:p>
            <w:pPr>
              <w:ind w:left="80"/>
              <w:spacing w:after="0"/>
              <w:rPr>
                <w:sz w:val="20"/>
                <w:szCs w:val="20"/>
                <w:color w:val="auto"/>
              </w:rPr>
            </w:pPr>
            <w:r>
              <w:rPr>
                <w:rFonts w:ascii="Arial" w:cs="Arial" w:eastAsia="Arial" w:hAnsi="Arial"/>
                <w:sz w:val="16"/>
                <w:szCs w:val="16"/>
                <w:b w:val="1"/>
                <w:bCs w:val="1"/>
                <w:color w:val="FFFFFF"/>
              </w:rPr>
              <w:t>​</w:t>
            </w:r>
          </w:p>
        </w:tc>
        <w:tc>
          <w:tcPr>
            <w:tcW w:w="380" w:type="dxa"/>
            <w:vAlign w:val="bottom"/>
            <w:gridSpan w:val="2"/>
            <w:shd w:val="clear" w:color="auto" w:fill="248ED8"/>
          </w:tcPr>
          <w:p>
            <w:pPr>
              <w:jc w:val="right"/>
              <w:spacing w:after="0"/>
              <w:rPr>
                <w:sz w:val="20"/>
                <w:szCs w:val="20"/>
                <w:color w:val="auto"/>
              </w:rPr>
            </w:pPr>
            <w:r>
              <w:rPr>
                <w:rFonts w:ascii="Arial" w:cs="Arial" w:eastAsia="Arial" w:hAnsi="Arial"/>
                <w:sz w:val="16"/>
                <w:szCs w:val="16"/>
                <w:b w:val="1"/>
                <w:bCs w:val="1"/>
                <w:color w:val="FFFFFF"/>
              </w:rPr>
              <w:t>​ ​</w:t>
            </w:r>
          </w:p>
        </w:tc>
        <w:tc>
          <w:tcPr>
            <w:tcW w:w="116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w w:val="98"/>
              </w:rPr>
              <w:t>other rights</w:t>
            </w:r>
          </w:p>
        </w:tc>
        <w:tc>
          <w:tcPr>
            <w:tcW w:w="1520" w:type="dxa"/>
            <w:vAlign w:val="bottom"/>
            <w:gridSpan w:val="5"/>
            <w:shd w:val="clear" w:color="auto" w:fill="248ED8"/>
          </w:tcPr>
          <w:p>
            <w:pPr>
              <w:ind w:left="60"/>
              <w:spacing w:after="0" w:line="256" w:lineRule="exact"/>
              <w:rPr>
                <w:sz w:val="20"/>
                <w:szCs w:val="20"/>
                <w:color w:val="auto"/>
              </w:rPr>
            </w:pPr>
            <w:r>
              <w:rPr>
                <w:rFonts w:ascii="Arial" w:cs="Arial" w:eastAsia="Arial" w:hAnsi="Arial"/>
                <w:sz w:val="29"/>
                <w:szCs w:val="29"/>
                <w:b w:val="1"/>
                <w:bCs w:val="1"/>
                <w:color w:val="FFFFFF"/>
                <w:vertAlign w:val="subscript"/>
              </w:rPr>
              <w:t>​ ​</w:t>
            </w:r>
            <w:r>
              <w:rPr>
                <w:rFonts w:ascii="Arial" w:cs="Arial" w:eastAsia="Arial" w:hAnsi="Arial"/>
                <w:sz w:val="15"/>
                <w:szCs w:val="15"/>
                <w:b w:val="1"/>
                <w:bCs w:val="1"/>
                <w:color w:val="FFFFFF"/>
              </w:rPr>
              <w:t xml:space="preserve">other rights(1) </w:t>
            </w:r>
            <w:r>
              <w:rPr>
                <w:rFonts w:ascii="Arial" w:cs="Arial" w:eastAsia="Arial" w:hAnsi="Arial"/>
                <w:sz w:val="29"/>
                <w:szCs w:val="29"/>
                <w:b w:val="1"/>
                <w:bCs w:val="1"/>
                <w:color w:val="FFFFFF"/>
                <w:vertAlign w:val="subscript"/>
              </w:rPr>
              <w:t>​ ​</w:t>
            </w:r>
          </w:p>
        </w:tc>
        <w:tc>
          <w:tcPr>
            <w:tcW w:w="164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w w:val="96"/>
              </w:rPr>
              <w:t>(a))</w:t>
            </w:r>
          </w:p>
        </w:tc>
        <w:tc>
          <w:tcPr>
            <w:tcW w:w="140" w:type="dxa"/>
            <w:vAlign w:val="bottom"/>
            <w:tcBorders>
              <w:right w:val="single" w:sz="8" w:color="248ED8"/>
            </w:tcBorders>
            <w:shd w:val="clear" w:color="auto" w:fill="248ED8"/>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43"/>
        </w:trPr>
        <w:tc>
          <w:tcPr>
            <w:tcW w:w="4160" w:type="dxa"/>
            <w:vAlign w:val="bottom"/>
            <w:tcBorders>
              <w:left w:val="single" w:sz="8" w:color="auto"/>
            </w:tcBorders>
            <w:shd w:val="clear" w:color="auto" w:fill="248ED8"/>
          </w:tcPr>
          <w:p>
            <w:pPr>
              <w:ind w:left="80"/>
              <w:spacing w:after="0"/>
              <w:rPr>
                <w:sz w:val="20"/>
                <w:szCs w:val="20"/>
                <w:color w:val="auto"/>
              </w:rPr>
            </w:pPr>
            <w:r>
              <w:rPr>
                <w:rFonts w:ascii="Arial" w:cs="Arial" w:eastAsia="Arial" w:hAnsi="Arial"/>
                <w:sz w:val="16"/>
                <w:szCs w:val="16"/>
                <w:b w:val="1"/>
                <w:bCs w:val="1"/>
                <w:color w:val="FFFFFF"/>
              </w:rPr>
              <w:t>​​</w:t>
            </w:r>
          </w:p>
        </w:tc>
        <w:tc>
          <w:tcPr>
            <w:tcW w:w="380" w:type="dxa"/>
            <w:vAlign w:val="bottom"/>
            <w:gridSpan w:val="2"/>
            <w:shd w:val="clear" w:color="auto" w:fill="248ED8"/>
          </w:tcPr>
          <w:p>
            <w:pPr>
              <w:jc w:val="right"/>
              <w:spacing w:after="0"/>
              <w:rPr>
                <w:sz w:val="20"/>
                <w:szCs w:val="20"/>
                <w:color w:val="auto"/>
              </w:rPr>
            </w:pPr>
            <w:r>
              <w:rPr>
                <w:rFonts w:ascii="Arial" w:cs="Arial" w:eastAsia="Arial" w:hAnsi="Arial"/>
                <w:sz w:val="16"/>
                <w:szCs w:val="16"/>
                <w:b w:val="1"/>
                <w:bCs w:val="1"/>
                <w:color w:val="FFFFFF"/>
              </w:rPr>
              <w:t>​ ​</w:t>
            </w:r>
          </w:p>
        </w:tc>
        <w:tc>
          <w:tcPr>
            <w:tcW w:w="116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rPr>
              <w:t>(a)</w:t>
            </w:r>
          </w:p>
        </w:tc>
        <w:tc>
          <w:tcPr>
            <w:tcW w:w="240" w:type="dxa"/>
            <w:vAlign w:val="bottom"/>
            <w:gridSpan w:val="2"/>
            <w:shd w:val="clear" w:color="auto" w:fill="248ED8"/>
          </w:tcPr>
          <w:p>
            <w:pPr>
              <w:jc w:val="right"/>
              <w:spacing w:after="0"/>
              <w:rPr>
                <w:sz w:val="20"/>
                <w:szCs w:val="20"/>
                <w:color w:val="auto"/>
              </w:rPr>
            </w:pPr>
            <w:r>
              <w:rPr>
                <w:rFonts w:ascii="Arial" w:cs="Arial" w:eastAsia="Arial" w:hAnsi="Arial"/>
                <w:sz w:val="16"/>
                <w:szCs w:val="16"/>
                <w:b w:val="1"/>
                <w:bCs w:val="1"/>
                <w:color w:val="FFFFFF"/>
              </w:rPr>
              <w:t>​ ​</w:t>
            </w:r>
          </w:p>
        </w:tc>
        <w:tc>
          <w:tcPr>
            <w:tcW w:w="104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w w:val="97"/>
              </w:rPr>
              <w:t>(b)</w:t>
            </w:r>
          </w:p>
        </w:tc>
        <w:tc>
          <w:tcPr>
            <w:tcW w:w="240" w:type="dxa"/>
            <w:vAlign w:val="bottom"/>
            <w:gridSpan w:val="2"/>
            <w:shd w:val="clear" w:color="auto" w:fill="248ED8"/>
          </w:tcPr>
          <w:p>
            <w:pPr>
              <w:jc w:val="right"/>
              <w:spacing w:after="0"/>
              <w:rPr>
                <w:sz w:val="20"/>
                <w:szCs w:val="20"/>
                <w:color w:val="auto"/>
              </w:rPr>
            </w:pPr>
            <w:r>
              <w:rPr>
                <w:rFonts w:ascii="Arial" w:cs="Arial" w:eastAsia="Arial" w:hAnsi="Arial"/>
                <w:sz w:val="16"/>
                <w:szCs w:val="16"/>
                <w:b w:val="1"/>
                <w:bCs w:val="1"/>
                <w:color w:val="FFFFFF"/>
              </w:rPr>
              <w:t>​ ​</w:t>
            </w:r>
          </w:p>
        </w:tc>
        <w:tc>
          <w:tcPr>
            <w:tcW w:w="1640" w:type="dxa"/>
            <w:vAlign w:val="bottom"/>
            <w:shd w:val="clear" w:color="auto" w:fill="248ED8"/>
          </w:tcPr>
          <w:p>
            <w:pPr>
              <w:jc w:val="center"/>
              <w:spacing w:after="0"/>
              <w:rPr>
                <w:sz w:val="20"/>
                <w:szCs w:val="20"/>
                <w:color w:val="auto"/>
              </w:rPr>
            </w:pPr>
            <w:r>
              <w:rPr>
                <w:rFonts w:ascii="Arial" w:cs="Arial" w:eastAsia="Arial" w:hAnsi="Arial"/>
                <w:sz w:val="16"/>
                <w:szCs w:val="16"/>
                <w:b w:val="1"/>
                <w:bCs w:val="1"/>
                <w:color w:val="FFFFFF"/>
              </w:rPr>
              <w:t>(c)</w:t>
            </w:r>
          </w:p>
        </w:tc>
        <w:tc>
          <w:tcPr>
            <w:tcW w:w="140" w:type="dxa"/>
            <w:vAlign w:val="bottom"/>
            <w:tcBorders>
              <w:right w:val="single" w:sz="8" w:color="248ED8"/>
            </w:tcBorders>
            <w:shd w:val="clear" w:color="auto" w:fill="248ED8"/>
          </w:tcPr>
          <w:p>
            <w:pPr>
              <w:ind w:lef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97"/>
        </w:trPr>
        <w:tc>
          <w:tcPr>
            <w:tcW w:w="4160" w:type="dxa"/>
            <w:vAlign w:val="bottom"/>
            <w:tcBorders>
              <w:left w:val="single" w:sz="8" w:color="auto"/>
            </w:tcBorders>
          </w:tcPr>
          <w:p>
            <w:pPr>
              <w:ind w:left="8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Equity compensation plans approved by security</w:t>
            </w:r>
          </w:p>
        </w:tc>
        <w:tc>
          <w:tcPr>
            <w:tcW w:w="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5,654,256</w:t>
            </w:r>
          </w:p>
        </w:tc>
        <w:tc>
          <w:tcPr>
            <w:tcW w:w="1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7"/>
              </w:rPr>
              <w:t>$5.36</w:t>
            </w:r>
          </w:p>
        </w:tc>
        <w:tc>
          <w:tcPr>
            <w:tcW w:w="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5,224,100</w:t>
            </w:r>
          </w:p>
        </w:tc>
        <w:tc>
          <w:tcPr>
            <w:tcW w:w="1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60" w:type="dxa"/>
            <w:vAlign w:val="bottom"/>
            <w:tcBorders>
              <w:left w:val="single" w:sz="8" w:color="auto"/>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holders (2)</w:t>
            </w:r>
          </w:p>
        </w:tc>
        <w:tc>
          <w:tcPr>
            <w:tcW w:w="2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160" w:type="dxa"/>
            <w:vAlign w:val="bottom"/>
            <w:tcBorders>
              <w:left w:val="single" w:sz="8" w:color="auto"/>
            </w:tcBorders>
          </w:tcPr>
          <w:p>
            <w:pPr>
              <w:ind w:left="120"/>
              <w:spacing w:after="0" w:line="182" w:lineRule="exact"/>
              <w:rPr>
                <w:sz w:val="20"/>
                <w:szCs w:val="20"/>
                <w:color w:val="auto"/>
              </w:rPr>
            </w:pPr>
            <w:r>
              <w:rPr>
                <w:rFonts w:ascii="Arial" w:cs="Arial" w:eastAsia="Arial" w:hAnsi="Arial"/>
                <w:sz w:val="18"/>
                <w:szCs w:val="18"/>
                <w:color w:val="auto"/>
              </w:rPr>
              <w:t>Equity compensation plans not approved by</w:t>
            </w:r>
          </w:p>
        </w:tc>
        <w:tc>
          <w:tcPr>
            <w:tcW w:w="2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4160" w:type="dxa"/>
            <w:vAlign w:val="bottom"/>
            <w:tcBorders>
              <w:left w:val="single" w:sz="8" w:color="auto"/>
              <w:bottom w:val="single" w:sz="8" w:color="auto"/>
            </w:tcBorders>
          </w:tcPr>
          <w:p>
            <w:pPr>
              <w:ind w:left="80"/>
              <w:spacing w:after="0" w:line="297"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8"/>
                <w:szCs w:val="18"/>
                <w:color w:val="auto"/>
              </w:rPr>
              <w:t>security holders</w:t>
            </w:r>
          </w:p>
        </w:tc>
        <w:tc>
          <w:tcPr>
            <w:tcW w:w="2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5,654,256</w:t>
            </w:r>
          </w:p>
        </w:tc>
        <w:tc>
          <w:tcPr>
            <w:tcW w:w="1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$5.36</w:t>
            </w:r>
          </w:p>
        </w:tc>
        <w:tc>
          <w:tcPr>
            <w:tcW w:w="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5,224,100</w:t>
            </w:r>
          </w:p>
        </w:tc>
        <w:tc>
          <w:tcPr>
            <w:tcW w:w="1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40" w:hanging="370"/>
        <w:spacing w:after="0"/>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the weighted-average exercise price of outstanding stock options.</w:t>
      </w:r>
    </w:p>
    <w:p>
      <w:pPr>
        <w:spacing w:after="0" w:line="59" w:lineRule="exact"/>
        <w:rPr>
          <w:rFonts w:ascii="Arial" w:cs="Arial" w:eastAsia="Arial" w:hAnsi="Arial"/>
          <w:sz w:val="16"/>
          <w:szCs w:val="16"/>
          <w:color w:val="auto"/>
        </w:rPr>
      </w:pPr>
    </w:p>
    <w:p>
      <w:pPr>
        <w:jc w:val="both"/>
        <w:ind w:left="1240" w:right="19" w:hanging="370"/>
        <w:spacing w:after="0" w:line="247"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shares available for future issues under the 2021 Plan. No new grants will be made under our 2018 Plan. The 2021 Plan contains an “evergreen” provision, pursuant to which, on or about January 1 each year, the maximum number of shares reserved for issuance under the 2021 Plan is increased by a number equal to the lesser of (i) 5% of the shares of common stock issued and outstanding on the last day of the immediately preceding fiscal year and (ii) such smaller number of shares of common stock as determined by the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FFFFFF"/>
        </w:rPr>
        <w:t>SECURITY OWNERSHIP OF CERTAIN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4972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38"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​OWNERS AND MANAGEMENT</w:t>
      </w:r>
      <w:r>
        <w:rPr>
          <w:sz w:val="20"/>
          <w:szCs w:val="20"/>
          <w:color w:val="auto"/>
        </w:rPr>
        <w:tab/>
      </w:r>
      <w:r>
        <w:rPr>
          <w:rFonts w:ascii="Arial" w:cs="Arial" w:eastAsia="Arial" w:hAnsi="Arial"/>
          <w:sz w:val="32"/>
          <w:szCs w:val="32"/>
          <w:b w:val="1"/>
          <w:bCs w:val="1"/>
          <w:color w:val="FFFFFF"/>
        </w:rPr>
        <w:t>​</w:t>
      </w:r>
    </w:p>
    <w:p>
      <w:pPr>
        <w:spacing w:after="0" w:line="325"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The following table sets forth certain information regarding the beneficial ownership of common stock as of April 5, 2022 by (a) each person known by us to be the beneficial owner of more than 5% of the outstanding shares of common stock, (b) each NEO identified in the “Summary Compensation Table” above, (c) each director and nominee for director, and (d) all executive officers and directors as a group.</w:t>
      </w:r>
    </w:p>
    <w:p>
      <w:pPr>
        <w:spacing w:after="0" w:line="109" w:lineRule="exact"/>
        <w:rPr>
          <w:sz w:val="20"/>
          <w:szCs w:val="20"/>
          <w:color w:val="auto"/>
        </w:rPr>
      </w:pPr>
    </w:p>
    <w:p>
      <w:pPr>
        <w:jc w:val="both"/>
        <w:ind w:left="880" w:right="19"/>
        <w:spacing w:after="0" w:line="254" w:lineRule="auto"/>
        <w:rPr>
          <w:sz w:val="20"/>
          <w:szCs w:val="20"/>
          <w:color w:val="auto"/>
        </w:rPr>
      </w:pPr>
      <w:r>
        <w:rPr>
          <w:rFonts w:ascii="Arial" w:cs="Arial" w:eastAsia="Arial" w:hAnsi="Arial"/>
          <w:sz w:val="18"/>
          <w:szCs w:val="18"/>
          <w:color w:val="auto"/>
        </w:rPr>
        <w:t>The percentage of common stock outstanding is based on 58,827,815 shares of our common stock outstanding as of April 5, 2022. For purposes of the table below, and in accordance with the rules of the SEC, we deem shares of common stock subject to options that are currently exercisable or exercisable within sixty days of April 5, 2022 to be outstanding and to be beneficially owned by the person holding the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Century Therapeutics, Inc., 3675 Market Street, Philadelphia, PA 19104.</w:t>
      </w:r>
    </w:p>
    <w:p>
      <w:pPr>
        <w:spacing w:after="0" w:line="144" w:lineRule="exact"/>
        <w:rPr>
          <w:sz w:val="20"/>
          <w:szCs w:val="20"/>
          <w:color w:val="auto"/>
        </w:rPr>
      </w:pPr>
    </w:p>
    <w:tbl>
      <w:tblPr>
        <w:tblLayout w:type="fixed"/>
        <w:tblInd w:w="870" w:type="dxa"/>
        <w:tblCellMar>
          <w:top w:w="0" w:type="dxa"/>
          <w:left w:w="0" w:type="dxa"/>
          <w:bottom w:w="0" w:type="dxa"/>
          <w:right w:w="0" w:type="dxa"/>
        </w:tblCellMar>
      </w:tblPr>
      <w:tr>
        <w:trPr>
          <w:trHeight w:val="249"/>
        </w:trPr>
        <w:tc>
          <w:tcPr>
            <w:tcW w:w="1640" w:type="dxa"/>
            <w:vAlign w:val="bottom"/>
            <w:tcBorders>
              <w:top w:val="single" w:sz="8" w:color="auto"/>
              <w:left w:val="single" w:sz="8" w:color="auto"/>
            </w:tcBorders>
            <w:vMerge w:val="restart"/>
            <w:shd w:val="clear" w:color="auto" w:fill="248ED8"/>
          </w:tcPr>
          <w:p>
            <w:pPr>
              <w:ind w:left="80"/>
              <w:spacing w:after="0"/>
              <w:rPr>
                <w:sz w:val="20"/>
                <w:szCs w:val="20"/>
                <w:color w:val="auto"/>
              </w:rPr>
            </w:pPr>
            <w:r>
              <w:rPr>
                <w:rFonts w:ascii="Arial" w:cs="Arial" w:eastAsia="Arial" w:hAnsi="Arial"/>
                <w:sz w:val="16"/>
                <w:szCs w:val="16"/>
                <w:b w:val="1"/>
                <w:bCs w:val="1"/>
                <w:color w:val="FFFFFF"/>
              </w:rPr>
              <w:t>​</w:t>
            </w:r>
          </w:p>
        </w:tc>
        <w:tc>
          <w:tcPr>
            <w:tcW w:w="3580" w:type="dxa"/>
            <w:vAlign w:val="bottom"/>
            <w:tcBorders>
              <w:top w:val="single" w:sz="8" w:color="auto"/>
            </w:tcBorders>
            <w:vMerge w:val="restart"/>
            <w:shd w:val="clear" w:color="auto" w:fill="248ED8"/>
          </w:tcPr>
          <w:p>
            <w:pPr>
              <w:ind w:left="20"/>
              <w:spacing w:after="0"/>
              <w:rPr>
                <w:sz w:val="20"/>
                <w:szCs w:val="20"/>
                <w:color w:val="auto"/>
              </w:rPr>
            </w:pPr>
            <w:r>
              <w:rPr>
                <w:rFonts w:ascii="Arial" w:cs="Arial" w:eastAsia="Arial" w:hAnsi="Arial"/>
                <w:sz w:val="16"/>
                <w:szCs w:val="16"/>
                <w:b w:val="1"/>
                <w:bCs w:val="1"/>
                <w:color w:val="FFFFFF"/>
              </w:rPr>
              <w:t>NAME OF BENEFICIAL OWNER</w:t>
            </w:r>
          </w:p>
        </w:tc>
        <w:tc>
          <w:tcPr>
            <w:tcW w:w="500" w:type="dxa"/>
            <w:vAlign w:val="bottom"/>
            <w:tcBorders>
              <w:top w:val="single" w:sz="8" w:color="auto"/>
            </w:tcBorders>
            <w:vMerge w:val="restart"/>
            <w:shd w:val="clear" w:color="auto" w:fill="248ED8"/>
          </w:tcPr>
          <w:p>
            <w:pPr>
              <w:ind w:left="440"/>
              <w:spacing w:after="0"/>
              <w:rPr>
                <w:sz w:val="20"/>
                <w:szCs w:val="20"/>
                <w:color w:val="auto"/>
              </w:rPr>
            </w:pPr>
            <w:r>
              <w:rPr>
                <w:rFonts w:ascii="Arial" w:cs="Arial" w:eastAsia="Arial" w:hAnsi="Arial"/>
                <w:sz w:val="16"/>
                <w:szCs w:val="16"/>
                <w:b w:val="1"/>
                <w:bCs w:val="1"/>
                <w:color w:val="FFFFFF"/>
              </w:rPr>
              <w:t>​</w:t>
            </w:r>
          </w:p>
        </w:tc>
        <w:tc>
          <w:tcPr>
            <w:tcW w:w="100" w:type="dxa"/>
            <w:vAlign w:val="bottom"/>
            <w:tcBorders>
              <w:top w:val="single" w:sz="8" w:color="auto"/>
            </w:tcBorders>
            <w:shd w:val="clear" w:color="auto" w:fill="248ED8"/>
          </w:tcPr>
          <w:p>
            <w:pPr>
              <w:jc w:val="right"/>
              <w:spacing w:after="0"/>
              <w:rPr>
                <w:sz w:val="20"/>
                <w:szCs w:val="20"/>
                <w:color w:val="auto"/>
              </w:rPr>
            </w:pPr>
            <w:r>
              <w:rPr>
                <w:rFonts w:ascii="Arial" w:cs="Arial" w:eastAsia="Arial" w:hAnsi="Arial"/>
                <w:sz w:val="16"/>
                <w:szCs w:val="16"/>
                <w:b w:val="1"/>
                <w:bCs w:val="1"/>
                <w:color w:val="FFFFFF"/>
              </w:rPr>
              <w:t>​</w:t>
            </w:r>
          </w:p>
        </w:tc>
        <w:tc>
          <w:tcPr>
            <w:tcW w:w="2940" w:type="dxa"/>
            <w:vAlign w:val="bottom"/>
            <w:tcBorders>
              <w:top w:val="single" w:sz="8" w:color="auto"/>
            </w:tcBorders>
            <w:gridSpan w:val="3"/>
            <w:shd w:val="clear" w:color="auto" w:fill="248ED8"/>
          </w:tcPr>
          <w:p>
            <w:pPr>
              <w:ind w:left="260"/>
              <w:spacing w:after="0"/>
              <w:rPr>
                <w:sz w:val="20"/>
                <w:szCs w:val="20"/>
                <w:color w:val="auto"/>
              </w:rPr>
            </w:pPr>
            <w:r>
              <w:rPr>
                <w:rFonts w:ascii="Arial" w:cs="Arial" w:eastAsia="Arial" w:hAnsi="Arial"/>
                <w:sz w:val="16"/>
                <w:szCs w:val="16"/>
                <w:b w:val="1"/>
                <w:bCs w:val="1"/>
                <w:color w:val="FFFFFF"/>
              </w:rPr>
              <w:t>SHARES BENEFICIALLY OWNED</w:t>
            </w:r>
          </w:p>
        </w:tc>
        <w:tc>
          <w:tcPr>
            <w:tcW w:w="240" w:type="dxa"/>
            <w:vAlign w:val="bottom"/>
            <w:tcBorders>
              <w:top w:val="single" w:sz="8" w:color="auto"/>
              <w:right w:val="single" w:sz="8" w:color="auto"/>
            </w:tcBorders>
            <w:shd w:val="clear" w:color="auto" w:fill="248ED8"/>
          </w:tcPr>
          <w:p>
            <w:pPr>
              <w:jc w:val="right"/>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22"/>
        </w:trPr>
        <w:tc>
          <w:tcPr>
            <w:tcW w:w="1640" w:type="dxa"/>
            <w:vAlign w:val="bottom"/>
            <w:tcBorders>
              <w:left w:val="single" w:sz="8" w:color="auto"/>
            </w:tcBorders>
            <w:vMerge w:val="continue"/>
            <w:shd w:val="clear" w:color="auto" w:fill="248ED8"/>
          </w:tcPr>
          <w:p>
            <w:pPr>
              <w:spacing w:after="0"/>
              <w:rPr>
                <w:sz w:val="10"/>
                <w:szCs w:val="10"/>
                <w:color w:val="auto"/>
              </w:rPr>
            </w:pPr>
          </w:p>
        </w:tc>
        <w:tc>
          <w:tcPr>
            <w:tcW w:w="3580" w:type="dxa"/>
            <w:vAlign w:val="bottom"/>
            <w:vMerge w:val="continue"/>
            <w:shd w:val="clear" w:color="auto" w:fill="248ED8"/>
          </w:tcPr>
          <w:p>
            <w:pPr>
              <w:spacing w:after="0"/>
              <w:rPr>
                <w:sz w:val="10"/>
                <w:szCs w:val="10"/>
                <w:color w:val="auto"/>
              </w:rPr>
            </w:pPr>
          </w:p>
        </w:tc>
        <w:tc>
          <w:tcPr>
            <w:tcW w:w="500" w:type="dxa"/>
            <w:vAlign w:val="bottom"/>
            <w:vMerge w:val="continue"/>
            <w:shd w:val="clear" w:color="auto" w:fill="248ED8"/>
          </w:tcPr>
          <w:p>
            <w:pPr>
              <w:spacing w:after="0"/>
              <w:rPr>
                <w:sz w:val="10"/>
                <w:szCs w:val="10"/>
                <w:color w:val="auto"/>
              </w:rPr>
            </w:pPr>
          </w:p>
        </w:tc>
        <w:tc>
          <w:tcPr>
            <w:tcW w:w="100" w:type="dxa"/>
            <w:vAlign w:val="bottom"/>
            <w:vMerge w:val="restart"/>
            <w:shd w:val="clear" w:color="auto" w:fill="248ED8"/>
          </w:tcPr>
          <w:p>
            <w:pPr>
              <w:jc w:val="right"/>
              <w:spacing w:after="0"/>
              <w:rPr>
                <w:sz w:val="20"/>
                <w:szCs w:val="20"/>
                <w:color w:val="auto"/>
              </w:rPr>
            </w:pPr>
            <w:r>
              <w:rPr>
                <w:rFonts w:ascii="Arial" w:cs="Arial" w:eastAsia="Arial" w:hAnsi="Arial"/>
                <w:sz w:val="16"/>
                <w:szCs w:val="16"/>
                <w:b w:val="1"/>
                <w:bCs w:val="1"/>
                <w:color w:val="FFFFFF"/>
              </w:rPr>
              <w:t>​</w:t>
            </w:r>
          </w:p>
        </w:tc>
        <w:tc>
          <w:tcPr>
            <w:tcW w:w="3180" w:type="dxa"/>
            <w:vAlign w:val="bottom"/>
            <w:tcBorders>
              <w:right w:val="single" w:sz="8" w:color="auto"/>
            </w:tcBorders>
            <w:gridSpan w:val="4"/>
            <w:vMerge w:val="restart"/>
            <w:shd w:val="clear" w:color="auto" w:fill="248ED8"/>
          </w:tcPr>
          <w:p>
            <w:pPr>
              <w:jc w:val="right"/>
              <w:spacing w:after="0" w:line="290" w:lineRule="exact"/>
              <w:rPr>
                <w:sz w:val="20"/>
                <w:szCs w:val="20"/>
                <w:color w:val="auto"/>
              </w:rPr>
            </w:pPr>
            <w:r>
              <w:rPr>
                <w:rFonts w:ascii="Arial" w:cs="Arial" w:eastAsia="Arial" w:hAnsi="Arial"/>
                <w:sz w:val="16"/>
                <w:szCs w:val="16"/>
                <w:b w:val="1"/>
                <w:bCs w:val="1"/>
                <w:color w:val="FFFFFF"/>
                <w:shd w:val="clear" w:color="auto" w:fill="248ED8"/>
              </w:rPr>
              <w:t xml:space="preserve">NUMBER OF SHARES </w:t>
            </w:r>
            <w:r>
              <w:rPr>
                <w:rFonts w:ascii="Arial" w:cs="Arial" w:eastAsia="Arial" w:hAnsi="Arial"/>
                <w:sz w:val="32"/>
                <w:szCs w:val="32"/>
                <w:b w:val="1"/>
                <w:bCs w:val="1"/>
                <w:color w:val="FFFFFF"/>
                <w:vertAlign w:val="subscript"/>
                <w:shd w:val="clear" w:color="auto" w:fill="248ED8"/>
              </w:rPr>
              <w:t>​ ​</w:t>
            </w:r>
            <w:r>
              <w:rPr>
                <w:rFonts w:ascii="Arial" w:cs="Arial" w:eastAsia="Arial" w:hAnsi="Arial"/>
                <w:sz w:val="16"/>
                <w:szCs w:val="16"/>
                <w:b w:val="1"/>
                <w:bCs w:val="1"/>
                <w:color w:val="FFFFFF"/>
                <w:shd w:val="clear" w:color="auto" w:fill="248ED8"/>
              </w:rPr>
              <w:t xml:space="preserve">PERCENTAGE </w:t>
            </w:r>
            <w:r>
              <w:rPr>
                <w:rFonts w:ascii="Arial" w:cs="Arial" w:eastAsia="Arial" w:hAnsi="Arial"/>
                <w:sz w:val="32"/>
                <w:szCs w:val="32"/>
                <w:b w:val="1"/>
                <w:bCs w:val="1"/>
                <w:color w:val="FFFFFF"/>
                <w:vertAlign w:val="subscript"/>
                <w:shd w:val="clear" w:color="auto" w:fill="248ED8"/>
              </w:rPr>
              <w:t>​</w:t>
            </w:r>
          </w:p>
        </w:tc>
        <w:tc>
          <w:tcPr>
            <w:tcW w:w="0" w:type="dxa"/>
            <w:vAlign w:val="bottom"/>
          </w:tcPr>
          <w:p>
            <w:pPr>
              <w:spacing w:after="0"/>
              <w:rPr>
                <w:sz w:val="1"/>
                <w:szCs w:val="1"/>
                <w:color w:val="auto"/>
              </w:rPr>
            </w:pPr>
          </w:p>
        </w:tc>
      </w:tr>
      <w:tr>
        <w:trPr>
          <w:trHeight w:val="169"/>
        </w:trPr>
        <w:tc>
          <w:tcPr>
            <w:tcW w:w="1640" w:type="dxa"/>
            <w:vAlign w:val="bottom"/>
            <w:tcBorders>
              <w:left w:val="single" w:sz="8" w:color="auto"/>
            </w:tcBorders>
            <w:shd w:val="clear" w:color="auto" w:fill="248ED8"/>
          </w:tcPr>
          <w:p>
            <w:pPr>
              <w:spacing w:after="0"/>
              <w:rPr>
                <w:sz w:val="14"/>
                <w:szCs w:val="14"/>
                <w:color w:val="auto"/>
              </w:rPr>
            </w:pPr>
          </w:p>
        </w:tc>
        <w:tc>
          <w:tcPr>
            <w:tcW w:w="3580" w:type="dxa"/>
            <w:vAlign w:val="bottom"/>
            <w:shd w:val="clear" w:color="auto" w:fill="248ED8"/>
          </w:tcPr>
          <w:p>
            <w:pPr>
              <w:spacing w:after="0"/>
              <w:rPr>
                <w:sz w:val="14"/>
                <w:szCs w:val="14"/>
                <w:color w:val="auto"/>
              </w:rPr>
            </w:pPr>
          </w:p>
        </w:tc>
        <w:tc>
          <w:tcPr>
            <w:tcW w:w="500" w:type="dxa"/>
            <w:vAlign w:val="bottom"/>
            <w:shd w:val="clear" w:color="auto" w:fill="248ED8"/>
          </w:tcPr>
          <w:p>
            <w:pPr>
              <w:spacing w:after="0"/>
              <w:rPr>
                <w:sz w:val="14"/>
                <w:szCs w:val="14"/>
                <w:color w:val="auto"/>
              </w:rPr>
            </w:pPr>
          </w:p>
        </w:tc>
        <w:tc>
          <w:tcPr>
            <w:tcW w:w="100" w:type="dxa"/>
            <w:vAlign w:val="bottom"/>
            <w:vMerge w:val="continue"/>
            <w:shd w:val="clear" w:color="auto" w:fill="248ED8"/>
          </w:tcPr>
          <w:p>
            <w:pPr>
              <w:spacing w:after="0"/>
              <w:rPr>
                <w:sz w:val="14"/>
                <w:szCs w:val="14"/>
                <w:color w:val="auto"/>
              </w:rPr>
            </w:pPr>
          </w:p>
        </w:tc>
        <w:tc>
          <w:tcPr>
            <w:tcW w:w="3180" w:type="dxa"/>
            <w:vAlign w:val="bottom"/>
            <w:tcBorders>
              <w:right w:val="single" w:sz="8" w:color="auto"/>
            </w:tcBorders>
            <w:gridSpan w:val="4"/>
            <w:vMerge w:val="continue"/>
            <w:shd w:val="clear" w:color="auto" w:fill="248ED8"/>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5220" w:type="dxa"/>
            <w:vAlign w:val="bottom"/>
            <w:tcBorders>
              <w:left w:val="single" w:sz="8" w:color="auto"/>
              <w:bottom w:val="single" w:sz="8" w:color="auto"/>
            </w:tcBorders>
            <w:gridSpan w:val="2"/>
          </w:tcPr>
          <w:p>
            <w:pPr>
              <w:ind w:left="80"/>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6"/>
                <w:szCs w:val="16"/>
                <w:b w:val="1"/>
                <w:bCs w:val="1"/>
                <w:color w:val="auto"/>
              </w:rPr>
              <w:t>Greater than 5% Stockholders</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54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w:t>
            </w:r>
          </w:p>
        </w:tc>
        <w:tc>
          <w:tcPr>
            <w:tcW w:w="8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Versant Entities (1)</w:t>
            </w:r>
          </w:p>
        </w:tc>
        <w:tc>
          <w:tcPr>
            <w:tcW w:w="35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7"/>
              </w:rPr>
              <w:t>13,080,909</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22.2%</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FUJIFILM Cellular Dynamics, Inc. (2)</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6,955,207</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11.8%</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Bayer World Investments B.V. (3)</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7"/>
              </w:rPr>
              <w:t>12,675,838</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21.5%</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Casdin Entities (4)</w:t>
            </w:r>
          </w:p>
        </w:tc>
        <w:tc>
          <w:tcPr>
            <w:tcW w:w="35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3,206,380</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FMR LLC (5)</w:t>
            </w:r>
          </w:p>
        </w:tc>
        <w:tc>
          <w:tcPr>
            <w:tcW w:w="35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8,196,203</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13.9%</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Named Executive Officers and Directors</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w:t>
            </w:r>
          </w:p>
        </w:tc>
        <w:tc>
          <w:tcPr>
            <w:tcW w:w="154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w:t>
            </w:r>
          </w:p>
        </w:tc>
        <w:tc>
          <w:tcPr>
            <w:tcW w:w="8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Osvaldo Flores, Ph.D. (6)</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1,341,472</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Adrienne Farid, Ph.D. (7)</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8"/>
              </w:rPr>
              <w:t>211,831</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Luis Borges, Ph.D. (8)</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8"/>
              </w:rPr>
              <w:t>283,176</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Kimberly Blackwell, M.D. (9)</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24,870</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Cynthia Butitta</w:t>
            </w:r>
          </w:p>
        </w:tc>
        <w:tc>
          <w:tcPr>
            <w:tcW w:w="35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24,734</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Eli Casdin (4)</w:t>
            </w:r>
          </w:p>
        </w:tc>
        <w:tc>
          <w:tcPr>
            <w:tcW w:w="35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3,206,380</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Joseph Jimenez</w:t>
            </w:r>
          </w:p>
        </w:tc>
        <w:tc>
          <w:tcPr>
            <w:tcW w:w="35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8"/>
              </w:rPr>
              <w:t>237,978</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Alessandro Riva, M.D. (10)</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rPr>
              <w:t>24,870</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Carlo Rizzuto, Ph.D.</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7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20" w:type="dxa"/>
            <w:vAlign w:val="bottom"/>
            <w:tcBorders>
              <w:left w:val="single" w:sz="8" w:color="auto"/>
              <w:bottom w:val="single" w:sz="8" w:color="auto"/>
            </w:tcBorders>
            <w:gridSpan w:val="2"/>
          </w:tcPr>
          <w:p>
            <w:pPr>
              <w:ind w:left="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All executive officers and directors as a group (12 persons)</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9"/>
              </w:rPr>
              <w:t>6,147,719</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10.3%</w:t>
            </w:r>
          </w:p>
        </w:tc>
        <w:tc>
          <w:tcPr>
            <w:tcW w:w="2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40" w:hanging="370"/>
        <w:spacing w:after="0"/>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73" w:lineRule="exact"/>
        <w:rPr>
          <w:sz w:val="20"/>
          <w:szCs w:val="20"/>
          <w:color w:val="auto"/>
        </w:rPr>
      </w:pPr>
    </w:p>
    <w:p>
      <w:pPr>
        <w:ind w:left="1240" w:hanging="370"/>
        <w:spacing w:after="0"/>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(i) 12,366,814 shares of common stock held by Versant Venture Capital VI, L.P., or Versant VI, and</w:t>
      </w:r>
    </w:p>
    <w:p>
      <w:pPr>
        <w:spacing w:after="0" w:line="7" w:lineRule="exact"/>
        <w:rPr>
          <w:rFonts w:ascii="Arial" w:cs="Arial" w:eastAsia="Arial" w:hAnsi="Arial"/>
          <w:sz w:val="16"/>
          <w:szCs w:val="16"/>
          <w:color w:val="auto"/>
        </w:rPr>
      </w:pPr>
    </w:p>
    <w:p>
      <w:pPr>
        <w:jc w:val="both"/>
        <w:ind w:left="1240" w:right="19" w:hanging="10"/>
        <w:spacing w:after="0" w:line="236" w:lineRule="auto"/>
        <w:tabs>
          <w:tab w:leader="none" w:pos="1484" w:val="left"/>
        </w:tabs>
        <w:numPr>
          <w:ilvl w:val="1"/>
          <w:numId w:val="19"/>
        </w:numPr>
        <w:rPr>
          <w:rFonts w:ascii="Arial" w:cs="Arial" w:eastAsia="Arial" w:hAnsi="Arial"/>
          <w:sz w:val="16"/>
          <w:szCs w:val="16"/>
          <w:color w:val="auto"/>
        </w:rPr>
      </w:pPr>
      <w:r>
        <w:rPr>
          <w:rFonts w:ascii="Arial" w:cs="Arial" w:eastAsia="Arial" w:hAnsi="Arial"/>
          <w:sz w:val="16"/>
          <w:szCs w:val="16"/>
          <w:color w:val="auto"/>
        </w:rPr>
        <w:t>714,095 shares of common stock held by Versant Vantage II, L.P., or Versant II. Versant Ventures VI GP, L.P., or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or Versant II GP LP, is the sole general partner of Versant II and Versant Vantage II GP-GP, LLC is the sole general partner of Versant II GP LP and has voting and dispositive control over the shares held by Versant II. Jerel Davis, Brad Bolzon, Tom Woiwode, Clare Owaza, Alex Mayweg and Robin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p>
    <w:p>
      <w:pPr>
        <w:sectPr>
          <w:pgSz w:w="11900" w:h="16838" w:orient="portrait"/>
          <w:cols w:equalWidth="0" w:num="1">
            <w:col w:w="9879"/>
          </w:cols>
          <w:pgMar w:left="580" w:top="97" w:right="1440" w:bottom="1440" w:gutter="0" w:footer="0" w:header="0"/>
        </w:sectPr>
      </w:pPr>
    </w:p>
    <w:p>
      <w:pPr>
        <w:spacing w:after="0" w:line="30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152" w:lineRule="exact"/>
        <w:rPr>
          <w:sz w:val="20"/>
          <w:szCs w:val="20"/>
          <w:color w:val="auto"/>
        </w:rPr>
      </w:pPr>
    </w:p>
    <w:p>
      <w:pPr>
        <w:ind w:left="980"/>
        <w:spacing w:after="0"/>
        <w:rPr>
          <w:sz w:val="20"/>
          <w:szCs w:val="20"/>
          <w:color w:val="auto"/>
        </w:rPr>
      </w:pPr>
      <w:r>
        <w:rPr>
          <w:rFonts w:ascii="Arial" w:cs="Arial" w:eastAsia="Arial" w:hAnsi="Arial"/>
          <w:sz w:val="32"/>
          <w:szCs w:val="32"/>
          <w:b w:val="1"/>
          <w:bCs w:val="1"/>
          <w:color w:val="FFFFFF"/>
        </w:rPr>
        <w:t>SECURITY OWNERSHIP OF CERTAIN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4972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00395" cy="497205"/>
                    </a:xfrm>
                    <a:prstGeom prst="rect">
                      <a:avLst/>
                    </a:prstGeom>
                    <a:noFill/>
                  </pic:spPr>
                </pic:pic>
              </a:graphicData>
            </a:graphic>
          </wp:anchor>
        </w:drawing>
      </w:r>
    </w:p>
    <w:p>
      <w:pPr>
        <w:spacing w:after="0" w:line="38"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​OWNERS AND MANAGEMENT</w:t>
      </w:r>
      <w:r>
        <w:rPr>
          <w:sz w:val="20"/>
          <w:szCs w:val="20"/>
          <w:color w:val="auto"/>
        </w:rPr>
        <w:tab/>
      </w:r>
      <w:r>
        <w:rPr>
          <w:rFonts w:ascii="Arial" w:cs="Arial" w:eastAsia="Arial" w:hAnsi="Arial"/>
          <w:sz w:val="32"/>
          <w:szCs w:val="32"/>
          <w:b w:val="1"/>
          <w:bCs w:val="1"/>
          <w:color w:val="FFFFFF"/>
        </w:rPr>
        <w:t>​</w:t>
      </w:r>
    </w:p>
    <w:p>
      <w:pPr>
        <w:spacing w:after="0" w:line="316" w:lineRule="exact"/>
        <w:rPr>
          <w:sz w:val="20"/>
          <w:szCs w:val="20"/>
          <w:color w:val="auto"/>
        </w:rPr>
      </w:pPr>
    </w:p>
    <w:p>
      <w:pPr>
        <w:jc w:val="both"/>
        <w:ind w:left="1240" w:right="39" w:hanging="370"/>
        <w:spacing w:after="0" w:line="257"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FUJIFILM Cellular Dynamics, Inc., or FCDI, is an indirect, wholly owned subsidiary of FUJIFILM Holdings Corporation, which has sole voting and investment power over the Century shares held by FCDI. The address for FUJIFILM Holdings Corporation is 7-3, Akasaka 9-chome, Minato-ku, Tokyo 107-0052, Japan.</w:t>
      </w:r>
    </w:p>
    <w:p>
      <w:pPr>
        <w:spacing w:after="0" w:line="16" w:lineRule="exact"/>
        <w:rPr>
          <w:rFonts w:ascii="Arial" w:cs="Arial" w:eastAsia="Arial" w:hAnsi="Arial"/>
          <w:sz w:val="16"/>
          <w:szCs w:val="16"/>
          <w:color w:val="auto"/>
        </w:rPr>
      </w:pPr>
    </w:p>
    <w:p>
      <w:pPr>
        <w:jc w:val="both"/>
        <w:ind w:left="1240" w:right="19" w:hanging="370"/>
        <w:spacing w:after="0" w:line="247"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p>
    <w:p>
      <w:pPr>
        <w:spacing w:after="0" w:line="25" w:lineRule="exact"/>
        <w:rPr>
          <w:rFonts w:ascii="Arial" w:cs="Arial" w:eastAsia="Arial" w:hAnsi="Arial"/>
          <w:sz w:val="16"/>
          <w:szCs w:val="16"/>
          <w:color w:val="auto"/>
        </w:rPr>
      </w:pPr>
    </w:p>
    <w:p>
      <w:pPr>
        <w:ind w:left="1240" w:hanging="370"/>
        <w:spacing w:after="0"/>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(i) 1,603,190 shares of common stock held by Casdin Partners Master Fund, L.P., or Casdin PMF, and</w:t>
      </w:r>
    </w:p>
    <w:p>
      <w:pPr>
        <w:spacing w:after="0" w:line="21" w:lineRule="exact"/>
        <w:rPr>
          <w:rFonts w:ascii="Arial" w:cs="Arial" w:eastAsia="Arial" w:hAnsi="Arial"/>
          <w:sz w:val="16"/>
          <w:szCs w:val="16"/>
          <w:color w:val="auto"/>
        </w:rPr>
      </w:pPr>
    </w:p>
    <w:p>
      <w:pPr>
        <w:jc w:val="both"/>
        <w:ind w:left="1240" w:right="19" w:hanging="10"/>
        <w:spacing w:after="0" w:line="235" w:lineRule="auto"/>
        <w:tabs>
          <w:tab w:leader="none" w:pos="1496" w:val="left"/>
        </w:tabs>
        <w:numPr>
          <w:ilvl w:val="1"/>
          <w:numId w:val="20"/>
        </w:numPr>
        <w:rPr>
          <w:rFonts w:ascii="Arial" w:cs="Arial" w:eastAsia="Arial" w:hAnsi="Arial"/>
          <w:sz w:val="16"/>
          <w:szCs w:val="16"/>
          <w:color w:val="auto"/>
        </w:rPr>
      </w:pPr>
      <w:r>
        <w:rPr>
          <w:rFonts w:ascii="Arial" w:cs="Arial" w:eastAsia="Arial" w:hAnsi="Arial"/>
          <w:sz w:val="16"/>
          <w:szCs w:val="16"/>
          <w:color w:val="auto"/>
        </w:rPr>
        <w:t>1,603,190 shares of common stock held by Casdin Private Growth Equity Fund, L.P., or Casdin PGEF. Casdin Capital, LLC is the investment adviser to each of Casdin PMF and Casdin PGEF. Casdin Partners GP, LLC, or Casdin GP, is the general partner of Casdin PMF and Casdin Private Growth Equity Fund GP, LLC, or Casdin PGEF GP, is the general partner of Casdin PGEF. Mr. Casdin is the managing member of Casdin Capital, LLC and Casdin Partners GP, LLC. As such, each of Casdin Capital, LLC, Casdin Partners GP, LLC, and Mr. Casdin may be deemed to beneficially own the securities held by Casdin PMF by virtue of their shared voting and investment control over Casdin PMF and each of Casdin Capital, LLC, Casdin PGEF GP, and Mr. Casdin may be deemed to beneficially own the securities held by Casdin PGEF by virtue of their shared voting and investment control over Casdin PGEF. Each of Casdin Capital, LLC, Casdin Partners GP, Casdin PGEF GP, and Mr. Casdin disclaims beneficial ownership of such securities except to the extent of their respective pecuniary interest therein. The address of each of Casdin PMF, Casdin PGEF, Casdin Capital, LLC, Casdin GP, Casdin PGEF GP, and Mr. Casdin is 1350 Avenue of the Americas, Suite 2600, New York, New York 10019.</w:t>
      </w:r>
    </w:p>
    <w:p>
      <w:pPr>
        <w:spacing w:after="0" w:line="49" w:lineRule="exact"/>
        <w:rPr>
          <w:rFonts w:ascii="Arial" w:cs="Arial" w:eastAsia="Arial" w:hAnsi="Arial"/>
          <w:sz w:val="16"/>
          <w:szCs w:val="16"/>
          <w:color w:val="auto"/>
        </w:rPr>
      </w:pPr>
    </w:p>
    <w:p>
      <w:pPr>
        <w:jc w:val="both"/>
        <w:ind w:left="1240" w:right="39" w:hanging="370"/>
        <w:spacing w:after="0" w:line="239"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Massachusetts 02210.</w:t>
      </w:r>
    </w:p>
    <w:p>
      <w:pPr>
        <w:spacing w:after="0" w:line="46" w:lineRule="exact"/>
        <w:rPr>
          <w:rFonts w:ascii="Arial" w:cs="Arial" w:eastAsia="Arial" w:hAnsi="Arial"/>
          <w:sz w:val="16"/>
          <w:szCs w:val="16"/>
          <w:color w:val="auto"/>
        </w:rPr>
      </w:pPr>
    </w:p>
    <w:p>
      <w:pPr>
        <w:jc w:val="both"/>
        <w:ind w:left="1240" w:right="39" w:hanging="370"/>
        <w:spacing w:after="0" w:line="243"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(i) 382,648 shares of common stock, 213,624 shares of common stock issuable pursuant to options that are exercisable within 60 days of April 5, 2022, (iii) 372,600 shares of common stock held by the NS Irrevocable Trust for Gabriel O. Flores dated April 30, 2021, or the NS Trust, and (iv) 372,600 shares of common stock held by the Flores Family Trust for Gabriel O. Flores dated October 27, 2016, or the Flores Trust. Dr. Flores is trustee of the NS Trust and Nancy Stone, Dr. Flores’ wife, is trustee of the Flores Trust. Dr. Flores disclaims beneficial ownership of the shares held by each of the NS Trust and the Flores Trust.</w:t>
      </w:r>
    </w:p>
    <w:p>
      <w:pPr>
        <w:spacing w:after="0" w:line="29" w:lineRule="exact"/>
        <w:rPr>
          <w:rFonts w:ascii="Arial" w:cs="Arial" w:eastAsia="Arial" w:hAnsi="Arial"/>
          <w:sz w:val="16"/>
          <w:szCs w:val="16"/>
          <w:color w:val="auto"/>
        </w:rPr>
      </w:pPr>
    </w:p>
    <w:p>
      <w:pPr>
        <w:ind w:left="1240" w:right="39" w:hanging="370"/>
        <w:spacing w:after="0" w:line="281"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(i) 30,924 shares of common stock and (ii) 180,907 shares of common stock issuable pursuant to options that are exercisable within 60 days of April 5, 2022.</w:t>
      </w:r>
    </w:p>
    <w:p>
      <w:pPr>
        <w:spacing w:after="0" w:line="1" w:lineRule="exact"/>
        <w:rPr>
          <w:rFonts w:ascii="Arial" w:cs="Arial" w:eastAsia="Arial" w:hAnsi="Arial"/>
          <w:sz w:val="16"/>
          <w:szCs w:val="16"/>
          <w:color w:val="auto"/>
        </w:rPr>
      </w:pPr>
    </w:p>
    <w:p>
      <w:pPr>
        <w:ind w:left="1240" w:right="39" w:hanging="370"/>
        <w:spacing w:after="0" w:line="281"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283,176 shares of common stock issuable pursuant to options that are exercisable within 60 days of April 5, 2022.</w:t>
      </w:r>
    </w:p>
    <w:p>
      <w:pPr>
        <w:spacing w:after="0" w:line="1" w:lineRule="exact"/>
        <w:rPr>
          <w:rFonts w:ascii="Arial" w:cs="Arial" w:eastAsia="Arial" w:hAnsi="Arial"/>
          <w:sz w:val="16"/>
          <w:szCs w:val="16"/>
          <w:color w:val="auto"/>
        </w:rPr>
      </w:pPr>
    </w:p>
    <w:p>
      <w:pPr>
        <w:ind w:left="1240" w:right="19" w:hanging="370"/>
        <w:spacing w:after="0" w:line="268"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24,870 shares of common stock issuable pursuant to options that are exercisable within 60 days of April 5, 2022.</w:t>
      </w:r>
    </w:p>
    <w:p>
      <w:pPr>
        <w:spacing w:after="0" w:line="21" w:lineRule="exact"/>
        <w:rPr>
          <w:rFonts w:ascii="Arial" w:cs="Arial" w:eastAsia="Arial" w:hAnsi="Arial"/>
          <w:sz w:val="16"/>
          <w:szCs w:val="16"/>
          <w:color w:val="auto"/>
        </w:rPr>
      </w:pPr>
    </w:p>
    <w:p>
      <w:pPr>
        <w:ind w:left="1240" w:right="19" w:hanging="370"/>
        <w:spacing w:after="0" w:line="268" w:lineRule="auto"/>
        <w:tabs>
          <w:tab w:leader="none" w:pos="1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24,870 shares of common stock issuable pursuant to options that are exercisable within 60 days of April 5, 2022.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140970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PROPOSAL 1: ELECTION OF CLASS I DIRECTORS FOR A THREE-YEAR TERM EXPIRING IN 2025</w:t>
      </w:r>
    </w:p>
    <w:p>
      <w:pPr>
        <w:spacing w:after="0" w:line="144"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At the Annual Meeting, our stockholders will vote on the election of three Class I director nominees named in this Proxy Statement as directors, each to serve until our 2025 Annual Meeting of Stockholders and until their respective successors are elected and qualified. Our Board has unanimously nominated Eli Casdin, Osvaldo Flores, Ph.D. and Carlo Rizzuto, Ph.D. for election to our Board at the Annual Meeting.</w:t>
      </w:r>
    </w:p>
    <w:p>
      <w:pPr>
        <w:spacing w:after="0" w:line="109" w:lineRule="exact"/>
        <w:rPr>
          <w:sz w:val="20"/>
          <w:szCs w:val="20"/>
          <w:color w:val="auto"/>
        </w:rPr>
      </w:pPr>
    </w:p>
    <w:p>
      <w:pPr>
        <w:jc w:val="both"/>
        <w:ind w:left="880" w:right="19"/>
        <w:spacing w:after="0" w:line="262" w:lineRule="auto"/>
        <w:rPr>
          <w:sz w:val="20"/>
          <w:szCs w:val="20"/>
          <w:color w:val="auto"/>
        </w:rPr>
      </w:pPr>
      <w:r>
        <w:rPr>
          <w:rFonts w:ascii="Arial" w:cs="Arial" w:eastAsia="Arial" w:hAnsi="Arial"/>
          <w:sz w:val="18"/>
          <w:szCs w:val="18"/>
          <w:color w:val="auto"/>
        </w:rPr>
        <w:t>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135" w:lineRule="exact"/>
        <w:rPr>
          <w:sz w:val="20"/>
          <w:szCs w:val="20"/>
          <w:color w:val="auto"/>
        </w:rPr>
      </w:pPr>
    </w:p>
    <w:tbl>
      <w:tblPr>
        <w:tblLayout w:type="fixed"/>
        <w:tblInd w:w="870" w:type="dxa"/>
        <w:tblCellMar>
          <w:top w:w="0" w:type="dxa"/>
          <w:left w:w="0" w:type="dxa"/>
          <w:bottom w:w="0" w:type="dxa"/>
          <w:right w:w="0" w:type="dxa"/>
        </w:tblCellMar>
      </w:tblPr>
      <w:tr>
        <w:trPr>
          <w:trHeight w:val="311"/>
        </w:trPr>
        <w:tc>
          <w:tcPr>
            <w:tcW w:w="400" w:type="dxa"/>
            <w:vAlign w:val="bottom"/>
            <w:tcBorders>
              <w:top w:val="single" w:sz="8" w:color="248ED8"/>
              <w:left w:val="single" w:sz="8" w:color="248ED8"/>
            </w:tcBorders>
            <w:vMerge w:val="restart"/>
          </w:tcPr>
          <w:p>
            <w:pPr>
              <w:ind w:left="80"/>
              <w:spacing w:after="0"/>
              <w:rPr>
                <w:sz w:val="20"/>
                <w:szCs w:val="20"/>
                <w:color w:val="auto"/>
              </w:rPr>
            </w:pPr>
            <w:r>
              <w:rPr>
                <w:rFonts w:ascii="Arial" w:cs="Arial" w:eastAsia="Arial" w:hAnsi="Arial"/>
                <w:sz w:val="18"/>
                <w:szCs w:val="18"/>
                <w:color w:val="auto"/>
              </w:rPr>
              <w:t>​</w:t>
            </w:r>
          </w:p>
        </w:tc>
        <w:tc>
          <w:tcPr>
            <w:tcW w:w="7520" w:type="dxa"/>
            <w:vAlign w:val="bottom"/>
            <w:tcBorders>
              <w:top w:val="single" w:sz="8" w:color="248ED8"/>
            </w:tcBorders>
            <w:vMerge w:val="restart"/>
          </w:tcPr>
          <w:p>
            <w:pPr>
              <w:jc w:val="center"/>
              <w:ind w:right="10"/>
              <w:spacing w:after="0"/>
              <w:rPr>
                <w:sz w:val="20"/>
                <w:szCs w:val="20"/>
                <w:color w:val="auto"/>
              </w:rPr>
            </w:pPr>
            <w:r>
              <w:rPr>
                <w:rFonts w:ascii="Arial" w:cs="Arial" w:eastAsia="Arial" w:hAnsi="Arial"/>
                <w:sz w:val="18"/>
                <w:szCs w:val="18"/>
                <w:color w:val="auto"/>
                <w:w w:val="99"/>
              </w:rPr>
              <w:t xml:space="preserve">OUR BOARD UNANIMOUSLY RECOMMENDS STOCKHOLDERS VOTE </w:t>
            </w:r>
            <w:r>
              <w:rPr>
                <w:rFonts w:ascii="Arial" w:cs="Arial" w:eastAsia="Arial" w:hAnsi="Arial"/>
                <w:sz w:val="18"/>
                <w:szCs w:val="18"/>
                <w:b w:val="1"/>
                <w:bCs w:val="1"/>
                <w:color w:val="27A770"/>
                <w:w w:val="99"/>
              </w:rPr>
              <w:t>FOR</w:t>
            </w:r>
            <w:r>
              <w:rPr>
                <w:rFonts w:ascii="Arial" w:cs="Arial" w:eastAsia="Arial" w:hAnsi="Arial"/>
                <w:sz w:val="18"/>
                <w:szCs w:val="18"/>
                <w:color w:val="auto"/>
                <w:w w:val="99"/>
              </w:rPr>
              <w:t xml:space="preserve"> THE</w:t>
            </w:r>
          </w:p>
        </w:tc>
        <w:tc>
          <w:tcPr>
            <w:tcW w:w="440" w:type="dxa"/>
            <w:vAlign w:val="bottom"/>
            <w:tcBorders>
              <w:top w:val="single" w:sz="8" w:color="248ED8"/>
            </w:tcBorders>
            <w:vMerge w:val="restart"/>
          </w:tcPr>
          <w:p>
            <w:pPr>
              <w:ind w:left="28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248ED8"/>
            </w:tcBorders>
          </w:tcPr>
          <w:p>
            <w:pPr>
              <w:spacing w:after="0" w:line="310" w:lineRule="exact"/>
              <w:rPr>
                <w:sz w:val="20"/>
                <w:szCs w:val="20"/>
                <w:color w:val="auto"/>
              </w:rPr>
            </w:pPr>
            <w:r>
              <w:rPr>
                <w:rFonts w:ascii="MS PGothic" w:cs="MS PGothic" w:eastAsia="MS PGothic" w:hAnsi="MS PGothic"/>
                <w:sz w:val="41"/>
                <w:szCs w:val="41"/>
                <w:color w:val="27A770"/>
              </w:rPr>
              <w:t>✓</w:t>
            </w:r>
          </w:p>
        </w:tc>
        <w:tc>
          <w:tcPr>
            <w:tcW w:w="100" w:type="dxa"/>
            <w:vAlign w:val="bottom"/>
            <w:tcBorders>
              <w:top w:val="single" w:sz="8" w:color="248ED8"/>
              <w:right w:val="single" w:sz="8" w:color="248ED8"/>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
        </w:trPr>
        <w:tc>
          <w:tcPr>
            <w:tcW w:w="400" w:type="dxa"/>
            <w:vAlign w:val="bottom"/>
            <w:tcBorders>
              <w:left w:val="single" w:sz="8" w:color="248ED8"/>
            </w:tcBorders>
            <w:vMerge w:val="continue"/>
          </w:tcPr>
          <w:p>
            <w:pPr>
              <w:spacing w:after="0"/>
              <w:rPr>
                <w:sz w:val="3"/>
                <w:szCs w:val="3"/>
                <w:color w:val="auto"/>
              </w:rPr>
            </w:pPr>
          </w:p>
        </w:tc>
        <w:tc>
          <w:tcPr>
            <w:tcW w:w="752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Borders>
              <w:right w:val="single" w:sz="8" w:color="248ED8"/>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4"/>
        </w:trPr>
        <w:tc>
          <w:tcPr>
            <w:tcW w:w="400" w:type="dxa"/>
            <w:vAlign w:val="bottom"/>
            <w:tcBorders>
              <w:left w:val="single" w:sz="8" w:color="248ED8"/>
            </w:tcBorders>
            <w:vMerge w:val="continue"/>
          </w:tcPr>
          <w:p>
            <w:pPr>
              <w:spacing w:after="0"/>
              <w:rPr>
                <w:sz w:val="9"/>
                <w:szCs w:val="9"/>
                <w:color w:val="auto"/>
              </w:rPr>
            </w:pPr>
          </w:p>
        </w:tc>
        <w:tc>
          <w:tcPr>
            <w:tcW w:w="7520" w:type="dxa"/>
            <w:vAlign w:val="bottom"/>
            <w:vMerge w:val="restart"/>
          </w:tcPr>
          <w:p>
            <w:pPr>
              <w:jc w:val="center"/>
              <w:spacing w:after="0"/>
              <w:rPr>
                <w:sz w:val="20"/>
                <w:szCs w:val="20"/>
                <w:color w:val="auto"/>
              </w:rPr>
            </w:pPr>
            <w:r>
              <w:rPr>
                <w:rFonts w:ascii="Arial" w:cs="Arial" w:eastAsia="Arial" w:hAnsi="Arial"/>
                <w:sz w:val="18"/>
                <w:szCs w:val="18"/>
                <w:color w:val="auto"/>
                <w:w w:val="99"/>
              </w:rPr>
              <w:t>ELECTION OF ELI CASDIN, OSVALDO FLORES, PH.D. AND CARLO RIZZUTO, PH.D</w:t>
            </w:r>
          </w:p>
        </w:tc>
        <w:tc>
          <w:tcPr>
            <w:tcW w:w="4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right w:val="single" w:sz="8" w:color="248ED8"/>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0" w:type="dxa"/>
            <w:vAlign w:val="bottom"/>
            <w:tcBorders>
              <w:left w:val="single" w:sz="8" w:color="248ED8"/>
            </w:tcBorders>
          </w:tcPr>
          <w:p>
            <w:pPr>
              <w:spacing w:after="0"/>
              <w:rPr>
                <w:sz w:val="11"/>
                <w:szCs w:val="11"/>
                <w:color w:val="auto"/>
              </w:rPr>
            </w:pPr>
          </w:p>
        </w:tc>
        <w:tc>
          <w:tcPr>
            <w:tcW w:w="75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248ED8"/>
            </w:tcBorders>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400" w:type="dxa"/>
            <w:vAlign w:val="bottom"/>
            <w:tcBorders>
              <w:left w:val="single" w:sz="8" w:color="248ED8"/>
              <w:bottom w:val="single" w:sz="8" w:color="248ED8"/>
            </w:tcBorders>
          </w:tcPr>
          <w:p>
            <w:pPr>
              <w:spacing w:after="0"/>
              <w:rPr>
                <w:sz w:val="4"/>
                <w:szCs w:val="4"/>
                <w:color w:val="auto"/>
              </w:rPr>
            </w:pPr>
          </w:p>
        </w:tc>
        <w:tc>
          <w:tcPr>
            <w:tcW w:w="7520" w:type="dxa"/>
            <w:vAlign w:val="bottom"/>
            <w:tcBorders>
              <w:bottom w:val="single" w:sz="8" w:color="248ED8"/>
            </w:tcBorders>
          </w:tcPr>
          <w:p>
            <w:pPr>
              <w:spacing w:after="0"/>
              <w:rPr>
                <w:sz w:val="4"/>
                <w:szCs w:val="4"/>
                <w:color w:val="auto"/>
              </w:rPr>
            </w:pPr>
          </w:p>
        </w:tc>
        <w:tc>
          <w:tcPr>
            <w:tcW w:w="440" w:type="dxa"/>
            <w:vAlign w:val="bottom"/>
            <w:tcBorders>
              <w:bottom w:val="single" w:sz="8" w:color="248ED8"/>
            </w:tcBorders>
          </w:tcPr>
          <w:p>
            <w:pPr>
              <w:spacing w:after="0"/>
              <w:rPr>
                <w:sz w:val="4"/>
                <w:szCs w:val="4"/>
                <w:color w:val="auto"/>
              </w:rPr>
            </w:pPr>
          </w:p>
        </w:tc>
        <w:tc>
          <w:tcPr>
            <w:tcW w:w="520" w:type="dxa"/>
            <w:vAlign w:val="bottom"/>
            <w:tcBorders>
              <w:bottom w:val="single" w:sz="8" w:color="248ED8"/>
            </w:tcBorders>
          </w:tcPr>
          <w:p>
            <w:pPr>
              <w:spacing w:after="0"/>
              <w:rPr>
                <w:sz w:val="4"/>
                <w:szCs w:val="4"/>
                <w:color w:val="auto"/>
              </w:rPr>
            </w:pPr>
          </w:p>
        </w:tc>
        <w:tc>
          <w:tcPr>
            <w:tcW w:w="100" w:type="dxa"/>
            <w:vAlign w:val="bottom"/>
            <w:tcBorders>
              <w:bottom w:val="single" w:sz="8" w:color="248ED8"/>
              <w:right w:val="single" w:sz="8" w:color="248ED8"/>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​ITEMS TO BE VOTED 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jc w:val="both"/>
        <w:ind w:left="880" w:right="19"/>
        <w:spacing w:after="0" w:line="296" w:lineRule="auto"/>
        <w:rPr>
          <w:sz w:val="20"/>
          <w:szCs w:val="20"/>
          <w:color w:val="auto"/>
        </w:rPr>
      </w:pPr>
      <w:r>
        <w:rPr>
          <w:rFonts w:ascii="Arial" w:cs="Arial" w:eastAsia="Arial" w:hAnsi="Arial"/>
          <w:sz w:val="18"/>
          <w:szCs w:val="18"/>
          <w:b w:val="1"/>
          <w:bCs w:val="1"/>
          <w:color w:val="auto"/>
        </w:rPr>
        <w:t>PROPOSAL 2: RATIFICATION OF APPOINTMENT OF ERNST &amp; YOUNG LLP AS OUR INDEPENDENT REGISTERED PUBLIC ACCOUNTING FIRM FOR 2022</w:t>
      </w:r>
    </w:p>
    <w:p>
      <w:pPr>
        <w:spacing w:after="0" w:line="56" w:lineRule="exact"/>
        <w:rPr>
          <w:sz w:val="20"/>
          <w:szCs w:val="20"/>
          <w:color w:val="auto"/>
        </w:rPr>
      </w:pPr>
    </w:p>
    <w:p>
      <w:pPr>
        <w:jc w:val="both"/>
        <w:ind w:left="880" w:right="39"/>
        <w:spacing w:after="0" w:line="262" w:lineRule="auto"/>
        <w:rPr>
          <w:sz w:val="20"/>
          <w:szCs w:val="20"/>
          <w:color w:val="auto"/>
        </w:rPr>
      </w:pPr>
      <w:r>
        <w:rPr>
          <w:rFonts w:ascii="Arial" w:cs="Arial" w:eastAsia="Arial" w:hAnsi="Arial"/>
          <w:sz w:val="18"/>
          <w:szCs w:val="18"/>
          <w:color w:val="auto"/>
        </w:rPr>
        <w:t>The Audit Committee of the Board has appointed and engaged EY to serve as our independent registered public accounting firm to audit the consolidated financial statements of the Company and our subsidiary for the 2022 fiscal year, and to perform audit-related services. EY has served as our independent registered public accounting firm since 2019.</w:t>
      </w:r>
    </w:p>
    <w:p>
      <w:pPr>
        <w:spacing w:after="0" w:line="109" w:lineRule="exact"/>
        <w:rPr>
          <w:sz w:val="20"/>
          <w:szCs w:val="20"/>
          <w:color w:val="auto"/>
        </w:rPr>
      </w:pPr>
    </w:p>
    <w:p>
      <w:pPr>
        <w:jc w:val="both"/>
        <w:ind w:left="880" w:right="39"/>
        <w:spacing w:after="0" w:line="287" w:lineRule="auto"/>
        <w:rPr>
          <w:sz w:val="20"/>
          <w:szCs w:val="20"/>
          <w:color w:val="auto"/>
        </w:rPr>
      </w:pPr>
      <w:r>
        <w:rPr>
          <w:rFonts w:ascii="Arial" w:cs="Arial" w:eastAsia="Arial" w:hAnsi="Arial"/>
          <w:sz w:val="18"/>
          <w:szCs w:val="18"/>
          <w:color w:val="auto"/>
        </w:rPr>
        <w:t>Stockholders are hereby asked to ratify the Audit Committee’s appointment of EY as our independent registered public accounting firm for the 2022 fiscal year.</w:t>
      </w:r>
    </w:p>
    <w:p>
      <w:pPr>
        <w:spacing w:after="0" w:line="85"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The Audit Committee is solely responsible for selecting our independent auditors. Although stockholder ratification of the appointment of EY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EY, the Audit Committee will reconsider its selection and whether to engage an alternative independent registered public accounting firm.</w:t>
      </w:r>
    </w:p>
    <w:p>
      <w:pPr>
        <w:spacing w:after="0" w:line="102" w:lineRule="exact"/>
        <w:rPr>
          <w:sz w:val="20"/>
          <w:szCs w:val="20"/>
          <w:color w:val="auto"/>
        </w:rPr>
      </w:pPr>
    </w:p>
    <w:p>
      <w:pPr>
        <w:jc w:val="both"/>
        <w:ind w:left="880" w:right="19"/>
        <w:spacing w:after="0" w:line="287" w:lineRule="auto"/>
        <w:rPr>
          <w:sz w:val="20"/>
          <w:szCs w:val="20"/>
          <w:color w:val="auto"/>
        </w:rPr>
      </w:pPr>
      <w:r>
        <w:rPr>
          <w:rFonts w:ascii="Arial" w:cs="Arial" w:eastAsia="Arial" w:hAnsi="Arial"/>
          <w:sz w:val="18"/>
          <w:szCs w:val="18"/>
          <w:color w:val="auto"/>
        </w:rPr>
        <w:t>Representatives of EY are expected to virtually attend the Annual Meeting where they will be available to respond to appropriate questions and, if they desire, to make a statement.</w:t>
      </w:r>
    </w:p>
    <w:p>
      <w:pPr>
        <w:spacing w:after="0" w:line="125" w:lineRule="exact"/>
        <w:rPr>
          <w:sz w:val="20"/>
          <w:szCs w:val="20"/>
          <w:color w:val="auto"/>
        </w:rPr>
      </w:pPr>
    </w:p>
    <w:tbl>
      <w:tblPr>
        <w:tblLayout w:type="fixed"/>
        <w:tblInd w:w="870" w:type="dxa"/>
        <w:tblCellMar>
          <w:top w:w="0" w:type="dxa"/>
          <w:left w:w="0" w:type="dxa"/>
          <w:bottom w:w="0" w:type="dxa"/>
          <w:right w:w="0" w:type="dxa"/>
        </w:tblCellMar>
      </w:tblPr>
      <w:tr>
        <w:trPr>
          <w:trHeight w:val="386"/>
        </w:trPr>
        <w:tc>
          <w:tcPr>
            <w:tcW w:w="7860" w:type="dxa"/>
            <w:vAlign w:val="bottom"/>
            <w:tcBorders>
              <w:top w:val="single" w:sz="8" w:color="248ED8"/>
              <w:left w:val="single" w:sz="8" w:color="248ED8"/>
            </w:tcBorders>
          </w:tcPr>
          <w:p>
            <w:pPr>
              <w:jc w:val="center"/>
              <w:ind w:left="188"/>
              <w:spacing w:after="0"/>
              <w:rPr>
                <w:sz w:val="20"/>
                <w:szCs w:val="20"/>
                <w:color w:val="auto"/>
              </w:rPr>
            </w:pPr>
            <w:r>
              <w:rPr>
                <w:rFonts w:ascii="Arial" w:cs="Arial" w:eastAsia="Arial" w:hAnsi="Arial"/>
                <w:sz w:val="18"/>
                <w:szCs w:val="18"/>
                <w:color w:val="auto"/>
                <w:w w:val="99"/>
              </w:rPr>
              <w:t xml:space="preserve">THE BOARD UNANIMOUSLY RECOMMENDS A VOTE </w:t>
            </w:r>
            <w:r>
              <w:rPr>
                <w:rFonts w:ascii="Arial" w:cs="Arial" w:eastAsia="Arial" w:hAnsi="Arial"/>
                <w:sz w:val="18"/>
                <w:szCs w:val="18"/>
                <w:b w:val="1"/>
                <w:bCs w:val="1"/>
                <w:color w:val="27A770"/>
                <w:w w:val="99"/>
              </w:rPr>
              <w:t>FOR</w:t>
            </w:r>
            <w:r>
              <w:rPr>
                <w:rFonts w:ascii="Arial" w:cs="Arial" w:eastAsia="Arial" w:hAnsi="Arial"/>
                <w:sz w:val="18"/>
                <w:szCs w:val="18"/>
                <w:color w:val="auto"/>
                <w:w w:val="99"/>
              </w:rPr>
              <w:t xml:space="preserve"> THE RATIFICATION OF</w:t>
            </w:r>
          </w:p>
        </w:tc>
        <w:tc>
          <w:tcPr>
            <w:tcW w:w="400" w:type="dxa"/>
            <w:vAlign w:val="bottom"/>
            <w:tcBorders>
              <w:top w:val="single" w:sz="8" w:color="248ED8"/>
            </w:tcBorders>
          </w:tcPr>
          <w:p>
            <w:pPr>
              <w:spacing w:after="0"/>
              <w:rPr>
                <w:sz w:val="24"/>
                <w:szCs w:val="24"/>
                <w:color w:val="auto"/>
              </w:rPr>
            </w:pPr>
          </w:p>
        </w:tc>
        <w:tc>
          <w:tcPr>
            <w:tcW w:w="620" w:type="dxa"/>
            <w:vAlign w:val="bottom"/>
            <w:tcBorders>
              <w:top w:val="single" w:sz="8" w:color="248ED8"/>
            </w:tcBorders>
            <w:vMerge w:val="restart"/>
          </w:tcPr>
          <w:p>
            <w:pPr>
              <w:spacing w:after="0" w:line="721" w:lineRule="exact"/>
              <w:rPr>
                <w:sz w:val="20"/>
                <w:szCs w:val="20"/>
                <w:color w:val="auto"/>
              </w:rPr>
            </w:pPr>
            <w:r>
              <w:rPr>
                <w:rFonts w:ascii="MS PGothic" w:cs="MS PGothic" w:eastAsia="MS PGothic" w:hAnsi="MS PGothic"/>
                <w:sz w:val="72"/>
                <w:szCs w:val="72"/>
                <w:color w:val="27A770"/>
                <w:w w:val="83"/>
              </w:rPr>
              <w:t>✓</w:t>
            </w:r>
          </w:p>
        </w:tc>
        <w:tc>
          <w:tcPr>
            <w:tcW w:w="100" w:type="dxa"/>
            <w:vAlign w:val="bottom"/>
            <w:tcBorders>
              <w:top w:val="single" w:sz="8" w:color="248ED8"/>
              <w:right w:val="single" w:sz="8" w:color="248ED8"/>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60" w:type="dxa"/>
            <w:vAlign w:val="bottom"/>
            <w:tcBorders>
              <w:left w:val="single" w:sz="8" w:color="248ED8"/>
            </w:tcBorders>
          </w:tcPr>
          <w:p>
            <w:pPr>
              <w:ind w:left="80"/>
              <w:spacing w:after="0"/>
              <w:rPr>
                <w:sz w:val="20"/>
                <w:szCs w:val="20"/>
                <w:color w:val="auto"/>
              </w:rPr>
            </w:pPr>
            <w:r>
              <w:rPr>
                <w:rFonts w:ascii="Arial" w:cs="Arial" w:eastAsia="Arial" w:hAnsi="Arial"/>
                <w:sz w:val="18"/>
                <w:szCs w:val="18"/>
                <w:color w:val="auto"/>
                <w:w w:val="99"/>
              </w:rPr>
              <w:t>​ERNST &amp; YOUNG LLP AS INDEPENDENT REGISTERED PUBLIC ACCOUNTING FIRM</w:t>
            </w:r>
          </w:p>
        </w:tc>
        <w:tc>
          <w:tcPr>
            <w:tcW w:w="400" w:type="dxa"/>
            <w:vAlign w:val="bottom"/>
          </w:tcPr>
          <w:p>
            <w:pPr>
              <w:ind w:left="240"/>
              <w:spacing w:after="0"/>
              <w:rPr>
                <w:sz w:val="20"/>
                <w:szCs w:val="20"/>
                <w:color w:val="auto"/>
              </w:rPr>
            </w:pPr>
            <w:r>
              <w:rPr>
                <w:rFonts w:ascii="Arial" w:cs="Arial" w:eastAsia="Arial" w:hAnsi="Arial"/>
                <w:sz w:val="18"/>
                <w:szCs w:val="18"/>
                <w:color w:val="auto"/>
              </w:rPr>
              <w:t>​ ​</w:t>
            </w:r>
          </w:p>
        </w:tc>
        <w:tc>
          <w:tcPr>
            <w:tcW w:w="620" w:type="dxa"/>
            <w:vAlign w:val="bottom"/>
            <w:vMerge w:val="continue"/>
          </w:tcPr>
          <w:p>
            <w:pPr>
              <w:spacing w:after="0"/>
              <w:rPr>
                <w:sz w:val="21"/>
                <w:szCs w:val="21"/>
                <w:color w:val="auto"/>
              </w:rPr>
            </w:pPr>
          </w:p>
        </w:tc>
        <w:tc>
          <w:tcPr>
            <w:tcW w:w="100" w:type="dxa"/>
            <w:vAlign w:val="bottom"/>
            <w:tcBorders>
              <w:right w:val="single" w:sz="8" w:color="248ED8"/>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6"/>
        </w:trPr>
        <w:tc>
          <w:tcPr>
            <w:tcW w:w="7860" w:type="dxa"/>
            <w:vAlign w:val="bottom"/>
            <w:tcBorders>
              <w:left w:val="single" w:sz="8" w:color="248ED8"/>
              <w:bottom w:val="single" w:sz="8" w:color="248ED8"/>
            </w:tcBorders>
          </w:tcPr>
          <w:p>
            <w:pPr>
              <w:jc w:val="center"/>
              <w:ind w:left="248"/>
              <w:spacing w:after="0"/>
              <w:rPr>
                <w:sz w:val="20"/>
                <w:szCs w:val="20"/>
                <w:color w:val="auto"/>
              </w:rPr>
            </w:pPr>
            <w:r>
              <w:rPr>
                <w:rFonts w:ascii="Arial" w:cs="Arial" w:eastAsia="Arial" w:hAnsi="Arial"/>
                <w:sz w:val="18"/>
                <w:szCs w:val="18"/>
                <w:color w:val="auto"/>
                <w:w w:val="99"/>
              </w:rPr>
              <w:t>FOR THE COMPANY FOR THE FISCAL YEAR ENDING DECEMBER 31, 2022.</w:t>
            </w:r>
          </w:p>
        </w:tc>
        <w:tc>
          <w:tcPr>
            <w:tcW w:w="400" w:type="dxa"/>
            <w:vAlign w:val="bottom"/>
            <w:tcBorders>
              <w:bottom w:val="single" w:sz="8" w:color="248ED8"/>
            </w:tcBorders>
          </w:tcPr>
          <w:p>
            <w:pPr>
              <w:spacing w:after="0"/>
              <w:rPr>
                <w:sz w:val="24"/>
                <w:szCs w:val="24"/>
                <w:color w:val="auto"/>
              </w:rPr>
            </w:pPr>
          </w:p>
        </w:tc>
        <w:tc>
          <w:tcPr>
            <w:tcW w:w="620" w:type="dxa"/>
            <w:vAlign w:val="bottom"/>
            <w:tcBorders>
              <w:bottom w:val="single" w:sz="8" w:color="248ED8"/>
            </w:tcBorders>
            <w:vMerge w:val="continue"/>
          </w:tcPr>
          <w:p>
            <w:pPr>
              <w:spacing w:after="0"/>
              <w:rPr>
                <w:sz w:val="24"/>
                <w:szCs w:val="24"/>
                <w:color w:val="auto"/>
              </w:rPr>
            </w:pPr>
          </w:p>
        </w:tc>
        <w:tc>
          <w:tcPr>
            <w:tcW w:w="100" w:type="dxa"/>
            <w:vAlign w:val="bottom"/>
            <w:tcBorders>
              <w:bottom w:val="single" w:sz="8" w:color="248ED8"/>
              <w:right w:val="single" w:sz="8" w:color="248ED8"/>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​OTHER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OTHER MATTERS</w:t>
      </w:r>
    </w:p>
    <w:p>
      <w:pPr>
        <w:spacing w:after="0" w:line="144" w:lineRule="exact"/>
        <w:rPr>
          <w:sz w:val="20"/>
          <w:szCs w:val="20"/>
          <w:color w:val="auto"/>
        </w:rPr>
      </w:pPr>
    </w:p>
    <w:p>
      <w:pPr>
        <w:jc w:val="both"/>
        <w:ind w:left="880" w:right="39"/>
        <w:spacing w:after="0" w:line="257" w:lineRule="auto"/>
        <w:rPr>
          <w:sz w:val="20"/>
          <w:szCs w:val="20"/>
          <w:color w:val="auto"/>
        </w:rPr>
      </w:pPr>
      <w:r>
        <w:rPr>
          <w:rFonts w:ascii="Arial" w:cs="Arial" w:eastAsia="Arial" w:hAnsi="Arial"/>
          <w:sz w:val="18"/>
          <w:szCs w:val="18"/>
          <w:color w:val="auto"/>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182" w:lineRule="exact"/>
        <w:rPr>
          <w:sz w:val="20"/>
          <w:szCs w:val="20"/>
          <w:color w:val="auto"/>
        </w:rPr>
      </w:pPr>
    </w:p>
    <w:p>
      <w:pPr>
        <w:jc w:val="both"/>
        <w:ind w:left="880" w:right="39"/>
        <w:spacing w:after="0" w:line="296" w:lineRule="auto"/>
        <w:rPr>
          <w:sz w:val="20"/>
          <w:szCs w:val="20"/>
          <w:color w:val="auto"/>
        </w:rPr>
      </w:pPr>
      <w:r>
        <w:rPr>
          <w:rFonts w:ascii="Arial" w:cs="Arial" w:eastAsia="Arial" w:hAnsi="Arial"/>
          <w:sz w:val="18"/>
          <w:szCs w:val="18"/>
          <w:b w:val="1"/>
          <w:bCs w:val="1"/>
          <w:color w:val="auto"/>
        </w:rPr>
        <w:t>REQUIREMENTS FOR SUBMISSION OF STOCKHOLDER PROPOSALS FOR NEXT YEAR’S ANNUAL MEETING</w:t>
      </w:r>
    </w:p>
    <w:p>
      <w:pPr>
        <w:spacing w:after="0" w:line="70" w:lineRule="exact"/>
        <w:rPr>
          <w:sz w:val="20"/>
          <w:szCs w:val="20"/>
          <w:color w:val="auto"/>
        </w:rPr>
      </w:pPr>
    </w:p>
    <w:p>
      <w:pPr>
        <w:jc w:val="both"/>
        <w:ind w:left="880" w:right="39"/>
        <w:spacing w:after="0" w:line="243" w:lineRule="auto"/>
        <w:rPr>
          <w:sz w:val="20"/>
          <w:szCs w:val="20"/>
          <w:color w:val="auto"/>
        </w:rPr>
      </w:pPr>
      <w:r>
        <w:rPr>
          <w:rFonts w:ascii="Arial" w:cs="Arial" w:eastAsia="Arial" w:hAnsi="Arial"/>
          <w:sz w:val="18"/>
          <w:szCs w:val="18"/>
          <w:color w:val="auto"/>
        </w:rPr>
        <w:t>Stockholders intending to present a proposal to be considered for inclusion in the proxy statement for our 2023 Annual Meeting of Stockholders must submit a proposal that is received at our principal executive offices no later than December 22, 2022, which is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first anniversary we released this Proxy Statement to our stockholders for the 2022 Annual Meeting of Stockholders. Proposals must be sent via registered, certified, or express mail (or other means that allows the stockholder to determine when the proposal was received by the Secretary) to our Secretary at Century Therapeutics, Inc., 3675 Market Street, Philadelphia, PA 19104. Proposals must contain the information required under our Bylaws, a copy of which is available upon request to our Secretary, and also must comply with the SEC’s regulations regarding the inclusion of stockholder proposals in Company-sponsored proxy materials.</w:t>
      </w:r>
    </w:p>
    <w:p>
      <w:pPr>
        <w:spacing w:after="0" w:line="127" w:lineRule="exact"/>
        <w:rPr>
          <w:sz w:val="20"/>
          <w:szCs w:val="20"/>
          <w:color w:val="auto"/>
        </w:rPr>
      </w:pPr>
    </w:p>
    <w:p>
      <w:pPr>
        <w:jc w:val="both"/>
        <w:ind w:left="880" w:right="19"/>
        <w:spacing w:after="0" w:line="246" w:lineRule="auto"/>
        <w:rPr>
          <w:sz w:val="20"/>
          <w:szCs w:val="20"/>
          <w:color w:val="auto"/>
        </w:rPr>
      </w:pPr>
      <w:r>
        <w:rPr>
          <w:rFonts w:ascii="Arial" w:cs="Arial" w:eastAsia="Arial" w:hAnsi="Arial"/>
          <w:sz w:val="17"/>
          <w:szCs w:val="17"/>
          <w:color w:val="auto"/>
        </w:rPr>
        <w:t>Stockholders intending to present a proposal or nominate a director for election at our 2023 Annual Meeting of Stockholders without having the proposal or nomination included in our Proxy Statement must comply with the requirements set forth in our Bylaws. Our Bylaws require, among other things, that the Secretary of the Company receive the proposal or nomination no earlier than the close of business on the 120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and no later than the close of business on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the first anniversary of the preceding year’s annual meeting. Accordingly, for our 2023 Annual Meeting of Stockholders, our Secretary must receive the proposal or nomination no earlier than February 9, 2023 and no later than the close of business on March 11, 2023. However, if we change the date of the 2022 Annual Meeting of Stockholders by more than 30 days before or 60 days after the anniversary of this year’s Annual Meeting, stockholder proposals must be received no later than the close of business on the later of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the scheduled date of the meeting and the tenth day following the day on which public notice of the meeting was first made. Proposals must contain the information required under our Bylaws, a copy of which is available upon request to our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STOCKHOLDER COMMUNICATIONS TO THE BOARD</w:t>
      </w:r>
    </w:p>
    <w:p>
      <w:pPr>
        <w:spacing w:after="0" w:line="144" w:lineRule="exact"/>
        <w:rPr>
          <w:sz w:val="20"/>
          <w:szCs w:val="20"/>
          <w:color w:val="auto"/>
        </w:rPr>
      </w:pPr>
    </w:p>
    <w:p>
      <w:pPr>
        <w:jc w:val="both"/>
        <w:ind w:left="880" w:right="19"/>
        <w:spacing w:after="0" w:line="255" w:lineRule="auto"/>
        <w:rPr>
          <w:sz w:val="20"/>
          <w:szCs w:val="20"/>
          <w:color w:val="auto"/>
        </w:rPr>
      </w:pPr>
      <w:r>
        <w:rPr>
          <w:rFonts w:ascii="Arial" w:cs="Arial" w:eastAsia="Arial" w:hAnsi="Arial"/>
          <w:sz w:val="18"/>
          <w:szCs w:val="18"/>
          <w:color w:val="auto"/>
        </w:rPr>
        <w:t>Stockholders and other interested parties may communicate with the Board by writing to the Secretary, Century Therapeutics, Inc., 3675 Market Street, Philadelphia, PA 19104.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43" w:lineRule="exact"/>
        <w:rPr>
          <w:sz w:val="20"/>
          <w:szCs w:val="20"/>
          <w:color w:val="auto"/>
        </w:rPr>
      </w:pPr>
    </w:p>
    <w:p>
      <w:pPr>
        <w:ind w:left="880"/>
        <w:spacing w:after="0"/>
        <w:tabs>
          <w:tab w:leader="none" w:pos="9720" w:val="left"/>
        </w:tabs>
        <w:rPr>
          <w:sz w:val="20"/>
          <w:szCs w:val="20"/>
          <w:color w:val="auto"/>
        </w:rPr>
      </w:pPr>
      <w:r>
        <w:rPr>
          <w:rFonts w:ascii="Arial" w:cs="Arial" w:eastAsia="Arial" w:hAnsi="Arial"/>
          <w:sz w:val="32"/>
          <w:szCs w:val="32"/>
          <w:b w:val="1"/>
          <w:bCs w:val="1"/>
          <w:color w:val="FFFFFF"/>
        </w:rPr>
        <w:t>​OTHER INFORMATION</w:t>
      </w:r>
      <w:r>
        <w:rPr>
          <w:sz w:val="20"/>
          <w:szCs w:val="20"/>
          <w:color w:val="auto"/>
        </w:rPr>
        <w:tab/>
      </w:r>
      <w:r>
        <w:rPr>
          <w:rFonts w:ascii="Arial" w:cs="Arial" w:eastAsia="Arial" w:hAnsi="Arial"/>
          <w:sz w:val="32"/>
          <w:szCs w:val="3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-213995</wp:posOffset>
            </wp:positionV>
            <wp:extent cx="5700395"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AVAILABILITY OF MATERIALS</w:t>
      </w:r>
    </w:p>
    <w:p>
      <w:pPr>
        <w:spacing w:after="0" w:line="144" w:lineRule="exact"/>
        <w:rPr>
          <w:sz w:val="20"/>
          <w:szCs w:val="20"/>
          <w:color w:val="auto"/>
        </w:rPr>
      </w:pPr>
    </w:p>
    <w:p>
      <w:pPr>
        <w:jc w:val="both"/>
        <w:ind w:left="880" w:right="19"/>
        <w:spacing w:after="0" w:line="256" w:lineRule="auto"/>
        <w:rPr>
          <w:sz w:val="20"/>
          <w:szCs w:val="20"/>
          <w:color w:val="auto"/>
        </w:rPr>
      </w:pPr>
      <w:r>
        <w:rPr>
          <w:rFonts w:ascii="Arial" w:cs="Arial" w:eastAsia="Arial" w:hAnsi="Arial"/>
          <w:sz w:val="18"/>
          <w:szCs w:val="18"/>
          <w:color w:val="auto"/>
        </w:rPr>
        <w:t>Our 2021 Annual Report, including the financial statements and financial statement schedules, has been filed with the SEC and provides additional information about us, which is incorporated by reference herein. It is available on the Internet at www.centurytx.com and is available in paper form (other than exhibits thereto) by first class mail or other equally prompt means to beneficial owners of our common stock, without charge, upon written request to Chief Business Officer, Century Therapeutics, Inc., 3675 Market Street, Philadelphia, PA 19104. In addition, it is available to beneficial and record holders of our common stock at www.astproxyportal.com/ast/24419.</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27A770"/>
        </w:rPr>
        <w:t>Notice of Annual Meeting of Stockholders</w:t>
      </w:r>
      <w:r>
        <w:rPr>
          <w:rFonts w:ascii="Arial" w:cs="Arial" w:eastAsia="Arial" w:hAnsi="Arial"/>
          <w:sz w:val="17"/>
          <w:szCs w:val="17"/>
          <w:b w:val="1"/>
          <w:bCs w:val="1"/>
          <w:color w:val="000000"/>
        </w:rPr>
        <w:t xml:space="preserve">  and 2022 Proxy Statement  | </w:t>
      </w:r>
      <w:r>
        <w:rPr>
          <w:rFonts w:ascii="Arial" w:cs="Arial" w:eastAsia="Arial" w:hAnsi="Arial"/>
          <w:sz w:val="17"/>
          <w:szCs w:val="17"/>
          <w:b w:val="1"/>
          <w:bCs w:val="1"/>
          <w:color w:val="27A770"/>
        </w:rPr>
        <w:t xml:space="preserve"> </w:t>
      </w:r>
      <w:r>
        <w:rPr>
          <w:rFonts w:ascii="Arial" w:cs="Arial" w:eastAsia="Arial" w:hAnsi="Arial"/>
          <w:sz w:val="17"/>
          <w:szCs w:val="17"/>
          <w:color w:val="00000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149225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4308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84308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405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840549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Roman"/>
      <w:start w:val="2"/>
    </w:lvl>
  </w:abstractNum>
  <w:abstractNum w:abstractNumId="19">
    <w:nsid w:val="62BBD95A"/>
    <w:multiLevelType w:val="hybridMultilevel"/>
    <w:lvl w:ilvl="0">
      <w:lvlJc w:val="left"/>
      <w:lvlText w:val="(%1)"/>
      <w:numFmt w:val="decimal"/>
      <w:start w:val="2"/>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2022-04-21T15:10:15Z</dcterms:created>
  <dcterms:modified xsi:type="dcterms:W3CDTF">2022-04-21T15:10:15Z</dcterms:modified>
</cp:coreProperties>
</file>