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3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368"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03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03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03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8505" w:space="720"/>
            <w:col w:w="208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118110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8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On March 12, 2026, Century Therapeutics, Inc. (the “Company”) issued a press release announcing its financial results for the year ended December 31, 2025. A copy of the press release is furnished as Exhibit 99.1 to this Current Report on Form 8-K and is incorporated herein by reference.</w:t>
      </w:r>
    </w:p>
    <w:p>
      <w:pPr>
        <w:spacing w:after="0" w:line="11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March 12, 2026,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3"/>
        </w:trPr>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159"/>
        </w:trPr>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106"/>
        </w:trPr>
        <w:tc>
          <w:tcPr>
            <w:tcW w:w="200" w:type="dxa"/>
            <w:vAlign w:val="bottom"/>
            <w:tcBorders>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0" w:type="dxa"/>
            <w:vAlign w:val="bottom"/>
            <w:tcBorders>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99"/>
              </w:rPr>
              <w:t>Press Release of Century Therapeutics, Inc., dated March 12, 2026</w:t>
            </w:r>
          </w:p>
        </w:tc>
        <w:tc>
          <w:tcPr>
            <w:tcW w:w="6740" w:type="dxa"/>
            <w:vAlign w:val="bottom"/>
            <w:gridSpan w:val="2"/>
          </w:tcPr>
          <w:p>
            <w:pPr>
              <w:spacing w:after="0"/>
              <w:rPr>
                <w:sz w:val="9"/>
                <w:szCs w:val="9"/>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Investor Presentation of Century Therapeutics, Inc., dated March 12, 2026</w:t>
            </w:r>
          </w:p>
        </w:tc>
        <w:tc>
          <w:tcPr>
            <w:tcW w:w="6380" w:type="dxa"/>
            <w:vAlign w:val="bottom"/>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Reports Full Year 2025 Financial Results and Business Updates</w:t>
      </w:r>
    </w:p>
    <w:p>
      <w:pPr>
        <w:spacing w:after="0" w:line="154" w:lineRule="exact"/>
        <w:rPr>
          <w:sz w:val="20"/>
          <w:szCs w:val="20"/>
          <w:color w:val="auto"/>
        </w:rPr>
      </w:pPr>
    </w:p>
    <w:p>
      <w:pPr>
        <w:ind w:left="420" w:right="60" w:hanging="212"/>
        <w:spacing w:after="0" w:line="279"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CNTY-813, lead beta islet cell therapy program as a potential functional cure for type 1 diabetes, in Investigational New Drug (IND)-enabling studies; IND submission expected in 4Q 2026 to support anticipated initial clinical data in 2H 2027</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CNTY-308, a CD19-targeted CAR-iT cell therapy engineered with Allo-Evasion™ 5.0, on track to enter the clinic in 2026</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Strengthened balance sheet and cash runway extended into 1Q 2029 from oversubscribed $135 million private placement in January 2026</w:t>
      </w:r>
    </w:p>
    <w:p>
      <w:pPr>
        <w:spacing w:after="0" w:line="14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PHILADELPHIA, March 12, 2026 </w:t>
      </w:r>
      <w:r>
        <w:rPr>
          <w:rFonts w:ascii="Times New Roman" w:cs="Times New Roman" w:eastAsia="Times New Roman" w:hAnsi="Times New Roman"/>
          <w:sz w:val="12"/>
          <w:szCs w:val="12"/>
          <w:color w:val="auto"/>
        </w:rPr>
        <w:t>-- Century Therapeutics, Inc. (‘Century’, NASDAQ: IPSC), a biotechnology company developing induced pluripotent stem cell (iPSC)-derived cell therapies for autoimmune diseases,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type 1 diabetes, and cancer, today reported financial results for the full year ended December 31, 2025, and recent business highlights.</w:t>
      </w:r>
    </w:p>
    <w:p>
      <w:pPr>
        <w:spacing w:after="0" w:line="10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“Century entered 2026 with strong momentum, fueled by the successful completion of our $135 million private placement and continued focus on advancing our prioritized programs closer to patients living with significant unmet medical need,” said Brent Pfeiffenberger, Pharm.D., Chief Executive Officer of Century Therapeutics. “We are moving fast and executing with precision on CNTY-813, our top priority and a program we believe has the potential to functionally cure type 1 diabetes. Recent achievements, including compelling preclinical results combined with constructive interactions with the FDA, strengthen our confidence in the clinical path ahead. We plan to submit an IND as early as the fourth quarter of this year and anticipate initial clinical data in the second half of 2027. We are energized by the progress across our pipeline, confident in the road ahead, and focused on advancing our most promising programs into the clinic.”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2025 and Recent Highlights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Pipeline</w:t>
      </w:r>
    </w:p>
    <w:p>
      <w:pPr>
        <w:spacing w:after="0" w:line="150" w:lineRule="exact"/>
        <w:rPr>
          <w:sz w:val="20"/>
          <w:szCs w:val="20"/>
          <w:color w:val="auto"/>
        </w:rPr>
      </w:pPr>
    </w:p>
    <w:p>
      <w:pPr>
        <w:ind w:left="420" w:right="100" w:hanging="212"/>
        <w:spacing w:after="0" w:line="257"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CNTY-813, priority program for type 1 diabetes, advancing through IND-enabling activities and tracking toward planned IND submission in 2026: </w:t>
      </w:r>
      <w:r>
        <w:rPr>
          <w:rFonts w:ascii="Times New Roman" w:cs="Times New Roman" w:eastAsia="Times New Roman" w:hAnsi="Times New Roman"/>
          <w:sz w:val="12"/>
          <w:szCs w:val="12"/>
          <w:color w:val="auto"/>
        </w:rPr>
        <w:t>Century continues to advance IND-enabling studies for its lead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pipeline program, CNTY-813, a beta islet replacement therapy with Allo-Evasion™ 5.0 as a potential functional cure for type 1 diabetes. To date, Century has generated compelling preclinical data for CNTY-813, demonstrating high potency and long duration for functional glucose control and protection against immune rejection via Allo-Evasion™ 5.0 engineering to potentially minimize or eliminate the need for chronic immunosuppression. This data package, which includes the maintenance of normoglycemia in animal models for more than 6 months, completion of the manufacturing of a GMP Master Cell Bank for CNTY-813, along with recent engagement with the U.S. Food and Drug Administration (FDA), has reinforced the company’s belief in an efficient pathway to IND submission for CNTY-813. Century expects to submit an IND for the program in the fourth quarter of 2026 and anticipates initial clinical data in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ind w:left="420" w:hanging="212"/>
        <w:spacing w:after="0" w:line="25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CNTY-308 advancing in IND-enabling studies for projected clinical entry in 2026: </w:t>
      </w:r>
      <w:r>
        <w:rPr>
          <w:rFonts w:ascii="Times New Roman" w:cs="Times New Roman" w:eastAsia="Times New Roman" w:hAnsi="Times New Roman"/>
          <w:sz w:val="12"/>
          <w:szCs w:val="12"/>
          <w:color w:val="auto"/>
        </w:rPr>
        <w:t>Century continues to make progress in IND-enabling studies with CNTY-308, a CD19-targeted CD4+/CD8+ ab CAR-iT cell therapy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Allo-Evasion™ 5.0 as a potential treatment for B-cell-mediated diseases. In previously presented preclinical studies, CNTY-308 demonstrated functional comparability to primary CAR-T cells, including target-mediated proliferation, cytokine secretion, and long-term persistence. These data, coupled with the growing academic and industry experience with CAR-T treatment supporting its potential to deliver deep and durable responses in patients, reinforce Century’s belief in CNTY-308 to deliver autologous, CAR-T-like clinical benefits in an allogeneic, patient-centric format for enhanced treatment accessibility. Subject to completion of IND-enabling studies and regulatory clearance, Century expects CNTY-308 to enter the clinic in 2026.</w:t>
      </w:r>
    </w:p>
    <w:p>
      <w:pPr>
        <w:spacing w:after="0" w:line="119" w:lineRule="exact"/>
        <w:rPr>
          <w:rFonts w:ascii="Times New Roman" w:cs="Times New Roman" w:eastAsia="Times New Roman" w:hAnsi="Times New Roman"/>
          <w:sz w:val="12"/>
          <w:szCs w:val="12"/>
          <w:color w:val="auto"/>
        </w:rPr>
      </w:pPr>
    </w:p>
    <w:p>
      <w:pPr>
        <w:ind w:left="420" w:right="8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Additional insights from ongoing CARAMEL IST expected in 2026: </w:t>
      </w:r>
      <w:r>
        <w:rPr>
          <w:rFonts w:ascii="Times New Roman" w:cs="Times New Roman" w:eastAsia="Times New Roman" w:hAnsi="Times New Roman"/>
          <w:sz w:val="12"/>
          <w:szCs w:val="12"/>
          <w:color w:val="auto"/>
        </w:rPr>
        <w:t>The company anticipates updated preliminary clinical data this year from the ongoing CARAMEL study, a Phase 1/2 investigator-sponsored trial (IST)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led by Professors Georg Schett and Andreas Mackensen and sponsored by the Friedrich-Alexander University Erlangen-Nürnberg. Previously disclosed clinical data from the trial have demonstrated that CNTY-101 was generally well tolerated and exhibits a predictable biologic profile with early signs of clinical response in autoimmune diseases.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w:t>
      </w:r>
    </w:p>
    <w:p>
      <w:pPr>
        <w:spacing w:after="0" w:line="150" w:lineRule="exact"/>
        <w:rPr>
          <w:sz w:val="20"/>
          <w:szCs w:val="20"/>
          <w:color w:val="auto"/>
        </w:rPr>
      </w:pPr>
    </w:p>
    <w:p>
      <w:pPr>
        <w:ind w:left="420" w:hanging="212"/>
        <w:spacing w:after="0" w:line="268"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Completed oversubscribed $135 million private placement financing: </w:t>
      </w:r>
      <w:r>
        <w:rPr>
          <w:rFonts w:ascii="Times New Roman" w:cs="Times New Roman" w:eastAsia="Times New Roman" w:hAnsi="Times New Roman"/>
          <w:sz w:val="12"/>
          <w:szCs w:val="12"/>
          <w:color w:val="auto"/>
        </w:rPr>
        <w:t>In January 2026, Century entered into a securities purchase agreement led by new investor TCGX with participation from additional new and existing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investors, including RA Capital Management, Commodore Capital, Deep Track Capital, RTW Investments, Venrock Healthcare Capital Partners, and the T1D Fund. The gross proceeds were approximately $135 million before placement agent fees and offering expenses.</w:t>
      </w:r>
    </w:p>
    <w:p>
      <w:pPr>
        <w:spacing w:after="0" w:line="113" w:lineRule="exact"/>
        <w:rPr>
          <w:rFonts w:ascii="Times New Roman" w:cs="Times New Roman" w:eastAsia="Times New Roman" w:hAnsi="Times New Roman"/>
          <w:sz w:val="12"/>
          <w:szCs w:val="12"/>
          <w:color w:val="auto"/>
        </w:rPr>
      </w:pPr>
    </w:p>
    <w:p>
      <w:pPr>
        <w:ind w:left="420" w:right="28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Appointed two new members to the Board of Directors: </w:t>
      </w:r>
      <w:r>
        <w:rPr>
          <w:rFonts w:ascii="Times New Roman" w:cs="Times New Roman" w:eastAsia="Times New Roman" w:hAnsi="Times New Roman"/>
          <w:sz w:val="12"/>
          <w:szCs w:val="12"/>
          <w:color w:val="auto"/>
        </w:rPr>
        <w:t>In December 2025, Han Lee, Ph.D., M.B.A., and Martin Murphy, Ph.D., were appointed to Century’s Board of Directors. As part of their appointments, Dr. Lee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serves as a member of the Audit and the Compensation Committees and Dr. Murphy serves as Chair of the Compensation and a member of the Nominating and Corporate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Full Year 2025 Financial Results</w:t>
      </w:r>
    </w:p>
    <w:p>
      <w:pPr>
        <w:spacing w:after="0" w:line="150" w:lineRule="exact"/>
        <w:rPr>
          <w:sz w:val="20"/>
          <w:szCs w:val="20"/>
          <w:color w:val="auto"/>
        </w:rPr>
      </w:pPr>
    </w:p>
    <w:p>
      <w:pPr>
        <w:ind w:left="420" w:right="60" w:hanging="212"/>
        <w:spacing w:after="0" w:line="268"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$117.1 million as of December 31, 2025, as compared to $220.1 million as of December 31, 2024. Net cash used in operations was $103.9 million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year ended December 31, 2025, compared to net cash used in operations of $110.1 million for the year ended December 31, 2024. The company estimates its cash, cash equivalents, and investments as of December 31, 2025, together with the net proceeds raised after year end, will support operations into the first quarter of 2029.</w:t>
      </w:r>
    </w:p>
    <w:p>
      <w:pPr>
        <w:spacing w:after="0" w:line="113" w:lineRule="exact"/>
        <w:rPr>
          <w:rFonts w:ascii="Times New Roman" w:cs="Times New Roman" w:eastAsia="Times New Roman" w:hAnsi="Times New Roman"/>
          <w:sz w:val="12"/>
          <w:szCs w:val="12"/>
          <w:color w:val="auto"/>
        </w:rPr>
      </w:pPr>
    </w:p>
    <w:p>
      <w:pPr>
        <w:ind w:left="420" w:right="80" w:hanging="212"/>
        <w:spacing w:after="0" w:line="286"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Collaboration Revenue: </w:t>
      </w:r>
      <w:r>
        <w:rPr>
          <w:rFonts w:ascii="Times New Roman" w:cs="Times New Roman" w:eastAsia="Times New Roman" w:hAnsi="Times New Roman"/>
          <w:sz w:val="12"/>
          <w:szCs w:val="12"/>
          <w:color w:val="auto"/>
        </w:rPr>
        <w:t>Collaboration revenue generated through the company’s collaboration, option, and license agreement with Bristol-Myers Squibb was $109.2 million for the year ended December 31, 2025, compared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$6.6 million for the same period in 2024.</w:t>
      </w:r>
    </w:p>
    <w:p>
      <w:pPr>
        <w:spacing w:after="0" w:line="103" w:lineRule="exact"/>
        <w:rPr>
          <w:rFonts w:ascii="Times New Roman" w:cs="Times New Roman" w:eastAsia="Times New Roman" w:hAnsi="Times New Roman"/>
          <w:sz w:val="12"/>
          <w:szCs w:val="12"/>
          <w:color w:val="auto"/>
        </w:rPr>
      </w:pPr>
    </w:p>
    <w:p>
      <w:pPr>
        <w:ind w:left="420" w:right="440" w:hanging="212"/>
        <w:spacing w:after="0" w:line="286"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Research and Development (R&amp;D) Expenses: </w:t>
      </w:r>
      <w:r>
        <w:rPr>
          <w:rFonts w:ascii="Times New Roman" w:cs="Times New Roman" w:eastAsia="Times New Roman" w:hAnsi="Times New Roman"/>
          <w:sz w:val="12"/>
          <w:szCs w:val="12"/>
          <w:color w:val="auto"/>
        </w:rPr>
        <w:t>R&amp;D expenses were $95.7 million for the year ended December 31, 2025, compared to $107.2 million for the same period in 2024. The decrease in R&amp;D expenses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due to a reduction of personnel and manufacturing costs, offset by an increase in research and laboratory costs to progress clinical trials and preclinical programs.</w:t>
      </w:r>
    </w:p>
    <w:p>
      <w:pPr>
        <w:spacing w:after="0" w:line="103" w:lineRule="exact"/>
        <w:rPr>
          <w:rFonts w:ascii="Times New Roman" w:cs="Times New Roman" w:eastAsia="Times New Roman" w:hAnsi="Times New Roman"/>
          <w:sz w:val="12"/>
          <w:szCs w:val="12"/>
          <w:color w:val="auto"/>
        </w:rPr>
      </w:pPr>
    </w:p>
    <w:p>
      <w:pPr>
        <w:ind w:left="420" w:right="160" w:hanging="212"/>
        <w:spacing w:after="0" w:line="286"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General and Administrative (G&amp;A) Expenses: </w:t>
      </w:r>
      <w:r>
        <w:rPr>
          <w:rFonts w:ascii="Times New Roman" w:cs="Times New Roman" w:eastAsia="Times New Roman" w:hAnsi="Times New Roman"/>
          <w:sz w:val="12"/>
          <w:szCs w:val="12"/>
          <w:color w:val="auto"/>
        </w:rPr>
        <w:t>G&amp;A expenses were $24.0 million for the year ended December 31, 2025, compared to $33.2 million for the same period in 2024. The decrease was primarily the result of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decrease in legal fees associated with the Clade acquisition in 2024, a gain on lease modification, a gain on reduction of contingent consideration liability, and a decrease in stock-based compensation.</w:t>
      </w:r>
    </w:p>
    <w:p>
      <w:pPr>
        <w:spacing w:after="0" w:line="10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Loss: </w:t>
      </w:r>
      <w:r>
        <w:rPr>
          <w:rFonts w:ascii="Times New Roman" w:cs="Times New Roman" w:eastAsia="Times New Roman" w:hAnsi="Times New Roman"/>
          <w:sz w:val="12"/>
          <w:szCs w:val="12"/>
          <w:color w:val="auto"/>
        </w:rPr>
        <w:t>Net loss was $9.6 million for the year ended December 31, 2025, compared to net loss of $126.6 million for the same period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Century Therapeutics (NASDAQ: IPSC) is a biotechnology company advancing a pipeline of induced pluripotent stem cell (iPSC)-derived cell therapies with the potential to meaningfully address autoimmune diseases, including type 1 diabetes, and cancer. The company’s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www.centurytx.com and connect with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our timing and expectations regarding our preclinical and clinical development programs, including their planned development, therapeutic potential and market opportunity, ongoing and planned regulatory interactions, the achievement of developmental milestones, corporate strategies, and our financial resources and expected cash runway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 Therapeutics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Douglas Carr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Finance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investor.relations@centurytx.com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JPA Health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smccabe@jpa.com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 w:name="page8"/>
    <w:bookmarkEnd w:id="7"/>
    <w:p>
      <w:pPr>
        <w:ind w:left="49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Pr>
          <w:p>
            <w:pPr>
              <w:spacing w:after="0"/>
              <w:rPr>
                <w:sz w:val="13"/>
                <w:szCs w:val="13"/>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r>
      <w:tr>
        <w:trPr>
          <w:trHeight w:val="133"/>
        </w:trPr>
        <w:tc>
          <w:tcPr>
            <w:tcW w:w="83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Assets:</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61,853</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58,441</w:t>
            </w:r>
          </w:p>
        </w:tc>
      </w:tr>
      <w:tr>
        <w:trPr>
          <w:trHeight w:val="144"/>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Short-term investments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55,261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130,851</w:t>
            </w:r>
          </w:p>
        </w:tc>
      </w:tr>
      <w:tr>
        <w:trPr>
          <w:trHeight w:val="15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3,655</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4,759</w:t>
            </w: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120,769</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194,051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50,026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62,141</w:t>
            </w: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16,139</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28,706</w:t>
            </w: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30,818</w:t>
            </w: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34,200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34,200</w:t>
            </w:r>
          </w:p>
        </w:tc>
      </w:tr>
      <w:tr>
        <w:trPr>
          <w:trHeight w:val="153"/>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2,570</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3,300</w:t>
            </w:r>
          </w:p>
        </w:tc>
      </w:tr>
      <w:tr>
        <w:trPr>
          <w:trHeight w:val="149"/>
        </w:trPr>
        <w:tc>
          <w:tcPr>
            <w:tcW w:w="8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223,704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equity</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4,773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3,075</w:t>
            </w:r>
          </w:p>
        </w:tc>
      </w:tr>
      <w:tr>
        <w:trPr>
          <w:trHeight w:val="144"/>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11,696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17,543</w:t>
            </w:r>
          </w:p>
        </w:tc>
      </w:tr>
      <w:tr>
        <w:trPr>
          <w:trHeight w:val="144"/>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Contingent consideration liability, short term</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3,757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Deferred revenue, current</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109,164</w:t>
            </w: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20,226</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129,782</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lease liability, noncurrent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40,241</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48,960</w:t>
            </w: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liability, long term</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8,738</w:t>
            </w:r>
          </w:p>
        </w:tc>
      </w:tr>
      <w:tr>
        <w:trPr>
          <w:trHeight w:val="153"/>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liability</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4,301</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4,374</w:t>
            </w: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64,768</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191,854</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950,814</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943,366</w:t>
            </w: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(791,917)</w:t>
            </w:r>
          </w:p>
        </w:tc>
        <w:tc>
          <w:tcPr>
            <w:tcW w:w="1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(782,337)</w:t>
            </w:r>
          </w:p>
        </w:tc>
      </w:tr>
      <w:tr>
        <w:trPr>
          <w:trHeight w:val="153"/>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324</w:t>
            </w:r>
          </w:p>
        </w:tc>
      </w:tr>
      <w:tr>
        <w:trPr>
          <w:trHeight w:val="133"/>
        </w:trPr>
        <w:tc>
          <w:tcPr>
            <w:tcW w:w="84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158,936</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161,362</w:t>
            </w:r>
          </w:p>
        </w:tc>
        <w:tc>
          <w:tcPr>
            <w:tcW w:w="120" w:type="dxa"/>
            <w:vAlign w:val="bottom"/>
            <w:tcBorders>
              <w:bottom w:val="single" w:sz="8" w:color="CCEEFF"/>
            </w:tcBorders>
          </w:tcPr>
          <w:p>
            <w:pPr>
              <w:spacing w:after="0"/>
              <w:rPr>
                <w:sz w:val="11"/>
                <w:szCs w:val="11"/>
                <w:color w:val="auto"/>
              </w:rPr>
            </w:pPr>
          </w:p>
        </w:tc>
      </w:tr>
      <w:tr>
        <w:trPr>
          <w:trHeight w:val="149"/>
        </w:trPr>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223,704</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450"/>
        </w:trPr>
        <w:tc>
          <w:tcPr>
            <w:tcW w:w="8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Revenue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Impairment of long-lived assets</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Impairment of goodwill</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Total 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income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income, net</w:t>
      </w:r>
    </w:p>
    <w:p>
      <w:pPr>
        <w:spacing w:after="0" w:line="13" w:lineRule="exact"/>
        <w:rPr>
          <w:sz w:val="20"/>
          <w:szCs w:val="20"/>
          <w:color w:val="auto"/>
        </w:rPr>
      </w:pPr>
    </w:p>
    <w:p>
      <w:pPr>
        <w:ind w:left="140" w:right="1000" w:hanging="143"/>
        <w:spacing w:after="0" w:line="259" w:lineRule="auto"/>
        <w:rPr>
          <w:sz w:val="20"/>
          <w:szCs w:val="20"/>
          <w:color w:val="auto"/>
        </w:rPr>
      </w:pPr>
      <w:r>
        <w:rPr>
          <w:rFonts w:ascii="Times New Roman" w:cs="Times New Roman" w:eastAsia="Times New Roman" w:hAnsi="Times New Roman"/>
          <w:sz w:val="12"/>
          <w:szCs w:val="12"/>
          <w:color w:val="auto"/>
        </w:rPr>
        <w:t>Loss before (benefit) provision for income taxes (Benefit) provision for income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Unrealized gain (loss) on investments</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 gain (loss)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1"/>
          <w:szCs w:val="11"/>
          <w:b w:val="1"/>
          <w:bCs w:val="1"/>
          <w:color w:val="auto"/>
        </w:rPr>
        <w:t>(unaudited, in thousands, except share and per share amounts)</w:t>
      </w:r>
    </w:p>
    <w:p>
      <w:pPr>
        <w:spacing w:after="0" w:line="165" w:lineRule="exact"/>
        <w:rPr>
          <w:sz w:val="20"/>
          <w:szCs w:val="20"/>
          <w:color w:val="auto"/>
        </w:rPr>
      </w:pPr>
    </w:p>
    <w:tbl>
      <w:tblPr>
        <w:tblLayout w:type="fixed"/>
        <w:tblInd w:w="4440" w:type="dxa"/>
        <w:tblCellMar>
          <w:top w:w="0" w:type="dxa"/>
          <w:left w:w="0" w:type="dxa"/>
          <w:bottom w:w="0" w:type="dxa"/>
          <w:right w:w="0" w:type="dxa"/>
        </w:tblCellMar>
      </w:tblPr>
      <w:tr>
        <w:trPr>
          <w:trHeight w:val="144"/>
        </w:trPr>
        <w:tc>
          <w:tcPr>
            <w:tcW w:w="16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60" w:type="dxa"/>
            <w:vAlign w:val="bottom"/>
          </w:tcPr>
          <w:p>
            <w:pPr>
              <w:spacing w:after="0"/>
              <w:rPr>
                <w:sz w:val="12"/>
                <w:szCs w:val="12"/>
                <w:color w:val="auto"/>
              </w:rPr>
            </w:pPr>
          </w:p>
        </w:tc>
        <w:tc>
          <w:tcPr>
            <w:tcW w:w="1100" w:type="dxa"/>
            <w:vAlign w:val="bottom"/>
            <w:gridSpan w:val="3"/>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4"/>
        </w:trPr>
        <w:tc>
          <w:tcPr>
            <w:tcW w:w="16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109,164</w:t>
            </w:r>
          </w:p>
        </w:tc>
        <w:tc>
          <w:tcPr>
            <w:tcW w:w="2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0"/>
        </w:trPr>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95,667</w:t>
            </w:r>
          </w:p>
        </w:tc>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107,244</w:t>
            </w:r>
          </w:p>
        </w:tc>
        <w:tc>
          <w:tcPr>
            <w:tcW w:w="20" w:type="dxa"/>
            <w:vAlign w:val="bottom"/>
          </w:tcPr>
          <w:p>
            <w:pPr>
              <w:spacing w:after="0"/>
              <w:rPr>
                <w:sz w:val="24"/>
                <w:szCs w:val="24"/>
                <w:color w:val="auto"/>
              </w:rPr>
            </w:pPr>
          </w:p>
        </w:tc>
      </w:tr>
      <w:tr>
        <w:trPr>
          <w:trHeight w:val="144"/>
        </w:trPr>
        <w:tc>
          <w:tcPr>
            <w:tcW w:w="16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24,003</w:t>
            </w:r>
          </w:p>
        </w:tc>
        <w:tc>
          <w:tcPr>
            <w:tcW w:w="160" w:type="dxa"/>
            <w:vAlign w:val="bottom"/>
          </w:tcPr>
          <w:p>
            <w:pPr>
              <w:spacing w:after="0"/>
              <w:rPr>
                <w:sz w:val="12"/>
                <w:szCs w:val="12"/>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33,155</w:t>
            </w:r>
          </w:p>
        </w:tc>
      </w:t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6,763</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5"/>
        </w:trPr>
        <w:tc>
          <w:tcPr>
            <w:tcW w:w="16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4,327</w:t>
            </w:r>
          </w:p>
        </w:tc>
        <w:tc>
          <w:tcPr>
            <w:tcW w:w="20" w:type="dxa"/>
            <w:vAlign w:val="bottom"/>
          </w:tcPr>
          <w:p>
            <w:pPr>
              <w:spacing w:after="0"/>
              <w:rPr>
                <w:sz w:val="13"/>
                <w:szCs w:val="13"/>
                <w:color w:val="auto"/>
              </w:rPr>
            </w:pPr>
          </w:p>
        </w:tc>
      </w:tr>
      <w:tr>
        <w:trPr>
          <w:trHeight w:val="133"/>
        </w:trPr>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126,433</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144,726</w:t>
            </w:r>
          </w:p>
        </w:tc>
        <w:tc>
          <w:tcPr>
            <w:tcW w:w="20" w:type="dxa"/>
            <w:vAlign w:val="bottom"/>
          </w:tcPr>
          <w:p>
            <w:pPr>
              <w:spacing w:after="0"/>
              <w:rPr>
                <w:sz w:val="11"/>
                <w:szCs w:val="11"/>
                <w:color w:val="auto"/>
              </w:rPr>
            </w:pPr>
          </w:p>
        </w:tc>
      </w:tr>
      <w:tr>
        <w:trPr>
          <w:trHeight w:val="277"/>
        </w:trPr>
        <w:tc>
          <w:tcPr>
            <w:tcW w:w="1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(17,269)</w:t>
            </w:r>
          </w:p>
        </w:tc>
        <w:tc>
          <w:tcPr>
            <w:tcW w:w="1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(138,137)</w:t>
            </w:r>
          </w:p>
        </w:tc>
      </w:tr>
      <w:tr>
        <w:trPr>
          <w:trHeight w:val="286"/>
        </w:trPr>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7,346</w:t>
            </w:r>
          </w:p>
        </w:tc>
        <w:tc>
          <w:tcPr>
            <w:tcW w:w="160" w:type="dxa"/>
            <w:vAlign w:val="bottom"/>
          </w:tcPr>
          <w:p>
            <w:pPr>
              <w:spacing w:after="0"/>
              <w:rPr>
                <w:sz w:val="24"/>
                <w:szCs w:val="24"/>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13,007</w:t>
            </w:r>
          </w:p>
        </w:tc>
      </w:tr>
      <w:tr>
        <w:trPr>
          <w:trHeight w:val="155"/>
        </w:trPr>
        <w:tc>
          <w:tcPr>
            <w:tcW w:w="16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275</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354</w:t>
            </w:r>
          </w:p>
        </w:tc>
        <w:tc>
          <w:tcPr>
            <w:tcW w:w="20" w:type="dxa"/>
            <w:vAlign w:val="bottom"/>
          </w:tcPr>
          <w:p>
            <w:pPr>
              <w:spacing w:after="0"/>
              <w:rPr>
                <w:sz w:val="13"/>
                <w:szCs w:val="13"/>
                <w:color w:val="auto"/>
              </w:rPr>
            </w:pPr>
          </w:p>
        </w:tc>
      </w:tr>
      <w:tr>
        <w:trPr>
          <w:trHeight w:val="122"/>
        </w:trPr>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(9,648)</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rPr>
              <w:t>(124,776)</w:t>
            </w:r>
          </w:p>
        </w:tc>
        <w:tc>
          <w:tcPr>
            <w:tcW w:w="20" w:type="dxa"/>
            <w:vAlign w:val="bottom"/>
          </w:tcPr>
          <w:p>
            <w:pPr>
              <w:spacing w:after="0"/>
              <w:rPr>
                <w:sz w:val="10"/>
                <w:szCs w:val="10"/>
                <w:color w:val="auto"/>
              </w:rPr>
            </w:pPr>
          </w:p>
        </w:tc>
      </w:tr>
      <w:tr>
        <w:trPr>
          <w:trHeight w:val="164"/>
        </w:trPr>
        <w:tc>
          <w:tcPr>
            <w:tcW w:w="1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w:t>
            </w:r>
          </w:p>
        </w:tc>
        <w:tc>
          <w:tcPr>
            <w:tcW w:w="1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1,790</w:t>
            </w:r>
          </w:p>
        </w:tc>
        <w:tc>
          <w:tcPr>
            <w:tcW w:w="20" w:type="dxa"/>
            <w:vAlign w:val="bottom"/>
          </w:tcPr>
          <w:p>
            <w:pPr>
              <w:spacing w:after="0"/>
              <w:rPr>
                <w:sz w:val="14"/>
                <w:szCs w:val="14"/>
                <w:color w:val="auto"/>
              </w:rPr>
            </w:pPr>
          </w:p>
        </w:tc>
      </w:tr>
      <w:tr>
        <w:trPr>
          <w:trHeight w:val="149"/>
        </w:trPr>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(9,580</w:t>
            </w:r>
          </w:p>
        </w:tc>
        <w:tc>
          <w:tcPr>
            <w:tcW w:w="240" w:type="dxa"/>
            <w:vAlign w:val="bottom"/>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w w:val="98"/>
              </w:rPr>
              <w:t>)</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(126,566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86"/>
        </w:trPr>
        <w:tc>
          <w:tcPr>
            <w:tcW w:w="1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(294)</w:t>
            </w:r>
          </w:p>
        </w:tc>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153</w:t>
            </w:r>
          </w:p>
        </w:tc>
        <w:tc>
          <w:tcPr>
            <w:tcW w:w="20" w:type="dxa"/>
            <w:vAlign w:val="bottom"/>
          </w:tcPr>
          <w:p>
            <w:pPr>
              <w:spacing w:after="0"/>
              <w:rPr>
                <w:sz w:val="24"/>
                <w:szCs w:val="24"/>
                <w:color w:val="auto"/>
              </w:rPr>
            </w:pPr>
          </w:p>
        </w:tc>
      </w:tr>
      <w:tr>
        <w:trPr>
          <w:trHeight w:val="155"/>
        </w:trPr>
        <w:tc>
          <w:tcPr>
            <w:tcW w:w="16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63</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-1811020</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-1622425</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-1439545</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-1256665</wp:posOffset>
            </wp:positionV>
            <wp:extent cx="7178040"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-1062355</wp:posOffset>
            </wp:positionV>
            <wp:extent cx="717804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-873760</wp:posOffset>
            </wp:positionV>
            <wp:extent cx="717804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-690880</wp:posOffset>
            </wp:positionV>
            <wp:extent cx="717804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-496570</wp:posOffset>
            </wp:positionV>
            <wp:extent cx="717804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-290830</wp:posOffset>
            </wp:positionV>
            <wp:extent cx="717804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-96520</wp:posOffset>
            </wp:positionV>
            <wp:extent cx="7178040"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20" w:space="720"/>
            <w:col w:w="7260"/>
          </w:cols>
          <w:pgMar w:left="300" w:top="647" w:right="299" w:bottom="1440" w:gutter="0" w:footer="0" w:header="0"/>
        </w:sectPr>
      </w:pPr>
    </w:p>
    <w:tbl>
      <w:tblPr>
        <w:tblLayout w:type="fixed"/>
        <w:tblInd w:w="0" w:type="dxa"/>
        <w:tblCellMar>
          <w:top w:w="0" w:type="dxa"/>
          <w:left w:w="0" w:type="dxa"/>
          <w:bottom w:w="0" w:type="dxa"/>
          <w:right w:w="0" w:type="dxa"/>
        </w:tblCellMar>
      </w:tblPr>
      <w:tr>
        <w:trPr>
          <w:trHeight w:val="149"/>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(9,874</w:t>
            </w:r>
          </w:p>
        </w:tc>
        <w:tc>
          <w:tcPr>
            <w:tcW w:w="2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2"/>
                <w:szCs w:val="12"/>
                <w:color w:val="auto"/>
                <w:w w:val="98"/>
              </w:rPr>
              <w:t>)</w:t>
            </w: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(126,350</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8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common share Basic and Diluted</w:t>
            </w:r>
          </w:p>
        </w:tc>
        <w:tc>
          <w:tcPr>
            <w:tcW w:w="3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(0.14)</w:t>
            </w:r>
          </w:p>
        </w:tc>
        <w:tc>
          <w:tcPr>
            <w:tcW w:w="380" w:type="dxa"/>
            <w:vAlign w:val="bottom"/>
          </w:tcPr>
          <w:p>
            <w:pPr>
              <w:spacing w:after="0"/>
              <w:rPr>
                <w:sz w:val="14"/>
                <w:szCs w:val="14"/>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(1.61)</w:t>
            </w:r>
          </w:p>
        </w:tc>
      </w:tr>
      <w:tr>
        <w:trPr>
          <w:trHeight w:val="144"/>
        </w:trPr>
        <w:tc>
          <w:tcPr>
            <w:tcW w:w="84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69"/>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3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86,556,515</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78,648,958</w:t>
            </w:r>
          </w:p>
        </w:tc>
        <w:tc>
          <w:tcPr>
            <w:tcW w:w="120" w:type="dxa"/>
            <w:vAlign w:val="bottom"/>
          </w:tcPr>
          <w:p>
            <w:pPr>
              <w:spacing w:after="0"/>
              <w:rPr>
                <w:sz w:val="14"/>
                <w:szCs w:val="14"/>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type w:val="continuous"/>
        </w:sectPr>
      </w:pPr>
    </w:p>
    <w:bookmarkStart w:id="9" w:name="page10"/>
    <w:bookmarkEnd w:id="9"/>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111760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2026-03-12T07:15:43Z</dcterms:created>
  <dcterms:modified xsi:type="dcterms:W3CDTF">2026-03-12T07:15:43Z</dcterms:modified>
</cp:coreProperties>
</file>