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9927-1_424b5.htm"/>
        <w:bookmarkStart w:id="1" w:name="kstm269927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1393" w:right="0" w:hanging="0"/>
        <w:jc w:val="right"/>
        <w:rPr>
          <w:caps w:val="false"/>
          <w:smallCaps w:val="false"/>
          <w:color w:val="000000"/>
        </w:rPr>
      </w:pPr>
      <w:r>
        <w:rPr>
          <w:caps w:val="false"/>
          <w:smallCaps w:val="false"/>
          <w:color w:val="000000"/>
          <w:spacing w:val="-3"/>
        </w:rPr>
        <w:t> </w:t>
      </w:r>
      <w:r>
        <w:rPr>
          <w:rFonts w:ascii="Arial;Helvetica;sans-serif" w:hAnsi="Arial;Helvetica;sans-serif"/>
          <w:b/>
          <w:i w:val="false"/>
          <w:caps w:val="false"/>
          <w:smallCaps w:val="false"/>
          <w:color w:val="000000"/>
          <w:spacing w:val="0"/>
          <w:sz w:val="20"/>
        </w:rPr>
        <w:t xml:space="preserve">Filed Pursuant to Rule 424(b)(5) </w:t>
      </w:r>
      <w:r>
        <w:rPr>
          <w:rFonts w:ascii="Arial;Helvetica;sans-serif" w:hAnsi="Arial;Helvetica;sans-serif"/>
          <w:b/>
          <w:i w:val="false"/>
          <w:caps w:val="false"/>
          <w:smallCaps w:val="false"/>
          <w:color w:val="000000"/>
          <w:sz w:val="20"/>
        </w:rPr>
        <w:t>​</w:t>
      </w:r>
    </w:p>
    <w:p>
      <w:pPr>
        <w:pStyle w:val="TextBody"/>
        <w:bidi w:val="0"/>
        <w:spacing w:lineRule="atLeast" w:line="200" w:before="2" w:after="283"/>
        <w:jc w:val="right"/>
        <w:rPr>
          <w:caps w:val="false"/>
          <w:smallCaps w:val="false"/>
          <w:color w:val="000000"/>
        </w:rPr>
      </w:pPr>
      <w:r>
        <w:rPr>
          <w:caps w:val="false"/>
          <w:smallCaps w:val="false"/>
          <w:color w:val="000000"/>
          <w:spacing w:val="-3"/>
        </w:rPr>
        <w:t> </w:t>
      </w:r>
      <w:r>
        <w:rPr>
          <w:rFonts w:ascii="Arial;Helvetica;sans-serif" w:hAnsi="Arial;Helvetica;sans-serif"/>
          <w:b/>
          <w:i w:val="false"/>
          <w:caps w:val="false"/>
          <w:smallCaps w:val="false"/>
          <w:color w:val="000000"/>
          <w:spacing w:val="0"/>
          <w:sz w:val="20"/>
        </w:rPr>
        <w:t>Registration No. 333-288616</w:t>
      </w:r>
      <w:r>
        <w:rPr>
          <w:rFonts w:ascii="Arial;Helvetica;sans-serif" w:hAnsi="Arial;Helvetica;sans-serif"/>
          <w:b/>
          <w:i w:val="false"/>
          <w:caps w:val="false"/>
          <w:smallCaps w:val="false"/>
          <w:color w:val="000000"/>
          <w:sz w:val="20"/>
        </w:rPr>
        <w:t>​</w:t>
      </w:r>
    </w:p>
    <w:p>
      <w:pPr>
        <w:pStyle w:val="TextBody"/>
        <w:bidi w:val="0"/>
        <w:spacing w:lineRule="atLeast" w:line="240" w:before="232" w:after="283"/>
        <w:jc w:val="left"/>
        <w:rPr>
          <w:rFonts w:ascii="Arial;Helvetica;sans-serif" w:hAnsi="Arial;Helvetica;sans-serif"/>
          <w:b/>
          <w:i w:val="false"/>
          <w:caps w:val="false"/>
          <w:smallCaps w:val="false"/>
          <w:color w:val="F45269"/>
          <w:sz w:val="20"/>
        </w:rPr>
      </w:pPr>
      <w:r>
        <w:rPr>
          <w:rFonts w:ascii="Arial;Helvetica;sans-serif" w:hAnsi="Arial;Helvetica;sans-serif"/>
          <w:b/>
          <w:i w:val="false"/>
          <w:caps w:val="false"/>
          <w:smallCaps w:val="false"/>
          <w:color w:val="F45269"/>
          <w:spacing w:val="-3"/>
          <w:sz w:val="20"/>
        </w:rPr>
        <w:t>PROSPECTUS SUPPLEMENT</w:t>
      </w:r>
      <w:r>
        <w:rPr>
          <w:rFonts w:ascii="Arial;Helvetica;sans-serif" w:hAnsi="Arial;Helvetica;sans-serif"/>
          <w:b/>
          <w:i w:val="false"/>
          <w:caps w:val="false"/>
          <w:smallCaps w:val="false"/>
          <w:color w:val="F45269"/>
          <w:spacing w:val="0"/>
          <w:sz w:val="20"/>
        </w:rPr>
        <w:t xml:space="preserve"> (To Prospectus dated January 9, 2026)</w:t>
      </w:r>
      <w:r>
        <w:rPr>
          <w:rFonts w:ascii="Arial;Helvetica;sans-serif" w:hAnsi="Arial;Helvetica;sans-serif"/>
          <w:b/>
          <w:i w:val="false"/>
          <w:caps w:val="false"/>
          <w:smallCaps w:val="false"/>
          <w:color w:val="000000"/>
          <w:spacing w:val="-3"/>
          <w:sz w:val="20"/>
        </w:rPr>
        <w:t xml:space="preserve"> </w:t>
      </w:r>
    </w:p>
    <w:p>
      <w:pPr>
        <w:pStyle w:val="TextBody"/>
        <w:bidi w:val="0"/>
        <w:spacing w:before="0" w:after="283"/>
        <w:ind w:left="1393" w:right="0" w:hanging="0"/>
        <w:jc w:val="left"/>
        <w:rPr>
          <w:caps w:val="false"/>
          <w:smallCaps w:val="false"/>
          <w:color w:val="000000"/>
          <w:bdr w:val="single" w:sz="24" w:space="1" w:color="000000"/>
        </w:rPr>
      </w:pPr>
      <w:r>
        <w:rPr>
          <w:caps w:val="false"/>
          <w:smallCaps w:val="false"/>
          <w:color w:val="000000"/>
          <w:bdr w:val="single" w:sz="24" w:space="1" w:color="000000"/>
        </w:rPr>
        <w:t>​</w:t>
      </w:r>
    </w:p>
    <w:p>
      <w:pPr>
        <w:pStyle w:val="TextBody"/>
        <w:bidi w:val="0"/>
        <w:spacing w:before="130" w:after="283"/>
        <w:jc w:val="center"/>
        <w:rPr>
          <w:caps w:val="false"/>
          <w:smallCaps w:val="false"/>
          <w:color w:val="000000"/>
        </w:rPr>
      </w:pPr>
      <w:r>
        <w:rPr>
          <w:caps w:val="false"/>
          <w:smallCaps w:val="false"/>
          <w:color w:val="000000"/>
        </w:rPr>
        <w:drawing>
          <wp:inline distT="0" distB="0" distL="0" distR="0">
            <wp:extent cx="307657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76575" cy="828675"/>
                    </a:xfrm>
                    <a:prstGeom prst="rect">
                      <a:avLst/>
                    </a:prstGeom>
                  </pic:spPr>
                </pic:pic>
              </a:graphicData>
            </a:graphic>
          </wp:inline>
        </w:drawing>
      </w:r>
      <w:r>
        <w:rPr>
          <w:caps w:val="false"/>
          <w:smallCaps w:val="false"/>
          <w:color w:val="000000"/>
        </w:rPr>
        <w:t xml:space="preserve"> </w:t>
      </w:r>
    </w:p>
    <w:p>
      <w:pPr>
        <w:pStyle w:val="TextBody"/>
        <w:bidi w:val="0"/>
        <w:spacing w:lineRule="atLeast" w:line="310" w:before="184"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$150,000,000</w:t>
      </w:r>
      <w:r>
        <w:rPr>
          <w:rFonts w:ascii="Arial;Helvetica;sans-serif" w:hAnsi="Arial;Helvetica;sans-serif"/>
          <w:b/>
          <w:i w:val="false"/>
          <w:caps w:val="false"/>
          <w:smallCaps w:val="false"/>
          <w:color w:val="000000"/>
          <w:sz w:val="28"/>
        </w:rPr>
        <w:t xml:space="preserve"> </w:t>
        <w:br/>
      </w:r>
      <w:r>
        <w:rPr>
          <w:rFonts w:ascii="Arial;Helvetica;sans-serif" w:hAnsi="Arial;Helvetica;sans-serif"/>
          <w:b/>
          <w:i w:val="false"/>
          <w:caps w:val="false"/>
          <w:smallCaps w:val="false"/>
          <w:color w:val="000000"/>
          <w:spacing w:val="-1"/>
          <w:sz w:val="28"/>
        </w:rPr>
        <w:t>Common Stock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1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previously entered into a sales agreement, or Sales Agreement, with Cowen and Company, LLC, predecessor to TD Securities (USA) LLC, or TD Cowen, dated July 1, 2022, relating to the sale of shares of our common stock, par value $0.0001 per share, offered by this prospectus supplement and the accompanying prospectus. In accordance with the terms of the Sales Agreement, we may offer and sell shares of our common stock having an aggregate offering price of up to $150,000,000, from time to time through or to TD Cowen, acting as our agent. Of that amount, we have sold shares of our common stock having an aggregate offering price of $18,380,259 as of the date of this prospectus supplement, pursuant to a Registration Statement on Form S-3 (File No. 333-265975) and accompanying prospectus filed on July 1, 2022. Accordingly, as of the date of this prospectus supplement, shares of common stock having an aggregate offering price of up to $131,619,741 remain available for offer and sale pursuant to this prospectus supplement.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common stock trades on the Nasdaq Capital Market under the symbol “IPSC.” On March 25, 2026, the last sale price of our common stock reported on the Nasdaq Capital Market was $2.07 per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Sales of our common stock, if any, under this prospectus supplement will be made in sales deemed to be an “at the market offering” as defined in Rule 415(a)(4) under the Securities Act of 1933, as amended, or the Securities Act. TD Cowen is not required to sell any specific amount of securities, but will use commercially reasonable efforts consistent with their normal trading and sales practices and applicable state and federal laws, rules and regulations and the rules of the Nasdaq Stock Market, on mutually agreed terms between TD Cowen and us. There is no arrangement for funds to be received in any escrow, trust or similar arrangement.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to TD Cowen for sales of our common stock sold pursuant to the Sales Agreement will be equal to 3.0% of the aggregate gross proceeds of any shares of our common stock sold under the Sales Agreement. In connection with the sale of the common stock on our behalf, TD Cowen will be deemed to be an “underwriter” within the meaning of the Securities Act and the compensation paid to TD Cowen will be deemed to be underwriting commissions or discounts. We have also agreed to provide indemnification and contribution to TD Cowen with respect to certain liabilities, including liabilities under the Securities Act or the Securities Exchange Act of 1934, as amended, or the Exchange Act. See “Plan of Distribution” beginning on page S-15 for additional information regarding the compensation payable to TD Cowen.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1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an emerging growth company and a smaller reporting company as defined under federal securities laws and, as such, may elect to comply with certain reduced public company reporting requirements for future filings</w:t>
      </w:r>
      <w:r>
        <w:rPr>
          <w:rFonts w:ascii="Arial;Helvetica;sans-serif" w:hAnsi="Arial;Helvetica;sans-serif"/>
          <w:b/>
          <w:i w:val="false"/>
          <w:caps w:val="false"/>
          <w:smallCaps w:val="false"/>
          <w:color w:val="000000"/>
          <w:spacing w:val="-3"/>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240" w:after="283"/>
        <w:jc w:val="left"/>
        <w:rPr/>
      </w:pPr>
      <w:r>
        <w:rPr>
          <w:rFonts w:ascii="Arial;Helvetica;sans-serif" w:hAnsi="Arial;Helvetica;sans-serif"/>
          <w:b/>
          <w:i w:val="false"/>
          <w:caps w:val="false"/>
          <w:smallCaps w:val="false"/>
          <w:color w:val="000000"/>
          <w:spacing w:val="-3"/>
          <w:sz w:val="20"/>
        </w:rPr>
        <w:t xml:space="preserve">INVESTING IN OUR COMMON STOCK INVOLVES RISKS. BEFORE MAKING AN INVESTMENT DECISION, PLEASE READ THE RISKS DESCRIBED UNDER THE CAPTION “RISK FACTORS” BEGINNING ON PAGE </w:t>
      </w:r>
      <w:hyperlink w:anchor="RIFA">
        <w:r>
          <w:rPr>
            <w:rStyle w:val="InternetLink"/>
          </w:rPr>
          <w:t>S-7</w:t>
        </w:r>
      </w:hyperlink>
      <w:r>
        <w:rPr>
          <w:rFonts w:ascii="Arial;Helvetica;sans-serif" w:hAnsi="Arial;Helvetica;sans-serif"/>
          <w:b/>
          <w:i w:val="false"/>
          <w:caps w:val="false"/>
          <w:smallCaps w:val="false"/>
          <w:color w:val="000000"/>
          <w:spacing w:val="-3"/>
          <w:sz w:val="20"/>
        </w:rPr>
        <w:t xml:space="preserve"> OF THIS PROSPECTUS SUPPLEMENT AND IN THE DOCUMENTS INCORPORATED BY REFERENCE INTO THIS PROSPECTUS SUPPLEMENT AND ACCOMPANYING PROSPECTUS.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400" w:before="240" w:after="283"/>
        <w:jc w:val="center"/>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1"/>
          <w:sz w:val="36"/>
        </w:rPr>
        <w:t>TD Cowen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date of this prospectus supplement is March 26, 2026.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72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TABLE OF CONTENTS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Prospectus Supplement</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6"/>
        <w:gridCol w:w="109"/>
        <w:gridCol w:w="109"/>
        <w:gridCol w:w="109"/>
        <w:gridCol w:w="109"/>
        <w:gridCol w:w="586"/>
        <w:gridCol w:w="109"/>
        <w:gridCol w:w="155"/>
      </w:tblGrid>
      <w:tr>
        <w:trPr/>
        <w:tc>
          <w:tcPr>
            <w:tcW w:w="75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ATPS">
              <w:r>
                <w:rPr>
                  <w:rStyle w:val="InternetLink"/>
                  <w:spacing w:val="-2"/>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ATPS">
              <w:r>
                <w:rPr>
                  <w:rStyle w:val="InternetLink"/>
                  <w:spacing w:val="-2"/>
                </w:rPr>
                <w:t>S-1</w:t>
              </w:r>
            </w:hyperlink>
            <w:hyperlink w:anchor="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PSS">
              <w:r>
                <w:rPr>
                  <w:rStyle w:val="InternetLink"/>
                  <w:spacing w:val="-2"/>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PSS">
              <w:r>
                <w:rPr>
                  <w:rStyle w:val="InternetLink"/>
                  <w:spacing w:val="-2"/>
                </w:rPr>
                <w:t>S-2</w:t>
              </w:r>
            </w:hyperlink>
            <w:hyperlink w:anchor="P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THOF">
              <w:r>
                <w:rPr>
                  <w:rStyle w:val="InternetLink"/>
                  <w:spacing w:val="-2"/>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THOF">
              <w:r>
                <w:rPr>
                  <w:rStyle w:val="InternetLink"/>
                  <w:spacing w:val="-2"/>
                </w:rPr>
                <w:t>S-5</w:t>
              </w:r>
            </w:hyperlink>
            <w:hyperlink w:anchor="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RIFA">
              <w:r>
                <w:rPr>
                  <w:rStyle w:val="InternetLink"/>
                  <w:spacing w:val="-2"/>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RIFA">
              <w:r>
                <w:rPr>
                  <w:rStyle w:val="InternetLink"/>
                  <w:spacing w:val="-2"/>
                </w:rPr>
                <w:t>S-7</w:t>
              </w:r>
            </w:hyperlink>
            <w:hyperlink w:anchor="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CNRF">
              <w:r>
                <w:rPr>
                  <w:rStyle w:val="InternetLink"/>
                  <w:spacing w:val="-2"/>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CNRF">
              <w:r>
                <w:rPr>
                  <w:rStyle w:val="InternetLink"/>
                  <w:spacing w:val="-2"/>
                </w:rPr>
                <w:t>S-9</w:t>
              </w:r>
            </w:hyperlink>
            <w:hyperlink w:anchor="C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UOP">
              <w:r>
                <w:rPr>
                  <w:rStyle w:val="InternetLink"/>
                  <w:spacing w:val="-2"/>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UOP">
              <w:r>
                <w:rPr>
                  <w:rStyle w:val="InternetLink"/>
                  <w:spacing w:val="-2"/>
                </w:rPr>
                <w:t>S-11</w:t>
              </w:r>
            </w:hyperlink>
            <w:hyperlink w:anchor="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DIL">
              <w:r>
                <w:rPr>
                  <w:rStyle w:val="InternetLink"/>
                  <w:spacing w:val="-2"/>
                </w:rPr>
                <w:t xml:space="preserve">DILUTION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DIL">
              <w:r>
                <w:rPr>
                  <w:rStyle w:val="InternetLink"/>
                  <w:spacing w:val="-2"/>
                </w:rPr>
                <w:t>S-12</w:t>
              </w:r>
            </w:hyperlink>
            <w:hyperlink w:anchor="DI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POD">
              <w:r>
                <w:rPr>
                  <w:rStyle w:val="InternetLink"/>
                  <w:spacing w:val="-2"/>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POD">
              <w:r>
                <w:rPr>
                  <w:rStyle w:val="InternetLink"/>
                  <w:spacing w:val="-2"/>
                </w:rPr>
                <w:t>S-14</w:t>
              </w:r>
            </w:hyperlink>
            <w:hyperlink w:anchor="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LEMA">
              <w:r>
                <w:rPr>
                  <w:rStyle w:val="InternetLink"/>
                  <w:spacing w:val="-2"/>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LEMA">
              <w:r>
                <w:rPr>
                  <w:rStyle w:val="InternetLink"/>
                  <w:spacing w:val="-2"/>
                </w:rPr>
                <w:t>S-16</w:t>
              </w:r>
            </w:hyperlink>
            <w:hyperlink w:anchor="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EXP">
              <w:r>
                <w:rPr>
                  <w:rStyle w:val="InternetLink"/>
                  <w:spacing w:val="-2"/>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EXP">
              <w:r>
                <w:rPr>
                  <w:rStyle w:val="InternetLink"/>
                  <w:spacing w:val="-2"/>
                </w:rPr>
                <w:t>S-17</w:t>
              </w:r>
            </w:hyperlink>
            <w:hyperlink w:anchor="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WYCF">
              <w:r>
                <w:rPr>
                  <w:rStyle w:val="InternetLink"/>
                  <w:spacing w:val="-2"/>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WYCF">
              <w:r>
                <w:rPr>
                  <w:rStyle w:val="InternetLink"/>
                  <w:spacing w:val="-2"/>
                </w:rPr>
                <w:t>S-18</w:t>
              </w:r>
            </w:hyperlink>
            <w:hyperlink w:anchor="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IOCI">
              <w:r>
                <w:rPr>
                  <w:rStyle w:val="InternetLink"/>
                  <w:spacing w:val="-2"/>
                </w:rPr>
                <w:t xml:space="preserve">INCORPORATION OF CERTAIN INFORMATION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IOCI">
              <w:r>
                <w:rPr>
                  <w:rStyle w:val="InternetLink"/>
                  <w:spacing w:val="-2"/>
                </w:rPr>
                <w:t>S-18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Prospectus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3"/>
        <w:gridCol w:w="109"/>
        <w:gridCol w:w="109"/>
        <w:gridCol w:w="109"/>
        <w:gridCol w:w="109"/>
        <w:gridCol w:w="399"/>
        <w:gridCol w:w="109"/>
        <w:gridCol w:w="155"/>
      </w:tblGrid>
      <w:tr>
        <w:trPr/>
        <w:tc>
          <w:tcPr>
            <w:tcW w:w="77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6" w:type="dxa"/>
            <w:gridSpan w:val="4"/>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bATP">
              <w:r>
                <w:rPr>
                  <w:rStyle w:val="InternetLink"/>
                  <w:spacing w:val="-2"/>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bATP">
              <w:r>
                <w:rPr>
                  <w:rStyle w:val="InternetLink"/>
                  <w:spacing w:val="-2"/>
                </w:rPr>
                <w:t>1</w:t>
              </w:r>
            </w:hyperlink>
            <w:hyperlink w:anchor="b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bWYCF">
              <w:r>
                <w:rPr>
                  <w:rStyle w:val="InternetLink"/>
                  <w:spacing w:val="-2"/>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bWYCF">
              <w:r>
                <w:rPr>
                  <w:rStyle w:val="InternetLink"/>
                  <w:spacing w:val="-2"/>
                </w:rPr>
                <w:t>2</w:t>
              </w:r>
            </w:hyperlink>
            <w:hyperlink w:anchor="b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bIOCI">
              <w:r>
                <w:rPr>
                  <w:rStyle w:val="InternetLink"/>
                  <w:spacing w:val="-2"/>
                </w:rPr>
                <w:t xml:space="preserve">INCORPORATION OF CERTAIN INFORMATION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bIOCI">
              <w:r>
                <w:rPr>
                  <w:rStyle w:val="InternetLink"/>
                  <w:spacing w:val="-2"/>
                </w:rPr>
                <w:t>2</w:t>
              </w:r>
            </w:hyperlink>
            <w:hyperlink w:anchor="bIOC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bCNRF">
              <w:r>
                <w:rPr>
                  <w:rStyle w:val="InternetLink"/>
                  <w:spacing w:val="-2"/>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bCNRF">
              <w:r>
                <w:rPr>
                  <w:rStyle w:val="InternetLink"/>
                  <w:spacing w:val="-2"/>
                </w:rPr>
                <w:t>4</w:t>
              </w:r>
            </w:hyperlink>
            <w:hyperlink w:anchor="bC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bATC">
              <w:r>
                <w:rPr>
                  <w:rStyle w:val="InternetLink"/>
                  <w:spacing w:val="-2"/>
                </w:rPr>
                <w:t xml:space="preserve">ABOUT THE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bATC">
              <w:r>
                <w:rPr>
                  <w:rStyle w:val="InternetLink"/>
                  <w:spacing w:val="-2"/>
                </w:rPr>
                <w:t>6</w:t>
              </w:r>
            </w:hyperlink>
            <w:hyperlink w:anchor="bAT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bRIFA">
              <w:r>
                <w:rPr>
                  <w:rStyle w:val="InternetLink"/>
                  <w:spacing w:val="-2"/>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bRIFA">
              <w:r>
                <w:rPr>
                  <w:rStyle w:val="InternetLink"/>
                  <w:spacing w:val="-2"/>
                </w:rPr>
                <w:t>8</w:t>
              </w:r>
            </w:hyperlink>
            <w:hyperlink w:anchor="b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bUOP">
              <w:r>
                <w:rPr>
                  <w:rStyle w:val="InternetLink"/>
                  <w:spacing w:val="-2"/>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bUOP">
              <w:r>
                <w:rPr>
                  <w:rStyle w:val="InternetLink"/>
                  <w:spacing w:val="-2"/>
                </w:rPr>
                <w:t>9</w:t>
              </w:r>
            </w:hyperlink>
            <w:hyperlink w:anchor="b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bSTMB">
              <w:r>
                <w:rPr>
                  <w:rStyle w:val="InternetLink"/>
                  <w:spacing w:val="-2"/>
                </w:rPr>
                <w:t xml:space="preserve">SECURITIES THAT MAY BE OFFERED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bSTMB">
              <w:r>
                <w:rPr>
                  <w:rStyle w:val="InternetLink"/>
                  <w:spacing w:val="-2"/>
                </w:rPr>
                <w:t>10</w:t>
              </w:r>
            </w:hyperlink>
            <w:hyperlink w:anchor="bSTM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bDOCS">
              <w:r>
                <w:rPr>
                  <w:rStyle w:val="InternetLink"/>
                  <w:spacing w:val="-2"/>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bDOCS">
              <w:r>
                <w:rPr>
                  <w:rStyle w:val="InternetLink"/>
                  <w:spacing w:val="-2"/>
                </w:rPr>
                <w:t>11</w:t>
              </w:r>
            </w:hyperlink>
            <w:hyperlink w:anchor="b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bDODS">
              <w:r>
                <w:rPr>
                  <w:rStyle w:val="InternetLink"/>
                  <w:spacing w:val="-2"/>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bDODS">
              <w:r>
                <w:rPr>
                  <w:rStyle w:val="InternetLink"/>
                  <w:spacing w:val="-2"/>
                </w:rPr>
                <w:t>14</w:t>
              </w:r>
            </w:hyperlink>
            <w:hyperlink w:anchor="b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bDOW">
              <w:r>
                <w:rPr>
                  <w:rStyle w:val="InternetLink"/>
                  <w:spacing w:val="-2"/>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bDOW">
              <w:r>
                <w:rPr>
                  <w:rStyle w:val="InternetLink"/>
                  <w:spacing w:val="-2"/>
                </w:rPr>
                <w:t>21</w:t>
              </w:r>
            </w:hyperlink>
            <w:hyperlink w:anchor="b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bDOU">
              <w:r>
                <w:rPr>
                  <w:rStyle w:val="InternetLink"/>
                  <w:spacing w:val="-2"/>
                </w:rPr>
                <w:t xml:space="preserve">DESCRIPTION OF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bDOU">
              <w:r>
                <w:rPr>
                  <w:rStyle w:val="InternetLink"/>
                  <w:spacing w:val="-2"/>
                </w:rPr>
                <w:t>23</w:t>
              </w:r>
            </w:hyperlink>
            <w:hyperlink w:anchor="bDO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bDOOS">
              <w:r>
                <w:rPr>
                  <w:rStyle w:val="InternetLink"/>
                  <w:spacing w:val="-2"/>
                </w:rPr>
                <w:t xml:space="preserve">DESCRIPTION OF OUR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bDOOS">
              <w:r>
                <w:rPr>
                  <w:rStyle w:val="InternetLink"/>
                  <w:spacing w:val="-2"/>
                </w:rPr>
                <w:t>24</w:t>
              </w:r>
            </w:hyperlink>
            <w:hyperlink w:anchor="bDO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bGLSE">
              <w:r>
                <w:rPr>
                  <w:rStyle w:val="InternetLink"/>
                  <w:spacing w:val="-2"/>
                </w:rPr>
                <w:t xml:space="preserve">GLOBAL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bGLSE">
              <w:r>
                <w:rPr>
                  <w:rStyle w:val="InternetLink"/>
                  <w:spacing w:val="-2"/>
                </w:rPr>
                <w:t>25</w:t>
              </w:r>
            </w:hyperlink>
            <w:hyperlink w:anchor="bGL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bPOD">
              <w:r>
                <w:rPr>
                  <w:rStyle w:val="InternetLink"/>
                  <w:spacing w:val="-2"/>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bPOD">
              <w:r>
                <w:rPr>
                  <w:rStyle w:val="InternetLink"/>
                  <w:spacing w:val="-2"/>
                </w:rPr>
                <w:t>29</w:t>
              </w:r>
            </w:hyperlink>
            <w:hyperlink w:anchor="b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bLEMA">
              <w:r>
                <w:rPr>
                  <w:rStyle w:val="InternetLink"/>
                  <w:spacing w:val="-2"/>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bLEMA">
              <w:r>
                <w:rPr>
                  <w:rStyle w:val="InternetLink"/>
                  <w:spacing w:val="-2"/>
                </w:rPr>
                <w:t>32</w:t>
              </w:r>
            </w:hyperlink>
            <w:hyperlink w:anchor="b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bEXP">
              <w:r>
                <w:rPr>
                  <w:rStyle w:val="InternetLink"/>
                  <w:spacing w:val="-2"/>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bEXP">
              <w:r>
                <w:rPr>
                  <w:rStyle w:val="InternetLink"/>
                  <w:spacing w:val="-2"/>
                </w:rPr>
                <w:t>33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96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ABOUT THIS PROSPECTUS SUPPLEMENT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pPr>
      <w:r>
        <w:rPr>
          <w:rFonts w:ascii="Arial;Helvetica;sans-serif" w:hAnsi="Arial;Helvetica;sans-serif"/>
          <w:b w:val="false"/>
          <w:i w:val="false"/>
          <w:caps w:val="false"/>
          <w:smallCaps w:val="false"/>
          <w:color w:val="000000"/>
          <w:spacing w:val="-2"/>
          <w:sz w:val="20"/>
        </w:rPr>
        <w:t xml:space="preserve">This document consists of two parts. The first part is this prospectus supplement, which describes the specific terms of this offering of our common stock and updates the information contained in the accompanying prospectus and the documents incorporated by reference herein and therein. The second part is the accompanying prospectus, which provides more general information about securities, some of which does not apply to this offering. This prospectus supplement and the accompanying prospectus relate to a Registration Statement on </w:t>
      </w:r>
      <w:hyperlink r:id="rId3">
        <w:r>
          <w:rPr>
            <w:rStyle w:val="InternetLink"/>
          </w:rPr>
          <w:t>Form S-3 (File No. 333-288616)</w:t>
        </w:r>
      </w:hyperlink>
      <w:r>
        <w:rPr>
          <w:rFonts w:ascii="Arial;Helvetica;sans-serif" w:hAnsi="Arial;Helvetica;sans-serif"/>
          <w:b w:val="false"/>
          <w:i w:val="false"/>
          <w:caps w:val="false"/>
          <w:smallCaps w:val="false"/>
          <w:color w:val="000000"/>
          <w:spacing w:val="-2"/>
          <w:sz w:val="20"/>
        </w:rPr>
        <w:t xml:space="preserve"> that we filed with the SEC using a shelf registration process.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not, and TD Cowen has not, authorized any other person to provide you with different or additional information. If anyone provides you with different or inconsistent information, you should not rely on it. We are not, and TD Cowen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“Incorporation of Certain Information by Reference.”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offering to sell, and seeking offers to buy, shares of common stock only in jurisdictions where offers and sales are permitted.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 This prospectus supplement, the accompanying prospectus and any related free writing prospectus do not constitute, and may not be used in connection with, an offer to sell, or a solicitation of an offer to buy any securities in any jurisdiction or to any person to whom it is unlawful to make such offer or solicitation in such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When we refer to “Century,” “we,” “our,” “us” and the “Company” in this prospectus, we mean Century Therapeutics, Inc., and its wholly owned subsidiary unless otherwise specified.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Century Therapeutics” the “Century Therapeutics” logo, and other trademarks, trade names, or service marks of Century Therapeutics, Inc. appearing in this prospectus are the property of Century Therapeutics, Inc. 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PS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350" w:after="283"/>
        <w:ind w:left="1393" w:right="0" w:hanging="0"/>
        <w:jc w:val="center"/>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color w:val="000000"/>
          <w:spacing w:val="-3"/>
          <w:sz w:val="20"/>
          <w:bdr w:val="single" w:sz="8" w:space="1" w:color="000000"/>
        </w:rPr>
        <w:t>PROSPECTUS SUPPLEMENT SUMMARY</w:t>
      </w:r>
      <w:r>
        <w:rPr>
          <w:rFonts w:ascii="Arial;Helvetica;sans-serif" w:hAnsi="Arial;Helvetica;sans-serif"/>
          <w:b/>
          <w:i w:val="false"/>
          <w:caps w:val="false"/>
          <w:smallCaps w:val="false"/>
          <w:color w:val="000000"/>
          <w:spacing w:val="4"/>
          <w:sz w:val="20"/>
          <w:bdr w:val="single" w:sz="8" w:space="1" w:color="000000"/>
        </w:rPr>
        <w:t xml:space="preserve"> </w:t>
      </w:r>
    </w:p>
    <w:p>
      <w:pPr>
        <w:pStyle w:val="TextBody"/>
        <w:bidi w:val="0"/>
        <w:spacing w:lineRule="atLeast" w:line="230" w:before="360" w:after="283"/>
        <w:jc w:val="left"/>
        <w:rPr>
          <w:rFonts w:ascii="Arial;Helvetica;sans-serif" w:hAnsi="Arial;Helvetica;sans-serif"/>
          <w:b w:val="false"/>
          <w:i/>
          <w:caps w:val="false"/>
          <w:smallCaps w:val="false"/>
          <w:color w:val="000000"/>
          <w:sz w:val="20"/>
          <w:bdr w:val="single" w:sz="8" w:space="1" w:color="000000"/>
        </w:rPr>
      </w:pPr>
      <w:r>
        <w:rPr>
          <w:rFonts w:ascii="Arial;Helvetica;sans-serif" w:hAnsi="Arial;Helvetica;sans-serif"/>
          <w:b w:val="false"/>
          <w:i/>
          <w:caps w:val="false"/>
          <w:smallCaps w:val="false"/>
          <w:color w:val="000000"/>
          <w:sz w:val="20"/>
          <w:bdr w:val="single" w:sz="8" w:space="1" w:color="000000"/>
        </w:rPr>
        <w:t>This summary highlights information contained elsewhere or incorporated by reference in this prospectus supplement and the accompanying prospectus and in the documents we incorporate by reference. This summary does not contain all of the information that you should consider before deciding to invest in our common stock. You should read this entire prospectus supplement and the accompanying prospectus carefully, including the information referred to in the section entitled “Risk Factors” beginning on page S-7 of this prospectus supplement, as well as the other documents that we incorporate by reference into this prospectus supplement and the accompanying prospectus, including our financial statements and the exhibits to the registration statement of which this prospectus supplement and the accompanying prospectus is a part.</w:t>
      </w:r>
      <w:r>
        <w:rPr>
          <w:rFonts w:ascii="Arial;Helvetica;sans-serif" w:hAnsi="Arial;Helvetica;san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Overview</w:t>
      </w:r>
      <w:r>
        <w:rPr>
          <w:rFonts w:ascii="Arial;Helvetica;sans-serif" w:hAnsi="Arial;Helvetica;sans-serif"/>
          <w:b/>
          <w:i w:val="false"/>
          <w:caps w:val="false"/>
          <w:smallCaps w:val="false"/>
          <w:color w:val="000000"/>
          <w:spacing w:val="4"/>
          <w:sz w:val="20"/>
          <w:bdr w:val="single" w:sz="8" w:space="1" w:color="00000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We are a biotechnology company harnessing the power of allogeneic pluripotent stem cell therapies to develop potentially curative cell therapy products for autoimmune diseases, including type 1 diabetes, or T1D, and cancer. Our beta islet, T cell and NK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Industry-leading iPSCs and differentiation know-how to generate fully functional mature cells from iPSCs, or IPSC-derived cells;</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286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Clustered regularly interspaced short palindromic repeats, or CRISPR mediated precision gene editing that allows us to incorporate multiple transgenes and disrupt target genes intended to optimize cell product performance;</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286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Our proprietary Allo-Evasion™ technology intended to prevent rejection of our cell products by the host immune system, enabling the potential for persistence and re-dosing of therapy; and</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286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Cutting-edge manufacturing capabilities intended to drive scale advantages and reduce cost of goods sold, or COGs, while minimizing product development and supply risk.</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286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cell types we can generate from iPSCs, including iPSC-derived beta islet cells, iPSC-derived CD4+ and CD8+ αβ T cells, or αβ iT cells, and iPSC-natural killer cells, or iNK cells. We believe this capability enables optimal matching of cell characteristics to disease indication, ensuring we target the right cell for the right indication.</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Our vision is to become a premier, fully integrated biotechnology company by developing and ultimately commercializing off-the-shelf allogeneic cell therapies that dramatically and positively transform the lives of patients suffering from T1D, autoimmune diseases and cancers. To achieve our vision, our world-class team is applying its decades of collective experience in cell therapy and drug development, manufacturing, and commercialization.</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In November 2025, we announced our plans to develop a beta islet program, CNTY-813, for T1D. We are leveraging our deep expertise in selective iPSC differentiation to advance this program, engineered with Allo-Evasion™ 5.0, toward clinical evaluation subject to regulatory clearance. We have moved CNTY-318 into IND-enabling studies and anticipate submission of an IND application as early as 2026.</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We also continue to make progress with IND-enabling studies for CNTY-308, a CD19-targeted CD4+/CD8+ ab CAR-iT cell therapy functionally comparable to primary T cells and engineered with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350" w:after="283"/>
        <w:ind w:left="13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Allo-Evasion™ 5.0. CNTY-308 is being developed as a potential treatment for B-cell-mediated diseases. Following successful completion of these IND-enabling studies, and the receipt of requisite regulatory authorization, we expect to initiate clinical studies in 2026.</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In November 2025, we announced that we will prioritize clinical development activities for CNTY-101, a CAR-iNK cell therapy with six precision gene edits, in CARAMEL, a Phase 1/2 investigator sponsored trial, or IST, which is currently enrolling and dosing patients living with B-cell-mediated autoimmune diseases, led by Professors Georg Schett and Andreas Mackensen and sponsored by the Friedrich-Alexander University Erlangen-Nürnberg. Investigators of the CARAMEL IST presented initial data in December 2025.</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Recent Developments</w:t>
      </w:r>
      <w:r>
        <w:rPr>
          <w:rFonts w:ascii="Arial;Helvetica;sans-serif" w:hAnsi="Arial;Helvetica;sans-serif"/>
          <w:b/>
          <w:i w:val="false"/>
          <w:caps w:val="false"/>
          <w:smallCaps w:val="false"/>
          <w:color w:val="000000"/>
          <w:spacing w:val="4"/>
          <w:sz w:val="20"/>
          <w:bdr w:val="single" w:sz="8" w:space="1" w:color="00000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In January 2026, we entered into a securities purchase agreement with certain institutional accredited investors, or the Investors, pursuant to which we issued and sold to the Investors in a private placement (a) (i) 92,030,595 shares, or the Shares, of our common stock, and/or, (ii) pre-funded warrants to purchase 25,360,704 shares of common stock, or the Pre-Funded Warrants, and (b) warrants to purchase 58,695,648 shares of common stock or Pre-Funded Warrants in lieu thereof, or the Common Warrants, at a purchase price of $1.15 per share and accompanying Common Warrant to purchase 0.5 shares of common stock or Pre-Funded Warrant and a purchase price of $1.1499 per Pre-Funded Warrant and accompanying Common Warrant to purchase 0.5 shares of common stock or Pre-Funded Warrant, or the 2026 Private Placement. We received aggregate gross proceeds from the 2026 Private Placement of approximately $135.0 million, before deducting placement agent fees and offering expenses.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Corporate Information</w:t>
      </w:r>
      <w:r>
        <w:rPr>
          <w:rFonts w:ascii="Arial;Helvetica;sans-serif" w:hAnsi="Arial;Helvetica;sans-serif"/>
          <w:b/>
          <w:i w:val="false"/>
          <w:caps w:val="false"/>
          <w:smallCaps w:val="false"/>
          <w:color w:val="000000"/>
          <w:spacing w:val="4"/>
          <w:sz w:val="20"/>
          <w:bdr w:val="single" w:sz="8" w:space="1" w:color="00000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Our primary executive offices are located 25 North 38th Street, 11th Floor, Philadelphia, Pennsylvania 19104, and our telephone number is (267) 817-5790. Our corporate website is www.centurytx.com. The information contained on, or accessible through, our website is not incorporated by reference into this prospectus supplement or accompanying prospectus, and you should not consider any information contained in, or that can be accessed through, our website as part of this prospectus supplement or in deciding whether to purchase our common stock.</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Implications of Being an Emerging Growth Company and Smaller Reporting Company</w:t>
      </w:r>
      <w:r>
        <w:rPr>
          <w:rFonts w:ascii="Arial;Helvetica;sans-serif" w:hAnsi="Arial;Helvetica;sans-serif"/>
          <w:b/>
          <w:i w:val="false"/>
          <w:caps w:val="false"/>
          <w:smallCaps w:val="false"/>
          <w:color w:val="000000"/>
          <w:spacing w:val="4"/>
          <w:sz w:val="20"/>
          <w:bdr w:val="single" w:sz="8" w:space="1" w:color="00000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We qualify as an “emerging growth company” as defined in the Jumpstart Our Business Startups Act of 2012, or the JOBS Act. An emerging growth company may take advantage of reduced reporting requirements that are otherwise applicable to public companies. These provisions include, but are not limited to:</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Being permitted to present only two years of audited financial statements and only two years of related Management’s Discussion and Analysis of Financial Condition and Results of Operations in our periodic reports and registration statements.</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413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Not being required to comply with the auditor attestation requirements of Section 404 of the Sarbanes- Oxley Act of 2002, as amended.</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413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Reduced disclosure obligations regarding executive compensation in our periodic reports, proxy statements and registration statements.</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413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Exemptions from the requirements of holding a nonbinding advisory vote on executive compensation and stockholder approval of any golden parachute payments not previously approved.</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413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We may take advantage of these provisions until December 31, 2026, which is the last day of our fiscal year following the fifth anniversary of the date of our initial public offering. However, if certain events occur prior to the end of such five-year period, including if we become a “large accelerated filer,” which occurs when the market value of our common stock that is held by non-affiliates exceeds $700 million, our annual gross revenues exceed $1.235 billion or we issue more than $1.0 billion of non-convertible debt in any three-year period, we will cease to be an emerging growth company prior to the end of such five-year period. We have elected to take advantage of these reduced disclosure obligations and may elect to take advantage of other reduced reporting requirements in future filings. As a result of these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350" w:after="283"/>
        <w:ind w:left="13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elections, the information that we provide to our stockholders may be different than you might receive from other public reporting companies.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In addition, the JOBS Act provides that an emerging growth company can take advantage of an extended transition period for complying with new or revised accounting standards. This provision allows an emerging growth company to delay adopting new or revised accounting standards until such time as those standards would otherwise apply to private companies. We have elected to avail ourselves of this exemption and as a result, we will not be subject to the same new or revised accounting standards as other public companies that comply with the public company effective dates.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350" w:after="283"/>
        <w:ind w:left="1393" w:right="0" w:hanging="0"/>
        <w:jc w:val="center"/>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color w:val="000000"/>
          <w:spacing w:val="-3"/>
          <w:sz w:val="20"/>
          <w:bdr w:val="single" w:sz="8" w:space="1" w:color="000000"/>
        </w:rPr>
        <w:t>THE OFFERING</w:t>
      </w:r>
      <w:r>
        <w:rPr>
          <w:rFonts w:ascii="Arial;Helvetica;sans-serif" w:hAnsi="Arial;Helvetica;sans-serif"/>
          <w:b/>
          <w:i w:val="false"/>
          <w:caps w:val="false"/>
          <w:smallCaps w:val="false"/>
          <w:color w:val="000000"/>
          <w:spacing w:val="4"/>
          <w:sz w:val="20"/>
          <w:bdr w:val="single" w:sz="8" w:space="1" w:color="000000"/>
        </w:rPr>
        <w:t xml:space="preserve"> </w:t>
      </w:r>
    </w:p>
    <w:p>
      <w:pPr>
        <w:pStyle w:val="TextBody"/>
        <w:bidi w:val="0"/>
        <w:spacing w:lineRule="atLeast" w:line="230" w:before="120" w:after="283"/>
        <w:ind w:left="1593" w:right="0" w:hanging="200"/>
        <w:jc w:val="left"/>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 xml:space="preserve">Common stock offered </w:t>
      </w:r>
      <w:r>
        <w:rPr>
          <w:rFonts w:ascii="Arial;Helvetica;sans-serif" w:hAnsi="Arial;Helvetica;sans-serif"/>
          <w:b/>
          <w:i w:val="false"/>
          <w:caps w:val="false"/>
          <w:smallCaps w:val="false"/>
          <w:color w:val="000000"/>
          <w:sz w:val="20"/>
          <w:bdr w:val="single" w:sz="8" w:space="1" w:color="000000"/>
        </w:rPr>
        <w:br/>
      </w:r>
      <w:r>
        <w:rPr>
          <w:rFonts w:ascii="Arial;Helvetica;sans-serif" w:hAnsi="Arial;Helvetica;sans-serif"/>
          <w:b/>
          <w:i w:val="false"/>
          <w:caps w:val="false"/>
          <w:smallCaps w:val="false"/>
          <w:color w:val="000000"/>
          <w:spacing w:val="0"/>
          <w:sz w:val="20"/>
          <w:bdr w:val="single" w:sz="8" w:space="1" w:color="000000"/>
        </w:rPr>
        <w:t xml:space="preserve">by us </w:t>
      </w:r>
    </w:p>
    <w:p>
      <w:pPr>
        <w:pStyle w:val="TextBody"/>
        <w:bidi w:val="0"/>
        <w:spacing w:lineRule="atLeast" w:line="240" w:before="0" w:after="283"/>
        <w:ind w:left="42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Shares of our common stock having an aggregate sales price of up to $150 million. We have offered and sold shares of our common stock having an aggregate offering price of $18.4 million through the date of this prospectus supplement pursuant to a previous prospectus supplement and accompanying prospectus under the Sales Agreement. Due to these prior sales, as of the date of this prospectus supplement, shares of our common stock having an aggregate offering price of up to $131.6 million remain available for offer and sale under the Sales Agreement pursuant to this prospectus supplement and the accompanying prospectus.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Common stock to be outstanding after this offering</w:t>
      </w:r>
      <w:r>
        <w:rPr>
          <w:rFonts w:ascii="Arial;Helvetica;sans-serif" w:hAnsi="Arial;Helvetica;sans-serif"/>
          <w:b/>
          <w:i w:val="false"/>
          <w:caps w:val="false"/>
          <w:smallCaps w:val="false"/>
          <w:color w:val="000000"/>
          <w:spacing w:val="-2"/>
          <w:sz w:val="20"/>
          <w:bdr w:val="single" w:sz="8" w:space="1" w:color="000000"/>
        </w:rPr>
        <w:t xml:space="preserve"> </w:t>
      </w:r>
    </w:p>
    <w:p>
      <w:pPr>
        <w:pStyle w:val="TextBody"/>
        <w:bidi w:val="0"/>
        <w:spacing w:lineRule="atLeast" w:line="240" w:before="0" w:after="283"/>
        <w:ind w:left="42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Up to 243,134,106 shares, assuming sales of 63,584,415 shares of our common stock in this offering at an offering price of $2.07 per share, which was the last reported sale price of our common stock on the Nasdaq Capital Market on March 25, 2026. The actual number of shares issued will vary depending on the sales price under this offering.</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Manner of Offering</w:t>
      </w:r>
      <w:r>
        <w:rPr>
          <w:rFonts w:ascii="Arial;Helvetica;sans-serif" w:hAnsi="Arial;Helvetica;sans-serif"/>
          <w:b/>
          <w:i w:val="false"/>
          <w:caps w:val="false"/>
          <w:smallCaps w:val="false"/>
          <w:color w:val="000000"/>
          <w:spacing w:val="-2"/>
          <w:sz w:val="20"/>
          <w:bdr w:val="single" w:sz="8" w:space="1" w:color="000000"/>
        </w:rPr>
        <w:t xml:space="preserve"> </w:t>
      </w:r>
    </w:p>
    <w:p>
      <w:pPr>
        <w:pStyle w:val="TextBody"/>
        <w:bidi w:val="0"/>
        <w:spacing w:lineRule="atLeast" w:line="240" w:before="0" w:after="283"/>
        <w:ind w:left="4293" w:right="0" w:hanging="0"/>
        <w:jc w:val="left"/>
        <w:rPr>
          <w:caps w:val="false"/>
          <w:smallCaps w:val="false"/>
          <w:color w:val="000000"/>
          <w:bdr w:val="single" w:sz="8" w:space="1" w:color="000000"/>
        </w:rPr>
      </w:pPr>
      <w:r>
        <w:rPr>
          <w:caps w:val="false"/>
          <w:smallCaps w:val="false"/>
          <w:color w:val="000000"/>
          <w:spacing w:val="-2"/>
          <w:bdr w:val="single" w:sz="8" w:space="1" w:color="000000"/>
        </w:rPr>
        <w:t>“</w:t>
      </w:r>
      <w:r>
        <w:rPr>
          <w:rFonts w:ascii="Arial;Helvetica;sans-serif" w:hAnsi="Arial;Helvetica;sans-serif"/>
          <w:b w:val="false"/>
          <w:i w:val="false"/>
          <w:caps w:val="false"/>
          <w:smallCaps w:val="false"/>
          <w:color w:val="000000"/>
          <w:spacing w:val="-2"/>
          <w:sz w:val="20"/>
          <w:bdr w:val="single" w:sz="8" w:space="1" w:color="000000"/>
        </w:rPr>
        <w:t>At the market offering” that may be made from time to time through, at our option, our sales agent, TD Cowen. See “Plan of Distribution.”</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i w:val="false"/>
          <w:caps w:val="false"/>
          <w:smallCaps w:val="false"/>
          <w:color w:val="000000"/>
          <w:spacing w:val="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 xml:space="preserve">Use of Proceeds </w:t>
      </w:r>
    </w:p>
    <w:p>
      <w:pPr>
        <w:pStyle w:val="TextBody"/>
        <w:bidi w:val="0"/>
        <w:spacing w:lineRule="atLeast" w:line="240" w:before="0" w:after="283"/>
        <w:ind w:left="42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We currently intend to use the net proceeds of this offering primarily for general corporate purposes, which may include funding research, clinical development, process development and manufacturing of our product candidates, working capital and capital expenditures. See “Use of Proceeds.”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i w:val="false"/>
          <w:caps w:val="false"/>
          <w:smallCaps w:val="false"/>
          <w:color w:val="000000"/>
          <w:spacing w:val="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 xml:space="preserve">Risk Factors </w:t>
      </w:r>
    </w:p>
    <w:p>
      <w:pPr>
        <w:pStyle w:val="TextBody"/>
        <w:bidi w:val="0"/>
        <w:spacing w:lineRule="atLeast" w:line="240" w:before="0" w:after="283"/>
        <w:ind w:left="42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Investing in our common stock involves a high degree of risk. See “Risk Factors” beginning on page S-7 of this prospectus supplement and the other information included in, or incorporated by reference into, this prospectus supplement and the accompanying prospectus for a discussion of factors that you should consider before investing in our common stock.</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Arial;Helvetica;sans-serif" w:hAnsi="Arial;Helvetica;sans-serif"/>
          <w:b/>
          <w:i w:val="false"/>
          <w:caps w:val="false"/>
          <w:smallCaps w:val="false"/>
          <w:color w:val="000000"/>
          <w:sz w:val="20"/>
          <w:bdr w:val="single" w:sz="8" w:space="1" w:color="000000"/>
        </w:rPr>
      </w:pPr>
      <w:r>
        <w:rPr>
          <w:rFonts w:ascii="Arial;Helvetica;sans-serif" w:hAnsi="Arial;Helvetica;sans-serif"/>
          <w:b/>
          <w:i w:val="false"/>
          <w:caps w:val="false"/>
          <w:smallCaps w:val="false"/>
          <w:color w:val="000000"/>
          <w:spacing w:val="0"/>
          <w:sz w:val="20"/>
          <w:bdr w:val="single" w:sz="8" w:space="1" w:color="000000"/>
        </w:rPr>
        <w:t>Nasdaq Capital Market symbol</w:t>
      </w:r>
      <w:r>
        <w:rPr>
          <w:rFonts w:ascii="Arial;Helvetica;sans-serif" w:hAnsi="Arial;Helvetica;sans-serif"/>
          <w:b/>
          <w:i w:val="false"/>
          <w:caps w:val="false"/>
          <w:smallCaps w:val="false"/>
          <w:color w:val="000000"/>
          <w:spacing w:val="-2"/>
          <w:sz w:val="20"/>
          <w:bdr w:val="single" w:sz="8" w:space="1" w:color="000000"/>
        </w:rPr>
        <w:t xml:space="preserve"> </w:t>
      </w:r>
    </w:p>
    <w:p>
      <w:pPr>
        <w:pStyle w:val="TextBody"/>
        <w:bidi w:val="0"/>
        <w:spacing w:lineRule="atLeast" w:line="240" w:before="0" w:after="283"/>
        <w:ind w:left="4293" w:right="0" w:hanging="0"/>
        <w:jc w:val="left"/>
        <w:rPr>
          <w:caps w:val="false"/>
          <w:smallCaps w:val="false"/>
          <w:color w:val="000000"/>
          <w:bdr w:val="single" w:sz="8" w:space="1" w:color="000000"/>
        </w:rPr>
      </w:pPr>
      <w:r>
        <w:rPr>
          <w:caps w:val="false"/>
          <w:smallCaps w:val="false"/>
          <w:color w:val="000000"/>
          <w:spacing w:val="-2"/>
          <w:bdr w:val="single" w:sz="8" w:space="1" w:color="000000"/>
        </w:rPr>
        <w:t>“</w:t>
      </w:r>
      <w:r>
        <w:rPr>
          <w:rFonts w:ascii="Arial;Helvetica;sans-serif" w:hAnsi="Arial;Helvetica;sans-serif"/>
          <w:b w:val="false"/>
          <w:i w:val="false"/>
          <w:caps w:val="false"/>
          <w:smallCaps w:val="false"/>
          <w:color w:val="000000"/>
          <w:spacing w:val="-2"/>
          <w:sz w:val="20"/>
          <w:bdr w:val="single" w:sz="8" w:space="1" w:color="000000"/>
        </w:rPr>
        <w:t>IPSC”</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All information in this prospectus supplement related to the number of shares of our common stock to be outstanding immediately after this offering is based on 87,519,096 shares of our common stock outstanding as of December 31, 2025 after giving effect to the issuance of 92,030,595 shares of common stock in our 2026 Private Placement. The number of shares outstanding as of December 31, 2025 as used throughout this prospectus supplement, unless otherwise indicated, excludes:</w:t>
      </w:r>
      <w:r>
        <w:rPr>
          <w:rFonts w:ascii="Arial;Helvetica;sans-serif" w:hAnsi="Arial;Helvetica;sans-serif"/>
          <w:b w:val="false"/>
          <w:i w:val="false"/>
          <w:caps w:val="false"/>
          <w:smallCaps w:val="false"/>
          <w:color w:val="000000"/>
          <w:spacing w:val="4"/>
          <w:sz w:val="20"/>
          <w:bdr w:val="single" w:sz="8" w:space="1" w:color="00000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9,105,976 shares of our common stock issuable upon the exercise of stock options outstanding, at a weighted-average exercise price of $4.30 per share;</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54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5,645,957 shares of our common stock issuable upon the vesting and settlement of restricted stock units outstanding;</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54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32,009 shares of our common stock issuable upon the exercise of a warrant outstanding, with an exercise price of $13.96 per share;</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54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4,175,446 shares of our common stock available for future issuance under our 2021 Equity Incentive Plan;</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54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639,745 shares of our common stock available for future issuance under our 2021 Employee Stock Purchase Plan; and</w:t>
      </w:r>
      <w:r>
        <w:rPr>
          <w:rFonts w:ascii="Arial;Helvetica;sans-serif" w:hAnsi="Arial;Helvetica;sans-serif"/>
          <w:b w:val="false"/>
          <w:i w:val="false"/>
          <w:caps w:val="false"/>
          <w:smallCaps w:val="false"/>
          <w:color w:val="000000"/>
          <w:spacing w:val="4"/>
          <w:sz w:val="20"/>
          <w:bdr w:val="single" w:sz="8" w:space="1" w:color="000000"/>
        </w:rPr>
        <w:t xml:space="preserve"> </w:t>
      </w:r>
      <w:r>
        <mc:AlternateContent>
          <mc:Choice Requires="wps">
            <w:drawing>
              <wp:anchor behindDoc="0" distT="254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350" w:after="283"/>
        <w:ind w:left="1793" w:right="0" w:hanging="0"/>
        <w:jc w:val="left"/>
        <w:rPr>
          <w:rFonts w:ascii="Arial;Helvetica;sans-serif" w:hAnsi="Arial;Helvetica;sans-serif"/>
          <w:b w:val="false"/>
          <w:i w:val="false"/>
          <w:caps w:val="false"/>
          <w:smallCaps w:val="false"/>
          <w:color w:val="000000"/>
          <w:spacing w:val="-2"/>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 xml:space="preserve">25,360,704 shares of our common stock issuable upon exercise of the Pre-Funded Warrants, at a per-share exercise price of $0.0001, and 58,695,648 shares of our common stock ultimately issuable upon the exercise of the Common Warrants, at an exercise price of $2.60 per share of common stock or $2.599 per Pre-Funded Warrant, that were issued in the 2026 Private Placement.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sz w:val="20"/>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rFonts w:ascii="Arial;Helvetica;sans-serif" w:hAnsi="Arial;Helvetica;san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bdr w:val="single" w:sz="8" w:space="1" w:color="000000"/>
        </w:rPr>
      </w:pPr>
      <w:r>
        <w:rPr>
          <w:rFonts w:ascii="Arial;Helvetica;sans-serif" w:hAnsi="Arial;Helvetica;sans-serif"/>
          <w:b w:val="false"/>
          <w:i w:val="false"/>
          <w:caps w:val="false"/>
          <w:smallCaps w:val="false"/>
          <w:color w:val="000000"/>
          <w:spacing w:val="-2"/>
          <w:sz w:val="20"/>
          <w:bdr w:val="single" w:sz="8" w:space="1" w:color="000000"/>
        </w:rPr>
        <w:t>Unless otherwise indicated, all information in this prospectus supplement assumes no exercise of the stock options or vesting and settlement of the restricted stock units after December 31, 2025, no exercise of the outstanding Warrants issued in our 2026 Private Placement, and reflects an assumed public offering minimum price of $2.07, which was the last reported sale price of our common stock on The Nasdaq Capital Market on March 25, 2026.</w:t>
      </w:r>
      <w:r>
        <w:rPr>
          <w:rFonts w:ascii="Arial;Helvetica;sans-serif" w:hAnsi="Arial;Helvetica;san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2"/>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RISK FACTORS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36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An investment in our common stock involves a high degree of risk. Before deciding whether to invest in our common stock, you should carefully consider the risks described below and those discussed under the Section captioned “Risk Factors” contained in our most recent annual report on Form 10-K and in our most recent quarterly reports on Form 10-Q, as well as any amendments thereto, which are incorporated by reference herein, together with other information in this prospectus supplement, the documents incorporated by reference herein, and any free writing prospectus that we may authorize for use in connection with a specific offering. If any of these risks actually occurs, our business, financial condition, results of operations or cash flow could be harmed. This could cause the trading price of our common stock to decline, resulting in a loss of all or part of your investment.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Risks Related to This Offering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Management will have broad discretion as to the use of the proceeds from this offering, and we may not use the proceeds effectively.</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management will have broad discretion with respect to the use of proceeds of this offering, including for any of the purposes described in the section of this prospectus supplement entitled “Use of Proceeds.” You will be relying on the judgment of our management regarding the application of the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harm our business, delay the development of our product candidates and cause the price of our common stock to decline.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You will experience immediate dilution in the book value per share of the common stock purchased in the offering.</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shares sold in this offering, if any, will be sold from time to time at various prices. However, we expect that the offering price of our common stock will be substantially higher than the net tangible book value per share of our outstanding common stock. See the section entitled “Dilution” in this prospectus for a more detailed discussion of the dilution you will incur if you purchase common stock in this offering. In addition, the exercise of outstanding stock options may result in further dilution of your investment.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trading price of the shares of our common stock could be highly volatile, and purchasers of our common stock could incur substantial losses.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stock price is likely to be volatile. The stock market in general and the market for stock of biopharmaceutical companies in particular have experienced extreme volatility that has often been unrelated to the operating performance of particular companies. The market price for our common stock may be influenced by those factors discussed in this “Risk factors” section and in similar sections incorporated by reference herein, as well as other factors, including: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commencement, enrollment, or results of our current and future preclinical studies and clinical trials, and the results of trials of our competitors or those of other companies in our market sector;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regulatory approval of our product candidates, or limitations to specific label indications or patient populations for its use, or changes or delays in the regulatory review process;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regulatory developments in the United States and foreign countries;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changes in the structure of healthcare payment systems, especially in light of current reforms to the United States healthcare system;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success or failure of our efforts to acquire, license, or develop additional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innovations or new products developed by us or our competitors;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announcements by us or our competitors of significant acquisitions, strategic partnerships, joint ventures, or capital commitments;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manufacturing, supply, or distribution delays or shortages;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changes to our relationship with FUJIFILM Cellular Dynamics Inc., or FCDI, any manufacturers, suppliers, licensors, future collaborators, or other strategic partners;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92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achievement of expected product sales and profitability;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variations in our financial results or those of companies that are perceived to be similar to us;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market conditions in the biopharmaceutical sector and issuance of securities analysts’ reports or recommendations;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trading volume of our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inability to obtain additional funding;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sales of our stock by insiders and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general economic, industry, and market conditions, or other events or factors, many of which are beyond our control;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additions or departures of key personnel;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intellectual property, product liability, or other litigation against us.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 substantial number of shares may be sold in the market, which may depress the market price for our common stock.</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Sales of a substantial number of shares of our common stock in the public market could occur at any time and could cause the market price of our common stock to decline. A substantial majority of the outstanding shares of our common stock are, and all of the shares sold in this offering upon issuance will be, freely tradable without restriction or further registration under the Securities Act, unless these shares are owned or purchased by “affiliates” as that term is defined in Rule 144 under the Securities Act. In addition, we have also registered shares of common stock that we may issue under our equity incentive plans. As a result, these shares can be freely sold in the public market upon issuance, subject to restrictions under securities 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actual number of shares we will issue under the Sales Agreement, at any one time or in total, is uncertain.</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 shares of common stock during the sales period and limits we set with TD Cowen. Because the price per share of each share sold will fluctuate based on the market price of our common stock during the sales period, it is not possible at this stage to predict the number of shares that will be ultimately issued.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common stock offered hereby will be sold in “at the market offerings,” and investors who buy shares at different times will likely pay different prices.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CNR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CAUTIONARY NOTE REGARDING FORWARD-LOOKING STATEMENTS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supplement, the accompanying prospectus and the documents incorporated by reference herein and therein may contain forward-looking statements within the meaning of Section 27A of the Securities Act and Section 21E of the Exchange Act.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raise additional capital to fund our operations and continue the development of our current and future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921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early preclinical and clinical nature of our business and our ability to successfully advance our current and future product candidates, through development activities, preclinical studies, and clinical trials;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921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3pt;mso-wrap-distance-bottom:0pt;margin-top:2.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generate revenue from future product sales and our ability to achieve and maintain profitability;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accuracy of our projections and estimates regarding our expenses, capital requirements, cash utilization, and need for additional financing;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novelty of our approach to immuno-oncology, autoimmune and inflammatory treatments, utilizing iPSC -derived immune cells and beta islet cells, and the challenges we will face due to the novel nature of such technology;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success of competing therapies that are or may become available;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initiation, progress, success, cost, and timing of our development activities, preclinical studies and clinical trials;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timing of future investigational new drug, or IND, applications and the likelihood of, and our ability to obtain and maintain, regulatory clearance of IND applications for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timing, scope and likelihood of regulatory filings and approvals, including final regulatory approval of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performance of third parties in connection with the development of our product candidates, including third parties conducting our current and future clinical trials as well as third-party suppliers and manufacturers;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attract and retain strategic collaborators with development, regulatory, and commercialization expertise;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public opinion and scrutiny of cell-based immuno-oncology and autoimmune and inflammatory therapies and its potential impact on public perception of our company and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successfully commercialize our product candidates and develop sales and marketing capabilities, if our product candidates are approved;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size and growth of the potential markets for our product candidates and our ability to serve those markets;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regulatory developments and approval pathways in the United States and foreign countries for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potential scope and value of our intellectual property and proprietary rights;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recruit and retain key members of management and other clinical and scientific personnel;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96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volatility of capital markets and other macroeconomic factors, including due to inflationary pressures, banking instability, global health crises, geopolitical tensions or the outbreak of hostilities or war;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developments relating to our competitors and our industry.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2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USE OF PROCEEDS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issue and sell shares of our common stock having aggregate gross sales proceeds of up to $150 million (before deducting sales agent commissions and expenses) from time to time. We have offered and sold shares of our common stock having an aggregate offering price of $18.4 million through the date of this prospectus supplement pursuant to a previous prospectus supplement and accompanying prospectus under the Sales Agreement. Due to these prior sales, as of the date of this prospectus supplement, shares of our common stock having an aggregate offering price of up to $131.6 million remain available for offer and sale under the Sales Agreement pursuant to this prospectus supplement and the accompanying prospectus. Because there is no minimum offering amount required to be sold in connection with this offering, the actual total public offering amount, commissions and proceeds to us, if any, are not determinable at this time. There can be no assurance that we will sell any shares under or fully utilize the Sales Agreement with TD Cowen as a source of financing.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currently intend to use any net proceeds from the sale of shares of common stock under this prospectus supplement primarily to fund research, clinical development, process development and manufacturing of our product candidates, working capital, capital expenditures and other general corporate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These expected uses represent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new collaborations that we may enter into with third parties for our product candidates, and any unforeseen cash needs. As a result, our management will have broad discretion in the application of the net proceeds from this offering, and investors will be relying on the judgment of our management regarding the application of the net proceeds from this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Pending their use, we plan to invest the net proceeds from this offering in short- and medium-term, interest-bearing obligations, investment-grade instruments, certificates of deposit, or direct or guaranteed obligations of the United States government.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DIL"/>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DILUTION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invest in our common stock in this offering, your ownership interest will be diluted immediately to the extent of the difference between the price per share of our common stock you pay in this offering and the as adjusted net tangible book value per share of our common stock after this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net tangible book value as of December 31, 2025 was $124.7 million, or $1.43 per share of our common stock. Net tangible book value per share as of December 31, 2025 is equal to our total tangible assets minus total liabilities, all divided by the number of shares of common stock outstanding as of December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pro forma net tangible book value as of December 31, 2025, after giving effect to our 2026 Private Placement, was $251.4 million, or $1.40 per share of our common stock. Pro forma net tangible book value per share represents our total tangible assets minus total liabilities, divided by the number of shares of our common shares outstanding as of December 31, 2025, after giving effect to our 2026 Private Placement.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After giving effect to the sale of $131.6 million of shares of our common stock in this offering at an assumed offering price of $2.07 per share, the last reported sale price of our common stock on The Nasdaq Capital Market on March 25, 2026, after deducting estimated offering commissions and expenses payable by us and our 2026 Private Placement, our pro forma as adjusted net tangible book value would have been approximately $378.8, or $1.56 per share of common stock, as of December 31, 2025. This represents an immediate increase in pro forma net tangible book value of approximately $0.16 per share to existing stockholders and an immediate dilution of approximately $0.51 per share to investors in this offering. The following table illustrates this calculation on a per share basis.</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6158"/>
        <w:gridCol w:w="109"/>
        <w:gridCol w:w="109"/>
        <w:gridCol w:w="109"/>
        <w:gridCol w:w="226"/>
        <w:gridCol w:w="526"/>
        <w:gridCol w:w="109"/>
        <w:gridCol w:w="109"/>
        <w:gridCol w:w="109"/>
        <w:gridCol w:w="109"/>
        <w:gridCol w:w="226"/>
        <w:gridCol w:w="52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158" w:type="dxa"/>
            <w:tcBorders/>
            <w:shd w:fill="CCEEFF" w:val="clear"/>
            <w:vAlign w:val="center"/>
          </w:tcPr>
          <w:p>
            <w:pPr>
              <w:pStyle w:val="TableContents"/>
              <w:bidi w:val="0"/>
              <w:spacing w:before="0" w:after="0"/>
              <w:jc w:val="left"/>
              <w:rPr>
                <w:spacing w:val="-2"/>
              </w:rPr>
            </w:pPr>
            <w:r>
              <w:rPr>
                <w:spacing w:val="-2"/>
              </w:rPr>
              <w:t xml:space="preserve">Assumed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2.07</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8" w:type="dxa"/>
            <w:tcBorders/>
            <w:vAlign w:val="center"/>
          </w:tcPr>
          <w:p>
            <w:pPr>
              <w:pStyle w:val="TableContents"/>
              <w:bidi w:val="0"/>
              <w:spacing w:before="0" w:after="0"/>
              <w:ind w:left="200" w:right="0" w:hanging="0"/>
              <w:jc w:val="left"/>
              <w:rPr>
                <w:spacing w:val="-2"/>
              </w:rPr>
            </w:pPr>
            <w:r>
              <w:rPr>
                <w:spacing w:val="-2"/>
              </w:rPr>
              <w:t xml:space="preserve">Net tangible book value per share as of December 31, 2025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1.43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58" w:type="dxa"/>
            <w:tcBorders/>
            <w:shd w:fill="CCEEFF" w:val="clear"/>
            <w:vAlign w:val="center"/>
          </w:tcPr>
          <w:p>
            <w:pPr>
              <w:pStyle w:val="TableContents"/>
              <w:bidi w:val="0"/>
              <w:spacing w:before="0" w:after="0"/>
              <w:ind w:left="400" w:right="0" w:hanging="200"/>
              <w:jc w:val="left"/>
              <w:rPr>
                <w:spacing w:val="-2"/>
              </w:rPr>
            </w:pPr>
            <w:r>
              <w:rPr>
                <w:spacing w:val="-2"/>
              </w:rPr>
              <w:t xml:space="preserve">Pro forma net tangible book value per share as of December 31, 2025, after giving effect to the 2026 Private Placement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1.40</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8" w:type="dxa"/>
            <w:tcBorders/>
            <w:vAlign w:val="center"/>
          </w:tcPr>
          <w:p>
            <w:pPr>
              <w:pStyle w:val="TableContents"/>
              <w:bidi w:val="0"/>
              <w:spacing w:before="0" w:after="0"/>
              <w:ind w:left="400" w:right="0" w:hanging="200"/>
              <w:jc w:val="left"/>
              <w:rPr>
                <w:spacing w:val="-2"/>
              </w:rPr>
            </w:pPr>
            <w:r>
              <w:rPr>
                <w:spacing w:val="-2"/>
              </w:rPr>
              <w:t xml:space="preserve">Increase in pro forma net tangible book value per share attributable to new investors purchasing shares in this offering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0.16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58" w:type="dxa"/>
            <w:tcBorders/>
            <w:shd w:fill="CCEEFF" w:val="clear"/>
            <w:vAlign w:val="center"/>
          </w:tcPr>
          <w:p>
            <w:pPr>
              <w:pStyle w:val="TableContents"/>
              <w:bidi w:val="0"/>
              <w:spacing w:before="0" w:after="0"/>
              <w:ind w:left="200" w:right="0" w:hanging="200"/>
              <w:jc w:val="left"/>
              <w:rPr>
                <w:spacing w:val="-2"/>
              </w:rPr>
            </w:pPr>
            <w:r>
              <w:rPr>
                <w:spacing w:val="-2"/>
              </w:rPr>
              <w:t xml:space="preserve">Pro forma as adjusted net tangible book value per share as of December 31, 2025 after giving effect to our 2026 Private Placement and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1.56</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58" w:type="dxa"/>
            <w:tcBorders/>
            <w:vAlign w:val="center"/>
          </w:tcPr>
          <w:p>
            <w:pPr>
              <w:pStyle w:val="TableContents"/>
              <w:bidi w:val="0"/>
              <w:spacing w:before="0" w:after="0"/>
              <w:jc w:val="left"/>
              <w:rPr>
                <w:spacing w:val="-2"/>
              </w:rPr>
            </w:pPr>
            <w:r>
              <w:rPr>
                <w:spacing w:val="-2"/>
              </w:rPr>
              <w:t xml:space="preserve">Dilution per share to investors in this offering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0.51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2"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Assuming the pre-funded warrants issued in the 2026 Private Placement were immediately and fully exercised, this would result in a pro forma net tangible book value per share of $1.23 and a pro forma as adjusted net tangible book value per share of $1.41. This would represent an increase in net tangible book value of $0.18 per share to existing stockholders and dilution in net tangible book value per share of $0.66 to investors participating in this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table above assumes for illustrative purposes that an aggregate of 63,584,415 shares of our common stock are sold at a price of $2.07 per share, the last reported sale price of our common stock on The Nasdaq Capital Market on March 25, 2026, for aggregate gross proceeds of $131.6 million. The shares sold in this offering, if any, will be sold from time to time at various prices. An increase of $1.00 per share in the price at which the shares are sold from the assumed offering price of $2.07 per share shown in the table above, assuming $131.6 million of shares of our common stock is sold at that price, would increase our pro forma adjusted net tangible book value per share after the offering to $1.81 per share and would increase the dilution in net tangible book value per share to new investors in this offering to $1.26 per share, after deducting commissions and estimated aggregate offering expenses payable by us. A decrease of $1.00 per share in the price at which the shares are sold from the assumed offering price of $2.07 per share shown in the table above, assuming $131.6 million of shares of our common stock is sold at that price, would decrease our pro forma adjusted net tangible book value per share after the offering to $1.30 per share and would decrease the dilution in net tangible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52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book value per share to new investors in this offering to $(0.23) per share, after deducting commissions and estimated aggregate offering expenses payable by us. This information is supplied for illustrative purposes only.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and calculations above are based on 87,519,096 shares outstanding as of December 31, 2025 and the pro forma numbers account for the 92,030,595 shares of our common stock issued in our 2026 Private Placement, and exclude the shares of common stock issuable upon exercise of the pre-funded warrants in the 2026 Private Placement, except as otherwise noted. The information above and in the foregoing table excludes: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9,105,976 shares of our common stock issuable upon the exercise of stock options outstanding, at a weighted-average exercise price of $4.30 per share;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5,645,957 shares of our common stock issuable upon the vesting and settlement of restricted stock units outstanding;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32,009 shares of our common stock issuable upon the exercise of a warrant outstanding, with an exercise price of $13.96 per share;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4,175,446 shares of our common stock available for future issuance under our 2021 Equity Incentive Plan;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639,745 shares of our common stock available for future issuance under our 2021 Employee Stock Purchase Plan;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25,360,704 shares of our common stock issuable upon exercise of the Pre-Funded Warrants, at a per-share exercise price of $0.0001, and 58,695,648 shares of our common stock ultimately issuable upon exercise of the Common Warrants, at an exercise price of $2.60 per share of common stock or $2.599 per Pre-Funded Warrant, that were issued in the 2026 Private Placement.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To the extent that outstanding options or warrants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PO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PLAN OF DISTRIBUTION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entered into a Sales Agreement with TD Cowen on July 1, 2022, under which we may offer and sell from time to time up to an aggregate of $150 million of our common stock through TD Cowen as our sales agent or principal. As of the date of this prospectus supplement, we have sold an aggregate of $18.4 million of our common stock pursuant to the Sales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Sales of our common stock under the Sales Agreement will be made at market prices by any method that is deemed to be an “at the market offering” as defined in Rule 415(a)(4) under the Securities Act, including sales made directly on the Nasdaq Capital Market or any other existing trading market for our common stock. If authorized by us in writing, TD Cowen may purchase shares of our common stock as principal.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their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TD Cowen and we each have the right, by giving written notice as specified in the Sales Agreement, to terminate the Sales Agreement in each party’s sole discretion at any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aggregate compensation payable to TD Cowen as sales agent will be equal to 3.0% of the gross proceeds from the sales of the shares sold through them pursuant to the Sales Agreement. We have also agreed to reimburse TD Cowen up to an aggregate of $75,000 of TD Cowen’s actual outside legal expenses incurred by TD Cowen in connection with this offering. We have also agreed to reimburse TD Cowen for its FINRA counsel fee of up to $15,000 and certain ongoing expenses. We estimate that the total expenses of the offering payable by us, excluding commissions payable to TD Cowen under the Sales Agreement, will be approximately $279,000.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TD Cowen will provide written confirmation to us following the close of trading on the Nasdaq Capital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will report at least quarterly the number of shares of common stock sold through TD Cowen under the Sales Agreement and the net proceeds to us in connection with the sales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the sale of the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the sales agent, TD Cowen will not engage in any transactions that stabilize our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20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common stock is listed on the Nasdaq Capital Market and trades under the symbol “IPSC.” The transfer agent of our common stock is Equiniti Trust Company,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TD Cowen and/or its affiliates have provided, and may in the future provide, various investment banking and other financial services for us for which services they have received and, may in the future receive, customary fees.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LEMA"/>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2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LEGAL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validity of the shares of our common stock being offered in this prospectus supplement will be passed upon for us by Goodwin Procter LLP, Philadelphia, Pennsylvania. TD Cowen is being represented in connection with this offering by Covington &amp; Burling LLP, New York,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EX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28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EXPERTS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consolidated financial statements of Century Therapeutics, Inc. appearing in Century Therapeutics, Inc’s Annual Report for the year ended December 31, 2025,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by reference herein in reliance upon the reports of Ernst &amp; Young LLP pertaining to such financial statements (to the extent covered by consents filed with the SEC)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WYCF"/>
      <w:bookmarkEnd w:id="14"/>
      <w:r>
        <w:rPr>
          <w:rFonts w:ascii="calibri;arial;sans-serif" w:hAnsi="calibri;arial;sans-serif"/>
          <w:b w:val="false"/>
          <w:i w:val="false"/>
          <w:caps w:val="false"/>
          <w:smallCaps w:val="false"/>
          <w:color w:val="000000"/>
          <w:sz w:val="16"/>
        </w:rPr>
        <w:t>​</w:t>
      </w:r>
      <w:bookmarkStart w:id="15" w:name="IOCI"/>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WHERE YOU CAN FIND MORE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filed with the SEC a registration statement on Form S-3 under the Securities Act, of which this prospectus supplement and the accompanying prospectus form a part. For further information about us and the securities we are offering under this prospectus supplement, we refer you to the registration statement and the exhibits and schedules filed as a part of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currently subject to the reporting requirements of the Exchange Act, and in accordance therewith file periodic reports, proxy statements and other information with the SEC. Our SEC filings are available to you on the SEC’s website at www.sec.gov and in the “Investors” section of our website at www.centurytx.com. Our website and the information contained on that site, or connected to that site, are not incorporated into and are not a part of this prospectus supplement.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INCORPORATION OF CERTAIN INFORMATION BY REFERENCE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SEC allows us to “incorporate by reference” the information we file with them. This means that we can disclose important information to you by referring you to those documents instead of having to repeat the information in this document. The information incorporated by reference is considered to be part of this prospectus supplement, and later information that we file with the SEC will automatically update and supersede this information. We incorporate by reference the documents listed below and any future filings made with the SEC under Sections 13(a), 13(c), 14 or 15(d) of the Exchange Act (1) after the date of the initial registration statement, as amended, and prior to effectiveness of the registration statement, and (2) after the date of this prospectus supplement and prior to the termination of this offering. Such information will automatically update and supersede the information contained in this prospectus supplement and the documents listed below; provided, however, that we are not, unless specifically indicated, incorporating any information furnished under Item 2.02 or Item 7.01 of any current report on Form 8-K, whether listed below or filed in the future, or related exhibits furnished pursuant to Item 9.01 of Form 8-K: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4" w:after="0"/>
        <w:ind w:left="1793" w:right="0" w:hanging="0"/>
        <w:jc w:val="left"/>
        <w:rPr/>
      </w:pPr>
      <w:hyperlink r:id="rId4">
        <w:r>
          <w:rPr>
            <w:rStyle w:val="InternetLink"/>
            <w:rFonts w:ascii="Arial;Helvetica;sans-serif" w:hAnsi="Arial;Helvetica;sans-serif"/>
            <w:b w:val="false"/>
            <w:i w:val="false"/>
            <w:caps w:val="false"/>
            <w:smallCaps w:val="false"/>
            <w:color w:val="000000"/>
            <w:spacing w:val="-2"/>
            <w:sz w:val="20"/>
          </w:rPr>
          <w:t>Our Annual Report on Form 10-K for the year ended December 31, 2025 filed with the SEC on March 12, 2026;</w:t>
        </w:r>
      </w:hyperlink>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spacing w:val="-2"/>
                              </w:rPr>
                            </w:pPr>
                            <w:r>
                              <w:rPr>
                                <w:spacing w:val="-2"/>
                              </w:rPr>
                              <w:t xml:space="preserve">• </w:t>
                            </w:r>
                            <w:r>
                              <w:rPr>
                                <w:spacing w:val="-2"/>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spacing w:val="-2"/>
                        </w:rPr>
                      </w:pPr>
                      <w:r>
                        <w:rPr>
                          <w:spacing w:val="-2"/>
                        </w:rPr>
                        <w:t xml:space="preserve">• </w:t>
                      </w:r>
                      <w:r>
                        <w:rPr>
                          <w:spacing w:val="-2"/>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pPr>
      <w:r>
        <w:rPr>
          <w:rFonts w:ascii="Arial;Helvetica;sans-serif" w:hAnsi="Arial;Helvetica;sans-serif"/>
          <w:b w:val="false"/>
          <w:i w:val="false"/>
          <w:caps w:val="false"/>
          <w:smallCaps w:val="false"/>
          <w:color w:val="000000"/>
          <w:spacing w:val="-2"/>
          <w:sz w:val="20"/>
        </w:rPr>
        <w:t xml:space="preserve">The information specifically incorporated by reference into our </w:t>
      </w:r>
      <w:hyperlink r:id="rId5">
        <w:r>
          <w:rPr>
            <w:rStyle w:val="InternetLink"/>
          </w:rPr>
          <w:t>Annual Report on Form 10-K for the year ended December 31, 2024</w:t>
        </w:r>
      </w:hyperlink>
      <w:r>
        <w:rPr>
          <w:rFonts w:ascii="Arial;Helvetica;sans-serif" w:hAnsi="Arial;Helvetica;sans-serif"/>
          <w:b w:val="false"/>
          <w:i w:val="false"/>
          <w:caps w:val="false"/>
          <w:smallCaps w:val="false"/>
          <w:color w:val="000000"/>
          <w:spacing w:val="-2"/>
          <w:sz w:val="20"/>
        </w:rPr>
        <w:t xml:space="preserve"> from our </w:t>
      </w:r>
      <w:hyperlink r:id="rId6">
        <w:r>
          <w:rPr>
            <w:rStyle w:val="InternetLink"/>
          </w:rPr>
          <w:t>Definitive Proxy Statement on Form DEF 14-A, filed on April 22, 2025</w:t>
        </w:r>
      </w:hyperlink>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pPr>
      <w:r>
        <w:rPr>
          <w:rFonts w:ascii="Arial;Helvetica;sans-serif" w:hAnsi="Arial;Helvetica;sans-serif"/>
          <w:b w:val="false"/>
          <w:i w:val="false"/>
          <w:caps w:val="false"/>
          <w:smallCaps w:val="false"/>
          <w:color w:val="000000"/>
          <w:spacing w:val="-2"/>
          <w:sz w:val="20"/>
        </w:rPr>
        <w:t xml:space="preserve">Our Current Reports on Form 8-K filed with the SEC on </w:t>
      </w:r>
      <w:hyperlink r:id="rId7">
        <w:r>
          <w:rPr>
            <w:rStyle w:val="InternetLink"/>
          </w:rPr>
          <w:t>January 8, 2026</w:t>
        </w:r>
      </w:hyperlink>
      <w:r>
        <w:rPr>
          <w:rFonts w:ascii="Arial;Helvetica;sans-serif" w:hAnsi="Arial;Helvetica;sans-serif"/>
          <w:b w:val="false"/>
          <w:i w:val="false"/>
          <w:caps w:val="false"/>
          <w:smallCaps w:val="false"/>
          <w:color w:val="000000"/>
          <w:spacing w:val="-2"/>
          <w:sz w:val="20"/>
        </w:rPr>
        <w:t xml:space="preserve"> and </w:t>
      </w:r>
      <w:hyperlink r:id="rId8">
        <w:r>
          <w:rPr>
            <w:rStyle w:val="InternetLink"/>
          </w:rPr>
          <w:t>January 23, 2026</w:t>
        </w:r>
      </w:hyperlink>
      <w:r>
        <w:rPr>
          <w:rFonts w:ascii="Arial;Helvetica;sans-serif" w:hAnsi="Arial;Helvetica;sans-serif"/>
          <w:b w:val="false"/>
          <w:i w:val="false"/>
          <w:caps w:val="false"/>
          <w:smallCaps w:val="false"/>
          <w:color w:val="000000"/>
          <w:spacing w:val="-2"/>
          <w:sz w:val="20"/>
        </w:rPr>
        <w:t xml:space="preserve"> (in each case other than any portions thereof deemed furnished and not filed);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pPr>
      <w:r>
        <w:rPr>
          <w:rFonts w:ascii="Arial;Helvetica;sans-serif" w:hAnsi="Arial;Helvetica;sans-serif"/>
          <w:b w:val="false"/>
          <w:i w:val="false"/>
          <w:caps w:val="false"/>
          <w:smallCaps w:val="false"/>
          <w:color w:val="000000"/>
          <w:spacing w:val="-2"/>
          <w:sz w:val="20"/>
        </w:rPr>
        <w:t xml:space="preserve">The description of our common stock contained in our registration statement on </w:t>
      </w:r>
      <w:hyperlink r:id="rId9">
        <w:r>
          <w:rPr>
            <w:rStyle w:val="InternetLink"/>
          </w:rPr>
          <w:t>Form 8-A (File No. 001- 40498) filed with the SEC on June 14, 2021</w:t>
        </w:r>
      </w:hyperlink>
      <w:r>
        <w:rPr>
          <w:rFonts w:ascii="Arial;Helvetica;sans-serif" w:hAnsi="Arial;Helvetica;sans-serif"/>
          <w:b w:val="false"/>
          <w:i w:val="false"/>
          <w:caps w:val="false"/>
          <w:smallCaps w:val="false"/>
          <w:color w:val="000000"/>
          <w:spacing w:val="-2"/>
          <w:sz w:val="20"/>
        </w:rPr>
        <w:t>, under the Exchange Act, including any amendment or report filed for the purpose of updating such description.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statement contained in a document incorporated by reference into this prospectus supplement and the accompanying prospectus shall be deemed to be modified or superseded for purposes of this prospectus supplement and the accompanying prospectus to the extent that a statement contained in this prospectus supplement, the accompanying prospectus, or in any other subsequently filed document which is also incorporated in this prospectus supplement and the accompanying prospectus modifies or replaces such statement. Any statements so modified or superseded shall not be deemed, except as so modified or superseded, to constitute a part of this prospectus supplement and the accompanying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You may obtain copies of any of these filings by contacting us at the address and telephone number indicated below. Documents incorporated by reference are available from us without charge, excluding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08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exhibits unless an exhibit has been specifically incorporated by reference into this prospectus supplement, by requesting them in writing or by telephone 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Century Therapeutics, Inc.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2"/>
          <w:sz w:val="20"/>
        </w:rPr>
        <w:t xml:space="preserve">25 North 38th Street, 11th Floor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2"/>
          <w:sz w:val="20"/>
        </w:rPr>
        <w:t xml:space="preserve">Philadelphia, Pennsylvania 19104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2"/>
          <w:sz w:val="20"/>
        </w:rPr>
        <w:t>(267) 817-5790</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Attention: Corporate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Exhibits to the filings will not be sent, however, unless those exhibits have specifically been incorporated by reference in this prospectus supplement or the accompanying prospectus.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S-19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320" w:before="557" w:after="437"/>
        <w:ind w:left="1393" w:right="0" w:hanging="0"/>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$200,000,000</w:t>
      </w:r>
      <w:r>
        <w:rPr>
          <w:rFonts w:ascii="Arial;Helvetica;sans-serif" w:hAnsi="Arial;Helvetica;sans-serif"/>
          <w:b/>
          <w:i w:val="false"/>
          <w:caps w:val="false"/>
          <w:smallCaps w:val="false"/>
          <w:color w:val="000000"/>
          <w:spacing w:val="6"/>
          <w:sz w:val="28"/>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3076575" cy="828675"/>
            <wp:effectExtent l="0" t="0" r="0" b="0"/>
            <wp:docPr id="6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 descr=""/>
                    <pic:cNvPicPr>
                      <a:picLocks noChangeAspect="1" noChangeArrowheads="1"/>
                    </pic:cNvPicPr>
                  </pic:nvPicPr>
                  <pic:blipFill>
                    <a:blip r:embed="rId10"/>
                    <a:stretch>
                      <a:fillRect/>
                    </a:stretch>
                  </pic:blipFill>
                  <pic:spPr bwMode="auto">
                    <a:xfrm>
                      <a:off x="0" y="0"/>
                      <a:ext cx="3076575" cy="8286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20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1"/>
          <w:sz w:val="28"/>
        </w:rPr>
        <w:t xml:space="preserve">Common Stock </w:t>
      </w:r>
      <w:r>
        <w:rPr>
          <w:rFonts w:ascii="Arial;Helvetica;sans-serif" w:hAnsi="Arial;Helvetica;sans-serif"/>
          <w:b/>
          <w:i w:val="false"/>
          <w:caps w:val="false"/>
          <w:smallCaps w:val="false"/>
          <w:color w:val="000000"/>
          <w:sz w:val="28"/>
        </w:rPr>
        <w:br/>
      </w:r>
      <w:r>
        <w:rPr>
          <w:rFonts w:ascii="Arial;Helvetica;sans-serif" w:hAnsi="Arial;Helvetica;sans-serif"/>
          <w:b/>
          <w:i w:val="false"/>
          <w:caps w:val="false"/>
          <w:smallCaps w:val="false"/>
          <w:color w:val="000000"/>
          <w:spacing w:val="-1"/>
          <w:sz w:val="28"/>
        </w:rPr>
        <w:t xml:space="preserve">Preferred Stock </w:t>
      </w:r>
      <w:r>
        <w:rPr>
          <w:rFonts w:ascii="Arial;Helvetica;sans-serif" w:hAnsi="Arial;Helvetica;sans-serif"/>
          <w:b/>
          <w:i w:val="false"/>
          <w:caps w:val="false"/>
          <w:smallCaps w:val="false"/>
          <w:color w:val="000000"/>
          <w:sz w:val="28"/>
        </w:rPr>
        <w:br/>
      </w:r>
      <w:r>
        <w:rPr>
          <w:rFonts w:ascii="Arial;Helvetica;sans-serif" w:hAnsi="Arial;Helvetica;sans-serif"/>
          <w:b/>
          <w:i w:val="false"/>
          <w:caps w:val="false"/>
          <w:smallCaps w:val="false"/>
          <w:color w:val="000000"/>
          <w:spacing w:val="-1"/>
          <w:sz w:val="28"/>
        </w:rPr>
        <w:t xml:space="preserve">Debt Securities </w:t>
      </w:r>
      <w:r>
        <w:rPr>
          <w:rFonts w:ascii="Arial;Helvetica;sans-serif" w:hAnsi="Arial;Helvetica;sans-serif"/>
          <w:b/>
          <w:i w:val="false"/>
          <w:caps w:val="false"/>
          <w:smallCaps w:val="false"/>
          <w:color w:val="000000"/>
          <w:sz w:val="28"/>
        </w:rPr>
        <w:br/>
      </w:r>
      <w:r>
        <w:rPr>
          <w:rFonts w:ascii="Arial;Helvetica;sans-serif" w:hAnsi="Arial;Helvetica;sans-serif"/>
          <w:b/>
          <w:i w:val="false"/>
          <w:caps w:val="false"/>
          <w:smallCaps w:val="false"/>
          <w:color w:val="000000"/>
          <w:spacing w:val="-1"/>
          <w:sz w:val="28"/>
        </w:rPr>
        <w:t xml:space="preserve">Warrants </w:t>
      </w:r>
      <w:r>
        <w:rPr>
          <w:rFonts w:ascii="Arial;Helvetica;sans-serif" w:hAnsi="Arial;Helvetica;sans-serif"/>
          <w:b/>
          <w:i w:val="false"/>
          <w:caps w:val="false"/>
          <w:smallCaps w:val="false"/>
          <w:color w:val="000000"/>
          <w:sz w:val="28"/>
        </w:rPr>
        <w:br/>
      </w:r>
      <w:r>
        <w:rPr>
          <w:rFonts w:ascii="Arial;Helvetica;sans-serif" w:hAnsi="Arial;Helvetica;sans-serif"/>
          <w:b/>
          <w:i w:val="false"/>
          <w:caps w:val="false"/>
          <w:smallCaps w:val="false"/>
          <w:color w:val="000000"/>
          <w:spacing w:val="-1"/>
          <w:sz w:val="28"/>
        </w:rPr>
        <w:t xml:space="preserve">Units </w:t>
      </w:r>
      <w:r>
        <w:rPr>
          <w:rFonts w:ascii="Arial;Helvetica;sans-serif" w:hAnsi="Arial;Helvetica;sans-serif"/>
          <w:b/>
          <w:i w:val="false"/>
          <w:caps w:val="false"/>
          <w:smallCaps w:val="false"/>
          <w:color w:val="000000"/>
          <w:sz w:val="28"/>
        </w:rPr>
        <w:br/>
      </w:r>
      <w:r>
        <w:rPr>
          <w:rFonts w:ascii="Arial;Helvetica;sans-serif" w:hAnsi="Arial;Helvetica;sans-serif"/>
          <w:b/>
          <w:i w:val="false"/>
          <w:caps w:val="false"/>
          <w:smallCaps w:val="false"/>
          <w:color w:val="000000"/>
          <w:spacing w:val="-1"/>
          <w:sz w:val="28"/>
        </w:rPr>
        <w:t>Subscription Rights</w:t>
      </w:r>
      <w:r>
        <w:rPr>
          <w:rFonts w:ascii="Arial;Helvetica;sans-serif" w:hAnsi="Arial;Helvetica;san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22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offer and sell up to $200,000,000 in the aggregate of the securities identified above from time to time in one or more offerings, separately or together in any combination, in one or more classes or series, in amounts, at prices and on terms to be determined at the time of any such offering. This prospectus provides you with a general description of the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common stock is listed on the Nasdaq Global Select Market, or Nasdaq, under the symbol “IPSC.” On July 9, 2025, the last reported sale price of our common stock on Nasdaq was $0.626 per share. The applicable prospectus supplement will contain information, where applicable, as to any other listing on The Nasdaq Global Select Market or any securities market or other exchange of the securities, if any, covered by the prospectus supplement.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22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We are an emerging growth company and a smaller reporting company as defined under federal securities laws and, as such, may elect to comply with certain reduced public company reporting requirements for future filings. See “Prospectus Summary-Implications of Being an Emerging Growth Company and Smaller Reporting Company.”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INVESTING IN OUR SECURITIES INVOLVES RISKS. SEE THE “RISK FACTORS” ON PAGE OF THIS PROSPECTUS AND ANY SIMILAR SECTION CONTAINED IN THE APPLICABLE PROSPECTUS SUPPLEMENT OR IN ANY DOCUMENTS INCORPORATED BY REFERENCE HEREIN AND THEREIN CONCERNING FACTORS YOU SHOULD CONSIDER BEFORE INVESTING IN OUR SECURITIES.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6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Arial;Helvetica;sans-serif" w:hAnsi="Arial;Helvetica;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The date of this prospectus is January 9, 2026.</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TABLE OF CONTENTS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0"/>
        <w:gridCol w:w="109"/>
        <w:gridCol w:w="109"/>
        <w:gridCol w:w="109"/>
        <w:gridCol w:w="109"/>
        <w:gridCol w:w="39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bATP">
              <w:r>
                <w:rPr>
                  <w:rStyle w:val="InternetLink"/>
                  <w:spacing w:val="-2"/>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bATP">
              <w:r>
                <w:rPr>
                  <w:rStyle w:val="InternetLink"/>
                  <w:spacing w:val="-2"/>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bWYCF">
              <w:r>
                <w:rPr>
                  <w:rStyle w:val="InternetLink"/>
                  <w:spacing w:val="-2"/>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bWYCF">
              <w:r>
                <w:rPr>
                  <w:rStyle w:val="InternetLink"/>
                  <w:spacing w:val="-2"/>
                </w:rPr>
                <w:t>2</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bIOCI">
              <w:r>
                <w:rPr>
                  <w:rStyle w:val="InternetLink"/>
                  <w:spacing w:val="-2"/>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bIOCI">
              <w:r>
                <w:rPr>
                  <w:rStyle w:val="InternetLink"/>
                  <w:spacing w:val="-2"/>
                </w:rPr>
                <w:t>2</w:t>
              </w:r>
            </w:hyperlink>
            <w:hyperlink w:anchor="b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bCNRF">
              <w:r>
                <w:rPr>
                  <w:rStyle w:val="InternetLink"/>
                  <w:spacing w:val="-2"/>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bCNRF">
              <w:r>
                <w:rPr>
                  <w:rStyle w:val="InternetLink"/>
                  <w:spacing w:val="-2"/>
                </w:rPr>
                <w:t>4</w:t>
              </w:r>
            </w:hyperlink>
            <w:hyperlink w:anchor="b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bATC">
              <w:r>
                <w:rPr>
                  <w:rStyle w:val="InternetLink"/>
                  <w:spacing w:val="-2"/>
                </w:rPr>
                <w:t xml:space="preserve">ABOUT THE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bATC">
              <w:r>
                <w:rPr>
                  <w:rStyle w:val="InternetLink"/>
                  <w:spacing w:val="-2"/>
                </w:rPr>
                <w:t>6</w:t>
              </w:r>
            </w:hyperlink>
            <w:hyperlink w:anchor="bA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bRIFA">
              <w:r>
                <w:rPr>
                  <w:rStyle w:val="InternetLink"/>
                  <w:spacing w:val="-2"/>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bRIFA">
              <w:r>
                <w:rPr>
                  <w:rStyle w:val="InternetLink"/>
                  <w:spacing w:val="-2"/>
                </w:rPr>
                <w:t>8</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bUOP">
              <w:r>
                <w:rPr>
                  <w:rStyle w:val="InternetLink"/>
                  <w:spacing w:val="-2"/>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bUOP">
              <w:r>
                <w:rPr>
                  <w:rStyle w:val="InternetLink"/>
                  <w:spacing w:val="-2"/>
                </w:rPr>
                <w:t>9</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bSTMB">
              <w:r>
                <w:rPr>
                  <w:rStyle w:val="InternetLink"/>
                  <w:spacing w:val="-2"/>
                </w:rPr>
                <w:t xml:space="preserve">SECURITIES THAT MAY BE OFFERED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bSTMB">
              <w:r>
                <w:rPr>
                  <w:rStyle w:val="InternetLink"/>
                  <w:spacing w:val="-2"/>
                </w:rPr>
                <w:t>10</w:t>
              </w:r>
            </w:hyperlink>
            <w:hyperlink w:anchor="bSTM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bDOCS">
              <w:r>
                <w:rPr>
                  <w:rStyle w:val="InternetLink"/>
                  <w:spacing w:val="-2"/>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bDOCS">
              <w:r>
                <w:rPr>
                  <w:rStyle w:val="InternetLink"/>
                  <w:spacing w:val="-2"/>
                </w:rPr>
                <w:t>11</w:t>
              </w:r>
            </w:hyperlink>
            <w:hyperlink w:anchor="b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bDODS">
              <w:r>
                <w:rPr>
                  <w:rStyle w:val="InternetLink"/>
                  <w:spacing w:val="-2"/>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bDODS">
              <w:r>
                <w:rPr>
                  <w:rStyle w:val="InternetLink"/>
                  <w:spacing w:val="-2"/>
                </w:rPr>
                <w:t>14</w:t>
              </w:r>
            </w:hyperlink>
            <w:hyperlink w:anchor="b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bDOW">
              <w:r>
                <w:rPr>
                  <w:rStyle w:val="InternetLink"/>
                  <w:spacing w:val="-2"/>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bDOW">
              <w:r>
                <w:rPr>
                  <w:rStyle w:val="InternetLink"/>
                  <w:spacing w:val="-2"/>
                </w:rPr>
                <w:t>21</w:t>
              </w:r>
            </w:hyperlink>
            <w:hyperlink w:anchor="b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bDOU">
              <w:r>
                <w:rPr>
                  <w:rStyle w:val="InternetLink"/>
                  <w:spacing w:val="-2"/>
                </w:rPr>
                <w:t xml:space="preserve">DESCRIPTION OF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bDOU">
              <w:r>
                <w:rPr>
                  <w:rStyle w:val="InternetLink"/>
                  <w:spacing w:val="-2"/>
                </w:rPr>
                <w:t>23</w:t>
              </w:r>
            </w:hyperlink>
            <w:hyperlink w:anchor="bD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bDOOS">
              <w:r>
                <w:rPr>
                  <w:rStyle w:val="InternetLink"/>
                  <w:spacing w:val="-2"/>
                </w:rPr>
                <w:t xml:space="preserve">DESCRIPTION OF OUR SUBSCRIPTION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bDOOS">
              <w:r>
                <w:rPr>
                  <w:rStyle w:val="InternetLink"/>
                  <w:spacing w:val="-2"/>
                </w:rPr>
                <w:t>24</w:t>
              </w:r>
            </w:hyperlink>
            <w:hyperlink w:anchor="bDOO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bGLSE">
              <w:r>
                <w:rPr>
                  <w:rStyle w:val="InternetLink"/>
                  <w:spacing w:val="-2"/>
                </w:rPr>
                <w:t xml:space="preserve">GLOBAL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bGLSE">
              <w:r>
                <w:rPr>
                  <w:rStyle w:val="InternetLink"/>
                  <w:spacing w:val="-2"/>
                </w:rPr>
                <w:t>25</w:t>
              </w:r>
            </w:hyperlink>
            <w:hyperlink w:anchor="bGL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bPOD">
              <w:r>
                <w:rPr>
                  <w:rStyle w:val="InternetLink"/>
                  <w:spacing w:val="-2"/>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bPOD">
              <w:r>
                <w:rPr>
                  <w:rStyle w:val="InternetLink"/>
                  <w:spacing w:val="-2"/>
                </w:rPr>
                <w:t>29</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bLEMA">
              <w:r>
                <w:rPr>
                  <w:rStyle w:val="InternetLink"/>
                  <w:spacing w:val="-2"/>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bLEMA">
              <w:r>
                <w:rPr>
                  <w:rStyle w:val="InternetLink"/>
                  <w:spacing w:val="-2"/>
                </w:rPr>
                <w:t>32</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bEXP">
              <w:r>
                <w:rPr>
                  <w:rStyle w:val="InternetLink"/>
                  <w:spacing w:val="-2"/>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bEXP">
              <w:r>
                <w:rPr>
                  <w:rStyle w:val="InternetLink"/>
                  <w:spacing w:val="-2"/>
                </w:rPr>
                <w:t>33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bAT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20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ABOUT THIS PROSPECTUS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is part of a registration statement that we filed with the U.S. Securities and Exchange Commission, or the SEC, using a “shelf” registration process. By using a shelf registration statement, we may sell securities from time to time in any combination and in one or more offerings up to a total dollar amount of $200,000,000 as described in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any applicable prospectus supplement is accurate only as of the date on its respective cover, that the information appearing in any applicable free writing prospectus is accurate only as of the date of that free writing prospectus, and that any information incorporated by reference herein and therein is accurate only as of the date of the document incorporated by reference, unless we indicate otherwise. Our business, financial condition, results of operations and prospects may have changed since those dates.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When we refer to “Century,” “we,” “our,” “us” and the “Company” in this prospectus, we mean Century Therapeutics, Inc., and its wholly owned subsidiary unless otherwise specified. When we refer to “you,” we mean the potential holders of the applicable series of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spacing w:val="-2"/>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 xml:space="preserve">Century Therapeutics” the “Century Therapeutics” logo, and other trademarks, trade names, or service marks of Century Therapeutics, Inc. appearing in this prospectus, any prospectus supplement and any free writing prospectus are the property of Century Therapeutics, Inc. All other trademarks, trade names, and service marks appearing in this prospectus, any prospectus supplement and any free writing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WYCF"/>
      <w:bookmarkEnd w:id="18"/>
      <w:r>
        <w:rPr>
          <w:rFonts w:ascii="calibri;arial;sans-serif" w:hAnsi="calibri;arial;sans-serif"/>
          <w:b w:val="false"/>
          <w:i w:val="false"/>
          <w:caps w:val="false"/>
          <w:smallCaps w:val="false"/>
          <w:color w:val="000000"/>
          <w:sz w:val="16"/>
        </w:rPr>
        <w:t>​</w:t>
      </w:r>
      <w:bookmarkStart w:id="19" w:name="bIOCI"/>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WHERE YOU CAN FIND MORE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www.centurytx.com. Our website and the information contained on that site, or connected to that site, are not incorporated into and are not a part of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INCORPORATION OF CERTAIN INFORMATION BY REFERENCE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58" w:after="0"/>
        <w:ind w:left="1793" w:right="0" w:hanging="0"/>
        <w:jc w:val="left"/>
        <w:rPr/>
      </w:pPr>
      <w:hyperlink r:id="rId11">
        <w:r>
          <w:rPr>
            <w:rStyle w:val="InternetLink"/>
          </w:rPr>
          <w:t>Our Annual Report on Form 10-K for the year ended December 31, 2024 filed with the SEC on March 19, 2025</w:t>
        </w:r>
      </w:hyperlink>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683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9pt;mso-wrap-distance-bottom:0pt;margin-top:2.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pPr>
      <w:hyperlink r:id="rId12">
        <w:r>
          <w:rPr>
            <w:rStyle w:val="InternetLink"/>
          </w:rPr>
          <w:t>Our Quarterly Report on Form 10-Q for the quarter ended March 31, 2025, filed with the SEC on May 15, 2025</w:t>
        </w:r>
      </w:hyperlink>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pPr>
      <w:r>
        <w:rPr>
          <w:rFonts w:ascii="Arial;Helvetica;sans-serif" w:hAnsi="Arial;Helvetica;sans-serif"/>
          <w:b w:val="false"/>
          <w:i w:val="false"/>
          <w:caps w:val="false"/>
          <w:smallCaps w:val="false"/>
          <w:color w:val="000000"/>
          <w:spacing w:val="-2"/>
          <w:sz w:val="20"/>
        </w:rPr>
        <w:t xml:space="preserve">The information specifically incorporated by reference into our </w:t>
      </w:r>
      <w:hyperlink r:id="rId13">
        <w:r>
          <w:rPr>
            <w:rStyle w:val="InternetLink"/>
          </w:rPr>
          <w:t>Annual Report on Form 10-K for the year ended December 31, 2024</w:t>
        </w:r>
      </w:hyperlink>
      <w:r>
        <w:rPr>
          <w:rFonts w:ascii="Arial;Helvetica;sans-serif" w:hAnsi="Arial;Helvetica;sans-serif"/>
          <w:b w:val="false"/>
          <w:i w:val="false"/>
          <w:caps w:val="false"/>
          <w:smallCaps w:val="false"/>
          <w:color w:val="000000"/>
          <w:spacing w:val="-2"/>
          <w:sz w:val="20"/>
        </w:rPr>
        <w:t xml:space="preserve"> from our </w:t>
      </w:r>
      <w:hyperlink r:id="rId14">
        <w:r>
          <w:rPr>
            <w:rStyle w:val="InternetLink"/>
          </w:rPr>
          <w:t>Definitive Proxy Statement on Form DEF 14-A, filed on April 22, 2025</w:t>
        </w:r>
      </w:hyperlink>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pPr>
      <w:r>
        <w:rPr>
          <w:rFonts w:ascii="Arial;Helvetica;sans-serif" w:hAnsi="Arial;Helvetica;sans-serif"/>
          <w:b w:val="false"/>
          <w:i w:val="false"/>
          <w:caps w:val="false"/>
          <w:smallCaps w:val="false"/>
          <w:color w:val="000000"/>
          <w:spacing w:val="-2"/>
          <w:sz w:val="20"/>
        </w:rPr>
        <w:t xml:space="preserve">Our Current Reports on Form 8-K filed with the SEC on </w:t>
      </w:r>
      <w:hyperlink r:id="rId15">
        <w:r>
          <w:rPr>
            <w:rStyle w:val="InternetLink"/>
          </w:rPr>
          <w:t>February 28, 2025</w:t>
        </w:r>
      </w:hyperlink>
      <w:r>
        <w:rPr>
          <w:rFonts w:ascii="Arial;Helvetica;sans-serif" w:hAnsi="Arial;Helvetica;sans-serif"/>
          <w:b w:val="false"/>
          <w:i w:val="false"/>
          <w:caps w:val="false"/>
          <w:smallCaps w:val="false"/>
          <w:color w:val="000000"/>
          <w:spacing w:val="-2"/>
          <w:sz w:val="20"/>
        </w:rPr>
        <w:t xml:space="preserve">, </w:t>
      </w:r>
      <w:hyperlink r:id="rId16">
        <w:r>
          <w:rPr>
            <w:rStyle w:val="InternetLink"/>
          </w:rPr>
          <w:t>June 16, 2025</w:t>
        </w:r>
      </w:hyperlink>
      <w:r>
        <w:rPr>
          <w:rFonts w:ascii="Arial;Helvetica;sans-serif" w:hAnsi="Arial;Helvetica;sans-serif"/>
          <w:b w:val="false"/>
          <w:i w:val="false"/>
          <w:caps w:val="false"/>
          <w:smallCaps w:val="false"/>
          <w:color w:val="000000"/>
          <w:spacing w:val="-2"/>
          <w:sz w:val="20"/>
        </w:rPr>
        <w:t xml:space="preserve"> and </w:t>
      </w:r>
      <w:hyperlink r:id="rId17">
        <w:r>
          <w:rPr>
            <w:rStyle w:val="InternetLink"/>
          </w:rPr>
          <w:t>July 7, 2025</w:t>
        </w:r>
      </w:hyperlink>
      <w:r>
        <w:rPr>
          <w:rFonts w:ascii="Arial;Helvetica;sans-serif" w:hAnsi="Arial;Helvetica;sans-serif"/>
          <w:b w:val="false"/>
          <w:i w:val="false"/>
          <w:caps w:val="false"/>
          <w:smallCaps w:val="false"/>
          <w:color w:val="000000"/>
          <w:spacing w:val="-2"/>
          <w:sz w:val="20"/>
        </w:rPr>
        <w:t xml:space="preserve"> (in each case other than any portions thereof deemed furnished and not filed);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pPr>
      <w:r>
        <w:rPr>
          <w:rFonts w:ascii="Arial;Helvetica;sans-serif" w:hAnsi="Arial;Helvetica;sans-serif"/>
          <w:b w:val="false"/>
          <w:i w:val="false"/>
          <w:caps w:val="false"/>
          <w:smallCaps w:val="false"/>
          <w:color w:val="000000"/>
          <w:spacing w:val="-2"/>
          <w:sz w:val="20"/>
        </w:rPr>
        <w:t xml:space="preserve">The description of our common stock contained in our registration statement on </w:t>
      </w:r>
      <w:hyperlink r:id="rId18">
        <w:r>
          <w:rPr>
            <w:rStyle w:val="InternetLink"/>
          </w:rPr>
          <w:t>Form 8-A (File No. 001- 40498) filed with the SEC on June 14, 2021</w:t>
        </w:r>
      </w:hyperlink>
      <w:r>
        <w:rPr>
          <w:rFonts w:ascii="Arial;Helvetica;sans-serif" w:hAnsi="Arial;Helvetica;sans-serif"/>
          <w:b w:val="false"/>
          <w:i w:val="false"/>
          <w:caps w:val="false"/>
          <w:smallCaps w:val="false"/>
          <w:color w:val="000000"/>
          <w:spacing w:val="-2"/>
          <w:sz w:val="20"/>
        </w:rPr>
        <w:t>, under the Exchange Act, including any amendment or report filed for the purpose of updating such description.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600"/>
        <w:ind w:left="13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will furnish without charge to you, on written or oral request, a copy of any or all of the documents incorporated by reference in this prospectus, including exhibits to these documents. You should direct any requests for documents to Century Therapeutics, Inc., Attn: Corporate Secretary, 25 North 38th Street, 11th Floor, Philadelphia, Pennsylvania 19104.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CNR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CAUTIONARY NOTE REGARDING FORWARD-LOOKING STATEMENTS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“anticipate,” “believe,” “estimate,” “expect,” “intend,” “may,” “plan,” “predict,” “project,” “will,” “would,” “could,” “should,” “potential,” “seek,” “evaluate,” “pursue,” “continue,” “design,” “impact,” “affect,” “forecast,” “target,” “outlook,” “initiative,” “objective,” “designed,” “priorities,” “goal,” or the negative thereof or comparable terminology. Forward-looking statements include, but are not limited to, statements concerning: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raise additional capital to fund our operations and continue the development of our current and future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early clinical nature of our business and our ability to successfully advance our current and future product candidates through development activities, preclinical studies, and clinical trials;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generate revenue from future product sales and our ability to achieve and maintain profitability;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accuracy of our projections and estimates regarding our expenses, capital requirements, cash utilization, and need for additional financing;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dependence on the success of our lead product candidate, CNTY-101, and our ability to progress CNTY-101 through clinical development;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novelty of our approach to immuno-oncology and autoimmune and inflammatory treatments, utilizing iPSC-derived natural killer cells, or iNK cells, and iPSC-derived T cells, or iT cells, and the challenges we will face due to the novel nature of such technology;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success of competing therapies that are or may become available;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reliance on the maintenance of our collaborative relationship with FUJIFILM Cellular Dynamics Inc., or FCDI, for access to key differentiation and reprogramming technology for the manufacturing and development of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initiation, progress, success, cost, and timing of our development activities, preclinical studies and clinical trials;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timing of future investigational new drug, or IND, applications and the likelihood of, and our ability to obtain and maintain, regulatory clearance of IND applications for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timing, scope and likelihood of regulatory filings and approvals, including final regulatory approval of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performance of third parties in connection with the development of our product candidates, including third parties conducting our current and future clinical trials as well as third-party suppliers and manufacturers;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attract and retain strategic collaborators with development, regulatory, and commercialization expertise;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public opinion and scrutiny of cell-based immuno-oncology and autoimmune and inflammatory therapies and its potential impact on public perception of our company and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successfully commercialize our product candidates and develop sales and marketing capabilities, if our product candidates are approved;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size and growth of the potential markets for our product candidates and our ability to serve those markets;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regulatory developments and approval pathways in the United States and foreign countries for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potential scope and value of our intellectual property and proprietary rights;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ability, and the ability of our licensors, to obtain, maintain, defend, and enforce intellectual property and proprietary rights protecting our product candidates, and our ability to develop and </w:t>
      </w:r>
      <w:r>
        <mc:AlternateContent>
          <mc:Choice Requires="wps">
            <w:drawing>
              <wp:anchor behindDoc="0" distT="2667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88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commercialize our product candidates without infringing, misappropriating, or otherwise violating the intellectual property or proprietary rights of third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recruit and retain key members of management and other clinical and scientific personnel;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volatility of capital markets and other macroeconomic factors, including due to inflationary pressures, trade disputes and tariffs, banking instability, global health crises, geopolitical tensions or the outbreak of hostilities or war;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developments relating to our competitors and our industry;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risks and uncertainties, including those described under the caption “Risk factors” in our Annual Report on Form 10-K for the year ended December 31, 2024, as such risk factors may be amended, supplemented or superseded from time to time by our subsequent periodic reports we file with the SEC.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this prospectus, any applicable prospectus supplement and the documents we incorporate by reference herein and therein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You should read this prospectus, any applicable prospectus supplement and the documents incorporated by reference herein and therein completely and with the understanding that our actual future results may be materially different from what we expect. We qualify all of the forward-looking statements in this prospectus by these cautionary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ATC"/>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ABOUT THE COMPANY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Overview</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a clinical-stage biotechnology company harnessing the power of allogeneic pluripotent stem cell therapies to develop potentially curative cell therapy products for autoimmune diseases and cancer. Our natural killer, or NK, and T cell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Industry-leading iPSCs and differentiation know-how to generate immune effector cells from iPSCs, or iPSC-derived cells;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Clustered regularly interspaced short palindromic repeats, or CRISPR, mediated precision gene editing that allows us to incorporate multiple transgenes and disrupt target genes intended to optimize cell product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Sophisticated protein engineering capabilities to develop proprietary next generation chimeric antigen receptors, or CARs;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proprietary Allo-Evasion™ technology intended to prevent rejection of our cell products by the host immune system, enabling the potential for persistence and re-dosing of therapy;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Cutting-edge manufacturing capabilities intended to drive scale advantages and reduce cost of goods sold, or COGs, while minimizing product development and supply risk.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immune effector cell types we can generate from iPSCs, including iPSC-derived natural killer cells, or iNK cells, iPSC-derived gd T cells, or gd iT cells, and iPSC-derived CD4+ and CD8+ ab T cells, or ab iT cells. We believe this capability enables optimal matching of cell characteristics to indication, ensuring we target the right cell for the right indication. Further, we have developed a feeder-free, scalable process that recapitulates normal T cell development in a dish, allowing for what we believe to be the industry-first presentation of iPSC-derived CD4+ and CD8+ CAR-T cells that demonstrate ab-like T cell function.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lead product candidate, CNTY-101, is a CAR-iNK cell therapy with six precision gene edits currently being tested in a Phase 1 clinical trial for patients with B-cell mediated autoimmune diseases. In March 2025, we announced that we have discontinued CNTY-101 evaluation in a Phase 1 clinical trial for patients with lymphoma for strategic reasons. While we remain encouraged by tolerability and clinical activity of CNTY-101 in late-stage R/R NHL, emerging data from ELiPSE-1 did not meet our threshold to be considered transformational in this patient population.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March 2025, we also announced a re-prioritized pre-clinical pipeline intended to further leverage the unique capabilities and technologies we have towards transformative treatments holding strong commercial potential to treat serious diseases with high unmet need. Accordingly, in addition to our clinical stage programs, we will be focusing on three core pre-clinical programs built on our industry leading iT cell platform. We believe these programs have significant potential for differentiation in their respective categories.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CNTY-308: A CD19-targeted CAR-iT cell therapy engineered with Allo-Evasion™ 5.0 demonstrating preclinical efficacy comparable to autologous CD19 CAR-T cells. It is being developed primarily for B-cell mediated autoimmune diseases and malignancies.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CNTY-341: A CD19/CD22 dual-targeted CAR-iT cell therapy engineered with Allo-Evasion™ 5.0 which pairs dual targeting and primary T-cell-like functionality in an allogeneic cell with the goal of providing a differentiated therapy for B cell malignancies.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first solid tumor CAR iT program exploiting Nectin-4 CAR and other validated targets, engineered with Allo-Evasion™ 5.0 and additional engineering aimed at overcoming the key barriers to success in solid tumors.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254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also selectively expanding to non-immune effector cells where we believe there are opportunities to potentially accelerate in high-impact therapeutic areas where we believe our technology and capabilities can provide meaningful differentiation.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048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we have assembled a world-class team with decades of collective experience in cell therapy and drug development, manufacturing, and commercialization.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Corporate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primary executive offices are located at 25 N 38th Street, 11th Floor, Philadelphia, Pennsylvania, 19104, and our telephone number is (267) 817-5790. Our corporate website is www.centurytx.com.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Implications of Being an Emerging Growth Company and Smaller Reporting Company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an “emerging growth company,” as defined in the Jumpstart Our Business Startups Act of 2012, or the Jobs Act. We will remain an emerging growth company until the earliest of (1) December 31, 2026, (2) the beginning of the first fiscal year after our annual gross revenue is $1.235 billion or more, (3) the date on which we have, during the previous three-year period, issued more than $1.0 billion in non-convertible debt securities and (4) as of the end of any fiscal year in which the market value of our common stock held by non-affiliates exceeded $700 million as of the end of the second quarter of that fiscal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as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and financial statements in our periodic reports and proxy statements, and exemptions from the requirements of holding a nonbinding advisory vote to approve executive compensation and shareholder approval of any golden parachute payments not previously approved. We will take advantage of these reporting exemptions until we are no longer an “emerging growth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also a “smaller reporting company,” as defined in Item 10(f)(1) of Regulation S-K.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RIF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36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RISK FACTORS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Investing in any of our securities involves significant risks. Before making an investment decision, in addition to the other information contained in or incorporated by reference in this prospectus and any prospectus supplement, you should carefully consider the specific risks set forth under the heading “Risk Factors” in our most recent Annual Report on Form 10-K and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48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USE OF PROCEEDS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intend to use the net proceeds from the sale of the securities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STMB"/>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4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SECURITIES THAT MAY BE OFFERED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DOC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DESCRIPTION OF CAPITAL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as amended, which has been publicly filed with the SEC. See “Where You Can Find More Information.” For a complete description, you should refer to our second amended and restated certificate of incorporation and amended and restated bylaws, copies of which are incorporated by reference as exhibits to the registration statement of which this prospectus is a part.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Common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our second amended and restated certificate of incorporation, as amended, or our Certificate of Incorporation, our authorized capital stock consists of 300,000,000 shares of common stock, par value $0.0001 per share, and 10,000,000 shares of preferred stock, par value $0.0001 per share. As of March 31, 2025, we had 86,146,049 shares of common stock outstanding, and no shares of preferred stock outstanding.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w:t>
      </w:r>
      <w:r>
        <w:rPr>
          <w:rFonts w:ascii="Arial;Helvetica;sans-serif" w:hAnsi="Arial;Helvetica;sans-serif"/>
          <w:b w:val="false"/>
          <w:i w:val="false"/>
          <w:caps w:val="false"/>
          <w:smallCaps w:val="false"/>
          <w:color w:val="000000"/>
          <w:spacing w:val="-2"/>
          <w:sz w:val="20"/>
        </w:rPr>
        <w:t>.   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Certificate of Incorporation, such as the provisions relating to amending our amended and restated bylaws, procedures for our stockholder meetings, the classified board, director liability, and exclusive forum for proceedings.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Dividends</w:t>
      </w:r>
      <w:r>
        <w:rPr>
          <w:rFonts w:ascii="Arial;Helvetica;sans-serif" w:hAnsi="Arial;Helvetica;sans-serif"/>
          <w:b w:val="false"/>
          <w:i w:val="false"/>
          <w:caps w:val="false"/>
          <w:smallCaps w:val="false"/>
          <w:color w:val="000000"/>
          <w:spacing w:val="-2"/>
          <w:sz w:val="20"/>
        </w:rPr>
        <w:t>.   Subject to preferences that may be applicable to any then outstanding preferred stock, holders of our common stock are entitled to receive dividends, if any, as may be declared from time to time by our board of directors out of legally available funds.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Liquidation and Dissolution</w:t>
      </w:r>
      <w:r>
        <w:rPr>
          <w:rFonts w:ascii="Arial;Helvetica;sans-serif" w:hAnsi="Arial;Helvetica;sans-serif"/>
          <w:b w:val="false"/>
          <w:i w:val="false"/>
          <w:caps w:val="false"/>
          <w:smallCaps w:val="false"/>
          <w:color w:val="000000"/>
          <w:spacing w:val="-2"/>
          <w:sz w:val="20"/>
        </w:rPr>
        <w:t>.   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Other Rights and Restrictions</w:t>
      </w:r>
      <w:r>
        <w:rPr>
          <w:rFonts w:ascii="Arial;Helvetica;sans-serif" w:hAnsi="Arial;Helvetica;sans-serif"/>
          <w:b w:val="false"/>
          <w:i w:val="false"/>
          <w:caps w:val="false"/>
          <w:smallCaps w:val="false"/>
          <w:color w:val="000000"/>
          <w:spacing w:val="-2"/>
          <w:sz w:val="20"/>
        </w:rPr>
        <w:t>.   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Listing</w:t>
      </w:r>
      <w:r>
        <w:rPr>
          <w:rFonts w:ascii="Arial;Helvetica;sans-serif" w:hAnsi="Arial;Helvetica;sans-serif"/>
          <w:b w:val="false"/>
          <w:i w:val="false"/>
          <w:caps w:val="false"/>
          <w:smallCaps w:val="false"/>
          <w:color w:val="000000"/>
          <w:spacing w:val="-2"/>
          <w:sz w:val="20"/>
        </w:rPr>
        <w:t>.   Our common stock is listed on the Nasdaq Global Select Market under the symbol “IPSC.”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Transfer Agent and Registrar</w:t>
      </w:r>
      <w:r>
        <w:rPr>
          <w:rFonts w:ascii="Arial;Helvetica;sans-serif" w:hAnsi="Arial;Helvetica;sans-serif"/>
          <w:b w:val="false"/>
          <w:i w:val="false"/>
          <w:caps w:val="false"/>
          <w:smallCaps w:val="false"/>
          <w:color w:val="000000"/>
          <w:spacing w:val="-2"/>
          <w:sz w:val="20"/>
        </w:rPr>
        <w:t>.   The transfer agent and registrar for our common stock is Equiniti Trust Company, LLC. The transfer agent’s address is 6201 15th Avenue, Brooklyn, NY 11219.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Preferred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issuance of preferred stock could adversely affect the voting power of holders of common stock and the likelihood that such holders will receive dividend payments and payments upon liquidation. In 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Anti-Takeover Provisions of Delaware Law and Our Charter Documents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Some provisions of Delaware law and our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Section 203 of the Delaware General Corporation Law</w:t>
      </w:r>
      <w:r>
        <w:rPr>
          <w:rFonts w:ascii="Arial;Helvetica;sans-serif" w:hAnsi="Arial;Helvetica;sans-serif"/>
          <w:b w:val="false"/>
          <w:i w:val="false"/>
          <w:caps w:val="false"/>
          <w:smallCaps w:val="false"/>
          <w:color w:val="000000"/>
          <w:spacing w:val="-2"/>
          <w:sz w:val="20"/>
        </w:rPr>
        <w:t>.   We are subject to Section 203 of the Delaware General Corporation Law, or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Elimination of Stockholder Action by Written Consent</w:t>
      </w:r>
      <w:r>
        <w:rPr>
          <w:rFonts w:ascii="Arial;Helvetica;sans-serif" w:hAnsi="Arial;Helvetica;sans-serif"/>
          <w:b w:val="false"/>
          <w:i w:val="false"/>
          <w:caps w:val="false"/>
          <w:smallCaps w:val="false"/>
          <w:color w:val="000000"/>
          <w:spacing w:val="-2"/>
          <w:sz w:val="20"/>
        </w:rPr>
        <w:t>.   Our Certificate of Incorporation provides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Undesignated Preferred Stock.</w:t>
      </w:r>
      <w:r>
        <w:rPr>
          <w:rFonts w:ascii="Arial;Helvetica;sans-serif" w:hAnsi="Arial;Helvetica;sans-serif"/>
          <w:b w:val="false"/>
          <w:i w:val="false"/>
          <w:caps w:val="false"/>
          <w:smallCaps w:val="false"/>
          <w:color w:val="000000"/>
          <w:spacing w:val="-2"/>
          <w:sz w:val="20"/>
        </w:rPr>
        <w:t>   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Amendment of Charter Provisions.</w:t>
      </w:r>
      <w:r>
        <w:rPr>
          <w:rFonts w:ascii="Arial;Helvetica;sans-serif" w:hAnsi="Arial;Helvetica;sans-serif"/>
          <w:b w:val="false"/>
          <w:i w:val="false"/>
          <w:caps w:val="false"/>
          <w:smallCaps w:val="false"/>
          <w:color w:val="000000"/>
          <w:spacing w:val="-2"/>
          <w:sz w:val="20"/>
        </w:rPr>
        <w:t>   Our Certificate of Incorporation provides that the affirmative vote of holders of at least 66</w:t>
      </w:r>
      <w:r>
        <w:rPr>
          <w:rFonts w:ascii="Arial;Helvetica;sans-serif" w:hAnsi="Arial;Helvetica;sans-serif"/>
          <w:b w:val="false"/>
          <w:i w:val="false"/>
          <w:caps w:val="false"/>
          <w:smallCaps w:val="false"/>
          <w:color w:val="000000"/>
          <w:spacing w:val="-1"/>
          <w:sz w:val="14"/>
        </w:rPr>
        <w:t>2</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1"/>
          <w:sz w:val="14"/>
        </w:rPr>
        <w:t>3</w:t>
      </w:r>
      <w:r>
        <w:rPr>
          <w:rFonts w:ascii="Arial;Helvetica;sans-serif" w:hAnsi="Arial;Helvetica;sans-serif"/>
          <w:b w:val="false"/>
          <w:i w:val="false"/>
          <w:caps w:val="false"/>
          <w:smallCaps w:val="false"/>
          <w:color w:val="000000"/>
          <w:spacing w:val="-2"/>
          <w:sz w:val="20"/>
        </w:rPr>
        <w:t>% of the voting power of all of the then outstanding shares of voting stock, voting 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66</w:t>
      </w:r>
      <w:r>
        <w:rPr>
          <w:rFonts w:ascii="Arial;Helvetica;sans-serif" w:hAnsi="Arial;Helvetica;sans-serif"/>
          <w:b w:val="false"/>
          <w:i w:val="false"/>
          <w:caps w:val="false"/>
          <w:smallCaps w:val="false"/>
          <w:color w:val="000000"/>
          <w:spacing w:val="-1"/>
          <w:sz w:val="14"/>
        </w:rPr>
        <w:t>2</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1"/>
          <w:sz w:val="14"/>
        </w:rPr>
        <w:t>3</w:t>
      </w:r>
      <w:r>
        <w:rPr>
          <w:rFonts w:ascii="Arial;Helvetica;sans-serif" w:hAnsi="Arial;Helvetica;sans-serif"/>
          <w:b w:val="false"/>
          <w:i w:val="false"/>
          <w:caps w:val="false"/>
          <w:smallCaps w:val="false"/>
          <w:color w:val="000000"/>
          <w:spacing w:val="-2"/>
          <w:sz w:val="20"/>
        </w:rPr>
        <w:t xml:space="preserve">% of the voting power of all of the then outstanding shares of voting stock, voting as a single class, will be required to amend or repeal our amended and restated bylaws unless such action is recommended by our board of directors at an annual or special meeting of stockholders, which would then require the affirmative vote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12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of a majority of the voting power of all of the then outstanding shares of voting stock, voting as a single class. Additionally, our amended and restated bylaws may be amended by a simple majority vote of our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Classified Board; Election and Removal of Directors</w:t>
      </w:r>
      <w:r>
        <w:rPr>
          <w:rFonts w:ascii="Arial;Helvetica;sans-serif" w:hAnsi="Arial;Helvetica;sans-serif"/>
          <w:b w:val="false"/>
          <w:i w:val="false"/>
          <w:caps w:val="false"/>
          <w:smallCaps w:val="false"/>
          <w:color w:val="000000"/>
          <w:spacing w:val="-2"/>
          <w:sz w:val="20"/>
        </w:rPr>
        <w:t>.   Our Certificate of Incorporation provides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Choice of Forum.</w:t>
      </w:r>
      <w:r>
        <w:rPr>
          <w:rFonts w:ascii="Arial;Helvetica;sans-serif" w:hAnsi="Arial;Helvetica;sans-serif"/>
          <w:b w:val="false"/>
          <w:i w:val="false"/>
          <w:caps w:val="false"/>
          <w:smallCaps w:val="false"/>
          <w:color w:val="000000"/>
          <w:spacing w:val="-2"/>
          <w:sz w:val="20"/>
        </w:rPr>
        <w:t>   Our Certificate of Incorporation provides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Certificate of Incorporation or our amended and restated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DOD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DESCRIPTION OF DEBT SECURITIES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and you should read the indenture for provisions that may be important to you. Capitalized terms used in the summary and not defined herein have the meanings specified in the indenture.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used in this section only, “Century,” “we,” “our” or “us” refer to Century Therapeutics, Inc., excluding its wholly owned subsidiary, unless expressly stated or the context otherwise requires.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General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can issue an unlimited amount of debt securities under the indenture that may be issued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title and ranking of the debt securities (including the terms of any subordination provisions);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price or prices (expressed as a percentage of the principal amount) at which we will sell the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limit on the aggregate principal amount of the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date or dates on which the principal of the securities of the series is payable;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period or periods within which, the price or prices at which and the terms and conditions upon which we may redeem the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any obligation we have to redeem or purchase the debt securities pursuant to any sinking fund or analogous provisions or at the option of a holder of debt securities and the period or periods within </w:t>
      </w:r>
      <w:r>
        <mc:AlternateContent>
          <mc:Choice Requires="wps">
            <w:drawing>
              <wp:anchor behindDoc="0" distT="2667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which, the price or prices at which and in the terms and conditions upon which securities of the series shall be redeemed or purchased, in whole or in part, pursuant to such obligation;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dates on which and the price or prices at which we will repurchase debt securities at the option of the holders of debt securities and other detailed terms and provisions of these repurchase obligations;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denominations in which the debt securities will be issued, if other than denominations of $1,000 and any integral multiple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whether the debt securities will be issued in the form of certificated debt securities or global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portion of principal amount of the debt securities payable upon declaration of acceleration of the maturity date, if other than the principal amount;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currency of denomination of the debt securities, which may be United States Dollars or any foreign currency, and if such currency of denomination is a composite currency, the agency or organization, if any, responsible for overseeing such composite currency;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designation of the currency, currencies or currency units in which payment of principal of, premium, if any, and interest on the debt securities will be made;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provisions relating to any security provided for the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addition to, deletion of or change in the covenants described in this prospectus or in the indenture with respect to the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depositaries, interest rate calculation agents, exchange rate calculation agents or other agents with respect to the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whether any of our direct or indirect subsidiaries will guarantee the debt securities of that series, including the terms of subordination, if any, of such guarantees.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United States federal income tax considerations and other special considerations applicable to any of these debt securities in the applicable prospectus supplement.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Transfer and Exchange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debt security will be represented by either one or more global securities registered in the name of The Depository Trust Company (DTC), or a nominee of DTC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Certificated Debt Securities.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Global Debt Securities and Book-Entry System. Each global debt security representing book-entry debt securities will be deposited with, or on behalf of, DTC, and registered in the name of DTC or a nominee of DTC. Please see “Global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Covenants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will set forth in the applicable prospectus supplement any restrictive covenants applicable to any issue of debt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 Protection in the Event of a Change of Control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Consolidation, Merger and Sale of Assets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not consolidate with or merge with or into, or convey, transfer or lease all or substantially all of our properties and assets to any person, or a successor person, unless: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the surviving entity or the successor person (if other than Century) is a corporation, partnership, trust or other entity organized and validly existing under the laws of any U.S. domestic jurisdiction and expressly assumes our obligations on the debt securities and under the indenture;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immediately after giving effect to the transaction, no Default (defined as any event which is, or after notice or passage of time or both would be, an Event of Default) or Event of Default, shall have occurred and be continuing.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Notwithstanding the above, any of our subsidiaries may consolidate with, merge into or transfer all or part of its properties to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Events of Default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Event of Default” means with respect to any series of debt securities, any of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default in the payment of principal of any security of that series at its maturity;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Century and the trustee receive written notice from the holders of not less than 25% in principal amount of the outstanding debt securities of that series as provided in the indenture;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254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certain voluntary or involuntary events of bankruptcy, insolvency or reorganization of Century;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other Event of Default provided with respect to debt securities of that series that is described in the applicable prospectus supplement.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holder of any debt security of any series will have any right to institute any proceeding, judicial or otherwise, with respect to the indenture or for the appointment of a receiver or trustee, or for any remedy under the indenture, unless: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that holder has previously given to the trustee written notice of a continuing Event of Default with respect to debt securities of that series;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w:t>
      </w:r>
      <w:r>
        <mc:AlternateContent>
          <mc:Choice Requires="wps">
            <w:drawing>
              <wp:anchor behindDoc="0" distT="2667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of not less than a majority in principal amount of the outstanding debt securities of that series a direction inconsistent with that request and has failed to institute the proceeding within 60 days.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Modification and Waiver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and the trustee may modify, amend or supplement the indenture or the debt securities of any series without the consent of any holder of any debt security: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cure any ambiguity, defect or inconsistency;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comply with covenants in the indenture described above under the heading “Consolidation, Merger and Sale of Assets”;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provide for uncertificated securities in addition to or in place of certificated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add guarantees with respect to debt securities of any series or secure debt securities of any series;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surrender any of our rights or powers under the indenture;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add covenants or events of default for the benefit of the holders of debt securities of any series;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comply with the procedures of the applicable depositary;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make any change that does not adversely affect the rights of any holder of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provide for the issuance of and establish the form and terms and conditions of debt securities of any series as permitted by the indenture;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effect the appointment of a successor trustee with respect to the debt securities of any series and to add to or change any of the provisions of the indenture to provide for or facilitate administration by more than one trustee;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conform the terms of the indenture (insofar as it applies to any series of debt securities issued under the indenture) or the terms of the debt securities of any series issued under the indenture to the description thereof contained in any prospectus, prospectus supplement or similar offering document used in connection with the initial offering and sale of such debt securities to investors in a public or private offering;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comply with requirements of the SEC in order to effect or maintain the qualification of the indenture under the Trust Indenture Act.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 the amount of debt securities whose holders must consent to an amendment, supplement or waiver;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 the rate of or extend the time for payment of interest (including default interest) on any debt security;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 the principal of or premium on or change the fixed maturity of any debt security or reduce the amount of, or postpone the date fixed for, the payment of any sinking fund or analogous obligation with respect to any series of debt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254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 the principal amount of discount securities payable upon acceleration of maturity;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make the principal of or premium or interest on any debt security payable in currency other than that stated in the debt security;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waive a redemption payment with respect to any debt security.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Defeasance of Debt Securities and Certain Covenants in Certain Circumstances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Legal Defeasance</w:t>
      </w:r>
      <w:r>
        <w:rPr>
          <w:rFonts w:ascii="Arial;Helvetica;sans-serif" w:hAnsi="Arial;Helvetica;sans-serif"/>
          <w:b w:val="false"/>
          <w:i w:val="false"/>
          <w:caps w:val="false"/>
          <w:smallCaps w:val="false"/>
          <w:color w:val="000000"/>
          <w:spacing w:val="-2"/>
          <w:sz w:val="20"/>
        </w:rPr>
        <w:t>.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Defeasance of Certain Covenants</w:t>
      </w:r>
      <w:r>
        <w:rPr>
          <w:rFonts w:ascii="Arial;Helvetica;sans-serif" w:hAnsi="Arial;Helvetica;sans-serif"/>
          <w:b w:val="false"/>
          <w:i w:val="false"/>
          <w:caps w:val="false"/>
          <w:smallCaps w:val="false"/>
          <w:color w:val="000000"/>
          <w:spacing w:val="-2"/>
          <w:sz w:val="20"/>
        </w:rPr>
        <w:t>.   The indenture provides that, unless otherwise provided by the terms of the applicable series of debt securities, upon compliance with certain conditions: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omission to comply with those covenants will not constitute a Default or an Event of Default with respect to the debt securities of that series, or a covenant defeasance.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8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conditions include: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 Personal Liability of Directors, Officers, Employees or Securityholders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Governing Law</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and the debt securities, including any claim or controversy arising out of or relating to the indenture or the debt securities, will be governed by the laws of the State of New York.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DOW"/>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DESCRIPTION OF WARRANTS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particular terms of any issue of warrants will be described in the prospectus supplement relating to the issue. Those terms may include: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number of shares of common stock or preferred stock purchasable upon the exercise of warrants to purchase such shares and the price at which such number of shares may be purchased upon such exercise;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159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designation, stated value and terms (including, without limitation, liquidation, dividend, conversion and voting rights) of the series of preferred stock purchasable upon exercise of warrants to purchase preferred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principal amount of debt securities that may be purchased upon exercise of a debt warrant and the exercise price for the warrants, which may be payable in cash, securities or other property;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date, if any, on and after which the warrants and the related debt securities, preferred stock or common stock will be separately transferable;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effect of any merger, consolidation, sale or other disposition of our business on the warrant agreement and the warrants;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terms of any rights to redeem or call the warrants;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date on which the right to exercise the warrants will commence and the date on which the right will expire;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provisions for changes to or adjustments in the exercise price or number of securities issuable upon exercise of the warrants;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United States federal income tax consequences applicable to the warrants;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additional terms of the warrants, including terms, procedures, and limitations relating to the exchange, exercise and settlement of the warrants.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Holders of equity warrants will not be entitled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vote, consent or receive dividends;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receive notice as stockholders with respect to any meeting of stockholders for the election of our directors or any other matter;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exercise any rights as our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72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As of March 31, 2025, we had outstanding warrants to purchase an aggregate of 32,009 shares of our common stock outstanding with an exercise price of $10.64 per share. These warrants may be exercised at any time and from time to time, in whole or in part.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DOU"/>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00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DESCRIPTION OF UNITS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we offer any units, certain terms of that series of units will be described in the applicable prospectus supplement, including, without limitation, the following, as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designation and terms of the units and of the securities comprising the units, including whether and under what circumstances those securities may be held or transferred separately;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provisions of the governing unit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price or prices at which such units will be issued;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applicable United States federal income tax considerations relating to the 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provisions for the issuance, payment, settlement, transfer or exchange of the units or of the securities comprising the units;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other terms of the units and of the securities comprising the units.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DOO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2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DESCRIPTION OF OUR SUBSCRIPTION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specified in any applicable prospectus supplement, we may issue subscription rights consisting of one or more debt securities, shares of preferred stock, shares of common stock or any combination of such securities.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bGLSE"/>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GLOBAL SECURITIES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Book-Entry, Delivery and Form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DTC has advised us that it 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limited-purpose trust company organized under the New York Banking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“banking organization” within the meaning of the New York Banking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member of the Federal Reserve System;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“clearing corporation” within the meaning of the New York Uniform Commercial Code;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82">
                <wp:simplePos x="0" y="0"/>
                <wp:positionH relativeFrom="column">
                  <wp:align>left</wp:align>
                </wp:positionH>
                <wp:positionV relativeFrom="line">
                  <wp:align>top</wp:align>
                </wp:positionV>
                <wp:extent cx="254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“clearing agency” registered pursuant to the provisions of Section 17A of the Exchange Act of 1934, as amended.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So long as the securities are in book-entry form, you will receive payments and may transfer securities only through the facilities of the depositary and its direct and indirect participants. If applicable, we will maintain an office or agency in the location specified in the prospectus supplement for the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securities, where notices and demands in respect of the securities and the indenture may be delivered to us and where certificated securities may be surrendered for payment, registration of transfer or exchange.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Neither DTC nor Cede &amp; Co. (or such other DTC nominee) will consent or vote with respect to the securities. Under its usual procedures, DTC will provide us with an omnibus proxy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laws of some jurisdictions may require that some purchasers of securities take physical delivery of securities in definitive form. Those laws may impair the ability to transfer or pledge beneficial interests in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noted above, beneficial owners of a particular series of securities generally will not receive certificates representing their ownership interests in those securities. However, if: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DTC notifies us that it is unwilling or unable to continue as a depositary for the global security or securities representing such series of securities or if DTC ceases to be a clearing agency registered; </w:t>
      </w:r>
      <w:r>
        <mc:AlternateContent>
          <mc:Choice Requires="wps">
            <w:drawing>
              <wp:anchor behindDoc="0" distT="2540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Exchange Act at a time when it is required to be registered and a successor depositary is not appointed within 90 days of the notification to us or of our becoming aware of DTC’s ceasing to be so registered, as the case may be;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254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determine, in our sole discretion, not to have such securities represented by one or more global securities;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Event of Default has occurred and is continuing with respect to such series of securities, we will prepare and deliver certificates for such securities in exchange for beneficial interests in the global securities.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794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obtained the information in this section and elsewhere in this prospectus concerning DTC and DTC’s book-entry system from sources that are believed to be reliable, but we take no responsibility for the accuracy of this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Euroclear and Clearstream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672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Other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bPOD"/>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PLAN OF DISTRIBUTION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a fixed price or prices, which may be changed;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market prices prevailing at the time of sale;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89">
                <wp:simplePos x="0" y="0"/>
                <wp:positionH relativeFrom="column">
                  <wp:align>left</wp:align>
                </wp:positionH>
                <wp:positionV relativeFrom="line">
                  <wp:align>top</wp:align>
                </wp:positionV>
                <wp:extent cx="254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prices related to such prevailing market prices;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“at-the-market offerings” ​(as defined in Rule 415 under the Securities Act);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91">
                <wp:simplePos x="0" y="0"/>
                <wp:positionH relativeFrom="column">
                  <wp:align>left</wp:align>
                </wp:positionH>
                <wp:positionV relativeFrom="line">
                  <wp:align>top</wp:align>
                </wp:positionV>
                <wp:extent cx="254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negotiated prices;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92">
                <wp:simplePos x="0" y="0"/>
                <wp:positionH relativeFrom="column">
                  <wp:align>left</wp:align>
                </wp:positionH>
                <wp:positionV relativeFrom="line">
                  <wp:align>top</wp:align>
                </wp:positionV>
                <wp:extent cx="254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through any method permitted by applicable law and described in a prospectus supplement.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2860" distB="0" distL="0" distR="0" simplePos="0" locked="0" layoutInCell="1" allowOverlap="1" relativeHeight="193">
                <wp:simplePos x="0" y="0"/>
                <wp:positionH relativeFrom="column">
                  <wp:align>left</wp:align>
                </wp:positionH>
                <wp:positionV relativeFrom="line">
                  <wp:align>top</wp:align>
                </wp:positionV>
                <wp:extent cx="254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common stock or preferred stock will be listed on the Nasdaq Global Select Market, or Nasdaq, but any other securities may or may not be listed on a national securities exchange.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To facilitate the offering of securities, and to the extent permitted by and in accordance with Regulation M under the Exchange Act of 1934, as amended, or the Exchange Act,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specific terms of any lock-up provisions in respect of any given offering will be described in the applicable prospectus supplement.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underwriters, dealers and agents may engage in transactions with us, or perform services for us, in the ordinary course of business for which they receive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securities may be sold under this prospectus without delivery, in paper format or in electronic format, or both, of the applicable prospectus supplement describing the method and terms of the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72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bLEMA"/>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00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LEGAL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Goodwin Procter LLP, Philadelphia, PA, will pass upon certain legal matters relating to the issuance and sale of the securities offered hereby on behalf of Century Therapeutics, Inc. Additional legal matters may be passed upon for us or any underwriters, dealers or agents by counsel that we will name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bEXP"/>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0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EXPERTS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pPr>
      <w:r>
        <w:rPr>
          <w:rFonts w:ascii="Arial;Helvetica;sans-serif" w:hAnsi="Arial;Helvetica;sans-serif"/>
          <w:b w:val="false"/>
          <w:i w:val="false"/>
          <w:caps w:val="false"/>
          <w:smallCaps w:val="false"/>
          <w:color w:val="000000"/>
          <w:spacing w:val="-2"/>
          <w:sz w:val="20"/>
        </w:rPr>
        <w:t xml:space="preserve">The consolidated financial statements of Century Therapeutics, Inc. appearing in Century Therapeutics, Inc’s </w:t>
      </w:r>
      <w:hyperlink r:id="rId19">
        <w:r>
          <w:rPr>
            <w:rStyle w:val="InternetLink"/>
          </w:rPr>
          <w:t>Annual Report (Form 10-K) for the year ended December 31, 2024</w:t>
        </w:r>
      </w:hyperlink>
      <w:r>
        <w:rPr>
          <w:rFonts w:ascii="Arial;Helvetica;sans-serif" w:hAnsi="Arial;Helvetica;sans-serif"/>
          <w:b w:val="false"/>
          <w:i w:val="false"/>
          <w:caps w:val="false"/>
          <w:smallCaps w:val="false"/>
          <w:color w:val="000000"/>
          <w:spacing w:val="-2"/>
          <w:sz w:val="20"/>
        </w:rPr>
        <w:t>,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by reference herein in reliance upon the reports of Ernst &amp; Young LLP pertaining to such financial statements (to the extent covered by consents filed with the Securities and Exchange Commission) given on the authority of such firm as experts in accounting and auditing.</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40" w:space="1" w:color="000000"/>
        </w:rPr>
      </w:pPr>
      <w:r>
        <w:rPr>
          <w:caps w:val="false"/>
          <w:smallCaps w:val="false"/>
          <w:color w:val="000000"/>
          <w:bdr w:val="single" w:sz="40" w:space="1" w:color="000000"/>
        </w:rPr>
        <w:t>​</w:t>
      </w:r>
    </w:p>
    <w:p>
      <w:pPr>
        <w:pStyle w:val="TextBody"/>
        <w:bidi w:val="0"/>
        <w:spacing w:before="1240" w:after="283"/>
        <w:jc w:val="center"/>
        <w:rPr>
          <w:caps w:val="false"/>
          <w:smallCaps w:val="false"/>
          <w:color w:val="000000"/>
        </w:rPr>
      </w:pPr>
      <w:r>
        <w:rPr>
          <w:caps w:val="false"/>
          <w:smallCaps w:val="false"/>
          <w:color w:val="000000"/>
        </w:rPr>
        <w:drawing>
          <wp:inline distT="0" distB="0" distL="0" distR="0">
            <wp:extent cx="3076575" cy="828675"/>
            <wp:effectExtent l="0" t="0" r="0" b="0"/>
            <wp:docPr id="19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3" descr=""/>
                    <pic:cNvPicPr>
                      <a:picLocks noChangeAspect="1" noChangeArrowheads="1"/>
                    </pic:cNvPicPr>
                  </pic:nvPicPr>
                  <pic:blipFill>
                    <a:blip r:embed="rId20"/>
                    <a:stretch>
                      <a:fillRect/>
                    </a:stretch>
                  </pic:blipFill>
                  <pic:spPr bwMode="auto">
                    <a:xfrm>
                      <a:off x="0" y="0"/>
                      <a:ext cx="3076575" cy="8286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226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color w:val="000000"/>
          <w:spacing w:val="-4"/>
          <w:sz w:val="28"/>
        </w:rPr>
        <w:t>$150,000,000</w:t>
      </w:r>
      <w:r>
        <w:rPr>
          <w:rFonts w:ascii="Arial;Helvetica;sans-serif" w:hAnsi="Arial;Helvetica;sans-serif"/>
          <w:b/>
          <w:i w:val="false"/>
          <w:caps w:val="false"/>
          <w:smallCaps w:val="false"/>
          <w:color w:val="000000"/>
          <w:sz w:val="28"/>
        </w:rPr>
        <w:t xml:space="preserve"> </w:t>
      </w:r>
    </w:p>
    <w:p>
      <w:pPr>
        <w:pStyle w:val="TextBody"/>
        <w:bidi w:val="0"/>
        <w:spacing w:lineRule="atLeast" w:line="320" w:before="14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1"/>
          <w:sz w:val="28"/>
        </w:rPr>
        <w:t>Common Stock</w:t>
      </w:r>
      <w:r>
        <w:rPr>
          <w:rFonts w:ascii="Arial;Helvetica;sans-serif" w:hAnsi="Arial;Helvetica;sans-serif"/>
          <w:b/>
          <w:i w:val="false"/>
          <w:caps w:val="false"/>
          <w:smallCaps w:val="false"/>
          <w:color w:val="000000"/>
          <w:spacing w:val="6"/>
          <w:sz w:val="28"/>
        </w:rPr>
        <w:t xml:space="preserve"> </w:t>
      </w:r>
    </w:p>
    <w:p>
      <w:pPr>
        <w:pStyle w:val="TextBody"/>
        <w:bidi w:val="0"/>
        <w:spacing w:before="0" w:after="283"/>
        <w:ind w:left="1393" w:right="0" w:hanging="0"/>
        <w:jc w:val="left"/>
        <w:rPr>
          <w:caps w:val="false"/>
          <w:smallCaps w:val="false"/>
          <w:color w:val="000000"/>
          <w:bdr w:val="single" w:sz="8" w:space="1" w:color="5ACE5A"/>
        </w:rPr>
      </w:pPr>
      <w:r>
        <w:rPr>
          <w:caps w:val="false"/>
          <w:smallCaps w:val="false"/>
          <w:color w:val="000000"/>
          <w:bdr w:val="single" w:sz="8" w:space="1" w:color="5ACE5A"/>
        </w:rPr>
        <w:t>​</w:t>
      </w:r>
    </w:p>
    <w:p>
      <w:pPr>
        <w:pStyle w:val="TextBody"/>
        <w:bidi w:val="0"/>
        <w:spacing w:lineRule="atLeast" w:line="280" w:before="32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3"/>
          <w:sz w:val="24"/>
        </w:rPr>
        <w:t>PROSPECTUS SUPPLEMENT</w:t>
      </w:r>
      <w:r>
        <w:rPr>
          <w:rFonts w:ascii="Arial;Helvetica;sans-serif" w:hAnsi="Arial;Helvetica;sans-serif"/>
          <w:b/>
          <w:i w:val="false"/>
          <w:caps w:val="false"/>
          <w:smallCaps w:val="false"/>
          <w:color w:val="000000"/>
          <w:spacing w:val="5"/>
          <w:sz w:val="24"/>
        </w:rPr>
        <w:t xml:space="preserve"> </w:t>
      </w:r>
    </w:p>
    <w:p>
      <w:pPr>
        <w:pStyle w:val="TextBody"/>
        <w:bidi w:val="0"/>
        <w:spacing w:before="0" w:after="283"/>
        <w:ind w:left="1393" w:right="0" w:hanging="0"/>
        <w:jc w:val="left"/>
        <w:rPr>
          <w:caps w:val="false"/>
          <w:smallCaps w:val="false"/>
          <w:color w:val="000000"/>
          <w:bdr w:val="single" w:sz="8" w:space="1" w:color="5ACE5A"/>
        </w:rPr>
      </w:pPr>
      <w:r>
        <w:rPr>
          <w:caps w:val="false"/>
          <w:smallCaps w:val="false"/>
          <w:color w:val="000000"/>
          <w:bdr w:val="single" w:sz="8" w:space="1" w:color="5ACE5A"/>
        </w:rPr>
        <w:t>​</w:t>
      </w:r>
    </w:p>
    <w:p>
      <w:pPr>
        <w:pStyle w:val="TextBody"/>
        <w:bidi w:val="0"/>
        <w:spacing w:lineRule="atLeast" w:line="360" w:before="520"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1"/>
          <w:sz w:val="32"/>
        </w:rPr>
        <w:t>TD Cowen</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280" w:before="144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March 26, 2026</w:t>
      </w:r>
      <w:r>
        <w:rPr>
          <w:rFonts w:ascii="Arial;Helvetica;sans-serif" w:hAnsi="Arial;Helvetica;sans-serif"/>
          <w:b/>
          <w:i w:val="false"/>
          <w:caps w:val="false"/>
          <w:smallCaps w:val="false"/>
          <w:color w:val="000000"/>
          <w:spacing w:val="5"/>
          <w:sz w:val="24"/>
        </w:rPr>
        <w:t xml:space="preserve"> </w:t>
      </w:r>
    </w:p>
    <w:p>
      <w:pPr>
        <w:pStyle w:val="TextBody"/>
        <w:bidi w:val="0"/>
        <w:spacing w:before="0" w:after="283"/>
        <w:ind w:left="1393" w:right="0" w:hanging="0"/>
        <w:jc w:val="left"/>
        <w:rPr>
          <w:caps w:val="false"/>
          <w:smallCaps w:val="false"/>
          <w:color w:val="000000"/>
          <w:bdr w:val="single" w:sz="40" w:space="1" w:color="000000"/>
        </w:rPr>
      </w:pPr>
      <w:r>
        <w:rPr>
          <w:caps w:val="false"/>
          <w:smallCaps w:val="false"/>
          <w:color w:val="000000"/>
          <w:bdr w:val="single" w:sz="40"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50119/000110465925067022/tm2519996-1_s3.htm" TargetMode="External"/><Relationship Id="rId4" Type="http://schemas.openxmlformats.org/officeDocument/2006/relationships/hyperlink" Target="http://www.sec.gov/ix?doc=/Archives/edgar/data/1850119/000110465926026759/ipsc-20251231x10k.htm" TargetMode="External"/><Relationship Id="rId5" Type="http://schemas.openxmlformats.org/officeDocument/2006/relationships/hyperlink" Target="http://www.sec.gov/ix?doc=/Archives/edgar/data/1850119/000155837025003299/ipsc-20241231x10k.htm" TargetMode="External"/><Relationship Id="rId6" Type="http://schemas.openxmlformats.org/officeDocument/2006/relationships/hyperlink" Target="http://www.sec.gov/ix?doc=/Archives/edgar/data/1850119/000110465925037419/tm252479-4_def14a.htm" TargetMode="External"/><Relationship Id="rId7" Type="http://schemas.openxmlformats.org/officeDocument/2006/relationships/hyperlink" Target="http://www.sec.gov/ix?doc=/Archives/edgar/data/1850119/000110465926001952/tm262422d2_8k.htm" TargetMode="External"/><Relationship Id="rId8" Type="http://schemas.openxmlformats.org/officeDocument/2006/relationships/hyperlink" Target="http://www.sec.gov/ix?doc=/Archives/edgar/data/1850119/000110465926006236/tm263921d1_8k.htm" TargetMode="External"/><Relationship Id="rId9" Type="http://schemas.openxmlformats.org/officeDocument/2006/relationships/hyperlink" Target="http://www.sec.gov/Archives/edgar/data/1850119/000110465921080760/tm218551d12_8a12b.htm" TargetMode="External"/><Relationship Id="rId10" Type="http://schemas.openxmlformats.org/officeDocument/2006/relationships/image" Target="media/image1.jpeg"/><Relationship Id="rId11" Type="http://schemas.openxmlformats.org/officeDocument/2006/relationships/hyperlink" Target="http://www.sec.gov/ix?doc=/Archives/edgar/data/1850119/000155837025003299/ipsc-20241231x10k.htm" TargetMode="External"/><Relationship Id="rId12" Type="http://schemas.openxmlformats.org/officeDocument/2006/relationships/hyperlink" Target="http://www.sec.gov/ix?doc=/Archives/edgar/data/1850119/000155837025007885/ipsc-20250331x10q.htm" TargetMode="External"/><Relationship Id="rId13" Type="http://schemas.openxmlformats.org/officeDocument/2006/relationships/hyperlink" Target="http://www.sec.gov/ix?doc=/Archives/edgar/data/1850119/000155837025003299/ipsc-20241231x10k.htm" TargetMode="External"/><Relationship Id="rId14" Type="http://schemas.openxmlformats.org/officeDocument/2006/relationships/hyperlink" Target="http://www.sec.gov/ix?doc=/Archives/edgar/data/1850119/000110465925037419/tm252479-4_def14a.htm" TargetMode="External"/><Relationship Id="rId15" Type="http://schemas.openxmlformats.org/officeDocument/2006/relationships/hyperlink" Target="http://www.sec.gov/ix?doc=/Archives/edgar/data/1850119/000110465925019145/tm257938d1_8k.htm" TargetMode="External"/><Relationship Id="rId16" Type="http://schemas.openxmlformats.org/officeDocument/2006/relationships/hyperlink" Target="http://www.sec.gov/ix?doc=/Archives/edgar/data/1850119/000110465925059950/tm2518111d1_8k.htm" TargetMode="External"/><Relationship Id="rId17" Type="http://schemas.openxmlformats.org/officeDocument/2006/relationships/hyperlink" Target="https://www.sec.gov/ix?doc=/Archives/edgar/data/1850119/000110465925066091/tm2519717d1_8k.htm" TargetMode="External"/><Relationship Id="rId18" Type="http://schemas.openxmlformats.org/officeDocument/2006/relationships/hyperlink" Target="http://www.sec.gov/Archives/edgar/data/1850119/000110465921080760/tm218551d12_8a12b.htm" TargetMode="External"/><Relationship Id="rId19" Type="http://schemas.openxmlformats.org/officeDocument/2006/relationships/hyperlink" Target="https://www.sec.gov/ix?doc=/Archives/edgar/data/1850119/000155837025003299/ipsc-20241231x10k.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25815</Words>
  <Characters>136924</Characters>
  <CharactersWithSpaces>163781</CharactersWithSpaces>
  <Paragraphs>1595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