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CENTURY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#15673T100</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1,826,219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7,252,561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7,252,561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12.857%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7,252,561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7,252,561</w:t>
      </w:r>
    </w:p>
    <w:p>
      <w:pPr>
        <w:spacing w:after="0" w:line="237" w:lineRule="auto"/>
        <w:rPr>
          <w:sz w:val="20"/>
          <w:szCs w:val="20"/>
          <w:color w:val="auto"/>
        </w:rPr>
      </w:pPr>
      <w:r>
        <w:rPr>
          <w:rFonts w:ascii="Courier New" w:cs="Courier New" w:eastAsia="Courier New" w:hAnsi="Courier New"/>
          <w:sz w:val="18"/>
          <w:szCs w:val="18"/>
          <w:color w:val="auto"/>
        </w:rPr>
        <w:t>Item 11: 12.857%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CENTURY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3675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19104</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15673T100</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7,252,561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12.857%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1,826,219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7,252,561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CENTURY THERAPEUTICS INC. No one other person's interest in the COMMON STOCK of CENTURY THERAPEUTICS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9,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03"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August 9, 2021, agree and consent to the joint filing on their behalf of this Schedule 13G in connection with their beneficial ownership of the COMMON STOCK of CENTURY THERAPEUTICS INC at July 30,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2021-08-10T09:35:01Z</dcterms:created>
  <dcterms:modified xsi:type="dcterms:W3CDTF">2021-08-10T09:35:01Z</dcterms:modified>
</cp:coreProperties>
</file>