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703580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772160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29"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68"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(Mark One)</w:t>
      </w:r>
    </w:p>
    <w:p>
      <w:pPr>
        <w:spacing w:after="0" w:line="70" w:lineRule="exact"/>
        <w:rPr>
          <w:sz w:val="24"/>
          <w:szCs w:val="24"/>
          <w:color w:val="auto"/>
        </w:rPr>
      </w:pPr>
    </w:p>
    <w:p>
      <w:pPr>
        <w:ind w:left="700" w:hanging="326"/>
        <w:spacing w:after="0"/>
        <w:tabs>
          <w:tab w:leader="none" w:pos="7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2025</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700" w:right="419" w:hanging="326"/>
        <w:spacing w:after="0" w:line="296" w:lineRule="auto"/>
        <w:tabs>
          <w:tab w:leader="none" w:pos="7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1660" w:type="dxa"/>
        <w:tblCellMar>
          <w:top w:w="0" w:type="dxa"/>
          <w:left w:w="0" w:type="dxa"/>
          <w:bottom w:w="0" w:type="dxa"/>
          <w:right w:w="0" w:type="dxa"/>
        </w:tblCellMar>
      </w:tblPr>
      <w:tr>
        <w:trPr>
          <w:trHeight w:val="141"/>
        </w:trPr>
        <w:tc>
          <w:tcPr>
            <w:tcW w:w="3040" w:type="dxa"/>
            <w:vAlign w:val="bottom"/>
          </w:tcPr>
          <w:p>
            <w:pPr>
              <w:ind w:left="1240"/>
              <w:spacing w:after="0" w:line="141" w:lineRule="exact"/>
              <w:rPr>
                <w:sz w:val="20"/>
                <w:szCs w:val="20"/>
                <w:color w:val="auto"/>
              </w:rPr>
            </w:pPr>
            <w:r>
              <w:rPr>
                <w:rFonts w:ascii="Arial" w:cs="Arial" w:eastAsia="Arial" w:hAnsi="Arial"/>
                <w:sz w:val="13"/>
                <w:szCs w:val="13"/>
                <w:b w:val="1"/>
                <w:bCs w:val="1"/>
                <w:color w:val="auto"/>
                <w:w w:val="97"/>
              </w:rPr>
              <w:t>For the transition period from</w:t>
            </w:r>
          </w:p>
        </w:tc>
        <w:tc>
          <w:tcPr>
            <w:tcW w:w="660" w:type="dxa"/>
            <w:vAlign w:val="bottom"/>
            <w:tcBorders>
              <w:bottom w:val="single" w:sz="8" w:color="auto"/>
            </w:tcBorders>
          </w:tcPr>
          <w:p>
            <w:pPr>
              <w:spacing w:after="0"/>
              <w:rPr>
                <w:sz w:val="12"/>
                <w:szCs w:val="12"/>
                <w:color w:val="auto"/>
              </w:rPr>
            </w:pPr>
          </w:p>
        </w:tc>
        <w:tc>
          <w:tcPr>
            <w:tcW w:w="200" w:type="dxa"/>
            <w:vAlign w:val="bottom"/>
          </w:tcPr>
          <w:p>
            <w:pPr>
              <w:ind w:left="80"/>
              <w:spacing w:after="0" w:line="141" w:lineRule="exact"/>
              <w:rPr>
                <w:sz w:val="20"/>
                <w:szCs w:val="20"/>
                <w:color w:val="auto"/>
              </w:rPr>
            </w:pPr>
            <w:r>
              <w:rPr>
                <w:rFonts w:ascii="Arial" w:cs="Arial" w:eastAsia="Arial" w:hAnsi="Arial"/>
                <w:sz w:val="13"/>
                <w:szCs w:val="13"/>
                <w:b w:val="1"/>
                <w:bCs w:val="1"/>
                <w:color w:val="auto"/>
                <w:w w:val="81"/>
              </w:rPr>
              <w:t>to</w:t>
            </w:r>
          </w:p>
        </w:tc>
        <w:tc>
          <w:tcPr>
            <w:tcW w:w="560" w:type="dxa"/>
            <w:vAlign w:val="bottom"/>
            <w:tcBorders>
              <w:bottom w:val="single" w:sz="8" w:color="auto"/>
            </w:tcBorders>
          </w:tcPr>
          <w:p>
            <w:pPr>
              <w:spacing w:after="0"/>
              <w:rPr>
                <w:sz w:val="12"/>
                <w:szCs w:val="12"/>
                <w:color w:val="auto"/>
              </w:rPr>
            </w:pPr>
          </w:p>
        </w:tc>
        <w:tc>
          <w:tcPr>
            <w:tcW w:w="1400" w:type="dxa"/>
            <w:vAlign w:val="bottom"/>
          </w:tcPr>
          <w:p>
            <w:pPr>
              <w:spacing w:after="0"/>
              <w:rPr>
                <w:sz w:val="12"/>
                <w:szCs w:val="12"/>
                <w:color w:val="auto"/>
              </w:rPr>
            </w:pPr>
          </w:p>
        </w:tc>
      </w:tr>
      <w:tr>
        <w:trPr>
          <w:trHeight w:val="215"/>
        </w:trPr>
        <w:tc>
          <w:tcPr>
            <w:tcW w:w="4460" w:type="dxa"/>
            <w:vAlign w:val="bottom"/>
            <w:gridSpan w:val="4"/>
          </w:tcPr>
          <w:p>
            <w:pPr>
              <w:jc w:val="center"/>
              <w:ind w:left="1170"/>
              <w:spacing w:after="0"/>
              <w:rPr>
                <w:sz w:val="20"/>
                <w:szCs w:val="20"/>
                <w:color w:val="auto"/>
              </w:rPr>
            </w:pPr>
            <w:r>
              <w:rPr>
                <w:rFonts w:ascii="Arial" w:cs="Arial" w:eastAsia="Arial" w:hAnsi="Arial"/>
                <w:sz w:val="13"/>
                <w:szCs w:val="13"/>
                <w:b w:val="1"/>
                <w:bCs w:val="1"/>
                <w:color w:val="auto"/>
                <w:w w:val="96"/>
              </w:rPr>
              <w:t>Commission file number: 001-40498</w:t>
            </w:r>
          </w:p>
        </w:tc>
        <w:tc>
          <w:tcPr>
            <w:tcW w:w="1400" w:type="dxa"/>
            <w:vAlign w:val="bottom"/>
          </w:tcPr>
          <w:p>
            <w:pPr>
              <w:spacing w:after="0"/>
              <w:rPr>
                <w:sz w:val="18"/>
                <w:szCs w:val="18"/>
                <w:color w:val="auto"/>
              </w:rPr>
            </w:pPr>
          </w:p>
        </w:tc>
      </w:tr>
      <w:tr>
        <w:trPr>
          <w:trHeight w:val="341"/>
        </w:trPr>
        <w:tc>
          <w:tcPr>
            <w:tcW w:w="4460" w:type="dxa"/>
            <w:vAlign w:val="bottom"/>
            <w:gridSpan w:val="4"/>
          </w:tcPr>
          <w:p>
            <w:pPr>
              <w:jc w:val="center"/>
              <w:ind w:left="1150"/>
              <w:spacing w:after="0"/>
              <w:rPr>
                <w:sz w:val="20"/>
                <w:szCs w:val="20"/>
                <w:color w:val="auto"/>
              </w:rPr>
            </w:pPr>
            <w:r>
              <w:rPr>
                <w:rFonts w:ascii="Arial" w:cs="Arial" w:eastAsia="Arial" w:hAnsi="Arial"/>
                <w:sz w:val="25"/>
                <w:szCs w:val="25"/>
                <w:b w:val="1"/>
                <w:bCs w:val="1"/>
                <w:color w:val="auto"/>
              </w:rPr>
              <w:t>Century Therapeutics, Inc.</w:t>
            </w:r>
          </w:p>
        </w:tc>
        <w:tc>
          <w:tcPr>
            <w:tcW w:w="1400" w:type="dxa"/>
            <w:vAlign w:val="bottom"/>
          </w:tcPr>
          <w:p>
            <w:pPr>
              <w:spacing w:after="0"/>
              <w:rPr>
                <w:sz w:val="24"/>
                <w:szCs w:val="24"/>
                <w:color w:val="auto"/>
              </w:rPr>
            </w:pPr>
          </w:p>
        </w:tc>
      </w:tr>
      <w:tr>
        <w:trPr>
          <w:trHeight w:val="166"/>
        </w:trPr>
        <w:tc>
          <w:tcPr>
            <w:tcW w:w="4460" w:type="dxa"/>
            <w:vAlign w:val="bottom"/>
            <w:gridSpan w:val="4"/>
          </w:tcPr>
          <w:p>
            <w:pPr>
              <w:jc w:val="center"/>
              <w:ind w:left="1150"/>
              <w:spacing w:after="0"/>
              <w:rPr>
                <w:sz w:val="20"/>
                <w:szCs w:val="20"/>
                <w:color w:val="auto"/>
              </w:rPr>
            </w:pPr>
            <w:r>
              <w:rPr>
                <w:rFonts w:ascii="Arial" w:cs="Arial" w:eastAsia="Arial" w:hAnsi="Arial"/>
                <w:sz w:val="13"/>
                <w:szCs w:val="13"/>
                <w:color w:val="auto"/>
                <w:w w:val="97"/>
              </w:rPr>
              <w:t>(Exact name of registrant as specified in its charter)</w:t>
            </w:r>
          </w:p>
        </w:tc>
        <w:tc>
          <w:tcPr>
            <w:tcW w:w="1400" w:type="dxa"/>
            <w:vAlign w:val="bottom"/>
          </w:tcPr>
          <w:p>
            <w:pPr>
              <w:spacing w:after="0"/>
              <w:rPr>
                <w:sz w:val="14"/>
                <w:szCs w:val="14"/>
                <w:color w:val="auto"/>
              </w:rPr>
            </w:pPr>
          </w:p>
        </w:tc>
      </w:tr>
      <w:tr>
        <w:trPr>
          <w:trHeight w:val="199"/>
        </w:trPr>
        <w:tc>
          <w:tcPr>
            <w:tcW w:w="3040" w:type="dxa"/>
            <w:vAlign w:val="bottom"/>
          </w:tcPr>
          <w:p>
            <w:pPr>
              <w:jc w:val="center"/>
              <w:ind w:right="1330"/>
              <w:spacing w:after="0"/>
              <w:rPr>
                <w:sz w:val="20"/>
                <w:szCs w:val="20"/>
                <w:color w:val="auto"/>
              </w:rPr>
            </w:pPr>
            <w:r>
              <w:rPr>
                <w:rFonts w:ascii="Arial" w:cs="Arial" w:eastAsia="Arial" w:hAnsi="Arial"/>
                <w:sz w:val="13"/>
                <w:szCs w:val="13"/>
                <w:b w:val="1"/>
                <w:bCs w:val="1"/>
                <w:color w:val="auto"/>
                <w:w w:val="98"/>
              </w:rPr>
              <w:t>Delaware</w:t>
            </w:r>
          </w:p>
        </w:tc>
        <w:tc>
          <w:tcPr>
            <w:tcW w:w="1420" w:type="dxa"/>
            <w:vAlign w:val="bottom"/>
            <w:gridSpan w:val="3"/>
          </w:tcPr>
          <w:p>
            <w:pPr>
              <w:ind w:left="280"/>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77"/>
              <w:spacing w:after="0"/>
              <w:rPr>
                <w:sz w:val="20"/>
                <w:szCs w:val="20"/>
                <w:color w:val="auto"/>
              </w:rPr>
            </w:pPr>
            <w:r>
              <w:rPr>
                <w:rFonts w:ascii="Arial" w:cs="Arial" w:eastAsia="Arial" w:hAnsi="Arial"/>
                <w:sz w:val="13"/>
                <w:szCs w:val="13"/>
                <w:b w:val="1"/>
                <w:bCs w:val="1"/>
                <w:color w:val="auto"/>
              </w:rPr>
              <w:t>84-2040295</w:t>
            </w:r>
          </w:p>
        </w:tc>
      </w:tr>
      <w:tr>
        <w:trPr>
          <w:trHeight w:val="135"/>
        </w:trPr>
        <w:tc>
          <w:tcPr>
            <w:tcW w:w="3040" w:type="dxa"/>
            <w:vAlign w:val="bottom"/>
          </w:tcPr>
          <w:p>
            <w:pPr>
              <w:jc w:val="center"/>
              <w:ind w:right="1310"/>
              <w:spacing w:after="0" w:line="135" w:lineRule="exact"/>
              <w:rPr>
                <w:sz w:val="20"/>
                <w:szCs w:val="20"/>
                <w:color w:val="auto"/>
              </w:rPr>
            </w:pPr>
            <w:r>
              <w:rPr>
                <w:rFonts w:ascii="Arial" w:cs="Arial" w:eastAsia="Arial" w:hAnsi="Arial"/>
                <w:sz w:val="13"/>
                <w:szCs w:val="13"/>
                <w:color w:val="auto"/>
                <w:w w:val="97"/>
              </w:rPr>
              <w:t>(State or other jurisdiction of</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jc w:val="center"/>
              <w:ind w:left="377"/>
              <w:spacing w:after="0" w:line="135" w:lineRule="exact"/>
              <w:rPr>
                <w:sz w:val="20"/>
                <w:szCs w:val="20"/>
                <w:color w:val="auto"/>
              </w:rPr>
            </w:pPr>
            <w:r>
              <w:rPr>
                <w:rFonts w:ascii="Arial" w:cs="Arial" w:eastAsia="Arial" w:hAnsi="Arial"/>
                <w:sz w:val="13"/>
                <w:szCs w:val="13"/>
                <w:color w:val="auto"/>
                <w:w w:val="96"/>
              </w:rPr>
              <w:t>(I.R.S. Employer</w:t>
            </w:r>
          </w:p>
        </w:tc>
      </w:tr>
      <w:tr>
        <w:trPr>
          <w:trHeight w:val="135"/>
        </w:trPr>
        <w:tc>
          <w:tcPr>
            <w:tcW w:w="3040" w:type="dxa"/>
            <w:vAlign w:val="bottom"/>
          </w:tcPr>
          <w:p>
            <w:pPr>
              <w:jc w:val="center"/>
              <w:ind w:right="1330"/>
              <w:spacing w:after="0" w:line="135" w:lineRule="exact"/>
              <w:rPr>
                <w:sz w:val="20"/>
                <w:szCs w:val="20"/>
                <w:color w:val="auto"/>
              </w:rPr>
            </w:pPr>
            <w:r>
              <w:rPr>
                <w:rFonts w:ascii="Arial" w:cs="Arial" w:eastAsia="Arial" w:hAnsi="Arial"/>
                <w:sz w:val="13"/>
                <w:szCs w:val="13"/>
                <w:color w:val="auto"/>
                <w:w w:val="96"/>
              </w:rPr>
              <w:t>incorporation or organization)</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jc w:val="center"/>
              <w:ind w:left="357"/>
              <w:spacing w:after="0" w:line="135" w:lineRule="exact"/>
              <w:rPr>
                <w:sz w:val="20"/>
                <w:szCs w:val="20"/>
                <w:color w:val="auto"/>
              </w:rPr>
            </w:pPr>
            <w:r>
              <w:rPr>
                <w:rFonts w:ascii="Arial" w:cs="Arial" w:eastAsia="Arial" w:hAnsi="Arial"/>
                <w:sz w:val="13"/>
                <w:szCs w:val="13"/>
                <w:color w:val="auto"/>
                <w:w w:val="96"/>
              </w:rPr>
              <w:t>Identification No.)</w:t>
            </w:r>
          </w:p>
        </w:tc>
      </w:tr>
      <w:tr>
        <w:trPr>
          <w:trHeight w:val="135"/>
        </w:trPr>
        <w:tc>
          <w:tcPr>
            <w:tcW w:w="3040" w:type="dxa"/>
            <w:vAlign w:val="bottom"/>
          </w:tcPr>
          <w:p>
            <w:pPr>
              <w:jc w:val="center"/>
              <w:ind w:right="1310"/>
              <w:spacing w:after="0" w:line="135" w:lineRule="exact"/>
              <w:rPr>
                <w:sz w:val="20"/>
                <w:szCs w:val="20"/>
                <w:color w:val="auto"/>
              </w:rPr>
            </w:pPr>
            <w:r>
              <w:rPr>
                <w:rFonts w:ascii="Arial" w:cs="Arial" w:eastAsia="Arial" w:hAnsi="Arial"/>
                <w:sz w:val="13"/>
                <w:szCs w:val="13"/>
                <w:b w:val="1"/>
                <w:bCs w:val="1"/>
                <w:color w:val="auto"/>
                <w:w w:val="96"/>
              </w:rPr>
              <w:t>25 N 38th Street, 11th Floor</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19104</w:t>
            </w:r>
          </w:p>
        </w:tc>
      </w:tr>
      <w:tr>
        <w:trPr>
          <w:trHeight w:val="147"/>
        </w:trPr>
        <w:tc>
          <w:tcPr>
            <w:tcW w:w="3040" w:type="dxa"/>
            <w:vAlign w:val="bottom"/>
          </w:tcPr>
          <w:p>
            <w:pPr>
              <w:jc w:val="center"/>
              <w:ind w:right="1310"/>
              <w:spacing w:after="0" w:line="147" w:lineRule="exact"/>
              <w:rPr>
                <w:sz w:val="20"/>
                <w:szCs w:val="20"/>
                <w:color w:val="auto"/>
              </w:rPr>
            </w:pPr>
            <w:r>
              <w:rPr>
                <w:rFonts w:ascii="Arial" w:cs="Arial" w:eastAsia="Arial" w:hAnsi="Arial"/>
                <w:sz w:val="13"/>
                <w:szCs w:val="13"/>
                <w:b w:val="1"/>
                <w:bCs w:val="1"/>
                <w:color w:val="auto"/>
                <w:w w:val="97"/>
              </w:rPr>
              <w:t>Philadelphia, Pennsylvania</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Pr>
          <w:p>
            <w:pPr>
              <w:jc w:val="center"/>
              <w:ind w:left="377"/>
              <w:spacing w:after="0" w:line="147" w:lineRule="exact"/>
              <w:rPr>
                <w:sz w:val="20"/>
                <w:szCs w:val="20"/>
                <w:color w:val="auto"/>
              </w:rPr>
            </w:pPr>
            <w:r>
              <w:rPr>
                <w:rFonts w:ascii="Arial" w:cs="Arial" w:eastAsia="Arial" w:hAnsi="Arial"/>
                <w:sz w:val="13"/>
                <w:szCs w:val="13"/>
                <w:color w:val="auto"/>
                <w:w w:val="97"/>
              </w:rPr>
              <w:t>(Zip Code)</w:t>
            </w:r>
          </w:p>
        </w:tc>
      </w:tr>
    </w:tbl>
    <w:p>
      <w:pPr>
        <w:ind w:left="1400"/>
        <w:spacing w:after="0"/>
        <w:rPr>
          <w:sz w:val="20"/>
          <w:szCs w:val="20"/>
          <w:color w:val="auto"/>
        </w:rPr>
      </w:pPr>
      <w:r>
        <w:rPr>
          <w:rFonts w:ascii="Arial" w:cs="Arial" w:eastAsia="Arial" w:hAnsi="Arial"/>
          <w:sz w:val="13"/>
          <w:szCs w:val="13"/>
          <w:color w:val="auto"/>
        </w:rPr>
        <w:t>(Address of principal executive offices)</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(267) 817-5790</w:t>
      </w: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37465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52" w:lineRule="exact"/>
        <w:rPr>
          <w:sz w:val="24"/>
          <w:szCs w:val="24"/>
          <w:color w:val="auto"/>
        </w:rPr>
      </w:pPr>
    </w:p>
    <w:tbl>
      <w:tblPr>
        <w:tblLayout w:type="fixed"/>
        <w:tblInd w:w="60" w:type="dxa"/>
        <w:tblCellMar>
          <w:top w:w="0" w:type="dxa"/>
          <w:left w:w="0" w:type="dxa"/>
          <w:bottom w:w="0" w:type="dxa"/>
          <w:right w:w="0" w:type="dxa"/>
        </w:tblCellMar>
      </w:tblPr>
      <w:tr>
        <w:trPr>
          <w:trHeight w:val="149"/>
        </w:trPr>
        <w:tc>
          <w:tcPr>
            <w:tcW w:w="2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76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2360" w:type="dxa"/>
            <w:vAlign w:val="bottom"/>
          </w:tcPr>
          <w:p>
            <w:pPr>
              <w:jc w:val="center"/>
              <w:ind w:right="557"/>
              <w:spacing w:after="0"/>
              <w:rPr>
                <w:sz w:val="20"/>
                <w:szCs w:val="20"/>
                <w:color w:val="auto"/>
              </w:rPr>
            </w:pPr>
            <w:r>
              <w:rPr>
                <w:rFonts w:ascii="Arial" w:cs="Arial" w:eastAsia="Arial" w:hAnsi="Arial"/>
                <w:sz w:val="13"/>
                <w:szCs w:val="13"/>
                <w:b w:val="1"/>
                <w:bCs w:val="1"/>
                <w:color w:val="auto"/>
                <w:w w:val="96"/>
              </w:rPr>
              <w:t>Trading</w:t>
            </w:r>
          </w:p>
        </w:tc>
        <w:tc>
          <w:tcPr>
            <w:tcW w:w="2840" w:type="dxa"/>
            <w:vAlign w:val="bottom"/>
            <w:gridSpan w:val="2"/>
            <w:vMerge w:val="restart"/>
          </w:tcPr>
          <w:p>
            <w:pPr>
              <w:ind w:left="80"/>
              <w:spacing w:after="0"/>
              <w:rPr>
                <w:sz w:val="20"/>
                <w:szCs w:val="20"/>
                <w:color w:val="auto"/>
              </w:rPr>
            </w:pPr>
            <w:r>
              <w:rPr>
                <w:rFonts w:ascii="Arial" w:cs="Arial" w:eastAsia="Arial" w:hAnsi="Arial"/>
                <w:sz w:val="13"/>
                <w:szCs w:val="13"/>
                <w:color w:val="auto"/>
                <w:w w:val="99"/>
              </w:rPr>
              <w:t>​​​</w:t>
            </w:r>
            <w:r>
              <w:rPr>
                <w:rFonts w:ascii="Arial" w:cs="Arial" w:eastAsia="Arial" w:hAnsi="Arial"/>
                <w:sz w:val="13"/>
                <w:szCs w:val="13"/>
                <w:b w:val="1"/>
                <w:bCs w:val="1"/>
                <w:color w:val="auto"/>
                <w:w w:val="99"/>
              </w:rPr>
              <w:t>Name of each exchange on which registered</w:t>
            </w:r>
          </w:p>
        </w:tc>
        <w:tc>
          <w:tcPr>
            <w:tcW w:w="0" w:type="dxa"/>
            <w:vAlign w:val="bottom"/>
          </w:tcPr>
          <w:p>
            <w:pPr>
              <w:spacing w:after="0"/>
              <w:rPr>
                <w:sz w:val="1"/>
                <w:szCs w:val="1"/>
                <w:color w:val="auto"/>
              </w:rPr>
            </w:pPr>
          </w:p>
        </w:tc>
      </w:tr>
      <w:tr>
        <w:trPr>
          <w:trHeight w:val="104"/>
        </w:trPr>
        <w:tc>
          <w:tcPr>
            <w:tcW w:w="29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360" w:type="dxa"/>
            <w:vAlign w:val="bottom"/>
            <w:vMerge w:val="restart"/>
          </w:tcPr>
          <w:p>
            <w:pPr>
              <w:jc w:val="center"/>
              <w:ind w:right="517"/>
              <w:spacing w:after="0"/>
              <w:rPr>
                <w:sz w:val="20"/>
                <w:szCs w:val="20"/>
                <w:color w:val="auto"/>
              </w:rPr>
            </w:pPr>
            <w:r>
              <w:rPr>
                <w:rFonts w:ascii="Arial" w:cs="Arial" w:eastAsia="Arial" w:hAnsi="Arial"/>
                <w:sz w:val="13"/>
                <w:szCs w:val="13"/>
                <w:b w:val="1"/>
                <w:bCs w:val="1"/>
                <w:color w:val="auto"/>
                <w:w w:val="98"/>
              </w:rPr>
              <w:t>Symbol(s)</w:t>
            </w:r>
          </w:p>
        </w:tc>
        <w:tc>
          <w:tcPr>
            <w:tcW w:w="2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9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940" w:type="dxa"/>
            <w:vAlign w:val="bottom"/>
          </w:tcPr>
          <w:p>
            <w:pPr>
              <w:jc w:val="center"/>
              <w:spacing w:after="0"/>
              <w:rPr>
                <w:sz w:val="20"/>
                <w:szCs w:val="20"/>
                <w:color w:val="auto"/>
              </w:rPr>
            </w:pPr>
            <w:r>
              <w:rPr>
                <w:rFonts w:ascii="Arial" w:cs="Arial" w:eastAsia="Arial" w:hAnsi="Arial"/>
                <w:sz w:val="13"/>
                <w:szCs w:val="13"/>
                <w:color w:val="auto"/>
                <w:w w:val="96"/>
              </w:rPr>
              <w:t>Common Stock, $0.0001 par value per share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60" w:type="dxa"/>
            <w:vAlign w:val="bottom"/>
          </w:tcPr>
          <w:p>
            <w:pPr>
              <w:jc w:val="center"/>
              <w:ind w:right="517"/>
              <w:spacing w:after="0"/>
              <w:rPr>
                <w:sz w:val="20"/>
                <w:szCs w:val="20"/>
                <w:color w:val="auto"/>
              </w:rPr>
            </w:pPr>
            <w:r>
              <w:rPr>
                <w:rFonts w:ascii="Arial" w:cs="Arial" w:eastAsia="Arial" w:hAnsi="Arial"/>
                <w:sz w:val="13"/>
                <w:szCs w:val="13"/>
                <w:color w:val="auto"/>
                <w:w w:val="98"/>
              </w:rPr>
              <w:t>IPSC</w:t>
            </w:r>
          </w:p>
        </w:tc>
        <w:tc>
          <w:tcPr>
            <w:tcW w:w="180" w:type="dxa"/>
            <w:vAlign w:val="bottom"/>
          </w:tcPr>
          <w:p>
            <w:pPr>
              <w:spacing w:after="0"/>
              <w:rPr>
                <w:sz w:val="14"/>
                <w:szCs w:val="14"/>
                <w:color w:val="auto"/>
              </w:rPr>
            </w:pPr>
          </w:p>
        </w:tc>
        <w:tc>
          <w:tcPr>
            <w:tcW w:w="2660" w:type="dxa"/>
            <w:vAlign w:val="bottom"/>
          </w:tcPr>
          <w:p>
            <w:pPr>
              <w:ind w:left="560"/>
              <w:spacing w:after="0"/>
              <w:rPr>
                <w:sz w:val="20"/>
                <w:szCs w:val="20"/>
                <w:color w:val="auto"/>
              </w:rPr>
            </w:pPr>
            <w:r>
              <w:rPr>
                <w:rFonts w:ascii="Arial" w:cs="Arial" w:eastAsia="Arial" w:hAnsi="Arial"/>
                <w:sz w:val="13"/>
                <w:szCs w:val="13"/>
                <w:color w:val="auto"/>
              </w:rPr>
              <w:t>The Nasdaq Capital Market</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700" w:right="1019"/>
        <w:spacing w:after="0" w:line="22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3" w:lineRule="exact"/>
        <w:rPr>
          <w:sz w:val="24"/>
          <w:szCs w:val="24"/>
          <w:color w:val="auto"/>
        </w:rPr>
      </w:pPr>
    </w:p>
    <w:p>
      <w:pPr>
        <w:ind w:left="60" w:right="259" w:firstLine="648"/>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4" w:lineRule="exact"/>
        <w:rPr>
          <w:sz w:val="24"/>
          <w:szCs w:val="24"/>
          <w:color w:val="auto"/>
        </w:rPr>
      </w:pPr>
    </w:p>
    <w:p>
      <w:pPr>
        <w:ind w:left="60" w:right="99" w:firstLine="648"/>
        <w:spacing w:after="0" w:line="25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4" w:lineRule="exact"/>
        <w:rPr>
          <w:sz w:val="24"/>
          <w:szCs w:val="24"/>
          <w:color w:val="auto"/>
        </w:rPr>
      </w:pPr>
    </w:p>
    <w:p>
      <w:pPr>
        <w:ind w:left="60" w:right="79" w:firstLine="648"/>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1500" w:type="dxa"/>
        <w:tblCellMar>
          <w:top w:w="0" w:type="dxa"/>
          <w:left w:w="0" w:type="dxa"/>
          <w:bottom w:w="0" w:type="dxa"/>
          <w:right w:w="0" w:type="dxa"/>
        </w:tblCellMar>
      </w:tblPr>
      <w:tr>
        <w:trPr>
          <w:trHeight w:val="155"/>
        </w:trPr>
        <w:tc>
          <w:tcPr>
            <w:tcW w:w="2780" w:type="dxa"/>
            <w:vAlign w:val="bottom"/>
          </w:tcPr>
          <w:p>
            <w:pPr>
              <w:jc w:val="center"/>
              <w:ind w:right="1317"/>
              <w:spacing w:after="0" w:line="150" w:lineRule="exact"/>
              <w:rPr>
                <w:sz w:val="20"/>
                <w:szCs w:val="20"/>
                <w:color w:val="auto"/>
              </w:rPr>
            </w:pPr>
            <w:r>
              <w:rPr>
                <w:rFonts w:ascii="Arial" w:cs="Arial" w:eastAsia="Arial" w:hAnsi="Arial"/>
                <w:sz w:val="13"/>
                <w:szCs w:val="13"/>
                <w:color w:val="auto"/>
                <w:w w:val="96"/>
              </w:rPr>
              <w:t xml:space="preserve">Large accelerated filer </w:t>
            </w:r>
            <w:r>
              <w:rPr>
                <w:rFonts w:ascii="MS PGothic" w:cs="MS PGothic" w:eastAsia="MS PGothic" w:hAnsi="MS PGothic"/>
                <w:sz w:val="13"/>
                <w:szCs w:val="13"/>
                <w:color w:val="auto"/>
                <w:w w:val="96"/>
              </w:rPr>
              <w:t>☐</w:t>
            </w: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 xml:space="preserve">Accelerated filer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149"/>
        </w:trPr>
        <w:tc>
          <w:tcPr>
            <w:tcW w:w="2780" w:type="dxa"/>
            <w:vAlign w:val="bottom"/>
            <w:vMerge w:val="restart"/>
          </w:tcPr>
          <w:p>
            <w:pPr>
              <w:jc w:val="center"/>
              <w:ind w:right="1297"/>
              <w:spacing w:after="0" w:line="150" w:lineRule="exact"/>
              <w:rPr>
                <w:sz w:val="20"/>
                <w:szCs w:val="20"/>
                <w:color w:val="auto"/>
              </w:rPr>
            </w:pPr>
            <w:r>
              <w:rPr>
                <w:rFonts w:ascii="Arial" w:cs="Arial" w:eastAsia="Arial" w:hAnsi="Arial"/>
                <w:sz w:val="13"/>
                <w:szCs w:val="13"/>
                <w:color w:val="auto"/>
                <w:w w:val="95"/>
              </w:rPr>
              <w:t xml:space="preserve">Non-accelerated filer </w:t>
            </w:r>
            <w:r>
              <w:rPr>
                <w:rFonts w:ascii="MS PGothic" w:cs="MS PGothic" w:eastAsia="MS PGothic" w:hAnsi="MS PGothic"/>
                <w:sz w:val="13"/>
                <w:szCs w:val="13"/>
                <w:color w:val="auto"/>
                <w:w w:val="95"/>
              </w:rPr>
              <w:t>☒</w:t>
            </w: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 xml:space="preserve">Smaller reporting company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Emerging growth company</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60" w:right="99" w:firstLine="648"/>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ind w:left="60" w:right="479" w:firstLine="648"/>
        <w:spacing w:after="0" w:line="254"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ind w:left="60"/>
        <w:spacing w:after="0" w:line="150" w:lineRule="exact"/>
        <w:rPr>
          <w:sz w:val="20"/>
          <w:szCs w:val="20"/>
          <w:color w:val="auto"/>
        </w:rPr>
      </w:pPr>
      <w:r>
        <w:rPr>
          <w:rFonts w:ascii="Arial" w:cs="Arial" w:eastAsia="Arial" w:hAnsi="Arial"/>
          <w:sz w:val="13"/>
          <w:szCs w:val="13"/>
          <w:color w:val="auto"/>
        </w:rPr>
        <w:t xml:space="preserve">prepared or issued its audit report. </w:t>
      </w:r>
      <w:r>
        <w:rPr>
          <w:rFonts w:ascii="MS PGothic" w:cs="MS PGothic" w:eastAsia="MS PGothic" w:hAnsi="MS PGothic"/>
          <w:sz w:val="13"/>
          <w:szCs w:val="13"/>
          <w:color w:val="auto"/>
        </w:rPr>
        <w:t>☐</w:t>
      </w:r>
    </w:p>
    <w:p>
      <w:pPr>
        <w:spacing w:after="0" w:line="44" w:lineRule="exact"/>
        <w:rPr>
          <w:sz w:val="24"/>
          <w:szCs w:val="24"/>
          <w:color w:val="auto"/>
        </w:rPr>
      </w:pPr>
    </w:p>
    <w:p>
      <w:pPr>
        <w:ind w:left="60" w:right="119" w:firstLine="648"/>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 w:lineRule="exact"/>
        <w:rPr>
          <w:sz w:val="24"/>
          <w:szCs w:val="24"/>
          <w:color w:val="auto"/>
        </w:rPr>
      </w:pPr>
    </w:p>
    <w:p>
      <w:pPr>
        <w:ind w:left="60" w:right="139" w:firstLine="683"/>
        <w:spacing w:after="0" w:line="167"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s executive officers during the relevant recovery period pursuant to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240.10D-1(b). </w:t>
      </w:r>
      <w:r>
        <w:rPr>
          <w:rFonts w:ascii="MS PGothic" w:cs="MS PGothic" w:eastAsia="MS PGothic" w:hAnsi="MS PGothic"/>
          <w:sz w:val="13"/>
          <w:szCs w:val="13"/>
          <w:color w:val="auto"/>
        </w:rPr>
        <w:t>☐</w:t>
      </w:r>
    </w:p>
    <w:p>
      <w:pPr>
        <w:spacing w:after="0" w:line="4" w:lineRule="exact"/>
        <w:rPr>
          <w:sz w:val="24"/>
          <w:szCs w:val="24"/>
          <w:color w:val="auto"/>
        </w:rPr>
      </w:pPr>
    </w:p>
    <w:p>
      <w:pPr>
        <w:ind w:left="70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ind w:left="60" w:right="239" w:firstLine="648"/>
        <w:spacing w:after="0" w:line="243" w:lineRule="auto"/>
        <w:rPr>
          <w:sz w:val="20"/>
          <w:szCs w:val="20"/>
          <w:color w:val="auto"/>
        </w:rPr>
      </w:pPr>
      <w:r>
        <w:rPr>
          <w:rFonts w:ascii="Arial" w:cs="Arial" w:eastAsia="Arial" w:hAnsi="Arial"/>
          <w:sz w:val="13"/>
          <w:szCs w:val="13"/>
          <w:color w:val="auto"/>
        </w:rPr>
        <w:t>The aggregate market value of the registrant’s voting stock held by non-affiliates of the registrant was approximately $212,506,473 as of June 30, 2025, the last business day of the registrant’s last completed second quarter.</w:t>
      </w:r>
    </w:p>
    <w:p>
      <w:pPr>
        <w:spacing w:after="0" w:line="35" w:lineRule="exact"/>
        <w:rPr>
          <w:sz w:val="24"/>
          <w:szCs w:val="24"/>
          <w:color w:val="auto"/>
        </w:rPr>
      </w:pPr>
    </w:p>
    <w:p>
      <w:pPr>
        <w:ind w:left="700"/>
        <w:spacing w:after="0"/>
        <w:rPr>
          <w:sz w:val="20"/>
          <w:szCs w:val="20"/>
          <w:color w:val="auto"/>
        </w:rPr>
      </w:pPr>
      <w:r>
        <w:rPr>
          <w:rFonts w:ascii="Arial" w:cs="Arial" w:eastAsia="Arial" w:hAnsi="Arial"/>
          <w:sz w:val="13"/>
          <w:szCs w:val="13"/>
          <w:color w:val="auto"/>
        </w:rPr>
        <w:t>As of February 28, 2026, the registrant had 179,722,750 shares of Common Stock, $0.0001 par value per share, outstanding.</w:t>
      </w:r>
    </w:p>
    <w:p>
      <w:pPr>
        <w:spacing w:after="0" w:line="53" w:lineRule="exact"/>
        <w:rPr>
          <w:sz w:val="24"/>
          <w:szCs w:val="24"/>
          <w:color w:val="auto"/>
        </w:rPr>
      </w:pPr>
    </w:p>
    <w:p>
      <w:pPr>
        <w:ind w:left="30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0" w:lineRule="exact"/>
        <w:rPr>
          <w:sz w:val="24"/>
          <w:szCs w:val="24"/>
          <w:color w:val="auto"/>
        </w:rPr>
      </w:pPr>
    </w:p>
    <w:p>
      <w:pPr>
        <w:ind w:left="60" w:right="79" w:firstLine="648"/>
        <w:spacing w:after="0" w:line="243" w:lineRule="auto"/>
        <w:rPr>
          <w:sz w:val="20"/>
          <w:szCs w:val="20"/>
          <w:color w:val="auto"/>
        </w:rPr>
      </w:pPr>
      <w:r>
        <w:rPr>
          <w:rFonts w:ascii="Arial" w:cs="Arial" w:eastAsia="Arial" w:hAnsi="Arial"/>
          <w:sz w:val="13"/>
          <w:szCs w:val="13"/>
          <w:color w:val="auto"/>
        </w:rPr>
        <w:t>Part III of this Annual Report on Form 10-K incorporates certain information by reference from the registrant’s definitive proxy statement for the 2025 annual meeting of shareholders to be filed no later than 120 days after the end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453390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33655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76200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p>
      <w:pPr>
        <w:ind w:left="260"/>
        <w:spacing w:after="0"/>
        <w:tabs>
          <w:tab w:leader="none" w:pos="8360" w:val="left"/>
        </w:tabs>
        <w:rPr>
          <w:sz w:val="20"/>
          <w:szCs w:val="20"/>
          <w:color w:val="auto"/>
        </w:rPr>
      </w:pPr>
      <w:r>
        <w:rPr>
          <w:rFonts w:ascii="Arial" w:cs="Arial" w:eastAsia="Arial" w:hAnsi="Arial"/>
          <w:sz w:val="16"/>
          <w:szCs w:val="16"/>
          <w:b w:val="1"/>
          <w:bCs w:val="1"/>
          <w:color w:val="auto"/>
        </w:rPr>
        <w:t>Item No.</w:t>
      </w:r>
      <w:r>
        <w:rPr>
          <w:sz w:val="20"/>
          <w:szCs w:val="20"/>
          <w:color w:val="auto"/>
        </w:rPr>
        <w:tab/>
      </w:r>
      <w:r>
        <w:rPr>
          <w:rFonts w:ascii="Arial" w:cs="Arial" w:eastAsia="Arial" w:hAnsi="Arial"/>
          <w:sz w:val="15"/>
          <w:szCs w:val="15"/>
          <w:b w:val="1"/>
          <w:bCs w:val="1"/>
          <w:color w:val="auto"/>
        </w:rPr>
        <w:t>Page</w:t>
      </w:r>
    </w:p>
    <w:p>
      <w:pPr>
        <w:spacing w:after="0" w:line="21"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CAUTIONARY NOTE REGARDING FORWARD-LOOKING STATEMENTS</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40" w:type="dxa"/>
            <w:vAlign w:val="bottom"/>
            <w:gridSpan w:val="16"/>
          </w:tcPr>
          <w:p>
            <w:pPr>
              <w:jc w:val="center"/>
              <w:ind w:right="3380"/>
              <w:spacing w:after="0"/>
              <w:rPr>
                <w:sz w:val="20"/>
                <w:szCs w:val="20"/>
                <w:color w:val="auto"/>
              </w:rPr>
            </w:pPr>
            <w:r>
              <w:rPr>
                <w:rFonts w:ascii="Arial" w:cs="Arial" w:eastAsia="Arial" w:hAnsi="Arial"/>
                <w:sz w:val="16"/>
                <w:szCs w:val="16"/>
                <w:b w:val="1"/>
                <w:bCs w:val="1"/>
                <w:color w:val="0000EE"/>
                <w:w w:val="99"/>
              </w:rPr>
              <w:t>PART I</w:t>
            </w:r>
          </w:p>
        </w:tc>
      </w:tr>
      <w:tr>
        <w:trPr>
          <w:trHeight w:val="223"/>
        </w:trPr>
        <w:tc>
          <w:tcPr>
            <w:tcW w:w="1060" w:type="dxa"/>
            <w:vAlign w:val="bottom"/>
            <w:gridSpan w:val="4"/>
          </w:tcPr>
          <w:p>
            <w:pPr>
              <w:spacing w:after="0"/>
              <w:rPr>
                <w:sz w:val="20"/>
                <w:szCs w:val="20"/>
                <w:color w:val="auto"/>
              </w:rPr>
            </w:pPr>
            <w:r>
              <w:rPr>
                <w:rFonts w:ascii="Arial" w:cs="Arial" w:eastAsia="Arial" w:hAnsi="Arial"/>
                <w:sz w:val="16"/>
                <w:szCs w:val="16"/>
                <w:color w:val="0000EE"/>
              </w:rPr>
              <w:t>ITEM 1.</w:t>
            </w:r>
          </w:p>
        </w:tc>
        <w:tc>
          <w:tcPr>
            <w:tcW w:w="3120" w:type="dxa"/>
            <w:vAlign w:val="bottom"/>
            <w:gridSpan w:val="18"/>
          </w:tcPr>
          <w:p>
            <w:pPr>
              <w:spacing w:after="0"/>
              <w:rPr>
                <w:sz w:val="20"/>
                <w:szCs w:val="20"/>
                <w:color w:val="auto"/>
              </w:rPr>
            </w:pPr>
            <w:r>
              <w:rPr>
                <w:rFonts w:ascii="Arial" w:cs="Arial" w:eastAsia="Arial" w:hAnsi="Arial"/>
                <w:sz w:val="16"/>
                <w:szCs w:val="16"/>
                <w:color w:val="0000EE"/>
              </w:rPr>
              <w:t>BUSINESS</w:t>
            </w:r>
          </w:p>
        </w:tc>
        <w:tc>
          <w:tcPr>
            <w:tcW w:w="540" w:type="dxa"/>
            <w:vAlign w:val="bottom"/>
            <w:tcBorders>
              <w:top w:val="single" w:sz="8" w:color="0000EE"/>
            </w:tcBorders>
          </w:tcPr>
          <w:p>
            <w:pPr>
              <w:spacing w:after="0"/>
              <w:rPr>
                <w:sz w:val="19"/>
                <w:szCs w:val="19"/>
                <w:color w:val="auto"/>
              </w:rPr>
            </w:pPr>
          </w:p>
        </w:tc>
        <w:tc>
          <w:tcPr>
            <w:tcW w:w="3380" w:type="dxa"/>
            <w:vAlign w:val="bottom"/>
            <w:gridSpan w:val="14"/>
          </w:tcPr>
          <w:p>
            <w:pPr>
              <w:spacing w:after="0"/>
              <w:rPr>
                <w:sz w:val="19"/>
                <w:szCs w:val="19"/>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1A.</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RISK FACTORS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1B.</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UNRESOLVED STAFF COMMENTS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8"/>
              </w:rPr>
              <w:t>ITEM 1C.</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CYBERSECURITY</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 w:type="dxa"/>
            <w:vAlign w:val="bottom"/>
            <w:gridSpan w:val="3"/>
          </w:tcPr>
          <w:p>
            <w:pPr>
              <w:spacing w:after="0" w:line="183" w:lineRule="exact"/>
              <w:rPr>
                <w:sz w:val="20"/>
                <w:szCs w:val="20"/>
                <w:color w:val="auto"/>
              </w:rPr>
            </w:pPr>
            <w:r>
              <w:rPr>
                <w:rFonts w:ascii="Arial" w:cs="Arial" w:eastAsia="Arial" w:hAnsi="Arial"/>
                <w:sz w:val="16"/>
                <w:szCs w:val="16"/>
                <w:color w:val="0000EE"/>
              </w:rPr>
              <w:t>ITEM 2.</w:t>
            </w:r>
          </w:p>
        </w:tc>
        <w:tc>
          <w:tcPr>
            <w:tcW w:w="34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PROPERTIES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3.</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LEGAL PROCEEDINGS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4.</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MINE SAFETY DISCLOSURES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gridSpan w:val="16"/>
          </w:tcPr>
          <w:p>
            <w:pPr>
              <w:jc w:val="center"/>
              <w:ind w:right="3380"/>
              <w:spacing w:after="0" w:line="183" w:lineRule="exact"/>
              <w:rPr>
                <w:sz w:val="20"/>
                <w:szCs w:val="20"/>
                <w:color w:val="auto"/>
              </w:rPr>
            </w:pPr>
            <w:r>
              <w:rPr>
                <w:rFonts w:ascii="Arial" w:cs="Arial" w:eastAsia="Arial" w:hAnsi="Arial"/>
                <w:sz w:val="16"/>
                <w:szCs w:val="16"/>
                <w:b w:val="1"/>
                <w:bCs w:val="1"/>
                <w:color w:val="0000EE"/>
                <w:w w:val="98"/>
              </w:rPr>
              <w:t>PART II</w:t>
            </w: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5.</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MARKET FOR REGISTRANT’S COMMON EQUITY, RELATED STOCKHOLDER MATTERS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640" w:type="dxa"/>
            <w:vAlign w:val="bottom"/>
            <w:tcBorders>
              <w:top w:val="single" w:sz="8" w:color="0000EE"/>
              <w:bottom w:val="single" w:sz="8" w:color="0000EE"/>
            </w:tcBorders>
            <w:gridSpan w:val="18"/>
          </w:tcPr>
          <w:p>
            <w:pPr>
              <w:spacing w:after="0" w:line="169" w:lineRule="exact"/>
              <w:rPr>
                <w:sz w:val="20"/>
                <w:szCs w:val="20"/>
                <w:color w:val="auto"/>
              </w:rPr>
            </w:pPr>
            <w:r>
              <w:rPr>
                <w:rFonts w:ascii="Arial" w:cs="Arial" w:eastAsia="Arial" w:hAnsi="Arial"/>
                <w:sz w:val="16"/>
                <w:szCs w:val="16"/>
                <w:color w:val="0000EE"/>
              </w:rPr>
              <w:t>ISSUER PURCHASES OF EQUITY SECURITIES.</w:t>
            </w:r>
          </w:p>
        </w:tc>
        <w:tc>
          <w:tcPr>
            <w:tcW w:w="3360" w:type="dxa"/>
            <w:vAlign w:val="bottom"/>
            <w:tcBorders>
              <w:top w:val="single" w:sz="8" w:color="0000EE"/>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6.</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RESERVED</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7.</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MANAGEMENT’S DISCUSSION AND ANALYSIS OF FINANCIAL CONDITION AND RESULTS</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40" w:type="dxa"/>
            <w:vAlign w:val="bottom"/>
            <w:tcBorders>
              <w:top w:val="single" w:sz="8" w:color="0000EE"/>
            </w:tcBorders>
            <w:gridSpan w:val="30"/>
          </w:tcPr>
          <w:p>
            <w:pPr>
              <w:spacing w:after="0" w:line="169" w:lineRule="exact"/>
              <w:rPr>
                <w:sz w:val="20"/>
                <w:szCs w:val="20"/>
                <w:color w:val="auto"/>
              </w:rPr>
            </w:pPr>
            <w:r>
              <w:rPr>
                <w:rFonts w:ascii="Arial" w:cs="Arial" w:eastAsia="Arial" w:hAnsi="Arial"/>
                <w:sz w:val="16"/>
                <w:szCs w:val="16"/>
                <w:color w:val="0000EE"/>
              </w:rPr>
              <w:t>OF OPERATIONS</w:t>
            </w:r>
          </w:p>
        </w:tc>
        <w:tc>
          <w:tcPr>
            <w:tcW w:w="180" w:type="dxa"/>
            <w:vAlign w:val="bottom"/>
            <w:gridSpan w:val="2"/>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7A.</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QUANTITATIVE AND QUALITATIVE DISCLOSURES ABOUT MARKET RISK</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rPr>
              <w:t>ITEM 8.</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FINANCIAL STATEMENTS AND SUPPLEMENTARY DATA</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9.</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CHANGES IN AND DISAGREEMENTS WITH ACCOUNTANTS ON ACCOUNTING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color w:val="0000EE"/>
              </w:rPr>
              <w:t>FINANCIAL DISCLOSURE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9A.</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CONTROLS AND PROCEDURES</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9"/>
              </w:rPr>
              <w:t>ITEM 9B.</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OTHER INFORMATION</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88"/>
              </w:rPr>
              <w:t>ITEM 9C.</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DISCLOSURE REGARDING FOREIGN JURISDICTIONS THAT PREVENT INSPECTIONS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80" w:type="dxa"/>
            <w:vAlign w:val="bottom"/>
            <w:tcBorders>
              <w:top w:val="single" w:sz="8" w:color="0000EE"/>
            </w:tcBorders>
            <w:gridSpan w:val="13"/>
          </w:tcPr>
          <w:p>
            <w:pPr>
              <w:jc w:val="center"/>
              <w:ind w:right="2880"/>
              <w:spacing w:after="0" w:line="183" w:lineRule="exact"/>
              <w:rPr>
                <w:sz w:val="20"/>
                <w:szCs w:val="20"/>
                <w:color w:val="auto"/>
              </w:rPr>
            </w:pPr>
            <w:r>
              <w:rPr>
                <w:rFonts w:ascii="Arial" w:cs="Arial" w:eastAsia="Arial" w:hAnsi="Arial"/>
                <w:sz w:val="16"/>
                <w:szCs w:val="16"/>
                <w:b w:val="1"/>
                <w:bCs w:val="1"/>
                <w:color w:val="0000EE"/>
                <w:w w:val="97"/>
              </w:rPr>
              <w:t>PART III</w:t>
            </w:r>
          </w:p>
        </w:tc>
        <w:tc>
          <w:tcPr>
            <w:tcW w:w="480" w:type="dxa"/>
            <w:vAlign w:val="bottom"/>
            <w:gridSpan w:val="4"/>
          </w:tcPr>
          <w:p>
            <w:pPr>
              <w:spacing w:after="0"/>
              <w:rPr>
                <w:sz w:val="15"/>
                <w:szCs w:val="15"/>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10.</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DIRECTORS, EXECUTIVE OFFICERS AND CORPORATE GOVERNANCE</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11.</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EXECUTIVE COMPENSATION</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12.</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SECURITY OWNERSHIP OF CERTAIN BENEFICIAL OWNERS AND MANAGEMENT AND</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800" w:type="dxa"/>
            <w:vAlign w:val="bottom"/>
            <w:tcBorders>
              <w:top w:val="single" w:sz="8" w:color="0000EE"/>
              <w:bottom w:val="single" w:sz="8" w:color="0000EE"/>
            </w:tcBorders>
            <w:gridSpan w:val="13"/>
          </w:tcPr>
          <w:p>
            <w:pPr>
              <w:spacing w:after="0" w:line="169" w:lineRule="exact"/>
              <w:rPr>
                <w:sz w:val="20"/>
                <w:szCs w:val="20"/>
                <w:color w:val="auto"/>
              </w:rPr>
            </w:pPr>
            <w:r>
              <w:rPr>
                <w:rFonts w:ascii="Arial" w:cs="Arial" w:eastAsia="Arial" w:hAnsi="Arial"/>
                <w:sz w:val="16"/>
                <w:szCs w:val="16"/>
                <w:color w:val="0000EE"/>
                <w:w w:val="98"/>
              </w:rPr>
              <w:t>RELATED STOCKHOLDER MATTERS</w:t>
            </w:r>
          </w:p>
        </w:tc>
        <w:tc>
          <w:tcPr>
            <w:tcW w:w="3800" w:type="dxa"/>
            <w:vAlign w:val="bottom"/>
            <w:tcBorders>
              <w:top w:val="single" w:sz="8" w:color="0000EE"/>
            </w:tcBorders>
            <w:gridSpan w:val="16"/>
          </w:tcPr>
          <w:p>
            <w:pPr>
              <w:spacing w:after="0"/>
              <w:rPr>
                <w:sz w:val="14"/>
                <w:szCs w:val="14"/>
                <w:color w:val="auto"/>
              </w:rPr>
            </w:pPr>
          </w:p>
        </w:tc>
        <w:tc>
          <w:tcPr>
            <w:tcW w:w="420" w:type="dxa"/>
            <w:vAlign w:val="bottom"/>
            <w:gridSpan w:val="3"/>
          </w:tcPr>
          <w:p>
            <w:pPr>
              <w:spacing w:after="0"/>
              <w:rPr>
                <w:sz w:val="14"/>
                <w:szCs w:val="14"/>
                <w:color w:val="auto"/>
              </w:rPr>
            </w:pPr>
          </w:p>
        </w:tc>
      </w:tr>
      <w:tr>
        <w:trPr>
          <w:trHeight w:val="183"/>
        </w:trPr>
        <w:tc>
          <w:tcPr>
            <w:tcW w:w="1060" w:type="dxa"/>
            <w:vAlign w:val="bottom"/>
            <w:gridSpan w:val="4"/>
          </w:tcPr>
          <w:p>
            <w:pPr>
              <w:spacing w:after="0" w:line="183" w:lineRule="exact"/>
              <w:rPr>
                <w:sz w:val="20"/>
                <w:szCs w:val="20"/>
                <w:color w:val="auto"/>
              </w:rPr>
            </w:pPr>
            <w:r>
              <w:rPr>
                <w:rFonts w:ascii="Arial" w:cs="Arial" w:eastAsia="Arial" w:hAnsi="Arial"/>
                <w:sz w:val="16"/>
                <w:szCs w:val="16"/>
                <w:color w:val="0000EE"/>
              </w:rPr>
              <w:t>ITEM 13.</w:t>
            </w: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CERTAIN RELATIONSHIPS AND RELATED TRANSACTIONS, AND DIRECTOR</w:t>
            </w:r>
          </w:p>
        </w:tc>
      </w:tr>
      <w:tr>
        <w:trPr>
          <w:trHeight w:val="169"/>
        </w:trPr>
        <w:tc>
          <w:tcPr>
            <w:tcW w:w="5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EE"/>
            </w:tcBorders>
            <w:gridSpan w:val="26"/>
          </w:tcPr>
          <w:p>
            <w:pPr>
              <w:spacing w:after="0" w:line="169" w:lineRule="exact"/>
              <w:rPr>
                <w:sz w:val="20"/>
                <w:szCs w:val="20"/>
                <w:color w:val="auto"/>
              </w:rPr>
            </w:pPr>
            <w:r>
              <w:rPr>
                <w:rFonts w:ascii="Arial" w:cs="Arial" w:eastAsia="Arial" w:hAnsi="Arial"/>
                <w:sz w:val="16"/>
                <w:szCs w:val="16"/>
                <w:color w:val="0000EE"/>
              </w:rPr>
              <w:t>INDEPENDENCE</w:t>
            </w:r>
          </w:p>
        </w:tc>
        <w:tc>
          <w:tcPr>
            <w:tcW w:w="1220" w:type="dxa"/>
            <w:vAlign w:val="bottom"/>
            <w:gridSpan w:val="6"/>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10"/>
          </w:tcPr>
          <w:p>
            <w:pPr>
              <w:spacing w:after="0" w:line="20" w:lineRule="exact"/>
              <w:rPr>
                <w:sz w:val="1"/>
                <w:szCs w:val="1"/>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14.</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PRINCIPAL ACCOUNTING FEES AND SERVICES</w:t>
            </w: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40" w:type="dxa"/>
            <w:vAlign w:val="bottom"/>
            <w:tcBorders>
              <w:top w:val="single" w:sz="8" w:color="0000EE"/>
              <w:bottom w:val="single" w:sz="8" w:color="0000EE"/>
            </w:tcBorders>
            <w:gridSpan w:val="6"/>
          </w:tcPr>
          <w:p>
            <w:pPr>
              <w:jc w:val="center"/>
              <w:spacing w:after="0" w:line="183" w:lineRule="exact"/>
              <w:rPr>
                <w:sz w:val="20"/>
                <w:szCs w:val="20"/>
                <w:color w:val="auto"/>
              </w:rPr>
            </w:pPr>
            <w:r>
              <w:rPr>
                <w:rFonts w:ascii="Arial" w:cs="Arial" w:eastAsia="Arial" w:hAnsi="Arial"/>
                <w:sz w:val="16"/>
                <w:szCs w:val="16"/>
                <w:b w:val="1"/>
                <w:bCs w:val="1"/>
                <w:color w:val="0000EE"/>
              </w:rPr>
              <w:t>PART IV</w:t>
            </w:r>
          </w:p>
        </w:tc>
        <w:tc>
          <w:tcPr>
            <w:tcW w:w="20" w:type="dxa"/>
            <w:vAlign w:val="bottom"/>
            <w:tcBorders>
              <w:top w:val="single" w:sz="8" w:color="0000EE"/>
            </w:tcBorders>
          </w:tcPr>
          <w:p>
            <w:pPr>
              <w:spacing w:after="0"/>
              <w:rPr>
                <w:sz w:val="15"/>
                <w:szCs w:val="15"/>
                <w:color w:val="auto"/>
              </w:rPr>
            </w:pPr>
          </w:p>
        </w:tc>
        <w:tc>
          <w:tcPr>
            <w:tcW w:w="3320" w:type="dxa"/>
            <w:vAlign w:val="bottom"/>
            <w:gridSpan w:val="11"/>
          </w:tcPr>
          <w:p>
            <w:pPr>
              <w:spacing w:after="0"/>
              <w:rPr>
                <w:sz w:val="15"/>
                <w:szCs w:val="15"/>
                <w:color w:val="auto"/>
              </w:rPr>
            </w:pPr>
          </w:p>
        </w:tc>
      </w:tr>
      <w:tr>
        <w:trPr>
          <w:trHeight w:val="183"/>
        </w:trPr>
        <w:tc>
          <w:tcPr>
            <w:tcW w:w="640" w:type="dxa"/>
            <w:vAlign w:val="bottom"/>
            <w:gridSpan w:val="2"/>
          </w:tcPr>
          <w:p>
            <w:pPr>
              <w:spacing w:after="0" w:line="183" w:lineRule="exact"/>
              <w:rPr>
                <w:sz w:val="20"/>
                <w:szCs w:val="20"/>
                <w:color w:val="auto"/>
              </w:rPr>
            </w:pPr>
            <w:r>
              <w:rPr>
                <w:rFonts w:ascii="Arial" w:cs="Arial" w:eastAsia="Arial" w:hAnsi="Arial"/>
                <w:sz w:val="16"/>
                <w:szCs w:val="16"/>
                <w:color w:val="0000EE"/>
                <w:w w:val="92"/>
              </w:rPr>
              <w:t>ITEM 15.</w:t>
            </w:r>
          </w:p>
        </w:tc>
        <w:tc>
          <w:tcPr>
            <w:tcW w:w="420" w:type="dxa"/>
            <w:vAlign w:val="bottom"/>
            <w:gridSpan w:val="2"/>
          </w:tcPr>
          <w:p>
            <w:pPr>
              <w:spacing w:after="0"/>
              <w:rPr>
                <w:sz w:val="15"/>
                <w:szCs w:val="15"/>
                <w:color w:val="auto"/>
              </w:rPr>
            </w:pPr>
          </w:p>
        </w:tc>
        <w:tc>
          <w:tcPr>
            <w:tcW w:w="7040" w:type="dxa"/>
            <w:vAlign w:val="bottom"/>
            <w:gridSpan w:val="33"/>
          </w:tcPr>
          <w:p>
            <w:pPr>
              <w:spacing w:after="0" w:line="183" w:lineRule="exact"/>
              <w:rPr>
                <w:sz w:val="20"/>
                <w:szCs w:val="20"/>
                <w:color w:val="auto"/>
              </w:rPr>
            </w:pPr>
            <w:r>
              <w:rPr>
                <w:rFonts w:ascii="Arial" w:cs="Arial" w:eastAsia="Arial" w:hAnsi="Arial"/>
                <w:sz w:val="16"/>
                <w:szCs w:val="16"/>
                <w:color w:val="0000EE"/>
              </w:rPr>
              <w:t>EXHIBIT AND FINANCIAL STATEMENT SCHEDULES</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EXHIBIT INDEX</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0000EE"/>
        </w:rPr>
        <w:t>SIGNATURES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3</w:t>
      </w:r>
    </w:p>
    <w:p>
      <w:pPr>
        <w:spacing w:after="0" w:line="268"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5</w:t>
      </w:r>
    </w:p>
    <w:p>
      <w:pPr>
        <w:spacing w:after="0" w:line="31"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48</w:t>
      </w:r>
    </w:p>
    <w:p>
      <w:pPr>
        <w:spacing w:after="0" w:line="19"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108</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108</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109</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109</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109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110</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110</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111</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125</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126</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160</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160</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161</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161</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162</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162</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162</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162</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162</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163</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163</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167</w:t>
      </w:r>
    </w:p>
    <w:p>
      <w:pPr>
        <w:spacing w:after="0" w:line="200" w:lineRule="exact"/>
        <w:rPr>
          <w:sz w:val="20"/>
          <w:szCs w:val="20"/>
          <w:color w:val="auto"/>
        </w:rPr>
      </w:pPr>
    </w:p>
    <w:p>
      <w:pPr>
        <w:sectPr>
          <w:pgSz w:w="11900" w:h="16838" w:orient="portrait"/>
          <w:cols w:equalWidth="0" w:num="2">
            <w:col w:w="8140" w:space="540"/>
            <w:col w:w="339"/>
          </w:cols>
          <w:pgMar w:left="14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Annual Report on Form 10-K and the documents incorporated by reference herein contain forward-looking statements that involve substantial risks and uncertainties. All statements, other than statements of historical facts, included in this Annual Report on Form 10-K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3"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The forward-looking statements in this Annual Report on Form 10-K and the documents incorporated herein by reference include, among other things, statements about:</w:t>
      </w:r>
    </w:p>
    <w:p>
      <w:pPr>
        <w:spacing w:after="0" w:line="140"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early preclinical and clinical nature of our business and our ability to successfully advance our current and future product candidates, through development activities, preclinical studies, and clinical trials;</w:t>
      </w:r>
    </w:p>
    <w:p>
      <w:pPr>
        <w:spacing w:after="0" w:line="170"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54"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54" w:lineRule="exact"/>
        <w:rPr>
          <w:rFonts w:ascii="Times New Roman" w:cs="Times New Roman" w:eastAsia="Times New Roman" w:hAnsi="Times New Roman"/>
          <w:sz w:val="18"/>
          <w:szCs w:val="18"/>
          <w:color w:val="auto"/>
        </w:rPr>
      </w:pPr>
    </w:p>
    <w:p>
      <w:pPr>
        <w:ind w:left="720" w:right="5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and autoimmune and inflammatory treatments, utilizing iPSC-derived immune cells and beta islet cells, and the challenges we will face due to the novel nature of such technology;</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224"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future investigational new drug, or IND, applications and the likelihood of, and our ability to obtain and maintain, regulatory clearance of IND applications for our product candidates;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54" w:lineRule="exact"/>
        <w:rPr>
          <w:rFonts w:ascii="Times New Roman" w:cs="Times New Roman" w:eastAsia="Times New Roman" w:hAnsi="Times New Roman"/>
          <w:sz w:val="18"/>
          <w:szCs w:val="18"/>
          <w:color w:val="auto"/>
        </w:rPr>
      </w:pPr>
    </w:p>
    <w:p>
      <w:pPr>
        <w:ind w:left="720" w:right="39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7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1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public opinion and scrutiny of cell-based immuno-oncology and autoimmune and inflammatory therapies and its potential impact on public perception of our company and product candidates;</w:t>
      </w:r>
    </w:p>
    <w:p>
      <w:pPr>
        <w:spacing w:after="0" w:line="131" w:lineRule="exact"/>
        <w:rPr>
          <w:rFonts w:ascii="Times New Roman" w:cs="Times New Roman" w:eastAsia="Times New Roman" w:hAnsi="Times New Roman"/>
          <w:sz w:val="17"/>
          <w:szCs w:val="17"/>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54"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54"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224"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and retain key members of management and other clinical and scientific personnel;</w:t>
      </w:r>
    </w:p>
    <w:p>
      <w:pPr>
        <w:spacing w:after="0" w:line="235" w:lineRule="exact"/>
        <w:rPr>
          <w:rFonts w:ascii="Times New Roman" w:cs="Times New Roman" w:eastAsia="Times New Roman" w:hAnsi="Times New Roman"/>
          <w:sz w:val="17"/>
          <w:szCs w:val="17"/>
          <w:color w:val="auto"/>
        </w:rPr>
      </w:pPr>
    </w:p>
    <w:p>
      <w:pPr>
        <w:ind w:left="720" w:right="17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volatility of capital markets and other macroeconomic factors, including due to inflationary pressures, banking instability, global health crises, geopolitical tensions or the outbreak of hostilities or war;</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 and</w:t>
      </w:r>
    </w:p>
    <w:p>
      <w:pPr>
        <w:spacing w:after="0" w:line="224" w:lineRule="exact"/>
        <w:rPr>
          <w:rFonts w:ascii="Times New Roman" w:cs="Times New Roman" w:eastAsia="Times New Roman" w:hAnsi="Times New Roman"/>
          <w:sz w:val="18"/>
          <w:szCs w:val="18"/>
          <w:color w:val="auto"/>
        </w:rPr>
      </w:pPr>
    </w:p>
    <w:p>
      <w:pPr>
        <w:ind w:left="720" w:right="1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Annual Report on Form 10-K.</w:t>
      </w:r>
    </w:p>
    <w:p>
      <w:pPr>
        <w:spacing w:after="0" w:line="15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8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You should read this Annual Report on Form 10-K and the documents that we incorporate by reference herein completely and with the understanding that our actual future results may be materially different from what we expect. We do not assume any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are a biotechnology company harnessing the power of allogeneic pluripotent stem cell therapies to develop potentially curative cell therapy products for autoimmune diseases, including type 1 diabetes, or T1D, and cancer. Our beta islet, T cell and NK cell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p>
    <w:p>
      <w:pPr>
        <w:spacing w:after="0" w:line="172" w:lineRule="exact"/>
        <w:rPr>
          <w:sz w:val="20"/>
          <w:szCs w:val="20"/>
          <w:color w:val="auto"/>
        </w:rPr>
      </w:pPr>
    </w:p>
    <w:p>
      <w:pPr>
        <w:ind w:left="720" w:right="53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Industry-leading iPSCs and differentiation know-how to generate fully functional mature cells from iPSCs, or iPSC-derived cells;</w:t>
      </w:r>
    </w:p>
    <w:p>
      <w:pPr>
        <w:spacing w:after="0" w:line="154"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disrupt target genes intended to optimize cell product performance;</w:t>
      </w:r>
    </w:p>
    <w:p>
      <w:pPr>
        <w:spacing w:after="0" w:line="170" w:lineRule="exact"/>
        <w:rPr>
          <w:rFonts w:ascii="Times New Roman" w:cs="Times New Roman" w:eastAsia="Times New Roman" w:hAnsi="Times New Roman"/>
          <w:sz w:val="18"/>
          <w:szCs w:val="18"/>
          <w:color w:val="auto"/>
        </w:rPr>
      </w:pPr>
    </w:p>
    <w:p>
      <w:pPr>
        <w:ind w:left="720" w:right="11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proprietary Allo-Evasion™ technology intended to prevent rejection of our cell products by the host immune system, enabling the potential for persistence and re-dosing of therapy; and</w:t>
      </w:r>
    </w:p>
    <w:p>
      <w:pPr>
        <w:spacing w:after="0" w:line="154"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Cutting-edge manufacturing capabilities intended to drive scale advantages and reduce cost of goods sold, or COGs, while minimizing product development and supply risk.</w:t>
      </w:r>
    </w:p>
    <w:p>
      <w:pPr>
        <w:spacing w:after="0" w:line="154"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color w:val="auto"/>
        </w:rPr>
        <w:t xml:space="preserve">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cell types we can generate from iPSCs, including iPSC-derived beta islet cells, iPSC-derived CD4+ and CD8+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T cells, or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cells, and iPSC- natural killer cells, or iNK cells. We believe this capability enables optimal matching of cell characteristics to disease indication, ensuring we target the right cell for the right indication.</w:t>
      </w:r>
    </w:p>
    <w:p>
      <w:pPr>
        <w:spacing w:after="0" w:line="17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Our vision is to become a premier, fully integrated biotechnology company by developing and ultimately commercializing off-the-shelf allogeneic cell therapies that dramatically and positively transform the lives of patients suffering from T1D, autoimmune diseases and cancers. To achieve our vision, our world-class team is applying its decades of collective experience in cell therapy and drug development, manufacturing, and commercialization.</w:t>
      </w:r>
    </w:p>
    <w:p>
      <w:pPr>
        <w:spacing w:after="0" w:line="17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In November 2025, we announced our plans to develop a beta islet program, CNTY-813, for T1D. We are leveraging our deep expertise in selective iPSC differentiation to advance this program, engineered with Allo-Evasion™ 5.0, toward clinical evaluation subject to regulatory clearance. We have moved CNTY-813 into IND-enabling studies and anticipate submission of an IND application as early as 2026.</w:t>
      </w:r>
    </w:p>
    <w:p>
      <w:pPr>
        <w:spacing w:after="0" w:line="174" w:lineRule="exact"/>
        <w:rPr>
          <w:sz w:val="20"/>
          <w:szCs w:val="20"/>
          <w:color w:val="auto"/>
        </w:rPr>
      </w:pPr>
    </w:p>
    <w:p>
      <w:pPr>
        <w:jc w:val="both"/>
        <w:ind w:left="60" w:right="179"/>
        <w:spacing w:after="0" w:line="247" w:lineRule="auto"/>
        <w:rPr>
          <w:sz w:val="20"/>
          <w:szCs w:val="20"/>
          <w:color w:val="auto"/>
        </w:rPr>
      </w:pPr>
      <w:r>
        <w:rPr>
          <w:rFonts w:ascii="Arial" w:cs="Arial" w:eastAsia="Arial" w:hAnsi="Arial"/>
          <w:sz w:val="18"/>
          <w:szCs w:val="18"/>
          <w:color w:val="auto"/>
        </w:rPr>
        <w:t xml:space="preserve">We also continue to make progress with IND-enabling studies for CNTY-308, a CD19-targeted CD4+/CD8+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CAR-iT cell therapy functionally comparable to primary T cells and engineered with Allo-Evasion™ 5.0. CNTY-308 is being developed as a potential treatment for B-cell-mediated diseases. Following successful completion of these IND-enabling studies, and the receipt of requisite regulatory authorization, we expect to initiate clinical studies in 2026.</w:t>
      </w:r>
    </w:p>
    <w:p>
      <w:pPr>
        <w:sectPr>
          <w:pgSz w:w="11900" w:h="16838" w:orient="portrait"/>
          <w:cols w:equalWidth="0" w:num="1">
            <w:col w:w="9019"/>
          </w:cols>
          <w:pgMar w:left="1440" w:top="512"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In November 2025, we announced that we will prioritize clinical development activities for CNTY-101, a CAR-iNK cell therapy with six precision gene edits, in CARAMEL, a Phase 1/2 investigator sponsored trial, or IST, which is currently enrolling and dosing patients living with B-cell-mediated autoimmune diseases, led by Professors Georg Schett and Andreas Mackensen and sponsored by the Friedrich-Alexander University Erlangen-Nürnberg. Investigators of the CARAMEL IST presented initial data in December 2025.</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Approach:</w:t>
      </w:r>
    </w:p>
    <w:p>
      <w:pPr>
        <w:spacing w:after="0" w:line="212"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Off-the-shelf therapies</w:t>
      </w:r>
    </w:p>
    <w:p>
      <w:pPr>
        <w:spacing w:after="0" w:line="184" w:lineRule="exact"/>
        <w:rPr>
          <w:sz w:val="20"/>
          <w:szCs w:val="20"/>
          <w:color w:val="auto"/>
        </w:rPr>
      </w:pPr>
    </w:p>
    <w:p>
      <w:pPr>
        <w:ind w:left="1380" w:right="99" w:hanging="331"/>
        <w:spacing w:after="0" w:line="236" w:lineRule="auto"/>
        <w:tabs>
          <w:tab w:leader="none" w:pos="13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We are focused on developing “off-the-shelf" cell therapies which are derived from donor cells or engineered cell lines, manufactured in advance and stored for immediate use, removing the need for patient-specific cell collection. We believe the advantage of this approach is scalability and availability, allowing for treatment without the delays and complications to access associated with the manufacture of autologous therapies. Unlike autologous therapies which rely on a patient’s own cells and can be limited by cell quality, off-the-shelf therapies are sourced from healthy donors or optimized cell lines, designed to ensure consistency and potency, and are modified using Century’s proprietary Allo-Evasion technology to potentially overcome immune rejection. By addressing manufacturing challenges, reducing costs, and increasing accessibility, off-the-shelf cell therapies have the potential to make treatments available to more patients.</w:t>
      </w:r>
    </w:p>
    <w:p>
      <w:pPr>
        <w:spacing w:after="0" w:line="148" w:lineRule="exact"/>
        <w:rPr>
          <w:rFonts w:ascii="Courier New" w:cs="Courier New" w:eastAsia="Courier New" w:hAnsi="Courier New"/>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iPSCs</w:t>
      </w:r>
    </w:p>
    <w:p>
      <w:pPr>
        <w:spacing w:after="0" w:line="197"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Engineerability</w:t>
      </w:r>
    </w:p>
    <w:p>
      <w:pPr>
        <w:spacing w:after="0" w:line="155" w:lineRule="exact"/>
        <w:rPr>
          <w:rFonts w:ascii="Courier New" w:cs="Courier New" w:eastAsia="Courier New" w:hAnsi="Courier New"/>
          <w:sz w:val="18"/>
          <w:szCs w:val="18"/>
          <w:color w:val="auto"/>
        </w:rPr>
      </w:pPr>
    </w:p>
    <w:p>
      <w:pPr>
        <w:ind w:left="2020" w:right="339" w:hanging="323"/>
        <w:spacing w:after="0" w:line="252" w:lineRule="auto"/>
        <w:tabs>
          <w:tab w:leader="none" w:pos="2020" w:val="left"/>
        </w:tabs>
        <w:numPr>
          <w:ilvl w:val="2"/>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unlimited replication capacity of iPSCs allows us to incorporate multiple genetic modifications at precise sites, or loci, in the genome of iPSCs that are designed to improve cell function using CRISPR-mediated gene editing.</w:t>
      </w:r>
    </w:p>
    <w:p>
      <w:pPr>
        <w:spacing w:after="0" w:line="130"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Reproducibility</w:t>
      </w:r>
    </w:p>
    <w:p>
      <w:pPr>
        <w:spacing w:after="0" w:line="168" w:lineRule="exact"/>
        <w:rPr>
          <w:rFonts w:ascii="Courier New" w:cs="Courier New" w:eastAsia="Courier New" w:hAnsi="Courier New"/>
          <w:sz w:val="18"/>
          <w:szCs w:val="18"/>
          <w:color w:val="auto"/>
        </w:rPr>
      </w:pPr>
    </w:p>
    <w:p>
      <w:pPr>
        <w:ind w:left="2020" w:right="79" w:hanging="323"/>
        <w:spacing w:after="0" w:line="239" w:lineRule="auto"/>
        <w:tabs>
          <w:tab w:leader="none" w:pos="2020" w:val="left"/>
        </w:tabs>
        <w:numPr>
          <w:ilvl w:val="2"/>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have developed optimized cell-editing protocols that enable the generation of multiple gene deletions and bi-allelic gene insertions in a single iPSC clone derived from one healthy donor with relative ease and consistency, while maintaining genomic stability throughout the process. These cells can be extensively and fully characterized to ensure a consistent, reproducible product. After editing, iPSCs can be cloned from a single cell and expanded to form a master cell bank, or MCB, that contains only cells that have the desired precision edits and no “off-target” edits. This MCB is the basis of all cells used to produce therapeutics and is capable of providing a sufficient number of doses for the life of a product due to the unlimited replicative capacity of iPSCs.</w:t>
      </w:r>
    </w:p>
    <w:p>
      <w:pPr>
        <w:spacing w:after="0" w:line="14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Profitable Scalability</w:t>
      </w:r>
    </w:p>
    <w:p>
      <w:pPr>
        <w:spacing w:after="0" w:line="155" w:lineRule="exact"/>
        <w:rPr>
          <w:rFonts w:ascii="Courier New" w:cs="Courier New" w:eastAsia="Courier New" w:hAnsi="Courier New"/>
          <w:sz w:val="18"/>
          <w:szCs w:val="18"/>
          <w:color w:val="auto"/>
        </w:rPr>
      </w:pPr>
    </w:p>
    <w:p>
      <w:pPr>
        <w:ind w:left="2020" w:right="179" w:hanging="323"/>
        <w:spacing w:after="0"/>
        <w:tabs>
          <w:tab w:leader="none" w:pos="2020" w:val="left"/>
        </w:tabs>
        <w:numPr>
          <w:ilvl w:val="2"/>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believe our iPSC-derived platform affords us a significant opportunity to advance multiplex gene-edited cell therapies that can be produced at a substantially lower cost and accessible by a much larger patient population as compared to other donor-derived and autologous cell therapy approaches. We are developing a significant depth of expertise related to scalable manufacturing and quality assurance in a dedicated facility to rapidly iterate and improve conditions for cell expansion, harvest, final container filling, and cryopreservation at a significantly reduced cost per dose.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Allo-Evasion™ technology</w:t>
      </w:r>
    </w:p>
    <w:p>
      <w:pPr>
        <w:spacing w:after="0" w:line="224" w:lineRule="exact"/>
        <w:rPr>
          <w:sz w:val="20"/>
          <w:szCs w:val="20"/>
          <w:color w:val="auto"/>
        </w:rPr>
      </w:pPr>
    </w:p>
    <w:p>
      <w:pPr>
        <w:ind w:left="1380" w:right="99" w:hanging="331"/>
        <w:spacing w:after="0" w:line="237" w:lineRule="auto"/>
        <w:tabs>
          <w:tab w:leader="none" w:pos="138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Our proprietary Allo-Evasion™ engineering technology is designed to enable our cell product candidates to escape recognition and destruction and thus coexist with the host immune system. This innovative technology facilitates repeat dosing of our cell therapies where needed to improve their therapeutic potential by more precisely controlling drug exposure. Thus, we can utilize repeat dosing as needed to both maximize durability of response and improve efficacy for the disease or setting. Additionally, we believe this technology may permit dosing in patients with limited or no immune preconditioning regimens, or without the use of ongoing immune suppression.</w:t>
      </w:r>
    </w:p>
    <w:p>
      <w:pPr>
        <w:spacing w:after="0" w:line="185" w:lineRule="exact"/>
        <w:rPr>
          <w:rFonts w:ascii="Courier New" w:cs="Courier New" w:eastAsia="Courier New" w:hAnsi="Courier New"/>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Cell foundry capable of generating fully functional cells at scale</w:t>
      </w:r>
    </w:p>
    <w:p>
      <w:pPr>
        <w:spacing w:after="0" w:line="22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Beta islet differentiation</w:t>
      </w:r>
    </w:p>
    <w:p>
      <w:pPr>
        <w:spacing w:after="0" w:line="195" w:lineRule="exact"/>
        <w:rPr>
          <w:rFonts w:ascii="Courier New" w:cs="Courier New" w:eastAsia="Courier New" w:hAnsi="Courier New"/>
          <w:sz w:val="18"/>
          <w:szCs w:val="18"/>
          <w:color w:val="auto"/>
        </w:rPr>
      </w:pPr>
    </w:p>
    <w:p>
      <w:pPr>
        <w:ind w:left="1960" w:right="119" w:hanging="330"/>
        <w:spacing w:after="0"/>
        <w:tabs>
          <w:tab w:leader="none" w:pos="1960" w:val="left"/>
        </w:tabs>
        <w:numPr>
          <w:ilvl w:val="2"/>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Beta islets are differentiated from iPSCs via a scalable stepwise differentiation process that recapitulates the natural developmental processes utilized to form pancreatic islets during human embryogenesis. By precisely controlled addition of various growth factors, cytokines, and small molecules, we guide iPSCs through the normal stages of developing pancreatic islets to produce mature, terminally differentiated endocrine cells including, glucose-responsive insulin producing beta cells. Our iPSC-derived beta islets demonstrate equivalent function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human cadaveric islets.</w:t>
      </w:r>
    </w:p>
    <w:p>
      <w:pPr>
        <w:spacing w:after="0" w:line="18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9"/>
        </w:numPr>
        <w:rPr>
          <w:rFonts w:ascii="Courier New" w:cs="Courier New" w:eastAsia="Courier New" w:hAnsi="Courier New"/>
          <w:sz w:val="18"/>
          <w:szCs w:val="18"/>
          <w:color w:val="auto"/>
        </w:rPr>
      </w:pPr>
      <w:r>
        <w:rPr>
          <w:rFonts w:ascii="Arial" w:cs="Arial" w:eastAsia="Arial" w:hAnsi="Arial"/>
          <w:sz w:val="18"/>
          <w:szCs w:val="18"/>
          <w:color w:val="auto"/>
        </w:rPr>
        <w:t xml:space="preserve">Immune cell differentiation: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cells andiNK cells</w:t>
      </w:r>
    </w:p>
    <w:p>
      <w:pPr>
        <w:spacing w:after="0" w:line="209" w:lineRule="exact"/>
        <w:rPr>
          <w:rFonts w:ascii="Courier New" w:cs="Courier New" w:eastAsia="Courier New" w:hAnsi="Courier New"/>
          <w:sz w:val="18"/>
          <w:szCs w:val="18"/>
          <w:color w:val="auto"/>
        </w:rPr>
      </w:pPr>
    </w:p>
    <w:p>
      <w:pPr>
        <w:ind w:left="1960" w:right="79" w:hanging="330"/>
        <w:spacing w:after="0" w:line="243" w:lineRule="auto"/>
        <w:tabs>
          <w:tab w:leader="none" w:pos="1960" w:val="left"/>
        </w:tabs>
        <w:numPr>
          <w:ilvl w:val="2"/>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Our ability to generate multiple mature functional immune effector cells including iNK cells and CD4+ and CD8+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cells using scalable feeder-free processes allows us to choose the “right cell” for the “right indication”. Differentiation of iPSCs to functional immune cells involves a series of developmental steps that we recapitulate under strictly controlled conditions, with different growth factors, cytokines, and small molecule mixtures introduced at different stages. By successfully guiding iPSCs through the natural stages of development, we generate mature immune effector cells.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12" w:lineRule="exact"/>
        <w:rPr>
          <w:sz w:val="20"/>
          <w:szCs w:val="20"/>
          <w:color w:val="auto"/>
        </w:rPr>
      </w:pPr>
    </w:p>
    <w:p>
      <w:pPr>
        <w:ind w:left="660" w:right="79" w:hanging="326"/>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Leverage our iPSC-derived allogeneic cell platforms to overcome the limitations of existing therapeutic approaches and provide improved treatment options to more patients</w:t>
      </w:r>
    </w:p>
    <w:p>
      <w:pPr>
        <w:spacing w:after="0" w:line="136" w:lineRule="exact"/>
        <w:rPr>
          <w:sz w:val="20"/>
          <w:szCs w:val="20"/>
          <w:color w:val="auto"/>
        </w:rPr>
      </w:pPr>
    </w:p>
    <w:p>
      <w:pPr>
        <w:ind w:left="700" w:right="179"/>
        <w:spacing w:after="0" w:line="242" w:lineRule="auto"/>
        <w:rPr>
          <w:sz w:val="20"/>
          <w:szCs w:val="20"/>
          <w:color w:val="auto"/>
        </w:rPr>
      </w:pPr>
      <w:r>
        <w:rPr>
          <w:rFonts w:ascii="Arial" w:cs="Arial" w:eastAsia="Arial" w:hAnsi="Arial"/>
          <w:sz w:val="18"/>
          <w:szCs w:val="18"/>
          <w:color w:val="auto"/>
        </w:rPr>
        <w:t>We believe our iPSC-derived allogeneic cell therapy platforms have the potential to overcome the limitations of autologous and donor-derived cell therapies by providing readily available treatments more quickly, reliably, at greater scale, and to a broader patient population. Incorporating industry-leading iPSC differentiation know-how, CRISPR-mediated precision gene editing, sophisticated protein engineering, proprietary Allo-Evasion™ technology, and cutting-edge manufacturing, we seek to provide patients with improved treatment options.</w:t>
      </w:r>
    </w:p>
    <w:p>
      <w:pPr>
        <w:spacing w:after="0" w:line="179" w:lineRule="exact"/>
        <w:rPr>
          <w:sz w:val="20"/>
          <w:szCs w:val="20"/>
          <w:color w:val="auto"/>
        </w:rPr>
      </w:pPr>
    </w:p>
    <w:p>
      <w:pPr>
        <w:ind w:left="700" w:right="119"/>
        <w:spacing w:after="0" w:line="244" w:lineRule="auto"/>
        <w:rPr>
          <w:sz w:val="20"/>
          <w:szCs w:val="20"/>
          <w:color w:val="auto"/>
        </w:rPr>
      </w:pPr>
      <w:r>
        <w:rPr>
          <w:rFonts w:ascii="Arial" w:cs="Arial" w:eastAsia="Arial" w:hAnsi="Arial"/>
          <w:sz w:val="18"/>
          <w:szCs w:val="18"/>
          <w:color w:val="auto"/>
        </w:rPr>
        <w:t>Central to the potential clinical performance of our iPSC-derived cell therapies is our novel and proprietary Allo-Evasion™ technology, which is intended to avoid host recognition and rejection, enable repeat dosing, and increase cell durability and persistence. This may reduce or possibly eliminate the need for ongoing immune suppression following cell transplantation or in some instances preconditioning regimens, such as lymphodepleting chemotherapy, or LDC.</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99"/>
        <w:spacing w:after="0" w:line="243" w:lineRule="auto"/>
        <w:rPr>
          <w:sz w:val="20"/>
          <w:szCs w:val="20"/>
          <w:color w:val="auto"/>
        </w:rPr>
      </w:pPr>
      <w:r>
        <w:rPr>
          <w:rFonts w:ascii="Arial" w:cs="Arial" w:eastAsia="Arial" w:hAnsi="Arial"/>
          <w:sz w:val="18"/>
          <w:szCs w:val="18"/>
          <w:color w:val="auto"/>
        </w:rPr>
        <w:t xml:space="preserve">A further source of differentiation is our ability to generate multiple mature functional cell types for the treatment of disease by leveraging our cell foundry. For example, our ability to generate mature, functional, terminally differentiated beta islets enables the potential treatment of T1D. Similarly, the ability to generate multiple immune effector cells including iNK cells and CD4+ and CD8+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231F20"/>
        </w:rPr>
        <w:t>b</w:t>
      </w:r>
      <w:r>
        <w:rPr>
          <w:rFonts w:ascii="Arial" w:cs="Arial" w:eastAsia="Arial" w:hAnsi="Arial"/>
          <w:sz w:val="18"/>
          <w:szCs w:val="18"/>
          <w:color w:val="auto"/>
        </w:rPr>
        <w:t xml:space="preserve"> iT cells, allows us to match the “right cell” for the “right indication” based on clinical need. For example, in autoimmune diseases such as systemic lupus erythematosus, or SLE, where the rapid removal of pathogenic B cells is desirable, iNK cells that are highly cytotoxic but short-lived may be well suited to achieve B cell depletion and reset without prolonged B cell aplasia. In diseases such as cancer, where uncontrolled growth of tumor cells is a pathological feature, the rapid target-induced expansion of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231F20"/>
        </w:rPr>
        <w:t>b</w:t>
      </w:r>
      <w:r>
        <w:rPr>
          <w:rFonts w:ascii="Arial" w:cs="Arial" w:eastAsia="Arial" w:hAnsi="Arial"/>
          <w:sz w:val="18"/>
          <w:szCs w:val="18"/>
          <w:color w:val="auto"/>
        </w:rPr>
        <w:t xml:space="preserve"> iT cells with prolonged persistence may be advantageous. Similarly,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231F20"/>
        </w:rPr>
        <w:t>b</w:t>
      </w:r>
      <w:r>
        <w:rPr>
          <w:rFonts w:ascii="Arial" w:cs="Arial" w:eastAsia="Arial" w:hAnsi="Arial"/>
          <w:sz w:val="18"/>
          <w:szCs w:val="18"/>
          <w:color w:val="auto"/>
        </w:rPr>
        <w:t xml:space="preserve"> iT cells may be uniquely suited to solid tumor indications wherein homing and tissue residency could improve efficacy.</w:t>
      </w:r>
    </w:p>
    <w:p>
      <w:pPr>
        <w:spacing w:after="0" w:line="177" w:lineRule="exact"/>
        <w:rPr>
          <w:sz w:val="20"/>
          <w:szCs w:val="20"/>
          <w:color w:val="auto"/>
        </w:rPr>
      </w:pPr>
    </w:p>
    <w:p>
      <w:pPr>
        <w:ind w:left="660" w:right="139" w:hanging="326"/>
        <w:spacing w:after="0" w:line="281"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Drive CNTY-813 into the clinic and continue to strengthen our position as a leader in the field for beta-islet replacement therapy for patients with T1D.</w:t>
      </w:r>
    </w:p>
    <w:p>
      <w:pPr>
        <w:spacing w:after="0" w:line="136" w:lineRule="exact"/>
        <w:rPr>
          <w:sz w:val="20"/>
          <w:szCs w:val="20"/>
          <w:color w:val="auto"/>
        </w:rPr>
      </w:pPr>
    </w:p>
    <w:p>
      <w:pPr>
        <w:ind w:left="700" w:right="239"/>
        <w:spacing w:after="0" w:line="239" w:lineRule="auto"/>
        <w:rPr>
          <w:sz w:val="20"/>
          <w:szCs w:val="20"/>
          <w:color w:val="auto"/>
        </w:rPr>
      </w:pPr>
      <w:r>
        <w:rPr>
          <w:rFonts w:ascii="Arial" w:cs="Arial" w:eastAsia="Arial" w:hAnsi="Arial"/>
          <w:sz w:val="18"/>
          <w:szCs w:val="18"/>
          <w:color w:val="auto"/>
        </w:rPr>
        <w:t>The field of beta-islet replacement therapy has evolved tremendously over the past several decades, with some patients experiencing exogenous insulin independence for over 20 years after successful cadaveric islet transplant surgery. Still, two major hurdles exist that prevent adoption of this procedure as a mainstay in T1D treatment as a functional cure: (1) cadaveric islets fall short in supply and product-by-product quality, and (2) they require concurrent, harsh and lifelong immunosuppressive medicines that create an unfavorable risk/benefit profile even for the most severe T1D cases. CNTY-813, as an iPSC-derived islet replacement therapy, equipped with the most advanced Allo-Evasion™ technology and Century’s know-how to manufacture and scale these types of therapies into the clinic, aims to tackle both of those limitations to bring a potential functional cure to the frontlines of T1D treatment.</w:t>
      </w:r>
    </w:p>
    <w:p>
      <w:pPr>
        <w:spacing w:after="0" w:line="180" w:lineRule="exact"/>
        <w:rPr>
          <w:sz w:val="20"/>
          <w:szCs w:val="20"/>
          <w:color w:val="auto"/>
        </w:rPr>
      </w:pPr>
    </w:p>
    <w:p>
      <w:pPr>
        <w:ind w:left="660" w:right="79" w:hanging="326"/>
        <w:spacing w:after="0" w:line="281"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Develop transformative next generation allogeneic therapies for autoimmune diseases and oncology using our industry leading iT cell platform</w:t>
      </w:r>
    </w:p>
    <w:p>
      <w:pPr>
        <w:spacing w:after="0" w:line="136" w:lineRule="exact"/>
        <w:rPr>
          <w:sz w:val="20"/>
          <w:szCs w:val="20"/>
          <w:color w:val="auto"/>
        </w:rPr>
      </w:pPr>
    </w:p>
    <w:p>
      <w:pPr>
        <w:ind w:left="700" w:right="139"/>
        <w:spacing w:after="0" w:line="242" w:lineRule="auto"/>
        <w:rPr>
          <w:sz w:val="20"/>
          <w:szCs w:val="20"/>
          <w:color w:val="auto"/>
        </w:rPr>
      </w:pPr>
      <w:r>
        <w:rPr>
          <w:rFonts w:ascii="Arial" w:cs="Arial" w:eastAsia="Arial" w:hAnsi="Arial"/>
          <w:sz w:val="18"/>
          <w:szCs w:val="18"/>
          <w:color w:val="auto"/>
        </w:rPr>
        <w:t xml:space="preserve">CNTY-308 is an investigational CD19-targeted, iPSC-derived CAR T cell therapy candidate engineered with Allo-Evasion™ 5.0 being developed for B cell-mediated diseases. CNTY-308 is built on our industry-leading iPSC derived CD4+ and CD8+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 platform. Our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cells display potent cytotoxicity, cytokine secretion, target-driven proliferation and cell persistence comparable to primary CAR-T cells. Given the initial success of autologous CAR T cell therapies in indications such as autoimmune disease and commercial autologous CAR T cell therapies in B cell malignancies, we believe this program has the potential to show similar benefits with the benefits of an “off-the-shelf” cell therapy.</w:t>
      </w:r>
    </w:p>
    <w:p>
      <w:pPr>
        <w:spacing w:after="0" w:line="179" w:lineRule="exact"/>
        <w:rPr>
          <w:sz w:val="20"/>
          <w:szCs w:val="20"/>
          <w:color w:val="auto"/>
        </w:rPr>
      </w:pPr>
    </w:p>
    <w:p>
      <w:pPr>
        <w:ind w:left="660" w:right="79" w:hanging="326"/>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Assess value of CD19 CAR NK therapy in autoimmunity via CNTY-101 investigator-sponsored trial</w:t>
      </w:r>
    </w:p>
    <w:p>
      <w:pPr>
        <w:spacing w:after="0" w:line="136" w:lineRule="exact"/>
        <w:rPr>
          <w:sz w:val="20"/>
          <w:szCs w:val="20"/>
          <w:color w:val="auto"/>
        </w:rPr>
      </w:pPr>
    </w:p>
    <w:p>
      <w:pPr>
        <w:ind w:left="700" w:right="139"/>
        <w:spacing w:after="0" w:line="259" w:lineRule="auto"/>
        <w:rPr>
          <w:sz w:val="20"/>
          <w:szCs w:val="20"/>
          <w:color w:val="auto"/>
        </w:rPr>
      </w:pPr>
      <w:r>
        <w:rPr>
          <w:rFonts w:ascii="Arial" w:cs="Arial" w:eastAsia="Arial" w:hAnsi="Arial"/>
          <w:sz w:val="17"/>
          <w:szCs w:val="17"/>
          <w:color w:val="auto"/>
        </w:rPr>
        <w:t>CNTY-101 is our first therapeutic development candidate, and incorporates a CD19 CAR, sIL15, EGFR safety switch, and Allo-Evasion™ 1.0 precision edits. CNTY-101 is a consistent, frozen, off the shelf product candidate. As a natural killer cell therapy, in addition to having an expected favorable clinical tolerability profile, it is expected that drug exposure will be more dependent on administered dose than expansion in response to (variable) target antigen levels, allowing repeat dosing to precisely control drug exposure and increase durability of response. Host rejection is addressed by Allo-Evasion™.</w:t>
      </w:r>
    </w:p>
    <w:p>
      <w:pPr>
        <w:spacing w:after="0" w:line="165" w:lineRule="exact"/>
        <w:rPr>
          <w:sz w:val="20"/>
          <w:szCs w:val="20"/>
          <w:color w:val="auto"/>
        </w:rPr>
      </w:pPr>
    </w:p>
    <w:p>
      <w:pPr>
        <w:ind w:left="700" w:right="99"/>
        <w:spacing w:after="0" w:line="275" w:lineRule="auto"/>
        <w:rPr>
          <w:sz w:val="20"/>
          <w:szCs w:val="20"/>
          <w:color w:val="auto"/>
        </w:rPr>
      </w:pPr>
      <w:r>
        <w:rPr>
          <w:rFonts w:ascii="Arial" w:cs="Arial" w:eastAsia="Arial" w:hAnsi="Arial"/>
          <w:sz w:val="18"/>
          <w:szCs w:val="18"/>
          <w:color w:val="auto"/>
        </w:rPr>
        <w:t>Based on the compelling preliminary clinical response of autologous CD19 CAR T cell therapies in autoimmune disease populations, as an immediately available off the shelf allogeneic NK product candidate, we believe CNTY-101 is well-suited for use in autoimmune disease treatment, where precise control of B-cell targeting and depletion is desirable, and may avoid extended B-cell aplasia that may occur with T cell treatments. We are pursuing clinical advancement of CNTY-101 in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spacing w:after="0" w:line="270" w:lineRule="auto"/>
        <w:rPr>
          <w:sz w:val="20"/>
          <w:szCs w:val="20"/>
          <w:color w:val="auto"/>
        </w:rPr>
      </w:pPr>
      <w:r>
        <w:rPr>
          <w:rFonts w:ascii="Arial" w:cs="Arial" w:eastAsia="Arial" w:hAnsi="Arial"/>
          <w:sz w:val="18"/>
          <w:szCs w:val="18"/>
          <w:color w:val="auto"/>
        </w:rPr>
        <w:t>CARAMEL, a Phase 1/2 IST led by Professors Georg Schett and Andreas Mackensen and sponsored by the Friedrich-Alexander University Erlangen-Nürnberg. This study is in B-cell driven autoimmune diseases SLE, lupus nephritis, or LN, idiopathic inflammatory myopathy, or IIM, and diffuse cutaneous systemic sclerosis, or DcSSc. The IST is evaluating safety, tolerability, disease activity measures, PK, B cell depletion, and autoantibody effects, serving as a POC for autoimmune efficacy. Preliminary data from the CARAMEL IST is expected to be shared in 2026.</w:t>
      </w:r>
    </w:p>
    <w:p>
      <w:pPr>
        <w:spacing w:after="0" w:line="182" w:lineRule="exact"/>
        <w:rPr>
          <w:sz w:val="20"/>
          <w:szCs w:val="20"/>
          <w:color w:val="auto"/>
        </w:rPr>
      </w:pPr>
    </w:p>
    <w:p>
      <w:pPr>
        <w:ind w:left="660" w:right="79" w:hanging="326"/>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Leverage our own manufacturing infrastructure, product, and process understanding and scale-up technologies to minimize manufacturing risk</w:t>
      </w:r>
    </w:p>
    <w:p>
      <w:pPr>
        <w:spacing w:after="0" w:line="136" w:lineRule="exact"/>
        <w:rPr>
          <w:sz w:val="20"/>
          <w:szCs w:val="20"/>
          <w:color w:val="auto"/>
        </w:rPr>
      </w:pPr>
    </w:p>
    <w:p>
      <w:pPr>
        <w:ind w:left="700" w:right="59"/>
        <w:spacing w:after="0" w:line="267" w:lineRule="auto"/>
        <w:rPr>
          <w:sz w:val="20"/>
          <w:szCs w:val="20"/>
          <w:color w:val="auto"/>
        </w:rPr>
      </w:pPr>
      <w:r>
        <w:rPr>
          <w:rFonts w:ascii="Arial" w:cs="Arial" w:eastAsia="Arial" w:hAnsi="Arial"/>
          <w:sz w:val="18"/>
          <w:szCs w:val="18"/>
          <w:color w:val="auto"/>
        </w:rPr>
        <w:t>Our iPSC platform is designed to enable us to produce NK cells, T cells and beta islet cells at substantially lower cost, accessible to a much larger patient population, and with a higher degree of batch-to-batch consistency and product quality, as compared to other donor-derived and autologous cell therapy approaches. In order to realize the advantages of our iPSC-platform, we believe that developing an intimate understanding of the relevant cell types, the processes used to manufacture these cells, and the analytical methods required to accurately and reliably measure critical product attributes is critical to our success. We believe this understanding will enable us to produce safe and efficacious products, implement process and product changes with greater efficiency and support the clinical development of commercial products. We believe that the only way to realize the full cost and capacity advantages of our platform is to develop a significant depth of expertise related to scale manufacturing. And, we believe our investment in in-house manufacturing will enable us to analyze, learn and adapt more rapidly, and increase control of development and manufacturing timelines for efficient clinical development of our product candidates.</w:t>
      </w:r>
    </w:p>
    <w:p>
      <w:pPr>
        <w:spacing w:after="0" w:line="19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Selectively evaluate strategic partnerships to enable greater patient access.</w:t>
      </w:r>
    </w:p>
    <w:p>
      <w:pPr>
        <w:spacing w:after="0" w:line="212" w:lineRule="exact"/>
        <w:rPr>
          <w:sz w:val="20"/>
          <w:szCs w:val="20"/>
          <w:color w:val="auto"/>
        </w:rPr>
      </w:pPr>
    </w:p>
    <w:p>
      <w:pPr>
        <w:ind w:left="700" w:right="199"/>
        <w:spacing w:after="0" w:line="239" w:lineRule="auto"/>
        <w:rPr>
          <w:sz w:val="20"/>
          <w:szCs w:val="20"/>
          <w:color w:val="auto"/>
        </w:rPr>
      </w:pPr>
      <w:r>
        <w:rPr>
          <w:rFonts w:ascii="Arial" w:cs="Arial" w:eastAsia="Arial" w:hAnsi="Arial"/>
          <w:sz w:val="18"/>
          <w:szCs w:val="18"/>
          <w:color w:val="auto"/>
        </w:rPr>
        <w:t>The research, development, and clinical investigation of cell therapies for treating human diseases are advancing rapidly. We believe we are well positioned to establish strategic partnerships with third parties seeking to develop iPSC-derived cellular immunotherapies for autoimmune, cancer, and other diseases. To maximize the potential of our innovations and expand patient access, we may pursue additional strategic alliances, joint ventures, collaborations, or licensing agreements that align with our strategy and development and commercialization efforts. This approach is particularly relevant as we continue to evaluate the priorities of the company and determine the best structures for advancing our assets in the pipeline. By working with partners who share our vision, we aim to accelerate the development and delivery of transformative therapies to patients in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146050</wp:posOffset>
            </wp:positionV>
            <wp:extent cx="5537835" cy="2606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783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0" w:right="179"/>
        <w:spacing w:after="0" w:line="275" w:lineRule="auto"/>
        <w:rPr>
          <w:sz w:val="20"/>
          <w:szCs w:val="20"/>
          <w:color w:val="auto"/>
        </w:rPr>
      </w:pPr>
      <w:r>
        <w:rPr>
          <w:rFonts w:ascii="Arial" w:cs="Arial" w:eastAsia="Arial" w:hAnsi="Arial"/>
          <w:sz w:val="17"/>
          <w:szCs w:val="17"/>
          <w:color w:val="auto"/>
        </w:rPr>
        <w:t>Our lead product candidate, CNTY-813, is an iPSC derived beta islet cell replacement therapy engineered with the company’s proprietary Allo-Evasion™ 5.0 technology, designed to protect from T cell, NK cell and humoral immune rejection, with the goal of durable glycemic control without the need for chronic immunosuppression.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T1D</w:t>
      </w:r>
    </w:p>
    <w:p>
      <w:pPr>
        <w:spacing w:after="0" w:line="21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T1D is a chronic metabolic disorder caused by insufficient insulin secretion by the beta cells in the pancreas. In patients with T1D, the insulin-producing islet cells of the pancreas are destroyed by the person’s own immune system, resulting in a lack of insulin and impairment of blood glucose control. While insulin therapy allows patients to live for decades with the disease, challenges of insulin therapy include inadequate control of blood sugar (both hyper- and hypo-glycemia), a substantial burden of care on patients and families, and long-term complications. Current standards of care do not address the underlying causes of the disease, and there are limited treatment options beyond insulin for the management of T1D.</w:t>
      </w:r>
    </w:p>
    <w:p>
      <w:pPr>
        <w:spacing w:after="0" w:line="185"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T1D affects approximately nine million people worldwide, including approximately two million in the U.S., with a significant subset facing persistent hypoglycemia, glycemic variability, and long-term complications despite exogenous insulin treatment. The current treatment of T1D also places a significant burden on the healthcare system, with approximately six to eight billion dollars spent on insulin annually in the U.S. A scalable, off-the-shelf, immune-evasion-enabled beta islet therapy could reach broad patient segments and expand access relative to donor-dependent transplantation or device-limited solutions. Century’s beta islet program is designed to combine clinical impact with a path to profitable scalability, supporting the potential for long-term value creation.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Treatment Landscape and Unmet Need</w:t>
      </w:r>
    </w:p>
    <w:p>
      <w:pPr>
        <w:spacing w:after="0" w:line="212" w:lineRule="exact"/>
        <w:rPr>
          <w:sz w:val="20"/>
          <w:szCs w:val="20"/>
          <w:color w:val="auto"/>
        </w:rPr>
      </w:pPr>
    </w:p>
    <w:p>
      <w:pPr>
        <w:ind w:left="60" w:right="479"/>
        <w:spacing w:after="0" w:line="266" w:lineRule="auto"/>
        <w:rPr>
          <w:sz w:val="20"/>
          <w:szCs w:val="20"/>
          <w:color w:val="auto"/>
        </w:rPr>
      </w:pPr>
      <w:r>
        <w:rPr>
          <w:rFonts w:ascii="Arial" w:cs="Arial" w:eastAsia="Arial" w:hAnsi="Arial"/>
          <w:sz w:val="17"/>
          <w:szCs w:val="17"/>
          <w:color w:val="auto"/>
        </w:rPr>
        <w:t>The current standard of care for T1D is exogenous insulin replacement, delivered through multiple daily injections or continuous subcutaneous insulin infusion (insulin pumps). Advances in diabetes technology, including continuous glucose monitoring (CGM) systems and hybrid closed-loop automated insulin delivery systems, have improved glucose control and reduced hypoglycemia for some patients; however, these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technologies do not eliminate the need for frequent patient intervention or fully replicate physiologic insulin secretion.</w:t>
      </w:r>
    </w:p>
    <w:p>
      <w:pPr>
        <w:spacing w:after="0" w:line="154"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Beyond insulin replacement, disease-modifying therapies remain limited. Teplizumab, an anti-CD3 monoclonal antibody, is approved in the United States to delay the onset of clinical T1D in certain high-risk individuals, but it does not reverse established disease or restore durable insulin independence. As a result, patients with T1D remain dependent on exogenous insulin and subject to significant treatment burden and residual risk of hypoglycemia, hyperglycemia, and chronic complications.</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Cell-based therapies offer a potential approach to address the underlying insulin deficiency by replacing functional insulin-producing cells. Cadaveric pancreatic islet transplantation has provided clinical proof of concept that restoration of endogenous insulin production is achievable in humans, with some recipients experiencing improved glycemic control and periods of insulin independence. However, this approach is not scalable and is limited by the availability of donor tissue, the need for multiple donors per recipient, and the requirement for lifelong chronic immunosuppression to prevent immune rejection and recurrent autoimmune destruction. In addition, transplanted islet function frequently declines over time. Despite available therapies, many individuals with T1D are unable to consistently achieve recommended glycemic targets and remain at risk for severe hypoglycemia, hyperglycemia, and long-term complications such as cardiovascular disease, nephropathy, neuropathy, and retinopathy. In addition, the daily management of T1D imposes a substantial physical, cognitive, and psychosocial burden. Access, affordability, and adherence challenges further limit optimal outcomes for many patients.</w:t>
      </w:r>
    </w:p>
    <w:p>
      <w:pPr>
        <w:spacing w:after="0" w:line="183"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Accordingly, there remains a significant unmet medical need for cell-based therapies that can durably restore insulin production, avoid chronic immunosuppression, and enable scalable manufacturing, with the potential to reduce or eliminate dependence on exogenous insulin and improve long-term outcomes for individuals with T1D.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CNTY-813</w:t>
      </w:r>
    </w:p>
    <w:p>
      <w:pPr>
        <w:spacing w:after="0" w:line="212"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CNTY-813 is an iPSC-derived beta islet cell replacement therapy engineered with Allo-Evasion™ 5.0. We have generated a comprehensive pre-clinical data package that supports the potential for a functional cure that solves the key challenges associated with T1D cell replacement therapy. CNTY-813 can functionally control glucose in pre-clinical models, provide protection vs immune rejection mechanisms, and be generated using a scalable, bioreactor-enabled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123825</wp:posOffset>
            </wp:positionV>
            <wp:extent cx="5554980" cy="31203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an immunodeficient mouse model that was rendered diabetic using streptozotocin, CNTY-813 was able to restore normoglycemia and maintain control for over 4 months after implantation under the kidney capsule. When a graft from one of the mice was assessed by immune staining at 90 days post-engraftment, the graft stained positive for the pancreatic hormones, insulin and glucagon. Importantly, there was minimal detection of Ki67 and there were no signs of gross morphological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123825</wp:posOffset>
            </wp:positionV>
            <wp:extent cx="5554980" cy="6275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54980" cy="627507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With respect to Allo-Evasion™ 5.0 engineering, CNTY-813 expresses the transgenes, CD300a TASR and IdeS, and lack MHC expression at the end of the differentiation process. Furthermore, the cells were protected from NK cell cytotoxicity in an NK tox assay and Ig cleavage was observed, indicating functional protection by the CD300a TASR and IdeS transgenes.</w:t>
      </w:r>
    </w:p>
    <w:p>
      <w:pPr>
        <w:spacing w:after="0" w:line="174"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Lastly, the bioreactor enabled differentiation process yields cells with excellent endocrine purity as marked by Chromagranin A (CHGA) staining. Since it is a suspension-based protocol, we believe we have a clear path to scaling the process to support clinical manufacturing. Additionally, cryopreservation has been introduced providing clinical and CMC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122555</wp:posOffset>
            </wp:positionV>
            <wp:extent cx="5554980" cy="3120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b w:val="1"/>
          <w:bCs w:val="1"/>
          <w:color w:val="auto"/>
        </w:rPr>
        <w:t>CNTY-308</w:t>
      </w:r>
      <w:r>
        <w:rPr>
          <w:rFonts w:ascii="Arial" w:cs="Arial" w:eastAsia="Arial" w:hAnsi="Arial"/>
          <w:sz w:val="18"/>
          <w:szCs w:val="18"/>
          <w:color w:val="auto"/>
        </w:rPr>
        <w:t>: CNTY-308, a CD19-targeted CD4+/CD8+ CAR-iT cell therapy functionally comparable to primary T</w:t>
      </w:r>
      <w:r>
        <w:rPr>
          <w:rFonts w:ascii="Arial" w:cs="Arial" w:eastAsia="Arial" w:hAnsi="Arial"/>
          <w:sz w:val="18"/>
          <w:szCs w:val="18"/>
          <w:b w:val="1"/>
          <w:bCs w:val="1"/>
          <w:color w:val="auto"/>
        </w:rPr>
        <w:t xml:space="preserve"> </w:t>
      </w:r>
      <w:r>
        <w:rPr>
          <w:rFonts w:ascii="Arial" w:cs="Arial" w:eastAsia="Arial" w:hAnsi="Arial"/>
          <w:sz w:val="18"/>
          <w:szCs w:val="18"/>
          <w:color w:val="auto"/>
        </w:rPr>
        <w:t>cells and engineered with Allo-Evasion™ 5.0 as a potential treatment for B-cell-mediated diseases.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B-Cell Mediated Autoimmune Diseases</w:t>
      </w:r>
    </w:p>
    <w:p>
      <w:pPr>
        <w:spacing w:after="0" w:line="21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 number of autoimmune diseases, including SLE and LN, SSc, and IIM, share the characteristic of pathogenic auto-reactive antibodies, which are produced by B-cells that express CD19. SLE/LN is a complex multi-system autoimmune disease. Renal and central nervous system involvement as well as accelerated cardiovascular aging are major causes of morbidity and mortality in SLE. IIM comprise a heterogenous group of rare immune-mediated disorders involving muscle, frequently involve the lung and skin, and may involve other tissues. Patients with associated interstitial lung disease have a significantly increased incidence of mortality compared to those without lung involvement. DcSSc is a rare life-threatening systemic disease characterized by skin thickening of distal and proximal limbs, face and trunk, interstitial lung disease, and progressive dysfunction of multiple other organ systems, commonly including gastrointestinal, cardiovascular, and renal manifestations. The current treatment options for each of these disorders leave many patients without adequate disease control.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Treatments and Unmet Need</w:t>
      </w:r>
    </w:p>
    <w:p>
      <w:pPr>
        <w:spacing w:after="0" w:line="21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As described in the figure below, there is significant unmet need for patients with severe disease who have not responded to other therapies. For example, the most recently U.S. Food and Drug Administration, or the FDA-approved therapy for SLE, anifrolumab, was approved in 2021 based on results from two randomized clinical trials, TULIP-1 and TULIP-2, which enrolled patients who had moderate to severe SLE despite standard therapy. Anifrolumab was administered to the active patient arm, and all patients were allowed to remain on their standard therapies (except for protocol-mandated attempts to taper corticosteroids) during the trial. TULIP-2 showed response (measured per British Isles Lupus Assessment Group-based Composite Lupus Assessment) in 47.8% of anifrolumab (300 mg)-treated patients compared to 31.5% of placebo-treated patients. While TULIP-1 did not meet its primary endpoint (SLE responder index of 4 met in 36% of anifrolumab (300 mg)-treated patients compared to 40% of placebo-treated patients), data from the trial was used to support the results from TULIP-2. A post-hoc analysis of the combined data from these trials using the more stringent endpoint of Lupus Low Disease Activity State demonstrated that 30% of anifrolumab (300 mg)-treated patients demonstrated low disease activity at Week 52, compared with 19.6% of placebo-treated patients. Together these results indicate at most half of treated patients meeting efficacy endpoints, and fewer meeting more stringent endpoints, leaving many patients without adequate disease control even while on standard therapies. Treatments for other autoimmune diseases show similarly inadequate responses in many patients.</w:t>
      </w:r>
    </w:p>
    <w:p>
      <w:pPr>
        <w:spacing w:after="0" w:line="186"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While patients with these diseases can respond to B-cell depleting agents such as rituximab, suggesting that targeting B-cells is a viable therapeutic approach, many patients experience suboptimal or impermanent efficacy with currently available agents. Our CNTY-101 clinical development program in B-cell mediated autoimmune diseases thus represents potential for benefit in an area of significant medical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122555</wp:posOffset>
            </wp:positionV>
            <wp:extent cx="5554980" cy="3086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5498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B-cell-directed autologous CAR T cell therapies have provided new hope for durable remissions through an “immune reset”. However, some of the challenges encountered with auto-CAR-T in oncology related to product availability, LDC, toxicities, and potential long-term risks could hamper their widespread adoption in non-oncology indications.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LDC is used prior to all approved CAR-T cell therapies, due to its ability to ensure cytokine support for the CAR-T cells and eliminate host cells that can kill the cell therapy. However, the chemotherapeutic agents used for lymphodepletion can cause a variety of toxicities including prolonged cytopenias, severe neurotoxicities, and fertility issues. These can result in patient and provider hesitation and can limit the use of cell therapies in the outpatient setting. The requirement for LDC also limits the number of doses of cell therapy a patient can receive. In particular, avoiding LDC entirely or keeping LDC regimens to a minimum is desirable (to reduce toxicity and increase tolerability as much as possible), and introduces the possibility of treating a broader range of diseases and patients.</w:t>
      </w:r>
    </w:p>
    <w:p>
      <w:pPr>
        <w:spacing w:after="0" w:line="18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Our cells are designed to have the potential to be effective treatments with reduced LDC and ultimately aim to eliminate LDC through the use of engineering steps to provide cytokine support and Allo-Evasion™. Edits that provide cytokine support include secreted IL15 (used in CNTY-101), as well as next-generation cytokine engineering to improve cell proliferation and persistence. With respect to Allo-Evasion™, we continue to evolve our platform and, at present, utilize two versions designed to evade the patient’s immune system and allow for repeat dosing, potentially enabling durable responses, Allo-Evasion™ 1.0, and 5.0. Allo-Evasion™ 1.0 is used in CNTY-101, while Allo-Evasion™ 5.0 (which is also designed to protect against humoral immunity) is included in our pre-clinical pipeline programs. Preliminary data from ELiPSE-1 demonstrated similar exposure to CNTY-101 in the presence or absence of host lymphocytes – evidence of persistence in the presence of a restored immune system. We believe the inclusion of Allo-Evasion™ 5.0 promises to build on the learnings from CNTY-101 and provide an even more comprehensive approach to evading elimination by the patient’s immune system.</w:t>
      </w:r>
    </w:p>
    <w:p>
      <w:pPr>
        <w:spacing w:after="0" w:line="183"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The ability of Allo-Evasion™ and engineerability of the iPSC platform to reduce or eliminate LDC could allow treatment of more fragile or less severely affected patient populations, alongside implementation of more flexible and effective dosing protocols that may increase physician and patient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119380</wp:posOffset>
            </wp:positionV>
            <wp:extent cx="5554980" cy="31203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CNTY-308 is a CD19-targeted, iPSC derived CAR T cell therapy engineered with Allo-Evasion™ 5.0. It is being developed for B-cell mediated autoimmune diseases. CNTY-308 is built on our industry leading Allo-</w:t>
      </w:r>
    </w:p>
    <w:p>
      <w:pPr>
        <w:sectPr>
          <w:pgSz w:w="11900" w:h="16838" w:orient="portrait"/>
          <w:cols w:equalWidth="0" w:num="1">
            <w:col w:w="9019"/>
          </w:cols>
          <w:pgMar w:left="1440" w:top="512" w:right="1440"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 xml:space="preserve">Evasion™ 5.0 and iPSC-derived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T cell platform. In preclinical studies, CNTY-308 demonstrated potent activity and cell persistence that was comparable to primary CAR-T cell controls. Specifically, these cells have demonstrated three key characteristics of successful CAR-T cell therapies:</w:t>
      </w:r>
    </w:p>
    <w:p>
      <w:pPr>
        <w:spacing w:after="0" w:line="163"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Anti-tumor cytotoxicity</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capacity to produce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T cell cytokines including IL-2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5349240" cy="2828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spacing w:after="0"/>
        <w:tabs>
          <w:tab w:leader="none" w:pos="1020" w:val="left"/>
        </w:tabs>
        <w:rPr>
          <w:sz w:val="20"/>
          <w:szCs w:val="20"/>
          <w:color w:val="auto"/>
        </w:rPr>
      </w:pPr>
      <w:r>
        <w:rPr>
          <w:rFonts w:ascii="Arial" w:cs="Arial" w:eastAsia="Arial" w:hAnsi="Arial"/>
          <w:sz w:val="18"/>
          <w:szCs w:val="18"/>
          <w:color w:val="auto"/>
        </w:rPr>
        <w:t>3.</w:t>
        <w:tab/>
        <w:t>Proliferation in response to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5349240" cy="2785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27857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When tested in an established NALM6 tumor model in rodents (CD19-expressing B cell malignancy model), CNTY-308 cells were shown to be capable of controlling tumor growth for the length of the study with a single dose of cells, comparable to primary CAR-T cell controls. Furthermore, CNTY-308 cells were detected in peripheral blood, spleen, and bone marrow for at least 21 days after cell infusion. Importantly, CNTY-308 cells not only persisted but responded to an additional tumor challenge (tumor rechallenge), controlling tumor similarly, if not better, than primary CAR-T cell controls. In preclinical studies, Century’s iPSC-derived CAR abT cells are comparable to primary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128905</wp:posOffset>
            </wp:positionV>
            <wp:extent cx="5554980" cy="31203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Taken together, we believe the evolving preclinical data package for CNTY-308 supports the continuing progression of this program for B-cell mediated diseases.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CNTY-101</w:t>
      </w:r>
    </w:p>
    <w:p>
      <w:pPr>
        <w:spacing w:after="0" w:line="21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CAR-iNK product candidate targeting CD19 for B-cell mediated autoimmune diseases is an allogeneic, iPSC-derived CAR-iNK cell therapy with six precision gene edits. CNTY-101 is engineered to express CD19 CAR, with Allo-Evasion™ 1.0 edits designed to overcome the three major pathways of host vs. graft rejection, IL15 to support cell persistence, and a safety switch (EGFR sequence) that enables the elimination of the cells by an EGFR inhibitor if needed. CARAMEL, an investigator-initiated clinical trial to assess CNTY-101 in patients with B cell-mediated autoimmune disease is underway to evaluate safety, efficacy, and key translational data of CNTY-101 in SLE, LN, IIM, and DcSSc patients is expected to release data in 2026.</w:t>
      </w:r>
    </w:p>
    <w:p>
      <w:pPr>
        <w:spacing w:after="0" w:line="187" w:lineRule="exact"/>
        <w:rPr>
          <w:sz w:val="20"/>
          <w:szCs w:val="20"/>
          <w:color w:val="auto"/>
        </w:rPr>
      </w:pPr>
    </w:p>
    <w:p>
      <w:pPr>
        <w:ind w:left="60" w:right="759"/>
        <w:spacing w:after="0" w:line="269" w:lineRule="auto"/>
        <w:rPr>
          <w:sz w:val="20"/>
          <w:szCs w:val="20"/>
          <w:color w:val="auto"/>
        </w:rPr>
      </w:pPr>
      <w:r>
        <w:rPr>
          <w:rFonts w:ascii="Arial" w:cs="Arial" w:eastAsia="Arial" w:hAnsi="Arial"/>
          <w:sz w:val="18"/>
          <w:szCs w:val="18"/>
          <w:i w:val="1"/>
          <w:iCs w:val="1"/>
          <w:color w:val="auto"/>
        </w:rPr>
        <w:t>CARAMEL Phase 1/2 Clinical Trial in B-cell Mediated Autoimmune Diseases: Single-center Investigator Sponsored Trial</w:t>
      </w:r>
    </w:p>
    <w:p>
      <w:pPr>
        <w:spacing w:after="0" w:line="15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have entered into an agreement for an investigator-initiated Phase 1/2 clinical trial sponsored by Professors Dr. Georg Schett and Dr. Andreas Mackensen of its CD19 CAR-iNK investigational cell therapy candidate CNTY-101 in patients with B-cell mediated autoimmune diseases. The IST, which is sponsored by the Friedrich-Alexander University Erlangen-Nürnberg, represents the first evaluation by the internationally recognized Schett/Mackensen group of an allogeneic iPSC-derived CD19-directed NK cell therapy for the</w:t>
      </w:r>
    </w:p>
    <w:p>
      <w:pPr>
        <w:sectPr>
          <w:pgSz w:w="11900" w:h="16838" w:orient="portrait"/>
          <w:cols w:equalWidth="0" w:num="1">
            <w:col w:w="9019"/>
          </w:cols>
          <w:pgMar w:left="1440" w:top="512"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treatment of autoimmune diseases. The IST (known as the CARAMEL trial) will evaluate safety, efficacy, and key translational data of CNTY-101 in SLE, LN, IIM, and DcSSc patients. The CARAMEL trial initiated in mid-2025.</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Preliminary Data from CARAMEL Basket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146050</wp:posOffset>
            </wp:positionV>
            <wp:extent cx="5554980" cy="2486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5498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Next Generation iT Programs</w:t>
      </w:r>
    </w:p>
    <w:p>
      <w:pPr>
        <w:spacing w:after="0" w:line="212"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i w:val="1"/>
          <w:iCs w:val="1"/>
          <w:color w:val="auto"/>
        </w:rPr>
        <w:t xml:space="preserve">Multiple: </w:t>
      </w:r>
      <w:r>
        <w:rPr>
          <w:rFonts w:ascii="Arial" w:cs="Arial" w:eastAsia="Arial" w:hAnsi="Arial"/>
          <w:sz w:val="18"/>
          <w:szCs w:val="18"/>
          <w:color w:val="auto"/>
        </w:rPr>
        <w:t>Century is developing a broad range of next generation iT cell programs that leverage the</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engineerability of our cells. One program is an investigational dual-targeted CD19 and CD22 iPSC-derived CAR-T cell therapy product candidate engineered with Allo-Evasion™ 5.0. This program is built on our iT cell platform, with the goal of pairing dual targeting with primary T-cell-like functionality to provide a differentiated cell therapy for B cell malignancies. We have developed our own dual CD19/CD22 CAR, which has displayed robust activity when transduced into primary T cells.</w:t>
      </w:r>
    </w:p>
    <w:p>
      <w:pPr>
        <w:spacing w:after="0" w:line="179"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Our first investigational solid tumor CAR-T cell program is designed to target validated tumor antigens including Nectin-4 (present on several solid tumors including urothelial cancer, breast cancer and lung cancer) and others using our own proprietary developed CAR moieties. These programs are being developed on our iT cell platform with Allo-Evasion™ 5.0 and will include additional engineering to overcome some of the key challenges faced by cell therapies in solid tumors. Enhancements may include cytokine support and strategies to overcome the tumor microenvironment.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1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believe our iPSC-derived NK cells, T cells, and beta islet cells afford us a significant opportunity to advance gene-edited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are developing a significant depth of expertise related to scalable manufacturing, which we believe is essential to enable cell expansion,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harvest, and final container filling, along with cryopreservation, at a significantly reduced cost per dose. We have constructed our manufacturing strategy with the intent of achieving these objectives.</w:t>
      </w:r>
    </w:p>
    <w:p>
      <w:pPr>
        <w:spacing w:after="0" w:line="154" w:lineRule="exact"/>
        <w:rPr>
          <w:sz w:val="20"/>
          <w:szCs w:val="20"/>
          <w:color w:val="auto"/>
        </w:rPr>
      </w:pPr>
    </w:p>
    <w:p>
      <w:pPr>
        <w:ind w:left="60" w:right="119" w:firstLine="50"/>
        <w:spacing w:after="0" w:line="244" w:lineRule="auto"/>
        <w:rPr>
          <w:sz w:val="20"/>
          <w:szCs w:val="20"/>
          <w:color w:val="auto"/>
        </w:rPr>
      </w:pPr>
      <w:r>
        <w:rPr>
          <w:rFonts w:ascii="Arial" w:cs="Arial" w:eastAsia="Arial" w:hAnsi="Arial"/>
          <w:sz w:val="18"/>
          <w:szCs w:val="18"/>
          <w:color w:val="auto"/>
        </w:rPr>
        <w:t>We believe that our optimized iPSC differentiation methods are scalable and compatible with efficient manufacturing processes. Our process development manufacturing science and technology, analytical development and analytical science and technology groups work closely with our colleagues in research to leverage the collective and synergistic expertise of these groups to develop, optimize and implement processes and assays used for the clinical manufacturing and release of product candidates for clinical trials.</w:t>
      </w:r>
    </w:p>
    <w:p>
      <w:pPr>
        <w:spacing w:after="0" w:line="17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Cryopreservation of allogeneic cell therapies is essential for the ability to deliver these as off-the-shelf products. Therefore, we believe that addressing the key determinants of cryopreservation is of particular relevance to the success of our therapeutic programs. The ability of cells to withstand cryopreservation depends not only on 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our cell product candidates, especially its impact on yield, activity, stability, and consistency. We have invested significant resources to optimize our manufacturing processes and continue to iteratively invest in this area. We are also committing additional resources to ensure that adequate infrastructure and expertise is available at clinical sites regarding handling and treatment preparation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137795</wp:posOffset>
            </wp:positionV>
            <wp:extent cx="4937760" cy="130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377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auto"/>
        </w:rPr>
        <w:t>For our ELiPSE-1 clinical trial, FUJIFILM Cellular Dynamics, Inc., or FCDI, produced the clinical supply of CNTY-101. FCDI currently maintains a cGMP-compliant manufacturing facility in Madison, Wisconsin and our audit of the facility confirmed it was appropriate for Phase 1 supply. We have produced CNTY-101 clinical supply for our CALiPSO and CARAMEL trials at our own 53,000 square foot cell therapy manufacturing facility in Branchburg, New Jersey, which has been operational since 2022. We received a QP declaration, compliant with EU regulations in February 2025, to enable supply of clinical product from our in-house facility for clinical studies in the EU. We also intend to use this facility as the primary manufacturing site for CNTY-813 and CNTY-</w:t>
      </w:r>
    </w:p>
    <w:p>
      <w:pPr>
        <w:spacing w:after="0" w:line="4" w:lineRule="exact"/>
        <w:rPr>
          <w:sz w:val="20"/>
          <w:szCs w:val="20"/>
          <w:color w:val="auto"/>
        </w:rPr>
      </w:pPr>
    </w:p>
    <w:p>
      <w:pPr>
        <w:ind w:left="60" w:right="219" w:hanging="10"/>
        <w:spacing w:after="0" w:line="250" w:lineRule="auto"/>
        <w:tabs>
          <w:tab w:leader="none" w:pos="5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able to do so since we have designed the facility to be a flexible, multi-product facility, capable of producing any cell type.</w:t>
      </w:r>
    </w:p>
    <w:p>
      <w:pPr>
        <w:spacing w:after="0" w:line="172"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are gaining a deeper understanding of our critical product attributes and the factors that affect product quality. We are also developing expertise in scale-up technologies to enable optimal manufacturing scale for our product candidates, which will reduce COGs and improve patient access.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Licensing, partnerships, and collaborations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Fujifilm Cellular Dynamics, Inc.</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party to an exclusive license with FCDI, dated September 18, 2018, or, as amended, the Differentiation License, pursuant to which we have licensed from FCDI certain patents and know-how related to differentiation of iPSC cells into immune-effector cells in the field of cancer immunotherapeutics. We are also party to a non-exclusive license with FCDI, also dated September 18, 2018, or, as amended, the Reprogramming License, pursuant to which we have licensed from FCDI certain patents and know-how related to the reprogramming of human somatic cells to iPSCs in the field of cancer immunotherapeutics. On October 21, 2019, we entered into a Master Collaboration Agreement with FCDI pursuant to which we agreed to fund research and development work at FCDI pursuant to a research plan, or, as amended, the FCDI Collaboration Agreement. On March 23, 2021, we entered into a Manufacturing and Supply Agreement with FCDI, or, as amended, the Manufacturing Agreement, pursuant to which FCDI will provide certain agreed upon technology transfer, process development, analytical testing and cGMP manufacturing services to us. On September 22, 2023, we entered into a worldwide license agreement with FCDI, or the Autoimmune License, whereby FCDI will grant non-exclusive licenses to us for certain patent rights and know-how related to cell differentiation and reprogramming for the development and commercialization of iPSC-derived therapies for the treatment of inflammatory and autoimmune diseases.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Reprogramming License Agreement</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Under the Reprogramming License, FCDI granted us a non-exclusive, worldwide license, excluding Japan, under certain patent rights and know-how related to cell reprogramming of human cells to iPSCs to exploit FCDI Licensed Products within the field of cancer immunotherapy products.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$6.0 million per FCDI Licensed Product.</w:t>
      </w:r>
    </w:p>
    <w:p>
      <w:pPr>
        <w:spacing w:after="0" w:line="17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Reprogramming License expires upon the expiration of the last-to-expire patent licensed thereunder, which is currently expected to expire in 2034.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product-by-product or country-by-country basis. FCDI may terminate the Reprogramming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Reprogramming License upon written notice in the event of termination of the Differentiation License.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The Reprogramming License also contains customary representations and warranties, confidentiality, insurance and indemnification provisions.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Differentiation License Agreement</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Under the Differentiation License, FCDI granted us an exclusive, fully paid-up, sublicensable, worldwide license, excluding Japan,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FCDI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183"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We also issued shares of common stock to FCDI as consideration under the Differentiation License.</w:t>
      </w:r>
    </w:p>
    <w:p>
      <w:pPr>
        <w:spacing w:after="0" w:line="17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Differentiation License expires upon the expiration of the last-to-expire patent licensed thereunder, which is currently expected to expire in 2036. Either party may terminate the Differentiation License upon the other party’s 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product-by-product basis or country-by-country basis, for convenience upon 90 days’ written notice. In addition, FCDI may terminate the Differentiation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Differentiation License upon written notice in the event of termination of Reprogramming License. FCDI may also terminate the Differentiation License upon written notice if (i) the Reprogramming License Agreement expires or terminates for any reason or (ii) the WARF License expires or terminates for any reason.</w:t>
      </w:r>
    </w:p>
    <w:p>
      <w:pPr>
        <w:spacing w:after="0" w:line="183"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Differentiation License also contains customary representations and warranties, confidentiality, insurance and indemnification provisions.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Collaboration Agreement</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Under the FCDI Collaboration Agreement, we established a collaborative relationship under which FCDI agreed to render certain services to us for the development and manufacture iPSC-derived cells in accordance with a research plan and approved budget funded by us. For the first three years of the term of the FCDI Collaboration Agreement, we agreed to pay FCDI a minimum of $2.5 million per year. Under the FCDI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 materials derived from the use of Reprogrammed iPS Cells, produced by the use of Reprogrammed iPS Cells or which incorporate wholly or partially Reprogrammed iPS Cells, which, in each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case, will be owned by FCDI, unless directly or indirectly derived from or made from the cell lines selected by us pursuant to the terms of the FCDI Collaboration Agreement.</w:t>
      </w:r>
    </w:p>
    <w:p>
      <w:pPr>
        <w:spacing w:after="0" w:line="154"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The FCDI Collaboration Agreement expires upon the termination of the Reprogramming License. Either party may terminate the FCDI Collaboration Agreement upon the other party’s material breach, subject to a 30-day notice and cure period. We may terminate the FCDI Collaboration Agreement for convenience by providing FCDI 60-days’ written notice.</w:t>
      </w:r>
    </w:p>
    <w:p>
      <w:pPr>
        <w:spacing w:after="0" w:line="174"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The FCDI Collaboration Agreement also contains customary representations and warranties, confidentiality and indemnification provisions.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Letter Agreement</w:t>
      </w:r>
    </w:p>
    <w:p>
      <w:pPr>
        <w:spacing w:after="0" w:line="21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Under the Letter Agreement, which amends certain terms of each of the Reprogramming Licenses Agreement, Differentiation License Agreement and Manufacturing Agreement, together the FCDI Agreements, including such amendments that (i) amend the definition of Territory under each of the FCDI Agreements, for purposes of the sublicenses under the FCDI Agreements pursuant to our former Research Collaboration and License Agreement with Bristol-Myers Squibb dated January 7, 2022, or the Collaboration Agreement, includes Japan,</w:t>
      </w:r>
    </w:p>
    <w:p>
      <w:pPr>
        <w:spacing w:after="0" w:line="4" w:lineRule="exact"/>
        <w:rPr>
          <w:sz w:val="20"/>
          <w:szCs w:val="20"/>
          <w:color w:val="auto"/>
        </w:rPr>
      </w:pPr>
    </w:p>
    <w:p>
      <w:pPr>
        <w:ind w:left="60" w:right="79" w:hanging="10"/>
        <w:spacing w:after="0" w:line="239" w:lineRule="auto"/>
        <w:tabs>
          <w:tab w:leader="none" w:pos="3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amends the licenses granted to us and our affiliates under the FCDI Agreements such that the rights are sublicensable to Bristol-Myers Squibb, including with respect to Japan and (iii) the intellectual property developed under the Bristol-Myers Squibb collaboration is not subject to grant-back and option provisions under the Reprogramming License (iv) waives any right of FCDI to manufacture products developed under the Collaboration Agreement.</w:t>
      </w:r>
    </w:p>
    <w:p>
      <w:pPr>
        <w:spacing w:after="0" w:line="18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Pursuant to the Letter Agreement, and in consideration for amending the FCDI Agreements, we paid to FCDI (i) an upfront payment of $ 10.0 million, and will pay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Manufacturing Agreement</w:t>
      </w:r>
    </w:p>
    <w:p>
      <w:pPr>
        <w:spacing w:after="0" w:line="21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Under the Manufacturing Agreement, FCDI has and will perform certain agreed upon technology transfer, process development, analytical testing, and cGMP manufacturing services for us with respect to clinical supply of certain of our product candidates as agreed to in current and future work orders. The Manufacturing Agreement contains certain exclusivity provisions, which remain effective until the fifth anniversary of the Manufacturing Agreement, including that FCDI will be our exclusive supplier of clinical grade CNTY-101 for use in B-cell malignancies during the exclusivity period and that FCDI will have the option to be our exclusive supplier during the remainder of the exclusivity period of clinical material for the next one or two NK cell products for which we file an IND, depending on the other INDs that we file during the remainder of the exclusivity period. Subject to certain conditions, FCDI may also have the right to be the exclusive clinical supplier for the first product candidate for which we submit an IND after the fifth anniversary of the Manufacturing Agreement and choose not to manufacture ourselves.</w:t>
      </w:r>
    </w:p>
    <w:p>
      <w:pPr>
        <w:spacing w:after="0" w:line="186"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Autoimmune License and Related Amendments</w:t>
      </w:r>
    </w:p>
    <w:p>
      <w:pPr>
        <w:spacing w:after="0" w:line="210" w:lineRule="exact"/>
        <w:rPr>
          <w:sz w:val="20"/>
          <w:szCs w:val="20"/>
          <w:color w:val="auto"/>
        </w:rPr>
      </w:pPr>
    </w:p>
    <w:p>
      <w:pPr>
        <w:ind w:left="60" w:right="359"/>
        <w:spacing w:after="0" w:line="301" w:lineRule="auto"/>
        <w:rPr>
          <w:sz w:val="20"/>
          <w:szCs w:val="20"/>
          <w:color w:val="auto"/>
        </w:rPr>
      </w:pPr>
      <w:r>
        <w:rPr>
          <w:rFonts w:ascii="Arial" w:cs="Arial" w:eastAsia="Arial" w:hAnsi="Arial"/>
          <w:sz w:val="17"/>
          <w:szCs w:val="17"/>
          <w:color w:val="auto"/>
        </w:rPr>
        <w:t>On September 22, 2023, we entered into the Autoimmune License, whereby FCDI will grant non-exclusive licenses to us for certain patent rights and know-how related to cell differentiation and reprogramming for the</w:t>
      </w:r>
    </w:p>
    <w:p>
      <w:pPr>
        <w:sectPr>
          <w:pgSz w:w="11900" w:h="16838" w:orient="portrait"/>
          <w:cols w:equalWidth="0" w:num="1">
            <w:col w:w="9019"/>
          </w:cols>
          <w:pgMar w:left="1440" w:top="512" w:right="1440"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development and commercialization of iPSC-derived therapies for the treatment of inflammatory and autoimmune diseases.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FCDI Collaboration Agreement to expand our existing license related to the development and commercialization of iPSC-derived cancer immunotherapeutics to also include inflammatory and autoimmune diseases. In connection with the entry into the Autoimmune License and the amendments to the Reprogramming License and Differentiation License, we made an upfront payment in the amount of $4.0 million. In addition, we paid FCDI a $1.0 million milestone fee pursuant to the Autoimmune License for filing of the IND for SLE for CNTY-101, both of which are included as in-process research and development in the consolidated statements of operations and comprehensive loss for the year ended December 31, 2023.</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HealthCare LLC Option Agreement</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June 2019, we entered into an option agreement with Bayer HealthCare LLC, or Bayer, which was subsequently amended and restated in February 2021, or the Option Agreement, pursuant to which Bayer was granted certain bidding rights relating to the potential transfer of rights with respect to certain product candidates being researched and developed by us which are comprised of allogeneic iNK cells, macrophages or dendritic cells, which we refer to as the Research Products. For clarity, T cell programs are excluded from the Bayer Option Agreement Research Products. Under the Option Agreement, Bayer was granted a right of first refusal, or ROFR, to submit bids for the transfer or license of rights to research, develop and/or commercialize certain Research Products, which we refer to as the Research Product Rights. While CNTY-101 is no longer included in the Bayer option rights, any other wholly owned product candidate comprised of iNK cells that we develop in the future is subject to the terms of the Option Agreement.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18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In the event that Bayer exercises its ROFR right, we will provide Bayer with our current, minimum offer terms with respect to the relevant Research Product Rights, or the Minimum Offer Terms, as determined by our Board (excluding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 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 IND submission for a Research Product under which Bayer will have the option to submit a competing bid or relinquish its rights with respect to the transfer of the applicable Research Product in connection with the unsolicited bid.</w:t>
      </w:r>
    </w:p>
    <w:p>
      <w:pPr>
        <w:spacing w:after="0" w:line="189"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iCELL Inc.</w:t>
      </w:r>
    </w:p>
    <w:p>
      <w:pPr>
        <w:spacing w:after="0" w:line="21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On March 20, 2020, we entered into an exclusive sublicense, or the iCELL Sublicense, with iCELL Inc., or iCELL, for certain patents related to an immune function reconstruction method using multipotent stem cells and the method for producing antigen specific T-cells, in each case, to research, develop and commercialize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products in the United States, France, Germany, Italy, Liechtenstein, the Netherlands, Switzerland and the UK and any other countries where valid claims exist. Additionally, we received a non-exclusive license to 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 The initial term of the sublicense expires on the later of (i) March 31, 2027, or (ii) the expiration of the last-to-expire valid claim covering a licensed product, which is currently expected to expire in 2033.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 Pursuant to the iCELL Sublicense, we paid an upfront license issue fee in the low six-figures and we agreed to make low single-digit percentage royalty payments until the last-to-expire valid claim under the licensed patents to iCELL on certain net sales amounts of the products developed under the iCELL Sublicense, as well as commercial milestone payments on a country-by-country basis based on certain net sales amounts related to products developed under the iCELL Sublicense in the aggregate of $70.0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Inscripta</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January 2019, we entered into a non-exclusive license agreement with Inscripta, Inc. Under the license agreement, we obtained a non-exclusive, worldwide, royalty-free, irrevocable license to a patent portfolio covering the composition, production, and use of CRISPR-MAD7, a novel gene-editing CRISPR endonuclease from the Eubacterium rectale genome. The license agreement does not contain any payment terms; thus no payments have been made, or will be made, to Inscripta under the license agreement. The licensed intellectual property includes two issued U.S. patents and any pending applications claiming priority therefrom. Our license covers the use of CRISPR-MAD7 to perform research and development in both academic and commercial setting and use of MAD7 to perform commercial services, provided that such use may not include the (i) sale or resale of MAD7, including as part of a therapeutic product, (ii) continued use of MAD7 in a commercial manufacturing process or (iii) use of MAD7 in the editing of human embryos. Such license will expire upon the expiration of the last valid claim under the licensed patents, which is currently expected to expire in 2037. These licensed issued patents and any licensed patents that may issue from these pending patent applications will expire in 2037, without giving effect to any patent term adjustment or extension.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Catalent Dusseldorf GmbH</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December 12, 2022, Clade entered into a non-exclusive license agreement with Catalent Dusseldorf GmbH, or Catalent, pursuant to which Catalent granted Clade a worldwide, non-exclusive, non-transferrable, royalty-bearing license under all rights owned or controlled by Catalent to one of its GMP-grade iPSC cell lines derived from human cord blood CD34+ cells, to develop, have developed, make, have made, use, have used, sell, offer for sale, have sold, distribute, have distributed, import, have imported and otherwise exploit or have exploited cell therapy products. The license, or the Catalent License, permits the genetic modification of the licensed cell line and the development and commercialization of resulting cell therapy products for any indication. We have a right to use the Catalent License as a result of our acquisition of Clade.</w:t>
      </w:r>
    </w:p>
    <w:p>
      <w:pPr>
        <w:spacing w:after="0" w:line="180" w:lineRule="exact"/>
        <w:rPr>
          <w:sz w:val="20"/>
          <w:szCs w:val="20"/>
          <w:color w:val="auto"/>
        </w:rPr>
      </w:pPr>
    </w:p>
    <w:p>
      <w:pPr>
        <w:ind w:left="60" w:right="759"/>
        <w:spacing w:after="0" w:line="301" w:lineRule="auto"/>
        <w:rPr>
          <w:sz w:val="20"/>
          <w:szCs w:val="20"/>
          <w:color w:val="auto"/>
        </w:rPr>
      </w:pPr>
      <w:r>
        <w:rPr>
          <w:rFonts w:ascii="Arial" w:cs="Arial" w:eastAsia="Arial" w:hAnsi="Arial"/>
          <w:sz w:val="17"/>
          <w:szCs w:val="17"/>
          <w:color w:val="auto"/>
        </w:rPr>
        <w:t>Under the Catalent License, we may grant sublicenses to third parties to develop, manufacture and commercialize resulting products, but we may not sublicense the original cell line itself. Catalent retains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ownership of the original cell line, and we own the modified cells and resulting products that we make from the original cell line, subject to certain restrictions and limited rights granted back to Catalent.</w:t>
      </w:r>
    </w:p>
    <w:p>
      <w:pPr>
        <w:spacing w:after="0" w:line="15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consideration for the rights granted, Clade paid Catalent an upfront fee. We are also required to pay certain product-by-product milestone payments upon the achievement of certain development and regulatory milestones up to an aggregate of $20.43 million. We additionally agreed to pay royalties equal to a low single digit percentage of net sales of each product during a defined royalty term, after which royalty term the license automatically becomes fully paid-up, perpetual, irrevocable and royalty-free. We also agreed to pay annual minimum fees during a defined period, with milestone payments and royalties paid in a calendar year creditable against the annual minimum fees payable for the same calendar year.</w:t>
      </w:r>
    </w:p>
    <w:p>
      <w:pPr>
        <w:spacing w:after="0" w:line="185"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The agreement remains in effect until terminated and may be terminated by us for convenience upon prior written notice or by either party for material breach, subject to specified cure periods. Certain provisions, including payment obligations, indemnification obligations and confidentiality obligations, survive termination.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Intellectual property is of vital importance in our field and in biotechnology generally. We seek to protect and enhance our intellectual property, proprietary technology, inventions, and improvements that are commercially important to the development of our business by seeking, maintaining, enforcing and defending patent rights, whether developed internally or licensed from third parties.</w:t>
      </w:r>
    </w:p>
    <w:p>
      <w:pPr>
        <w:spacing w:after="0" w:line="174" w:lineRule="exact"/>
        <w:rPr>
          <w:sz w:val="20"/>
          <w:szCs w:val="20"/>
          <w:color w:val="auto"/>
        </w:rPr>
      </w:pPr>
    </w:p>
    <w:p>
      <w:pPr>
        <w:ind w:left="60" w:right="79"/>
        <w:spacing w:after="0" w:line="265" w:lineRule="auto"/>
        <w:rPr>
          <w:sz w:val="20"/>
          <w:szCs w:val="20"/>
          <w:color w:val="auto"/>
        </w:rPr>
      </w:pPr>
      <w:r>
        <w:rPr>
          <w:rFonts w:ascii="Arial" w:cs="Arial" w:eastAsia="Arial" w:hAnsi="Arial"/>
          <w:sz w:val="18"/>
          <w:szCs w:val="18"/>
          <w:color w:val="auto"/>
        </w:rPr>
        <w:t>We have sought patent protection in the United States and other countries throughout the world related to each of our pipeline programs, including our CNTY-101 product candidate, as well as other iPSC-derived engineered CAR-expressing and beta-islet cells comprising certain transgene insertions and deletions, including our proprietary Allo-Evasion™ technology. We have an issued US Patent No. 11,661,459 directed to the safety switch construct incorporated in our CNTY-101 product, and an issued US Patent No. 12,269,888 directed to a composition that includes the iPSC or derivative cell thereof having a safety switch construct incorporated in our CNTY-101 product. We have also filed patent applications related to our other product candidates, including CNTY-308 and CNTY-813 (beta-islet cells for treating T1D). We have also filed patent applications relating to our T-cell platform related to compositions and methods for generating alpha-beta and gamma delta T-cells from iPSCs. Additionally, we have filed a patent application on methods of engineering iPSCs. This portfolio covers compositions of programmed cellular immunotherapies, our proprietary Allo-Evasion™ technology and our platform for industrial scale iPSC engineering and differentiation. The portfolio also includes technology for a universal CAR cell platform and a novel safety switch which includes an issued US Patent No.11,883,432. These issued patents and any patents that may be issued from allowed patent applications will expire on dates in 2041, without giving effect to any patent term adjustment or extension.</w:t>
      </w:r>
    </w:p>
    <w:p>
      <w:pPr>
        <w:spacing w:after="0" w:line="19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have also filed provisional and/or non-provisional patent applications related to iPSC-derived cells engineered to express CXCR4. Additionally, through our acquisition of Clade Therapeutics, Inc., we acquired patent applications related to (i) methods of making and using single positive T cells, and (ii) cells engineered with one or both of a CD300a and NKG2A binding domain to enhance cell cloaking.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 may be important to the development of our business, but which may be difficult to protect and provide us with only limited protection.</w:t>
      </w:r>
    </w:p>
    <w:p>
      <w:pPr>
        <w:spacing w:after="0" w:line="18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180"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United States Patent and Trademark Office, or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38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80" w:lineRule="exact"/>
        <w:rPr>
          <w:sz w:val="20"/>
          <w:szCs w:val="20"/>
          <w:color w:val="auto"/>
        </w:rPr>
      </w:pPr>
    </w:p>
    <w:p>
      <w:pPr>
        <w:ind w:left="60" w:right="259"/>
        <w:spacing w:after="0" w:line="253" w:lineRule="auto"/>
        <w:rPr>
          <w:sz w:val="20"/>
          <w:szCs w:val="20"/>
          <w:color w:val="auto"/>
        </w:rPr>
      </w:pPr>
      <w:r>
        <w:rPr>
          <w:rFonts w:ascii="Arial" w:cs="Arial" w:eastAsia="Arial" w:hAnsi="Arial"/>
          <w:sz w:val="17"/>
          <w:szCs w:val="17"/>
          <w:color w:val="auto"/>
        </w:rPr>
        <w:t>We will file U.S. non-provisional applications and PCT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16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8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18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Our commercial success will also depend in part on not infringing, violating, or 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 proprietary rights required to develop or commercialize our product candidates may have a material adverse impact on us. For more information, see “Risk Factors—Risks related to intellectual property.”</w:t>
      </w:r>
    </w:p>
    <w:p>
      <w:pPr>
        <w:spacing w:after="0" w:line="18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Intellectual property relating to iPSC technology</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have licensed from FCDI a portfolio of six patent families including issued patents and pending applications broadly applicable to the reprogramming of somatic cells. Our license is non-exclusive within the field of cancer immunotherapeutics in the worldwide territory outside of Japan and for the treatment of inflammatory and autoimmune diseases worldwide. This portfolio covers various aspects of the generation of human iPSCs from somatic cells and, as of May 31,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reprogramming vector containing genes for certain reprogramming factors. These issued patents and any patents that may be issued from these pending patent applications will expire on dates ranging from 2029 to 2034, without giving effect to any patent term adjustment or extension.</w:t>
      </w:r>
    </w:p>
    <w:p>
      <w:pPr>
        <w:spacing w:after="0" w:line="183"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color w:val="auto"/>
        </w:rPr>
        <w:t>Included within the license is a sublicense under certain patents, which are directed to compositions and methods of using and making iPSCs,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17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Intellectual property relating to genetic engineering</w:t>
      </w:r>
    </w:p>
    <w:p>
      <w:pPr>
        <w:spacing w:after="0" w:line="21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In January 2019, we entered into a non-exclusive license agreement with Inscripta, Inc. Under the license agreement, we obtained a non-exclusive, royalty-free, irrevocable license to a patent portfolio covering the composition, production, and use of CRISPR-MAD7, a novel gene-editing CRISPR endonuclease from the Eubacterium rectale genome. The intellectual property includes two issued U.S. patents and any pending applications claiming priority therefrom. Our license covers the making and using of CRISPR-MAD7 for editing iPSCs, making master engineered iPSC lines and using master engineered iPSC lines to manufacture human therapeutic products. These issued patents and any patents that may be issued from these pending patent applications will expire in 2037, without giving effect to any patent term adjustment or extension.</w:t>
      </w:r>
    </w:p>
    <w:p>
      <w:pPr>
        <w:spacing w:after="0" w:line="18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Intellectual property relating to the differentiation of hematopoietic cells</w:t>
      </w:r>
    </w:p>
    <w:p>
      <w:pPr>
        <w:spacing w:after="0" w:line="210"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We have licensed from FCDI a portfolio of six patent families regarding methods of differentiating iPSC cells including issued patents and pending patent applications broadly applicable to the differentiation of iPSC cells, the last of which is currently expected to expire in 2036. Our license is exclusive to exploit cancer immunotherapeutic products and non-exclusive for the products for the treatment of inflammatory and autoimmune diseases consisting of cells that are or are modifications of NK cells, T cells, dendritic cells and macrophages derived from human iPSCs. This portfolio covers various aspects of the generation of hematopoietic precursor and immune effector cells from iPSCs and, as of May 31, 2021, includes five issued U.S. patents claiming methods for the differentiation of human iPSCs to hematopoietic precursor cells and further differentiation into immune effector cells. Specifically, the portfolio includes patents with claims for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Intellectual property relating to engineered iPSCs and derivative cells</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Currently, we own three issued US patents, 18 pending US utility patent applications, six pending provisional patent applications, and six pending PCT applications covering our engineered iPSC cells, cell differentiation technology, compositions of engineered cellular immunotherapies, and methods of engineering iPSC cells. The portfolio includes composition of matter claims covering CNTY-101, as well as other iPSC-derived engineered CAR-expressing and beta-islet cells comprising certain transgene insertions and deletions, including our proprietary Allo-Evasion™ technology. We have an issued US patent No. 11,661,459 directed to the safety switch construct incorporated in our CNTY-101 product, an issued US Patent No. 12,269,888 directed to a composition that includes the iPSC or derivative cell thereof having a safety switch construct incorporated in our CNTY-101 product, and an issued US patent with claims directed to a universal CAR cell platform. We have also filed patent applications relating to our T-cell platform related to compositions and methods for generating alpha-beta and gamma-delta T cells from iPSCs. We have also filed patent applications related to a novel safety switch. Any U.S. patents that may issue from such pending provisional patent applications would expire in from 2040-2043, without giving effect to any patent term adjustment or extension.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Intellectual property relating to engineered T cells</w:t>
      </w:r>
    </w:p>
    <w:p>
      <w:pPr>
        <w:spacing w:after="0" w:line="21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The biotechnology and pharmaceutical industries have made substantial investment in recent years in the rapid development of novel immunotherapies for the treatment of a range of pathologies, including cancers, and autoimmune disorders, making this a highly competitive market.</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cancers and autoimmune disorders. In addition to the current standard of care treatments for patients with cancers or autoimmune disorders,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189"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Large pharmaceutical companies that have commercialized or are developing immunotherapies to treat cancer include but are not limited to AstraZeneca, Bristol-Myers Squibb, Gilead Sciences, Merck, Novartis,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Pfizer, and Roche. Some of these companies, such as Bristol-Myers Squibb, Novartis, and Roche, are also developing cell therapy therapies for autoimmune diseases.</w:t>
      </w:r>
    </w:p>
    <w:p>
      <w:pPr>
        <w:spacing w:after="0" w:line="154"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Companies that compete with us directly on the level of the development of product candidates targeting B-cell lymphomas include but are not limited to Gilead Sciences, Novartis, and Bristol-Myers Squibb, among others. Companies developing Nectin-4 targeted agents include but are not limited to Pfizer, Astellas, and Bicycle Therapeutics.</w:t>
      </w:r>
    </w:p>
    <w:p>
      <w:pPr>
        <w:spacing w:after="0" w:line="174"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Other emerging biopharmaceutical companies which can potentially develop competing cell therapy candidates to treat both cancer and autoimmune diseases include but are not limited to Adicet Bio, Allogene Therapeutics, Artiva Biotherapeutics, Caribou Biosciences, , Fate Therapeutics, and Nkarta Therapeutics. Furthermore, companies pursuing the development of cell therapies in autoimmune diseases include but are not limited to Cabaletta Bio, Cartesian Therapeutics, and Kyverna Therapeutics.</w:t>
      </w:r>
    </w:p>
    <w:p>
      <w:pPr>
        <w:spacing w:after="0" w:line="176"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There are also several competing companies that are focused specifically on cell therapy approaches for the treatment of T1D including Vertex Pharmaceuticals, Sana Biotechnology, CRISPR Therapeutics, CellTrans, Sernova, GentiBio, Encelin, and Seraxis, among others.</w:t>
      </w:r>
    </w:p>
    <w:p>
      <w:pPr>
        <w:spacing w:after="0" w:line="169" w:lineRule="exact"/>
        <w:rPr>
          <w:sz w:val="20"/>
          <w:szCs w:val="20"/>
          <w:color w:val="auto"/>
        </w:rPr>
      </w:pPr>
    </w:p>
    <w:p>
      <w:pPr>
        <w:ind w:left="60" w:right="139"/>
        <w:spacing w:after="0" w:line="270" w:lineRule="auto"/>
        <w:rPr>
          <w:sz w:val="20"/>
          <w:szCs w:val="20"/>
          <w:color w:val="auto"/>
        </w:rPr>
      </w:pPr>
      <w:r>
        <w:rPr>
          <w:rFonts w:ascii="Arial" w:cs="Arial" w:eastAsia="Arial" w:hAnsi="Arial"/>
          <w:sz w:val="18"/>
          <w:szCs w:val="18"/>
          <w:color w:val="auto"/>
        </w:rPr>
        <w:t>Competition may also arise from non-cell therapy modalities, such as bispecific antibodies and T cell engagers. 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2"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the United States, biologic products are licensed by the FDA for marketing under the Public Health Service Act, or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 development process</w:t>
      </w:r>
    </w:p>
    <w:p>
      <w:pPr>
        <w:spacing w:after="0" w:line="210"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The process required by the FDA before a biologic product may be marketed in the United States generally involves the following:</w:t>
      </w:r>
    </w:p>
    <w:p>
      <w:pPr>
        <w:spacing w:after="0" w:line="154" w:lineRule="exact"/>
        <w:rPr>
          <w:sz w:val="20"/>
          <w:szCs w:val="20"/>
          <w:color w:val="auto"/>
        </w:rPr>
      </w:pPr>
    </w:p>
    <w:p>
      <w:pPr>
        <w:ind w:left="720" w:right="239" w:hanging="319"/>
        <w:spacing w:after="0" w:line="252"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70" w:lineRule="exact"/>
        <w:rPr>
          <w:rFonts w:ascii="Times New Roman" w:cs="Times New Roman" w:eastAsia="Times New Roman" w:hAnsi="Times New Roman"/>
          <w:sz w:val="18"/>
          <w:szCs w:val="18"/>
          <w:color w:val="auto"/>
        </w:rPr>
      </w:pPr>
    </w:p>
    <w:p>
      <w:pPr>
        <w:ind w:left="720" w:right="679" w:hanging="319"/>
        <w:spacing w:after="0" w:line="270"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preparation of clinical trial material in accordance with current Good Manufacturing Practices, or cGMPs;</w:t>
      </w:r>
    </w:p>
    <w:p>
      <w:pPr>
        <w:spacing w:after="0" w:line="154"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54"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spacing w:after="0" w:line="154" w:lineRule="exact"/>
        <w:rPr>
          <w:rFonts w:ascii="Times New Roman" w:cs="Times New Roman" w:eastAsia="Times New Roman" w:hAnsi="Times New Roman"/>
          <w:sz w:val="18"/>
          <w:szCs w:val="18"/>
          <w:color w:val="auto"/>
        </w:rPr>
      </w:pPr>
    </w:p>
    <w:p>
      <w:pPr>
        <w:jc w:val="both"/>
        <w:ind w:left="720" w:right="99" w:hanging="319"/>
        <w:spacing w:after="0" w:line="246"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according to Good Clinical Practices, or GCP, and any additional requirements for the protection of human research subjects and their health information, to establish the safety, purity, potency, and efficacy, of the proposed biologic product for its intended use;</w:t>
      </w:r>
    </w:p>
    <w:p>
      <w:pPr>
        <w:spacing w:after="0" w:line="176"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potency, and efficacy from results of nonclinical testing and clinical trials;</w:t>
      </w:r>
    </w:p>
    <w:p>
      <w:pPr>
        <w:spacing w:after="0" w:line="170" w:lineRule="exact"/>
        <w:rPr>
          <w:rFonts w:ascii="Times New Roman" w:cs="Times New Roman" w:eastAsia="Times New Roman" w:hAnsi="Times New Roman"/>
          <w:sz w:val="18"/>
          <w:szCs w:val="18"/>
          <w:color w:val="auto"/>
        </w:rPr>
      </w:pPr>
    </w:p>
    <w:p>
      <w:pPr>
        <w:ind w:left="720" w:right="299" w:hanging="319"/>
        <w:spacing w:after="0" w:line="246"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176" w:lineRule="exact"/>
        <w:rPr>
          <w:rFonts w:ascii="Times New Roman" w:cs="Times New Roman" w:eastAsia="Times New Roman" w:hAnsi="Times New Roman"/>
          <w:sz w:val="18"/>
          <w:szCs w:val="18"/>
          <w:color w:val="auto"/>
        </w:rPr>
      </w:pPr>
    </w:p>
    <w:p>
      <w:pPr>
        <w:ind w:left="720" w:right="279" w:hanging="319"/>
        <w:spacing w:after="0" w:line="270"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54"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FDA Advisory Committee meeting to elicit expert input on critical issues and including a vote by external committee members;</w:t>
      </w:r>
    </w:p>
    <w:p>
      <w:pPr>
        <w:spacing w:after="0" w:line="154" w:lineRule="exact"/>
        <w:rPr>
          <w:rFonts w:ascii="Times New Roman" w:cs="Times New Roman" w:eastAsia="Times New Roman" w:hAnsi="Times New Roman"/>
          <w:sz w:val="18"/>
          <w:szCs w:val="18"/>
          <w:color w:val="auto"/>
        </w:rPr>
      </w:pPr>
    </w:p>
    <w:p>
      <w:pPr>
        <w:ind w:left="720" w:right="739" w:hanging="319"/>
        <w:spacing w:after="0" w:line="270"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or licensure, of the BLA, and payment of associated user fees, when applicable; and</w:t>
      </w:r>
    </w:p>
    <w:p>
      <w:pPr>
        <w:spacing w:after="0" w:line="154" w:lineRule="exact"/>
        <w:rPr>
          <w:rFonts w:ascii="Times New Roman" w:cs="Times New Roman" w:eastAsia="Times New Roman" w:hAnsi="Times New Roman"/>
          <w:sz w:val="18"/>
          <w:szCs w:val="18"/>
          <w:color w:val="auto"/>
        </w:rPr>
      </w:pPr>
    </w:p>
    <w:p>
      <w:pPr>
        <w:ind w:left="720" w:right="359" w:hanging="319"/>
        <w:spacing w:after="0" w:line="252"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Strategies, or REMS, and the potential requirement to conduct post-approval studies.</w:t>
      </w:r>
    </w:p>
    <w:p>
      <w:pPr>
        <w:spacing w:after="0" w:line="171"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74"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color w:val="auto"/>
        </w:rPr>
        <w:t>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8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National Institutes of Health, or NIH, Guidelines for Research Involving Recombinant or Synthetic Nucleic Acid Molecules, or NIH Guidelines.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for recombinant or synthetic nucleic acid molecule research, many companies and other institutions not otherwise subject to the NIH Guidelines voluntarily follow them.</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12" w:lineRule="exact"/>
        <w:rPr>
          <w:sz w:val="20"/>
          <w:szCs w:val="20"/>
          <w:color w:val="auto"/>
        </w:rPr>
      </w:pPr>
    </w:p>
    <w:p>
      <w:pPr>
        <w:jc w:val="both"/>
        <w:ind w:left="720" w:right="259" w:hanging="319"/>
        <w:spacing w:after="0" w:line="252"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Phase 1. The biologic product is initially introduced into healthy human subjects and tested for safety. In the case of some products for rare and severe diseases, initial human testing is often conducted in patients.</w:t>
      </w:r>
    </w:p>
    <w:p>
      <w:pPr>
        <w:spacing w:after="0" w:line="170" w:lineRule="exact"/>
        <w:rPr>
          <w:rFonts w:ascii="Times New Roman" w:cs="Times New Roman" w:eastAsia="Times New Roman" w:hAnsi="Times New Roman"/>
          <w:sz w:val="18"/>
          <w:szCs w:val="18"/>
          <w:color w:val="auto"/>
        </w:rPr>
      </w:pPr>
    </w:p>
    <w:p>
      <w:pPr>
        <w:ind w:left="720" w:right="299" w:hanging="319"/>
        <w:spacing w:after="0" w:line="252"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Phase 2. The biologic product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170" w:lineRule="exact"/>
        <w:rPr>
          <w:rFonts w:ascii="Times New Roman" w:cs="Times New Roman" w:eastAsia="Times New Roman" w:hAnsi="Times New Roman"/>
          <w:sz w:val="18"/>
          <w:szCs w:val="18"/>
          <w:color w:val="auto"/>
        </w:rPr>
      </w:pPr>
    </w:p>
    <w:p>
      <w:pPr>
        <w:ind w:left="720" w:right="219" w:hanging="319"/>
        <w:spacing w:after="0" w:line="300" w:lineRule="auto"/>
        <w:tabs>
          <w:tab w:leader="none" w:pos="7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Phase 3. Clinical trials are undertaken to further evaluate dosage, clinical efficacy, potency and safety in an expanded patient population at geographically dispersed clinical trial sites. These clinical trials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spacing w:after="0" w:line="247" w:lineRule="auto"/>
        <w:rPr>
          <w:sz w:val="20"/>
          <w:szCs w:val="20"/>
          <w:color w:val="auto"/>
        </w:rPr>
      </w:pPr>
      <w:r>
        <w:rPr>
          <w:rFonts w:ascii="Arial" w:cs="Arial" w:eastAsia="Arial" w:hAnsi="Arial"/>
          <w:sz w:val="18"/>
          <w:szCs w:val="18"/>
          <w:color w:val="auto"/>
        </w:rPr>
        <w:t>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174"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18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76" w:lineRule="exact"/>
        <w:rPr>
          <w:sz w:val="20"/>
          <w:szCs w:val="20"/>
          <w:color w:val="auto"/>
        </w:rPr>
      </w:pPr>
    </w:p>
    <w:p>
      <w:pPr>
        <w:ind w:left="60" w:right="459"/>
        <w:spacing w:after="0" w:line="247" w:lineRule="auto"/>
        <w:rPr>
          <w:sz w:val="20"/>
          <w:szCs w:val="20"/>
          <w:color w:val="auto"/>
        </w:rPr>
      </w:pPr>
      <w:r>
        <w:rPr>
          <w:rFonts w:ascii="Arial" w:cs="Arial" w:eastAsia="Arial" w:hAnsi="Arial"/>
          <w:sz w:val="18"/>
          <w:szCs w:val="18"/>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 review and approval processes</w:t>
      </w:r>
    </w:p>
    <w:p>
      <w:pPr>
        <w:spacing w:after="0" w:line="210"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and there can be no assurance that the FDA will accept the BLA for filing and, even if filed, that any approval will be granted on a timely basis, if at all.</w:t>
      </w:r>
    </w:p>
    <w:p>
      <w:pPr>
        <w:spacing w:after="0" w:line="15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7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8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 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w:t>
      </w:r>
    </w:p>
    <w:p>
      <w:pPr>
        <w:spacing w:after="0" w:line="18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47" w:lineRule="auto"/>
        <w:rPr>
          <w:sz w:val="20"/>
          <w:szCs w:val="20"/>
          <w:color w:val="auto"/>
        </w:rPr>
      </w:pPr>
      <w:r>
        <w:rPr>
          <w:rFonts w:ascii="Arial" w:cs="Arial" w:eastAsia="Arial" w:hAnsi="Arial"/>
          <w:sz w:val="18"/>
          <w:szCs w:val="18"/>
          <w:color w:val="auto"/>
        </w:rPr>
        <w:t>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74"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6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With respect to oncology products, the FDA may review applications under Real-Time Oncology Review, or RTOR, established by the FDA’s Oncology Center of Excellence. RTOR, which allows an applicant to pre submit components of the application to allow the FDA to review clinical data before the complete filing is submitted, aims to explore a more efficient review process to ensure that safe and effective treatments are available to patients as early as possible, while maintaining and improving review quality. Drugs considered for review under RTOR must, among other things, be likely to demonstrate substantial improvements on a clinically relevant endpoint(s) over available therapy, and must have easily interpreted endpoints. In addition, no aspect of the application should be likely to require a longer review time, such as, for example, a requirement for a new REMS. To determine eligibility for RTOR, the FDA requires top-line efficacy and safety results from an applicant’s pivotal clinical trial(s), as well as completion of database lock for the clinical trial(s). The FDA will generally make a decision regarding acceptance into RTOR within 20 business days of receipt of the request from the applicant. If an applicant is not accepted into RTOR, the applicant will follow routine application submission procedures.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 post-approval requirements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Prior to the institution of any manufacturing changes, a determination needs to be made whether FDA approval is required in advance. If not done in accordance with FDA expectations, the FDA may restrict supply and may take further action.</w:t>
      </w:r>
    </w:p>
    <w:p>
      <w:pPr>
        <w:spacing w:after="0" w:line="183"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Following approval, manufacturers and other entities involved in the manufacture and distribution of approved drugs or biologics, and those supplying products, ingredients, and components of them, are required to register their establishments with the FDA and certain state agencies. Manufacturing facilities are subject to biennial inspections by the FDA and periodic inspections by certain state agencies for compliance with cGMP requirements and other regulatory requirements. Such inspections may result in an issuance of FDA Form 483 deficiency observations, untitled letters, or warning letters, which can lead to plant shutdown and other more serious penalties and fines.</w:t>
      </w:r>
    </w:p>
    <w:p>
      <w:pPr>
        <w:spacing w:after="0" w:line="18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 Additionally, manufacturers and other parties involved in the drug supply chain for prescription drug products must also comply with product tracking and tracing requirements and notify the FDA of counterfeit, diverted,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stolen and intentionally adulterated products or products that are otherwise unfit for distribution in the United States.</w:t>
      </w:r>
    </w:p>
    <w:p>
      <w:pPr>
        <w:spacing w:after="0" w:line="15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8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8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guidances, and policies are often revised or reinterpreted by the agency in ways that may significantly affect the manner in which pharmaceutical products are regulated and marketed.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Orphan drug designation</w:t>
      </w:r>
    </w:p>
    <w:p>
      <w:pPr>
        <w:spacing w:after="0" w:line="21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16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Expedited review and approval programs</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8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FDA may give priority review designation to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approval studies fail to verify the drug’s predicted clinical benefit. In addition, the FDA generally requires, unless otherwise informed by the agency, pre-approval of promotional materials for a product approved under the accelerated approval pathway, which could adversely impact the timing of the commercial launch of the product.</w:t>
      </w:r>
    </w:p>
    <w:p>
      <w:pPr>
        <w:spacing w:after="0" w:line="15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Moreover,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8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Biologics Price Competition and Innovation Act</w:t>
      </w:r>
    </w:p>
    <w:p>
      <w:pPr>
        <w:spacing w:after="0" w:line="21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Biologics Price Competition and Innovation Act of 2009, or BPCIA, which was enacted as part of the Patient Protection and Affordable Care Act of 2010, as amended by the Health Care and Education Reconciliation Act of 2010, or collectively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Regulation outside of the United States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addition to regulations in the United States, we are subject to a variety of regulations in other jurisdictions governing clinical studies, commercial sales, and distribution of our products. Most countries outside of the United States require that CTAs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Clinical Trials Directive 2001/20/EC on January 31, 2022, a single application 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now made through the Clinical Trials Information System, or CTIS, for clinical trial authorization in up to 30 EU/EEA countries at the same time and with a single set of documentation.</w:t>
      </w:r>
    </w:p>
    <w:p>
      <w:pPr>
        <w:spacing w:after="0" w:line="154"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(Concerned Member States) of a draft report prepared by a Reference Member State. Part II is assessed separately by each Concerned Member State. The role of the relevant ethics committees in the assessment procedure will continue to be governed by the national law of the Concerned Member State, however overall related timelines are defined by the Clinical Trials Regulation. The new Clinical Trials Regulation also provides for simplified reporting procedures for clinical trial sponsors.</w:t>
      </w:r>
    </w:p>
    <w:p>
      <w:pPr>
        <w:spacing w:after="0" w:line="168"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addition, whether or not we obtain FDA approval for a product, we must obtain approval of a product by the comparable regulatory authorities of countries outside the United States before we can market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7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To obtain regulatory approval of our product candidates under the European Union regulatory system, we are required to submit a marketing authorization application, or MAA, to be assessed in the centralized procedure. The centralized procedure allows applicants to obtain a marketing authorization, or MA, that is valid throughout the European Union, and the additional Member States of the European Economic Area (Iceland, Liechtenstein and Norway), or EEA. It is compulsory for medicinal products manufactured using biotechnological processes, for orphan medicinal products, for advanced therapy medicinal products (gene-therapy, somatic cell-therapy or tissue-engineered medicines) and for human products containing a new active substance which are not authorized in the European Union and which are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that constitute a significant therapeutic, scientific or technical innovation or for which a centralized authorization is in the interests of patients at European Union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 profile. The procedure results in a European Commission, or EC, decision, which is valid in all European Union Member States. The centralized procedure is as follows: full copies of the MA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192" w:lineRule="exact"/>
        <w:rPr>
          <w:sz w:val="20"/>
          <w:szCs w:val="20"/>
          <w:color w:val="auto"/>
        </w:rPr>
      </w:pPr>
    </w:p>
    <w:p>
      <w:pPr>
        <w:jc w:val="both"/>
        <w:ind w:left="60" w:right="159"/>
        <w:spacing w:after="0" w:line="255" w:lineRule="auto"/>
        <w:rPr>
          <w:sz w:val="20"/>
          <w:szCs w:val="20"/>
          <w:color w:val="auto"/>
        </w:rPr>
      </w:pPr>
      <w:r>
        <w:rPr>
          <w:rFonts w:ascii="Arial" w:cs="Arial" w:eastAsia="Arial" w:hAnsi="Arial"/>
          <w:sz w:val="17"/>
          <w:szCs w:val="17"/>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w:t>
      </w:r>
    </w:p>
    <w:p>
      <w:pPr>
        <w:spacing w:after="0" w:line="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When the opinion is favorable, it shall include the draft summary of product characteristics, or SmPC, the package leaflet and the labeling. The time limit for the evaluation procedure is 210 days (excluding clock stops, when additional written or oral information is to be provided by the applicant in response to questions asked by the CHMP).The EMA then has 15 days to forward its opinion to the EC, which will make a binding decision on the grant of an MA within 67 days of the receipt of the CHMP opinion.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There are two other procedures in the European Union for the grant of an MA in multiple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SmPC,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EC, whose decision is binding on all Member States.</w:t>
      </w:r>
    </w:p>
    <w:p>
      <w:pPr>
        <w:spacing w:after="0" w:line="18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criteria for designating an “orphan medicinal product” in the European Union are similar in principle to those in the United States. Under Article 3 of Regulation (EC) 141/2000, a medicinal product may be designated as an orphan medicinal product if it is intended for the diagnosis, prevention, or treatment of a life-threatening or chronically debilitating condition that affects no more than five in 10,000 persons in the European Union. In addition, orphan designation can be granted if the product is intended for a life threatening, seriously debilitating, or serious and chronic condition in the European Union and where, without incentives, it is unlikely that sales of the product in the European Union would be sufficient to justify the necessary investment in its development. Orphan drug designation is only available if there is no other satisfactory method approved in the European Union of diagnosing, preventing, or treating the applicable orphan condition, or if such a method exists, the proposed orphan drug will be of significant benefit to patients affected by such condition, as defined in Regulation (EC) 847/2000.</w:t>
      </w:r>
    </w:p>
    <w:p>
      <w:pPr>
        <w:spacing w:after="0" w:line="18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Orphan designation provides opportunities for fee reductions, protocol assistance and access to the centralized procedure before and during the first year after a marketing authorization, or MA. Fee reductions are not limited to the first year after a marketing authorization for small and medium enterprises. In addition, if a product that has an orphan designation subsequently receives a centralized MA for the indication for which it has such designation, the product is entitled to orphan market exclusivity, which means the EMA may not approve any other application to market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 Additionally, an MA may be granted to a similar medicinal product for the same indication at any time if:</w:t>
      </w:r>
    </w:p>
    <w:p>
      <w:pPr>
        <w:spacing w:after="0" w:line="180" w:lineRule="exact"/>
        <w:rPr>
          <w:sz w:val="20"/>
          <w:szCs w:val="20"/>
          <w:color w:val="auto"/>
        </w:rPr>
      </w:pPr>
    </w:p>
    <w:p>
      <w:pPr>
        <w:ind w:left="720" w:right="79" w:hanging="319"/>
        <w:spacing w:after="0" w:line="270" w:lineRule="auto"/>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second applicant can establish that its product, although similar to the authorized orphan product, is safer, more effective or otherwise clinically superior;</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MA holder of the authorized product consents to a second orphan medicinal product application; or</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MA holder of the authorized product cannot supply enough orphan medicinal product.</w:t>
      </w:r>
    </w:p>
    <w:p>
      <w:pPr>
        <w:spacing w:after="0" w:line="22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A pediatric investigation plan, or PIP, in the European Union is aimed at ensuring that the necessary data are obtained to support the authorization of a medicine for children, through studies in children. All applications for MAs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color w:val="auto"/>
        </w:rPr>
        <w:t>product information are eligible for an extension of their supplementary protection certificate, or SPC, by six months(provided an application for such extension is made at the same time as filing the SPC application for the product, or at any point up to 2 years before the SPC expires). This is the case even when the studies’ results are negative. For orphan medicinal products, the incentive is an additional two years of market exclusivity.</w:t>
      </w:r>
    </w:p>
    <w:p>
      <w:pPr>
        <w:spacing w:after="0" w:line="176"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 or PUMA. If a PUMA is granted, the product will benefit from ten years of market protection as an incentive.</w:t>
      </w:r>
    </w:p>
    <w:p>
      <w:pPr>
        <w:spacing w:after="0" w:line="174"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In March 2016, the EMA launched an initiative, The PRIority Medicines, or PRIME, scheme, to facilitate development of product candidates in indications, often rare, for which few or no therapies currently exist. The PRIME scheme is intended to encourage development of products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w:t>
      </w:r>
    </w:p>
    <w:p>
      <w:pPr>
        <w:spacing w:after="0" w:line="18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aforementioned European Union rules are generally applicable in the EEA.</w:t>
      </w:r>
    </w:p>
    <w:p>
      <w:pPr>
        <w:spacing w:after="0" w:line="21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United Kingdom left the European Union on January 31, 2020, referred to as Brexit, and the United Kingdom and the European Union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United Kingdom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continues to apply in Northern Ireland). Except in respect of the new EU Clinical Trials Regulation, the regulatory regime in Great Britain therefore largely aligns with current European Union medicines regulations, however it is possible that these regimes will diverge more significantly in future now that Great Britain’s regulatory system is independent from the European Union and the TCA does not provide for mutual recognition of United Kingdom and European Union pharmaceutical legislation. However, notwithstanding that there is no wholesale recognition of European Union pharmaceutical legislation under the TCA, under the new framework mentioned below which will be put in place by the MHRA from January 1, 2024, the MHRA has stated that it will take into account decisions on the approval of MAs from the EMA (and certain other regulators) when considering an application for a Great Britain MA.</w:t>
      </w:r>
    </w:p>
    <w:p>
      <w:pPr>
        <w:spacing w:after="0" w:line="18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Medicines and Healthcare products Regulatory Agency, or MHRA, the United Kingdom’s medicines regulator,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were automatically converted (grandfathered) into United Kingdom MAs free-of-charge on January 1, 2021. For a period of three years from January 1, 2021, the MHRA may rely on a decision taken by the EC on the approval of a new MA in the centralized procedure, in order to more quickly grant a new Great Britain MA. A separate application will, however, still be required. On January 24, 2023, the MHRA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announced that a new international recognition framework will be put in place from January 1, 2024, which will have regard to decisions on the approval of MAs made by the EMA and certain other regulators when determining an application for a new Great Britain MA.</w:t>
      </w:r>
    </w:p>
    <w:p>
      <w:pPr>
        <w:spacing w:after="0" w:line="169"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There is now no pre-MA orphan designation in Great Britain. Instead, the MHRA reviews applications for orphan designation in parallel to the corresponding MAA. The criteria are essentially the same, but have been tailored for the Great Britain market, i.e., the prevalence of the condition in Great Britain (rather than the European Union) must not be more than five in 10,000. Should an orphan designation be granted, the period or market exclusivity will be set from the date of first approval of the product in Great Britain or the European Union, wherever is earliest.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Healthcare laws and regulations</w:t>
      </w:r>
    </w:p>
    <w:p>
      <w:pPr>
        <w:spacing w:after="0" w:line="21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74" w:lineRule="exact"/>
        <w:rPr>
          <w:sz w:val="20"/>
          <w:szCs w:val="20"/>
          <w:color w:val="auto"/>
        </w:rPr>
      </w:pPr>
    </w:p>
    <w:p>
      <w:pPr>
        <w:ind w:left="720" w:right="179" w:hanging="319"/>
        <w:spacing w:after="0" w:line="243"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79" w:lineRule="exact"/>
        <w:rPr>
          <w:rFonts w:ascii="Times New Roman" w:cs="Times New Roman" w:eastAsia="Times New Roman" w:hAnsi="Times New Roman"/>
          <w:sz w:val="18"/>
          <w:szCs w:val="18"/>
          <w:color w:val="auto"/>
        </w:rPr>
      </w:pPr>
    </w:p>
    <w:p>
      <w:pPr>
        <w:jc w:val="both"/>
        <w:ind w:left="720" w:right="379" w:hanging="319"/>
        <w:spacing w:after="0" w:line="246"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176" w:lineRule="exact"/>
        <w:rPr>
          <w:rFonts w:ascii="Times New Roman" w:cs="Times New Roman" w:eastAsia="Times New Roman" w:hAnsi="Times New Roman"/>
          <w:sz w:val="18"/>
          <w:szCs w:val="18"/>
          <w:color w:val="auto"/>
        </w:rPr>
      </w:pPr>
    </w:p>
    <w:p>
      <w:pPr>
        <w:ind w:left="720" w:right="299" w:hanging="319"/>
        <w:spacing w:after="0" w:line="243"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179" w:lineRule="exact"/>
        <w:rPr>
          <w:rFonts w:ascii="Times New Roman" w:cs="Times New Roman" w:eastAsia="Times New Roman" w:hAnsi="Times New Roman"/>
          <w:sz w:val="18"/>
          <w:szCs w:val="18"/>
          <w:color w:val="auto"/>
        </w:rPr>
      </w:pPr>
    </w:p>
    <w:p>
      <w:pPr>
        <w:ind w:left="720" w:right="119" w:hanging="319"/>
        <w:spacing w:after="0" w:line="246"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176" w:lineRule="exact"/>
        <w:rPr>
          <w:rFonts w:ascii="Times New Roman" w:cs="Times New Roman" w:eastAsia="Times New Roman" w:hAnsi="Times New Roman"/>
          <w:sz w:val="18"/>
          <w:szCs w:val="18"/>
          <w:color w:val="auto"/>
        </w:rPr>
      </w:pPr>
    </w:p>
    <w:p>
      <w:pPr>
        <w:ind w:left="720" w:right="259" w:hanging="319"/>
        <w:spacing w:after="0" w:line="239"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nurse practitioners, clinical nurse specialists, certified registered nurse anesthetists, anesthesiologist assistants, certified nurse-midwives, and physician assistants, as well as ownership and investment interests held by physicians and their immediate family members;</w:t>
      </w:r>
    </w:p>
    <w:p>
      <w:pPr>
        <w:spacing w:after="0" w:line="186"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Price reporting laws require manufacturers to calculate and report complex pricing metrics to federal and state government agencies, where such reported prices may be used in the calculation of reimbursement and/or discounts on approved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270" w:lineRule="auto"/>
        <w:tabs>
          <w:tab w:leader="none" w:pos="7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54"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5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Healthcare Reform</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8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w:t>
      </w:r>
    </w:p>
    <w:p>
      <w:pPr>
        <w:spacing w:after="0" w:line="183"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The ACA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ACA also expanded the Public Health Service’s 340B drug pricing program. The 340B drug pricing program requires participating manufacturers to agree to charge statutorily-defined covered entities no more than the 340B “ceiling price” for the manufacturer’s covered outpatient drugs. The ACA expanded the 340B program to include additional types of covered entities: certain free-standing cancer hospitals, critical access hospitals, rural referral centers and sole community hospitals, each as defined by the ACA. Because the 340B ceiling price is determined based on the AMP and Medicaid drug rebate data, revisions to the Medicaid rebate formula and AMP definition could cause the required 340B discounts to increase.</w:t>
      </w:r>
    </w:p>
    <w:p>
      <w:pPr>
        <w:spacing w:after="0" w:line="18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Other legislative changes have been proposed and adopted since passage of the ACA. The Budget Control Act of 2011 and subsequent legislation, among other things, include aggregate reductions to Medicare payments to healthcare providers of up to 2% per fiscal year, which remain in effect through 2031. Further, the American Taxpayer Relief Act, among other things, reduced Medicare payments to several types of providers, including hospitals, imaging centers and cancer treatment centers, and increased the statute of limitations period for the government to recover overpayments to providers from three to five years. The American Rescue Plan Act of 2021 eliminated the statutory Medicaid drug rebate cap, previously set at 100% of a drug’s AMP, for single source and innovator multiple source drugs, effective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that replace the previous Coverage Gap Discount Program;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are exempted from the Medicare drug price negotiation program, but only if they have just one or more orphan designation and for which the only approved indication(s) are for rare diseases or conditions. The implementation of the IRA is currently subject to ongoing litigation that challenges the constitutionality of the IRA’s Medicare drug price negotiation program. The effects of the IRA on our business and the healthcare industry in general is not yet known.</w:t>
      </w:r>
    </w:p>
    <w:p>
      <w:pPr>
        <w:spacing w:after="0" w:line="180" w:lineRule="exact"/>
        <w:rPr>
          <w:sz w:val="20"/>
          <w:szCs w:val="20"/>
          <w:color w:val="auto"/>
        </w:rPr>
      </w:pPr>
    </w:p>
    <w:p>
      <w:pPr>
        <w:ind w:left="60" w:right="219"/>
        <w:spacing w:after="0" w:line="266" w:lineRule="auto"/>
        <w:rPr>
          <w:sz w:val="20"/>
          <w:szCs w:val="20"/>
          <w:color w:val="auto"/>
        </w:rPr>
      </w:pPr>
      <w:r>
        <w:rPr>
          <w:rFonts w:ascii="Arial" w:cs="Arial" w:eastAsia="Arial" w:hAnsi="Arial"/>
          <w:sz w:val="17"/>
          <w:szCs w:val="17"/>
          <w:color w:val="auto"/>
        </w:rPr>
        <w:t>The One Big Beautiful Bill Act of 2025, or OBBBA, for example, imposed significant reductions in Medicaid funding, additional work requirements for Medicaid recipients, and more frequent reenrollment requirements. These changes are expected to place substantial pressure on state Medicaid budgets, reduce enrollment, and limit covered services, which could decrease utilization of, and reimbursement for, our products, if approved.</w:t>
      </w:r>
    </w:p>
    <w:p>
      <w:pPr>
        <w:spacing w:after="0" w:line="159" w:lineRule="exact"/>
        <w:rPr>
          <w:sz w:val="20"/>
          <w:szCs w:val="20"/>
          <w:color w:val="auto"/>
        </w:rPr>
      </w:pPr>
    </w:p>
    <w:p>
      <w:pPr>
        <w:ind w:left="60" w:right="319"/>
        <w:spacing w:after="0" w:line="242" w:lineRule="auto"/>
        <w:rPr>
          <w:sz w:val="20"/>
          <w:szCs w:val="20"/>
          <w:color w:val="auto"/>
        </w:rPr>
      </w:pPr>
      <w:r>
        <w:rPr>
          <w:rFonts w:ascii="Arial" w:cs="Arial" w:eastAsia="Arial" w:hAnsi="Arial"/>
          <w:sz w:val="18"/>
          <w:szCs w:val="18"/>
          <w:color w:val="auto"/>
        </w:rPr>
        <w:t>Further legislative and regulatory changes under the ACA remain possible. It is unknown what form any such changes or any law would take, and how or whether it may affect our business in the future. We expect that changes or additions to the ACA,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7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ACA has also been subject to challenges in the courts. For example, on June 17, 2021, the Supreme Court dismissed the most recent judicial challenge to the ACA brought by several states without specifically ruling on the constitutionality of the ACA.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166"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On May 12, 2025, President Trump signed an executive order directing the Secretary of HHS to set and communicate most-favored-nation, or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spacing w:after="0" w:line="18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On December 19, 2025, CMS released two proposed rules that would incorporate MFN pricing principles into federal reimbursement for prescription drugs. The first proposal, the Global Benchmark for Efficient Drug Pricing Model, or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or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or GENEROUS, Model, a voluntary MFN framework for manufacturers participating in the Medicaid Drug Rebate Program. Although it is voluntary, the GENEROUS Model could also impact the drug pricing landscape for manufacturers.</w:t>
      </w:r>
    </w:p>
    <w:p>
      <w:pPr>
        <w:spacing w:after="0" w:line="18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Resources</w:t>
      </w:r>
    </w:p>
    <w:p>
      <w:pPr>
        <w:spacing w:after="0" w:line="212" w:lineRule="exact"/>
        <w:rPr>
          <w:sz w:val="20"/>
          <w:szCs w:val="20"/>
          <w:color w:val="auto"/>
        </w:rPr>
      </w:pPr>
    </w:p>
    <w:p>
      <w:pPr>
        <w:ind w:left="60" w:right="359" w:firstLine="50"/>
        <w:spacing w:after="0" w:line="253" w:lineRule="auto"/>
        <w:rPr>
          <w:sz w:val="20"/>
          <w:szCs w:val="20"/>
          <w:color w:val="auto"/>
        </w:rPr>
      </w:pPr>
      <w:r>
        <w:rPr>
          <w:rFonts w:ascii="Arial" w:cs="Arial" w:eastAsia="Arial" w:hAnsi="Arial"/>
          <w:sz w:val="18"/>
          <w:szCs w:val="18"/>
          <w:color w:val="auto"/>
        </w:rPr>
        <w:t>As of March 1, 2026, we had 78 full-time employees and 0 part-time employees. Of our 78 full and part-time employees, 36 are engaged in research and development activities. Building and maintaining positive relationships with our employees is central to our culture.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Our human resources objectives include, recruiting, engaging, developing, and retaining our employees. The principal purposes of our equity incentive plans are to attract, retain and motivate employees, consultants and directors through the granting of stock-based compensation awards and cash-based performance bonus awards. We regularly evaluate our compensation programs with an independent compensation consultant and utilize industry benchmarking to ensure competitiveness compared to similar biotechnology and biopharmaceutical companies with which we compete for talent. We prioritize fair and equitable treatment across our workforce with respect to gender, race, and other personal characteristics.</w:t>
      </w:r>
    </w:p>
    <w:p>
      <w:pPr>
        <w:spacing w:after="0" w:line="185"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We are an equal opportunity employer and we maintain policies that prohibit unlawful discrimination based on race, color, religion, gender, sexual orientation, gender identity/expression, national origin/ancestry, age, disability, marital and veteran status. Our employees are not part of any collective bargaining agreements.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Facilities</w:t>
      </w:r>
    </w:p>
    <w:p>
      <w:pPr>
        <w:spacing w:after="0" w:line="212"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Our principal executive offices are located in Philadelphia, Pennsylvania. We primarily operate in office and laboratory space in Philadelphia pursuant to a lease that expires in March 2034. We also operate a cell therapy manufacturing facility in Branchburg, New Jersey, under a lease that expires in February 2037.</w:t>
      </w:r>
    </w:p>
    <w:p>
      <w:pPr>
        <w:spacing w:after="0" w:line="169"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In September 2025, we executed a series of lease modifications with the same landlord that provided for the early termination of our other leased facilities in Seattle, Washington, or Seattle, and Boston, Massachusetts, or Boston. In connection with these modifications, we entered into a new lease agreement in Watertown, Massachusetts, or Watertown, which began upon the termination of the Boston lease. The Seattle lease terminated on December 31, 2025, and the Boston lease terminated on January 27, 2026, which aligns with the commencement date of the new Watertown lease.</w:t>
      </w:r>
    </w:p>
    <w:p>
      <w:pPr>
        <w:spacing w:after="0" w:line="179"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We also maintain a lease for vacated Philadelphia office and laboratory space with contractual expiration in October 2031, which we are actively marketing for sublease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that our existing facilities are adequate to support our ongoing business needs.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proceedings</w:t>
      </w:r>
    </w:p>
    <w:p>
      <w:pPr>
        <w:spacing w:after="0" w:line="212"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 Summary</w:t>
      </w:r>
    </w:p>
    <w:p>
      <w:pPr>
        <w:spacing w:after="0" w:line="212"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“Risk Factors” in this Annual Report on Form 10-K. The below summary is qualified in its entirety by those more complete discussions of such risks and uncertainties.</w:t>
      </w:r>
    </w:p>
    <w:p>
      <w:pPr>
        <w:spacing w:after="0" w:line="179" w:lineRule="exact"/>
        <w:rPr>
          <w:sz w:val="20"/>
          <w:szCs w:val="20"/>
          <w:color w:val="auto"/>
        </w:rPr>
      </w:pPr>
    </w:p>
    <w:p>
      <w:pPr>
        <w:ind w:left="720" w:right="139" w:hanging="319"/>
        <w:spacing w:after="0" w:line="227"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We have incurred significant losses since our inception, expect that we will continue to incur significant losses for the foreseeable future, and require additional funding in order to finance operations;</w:t>
      </w:r>
    </w:p>
    <w:p>
      <w:pPr>
        <w:spacing w:after="0" w:line="1" w:lineRule="exact"/>
        <w:rPr>
          <w:rFonts w:ascii="Times New Roman" w:cs="Times New Roman" w:eastAsia="Times New Roman" w:hAnsi="Times New Roman"/>
          <w:sz w:val="22"/>
          <w:szCs w:val="22"/>
          <w:color w:val="auto"/>
        </w:rPr>
      </w:pPr>
    </w:p>
    <w:p>
      <w:pPr>
        <w:ind w:left="720" w:hanging="319"/>
        <w:spacing w:after="0" w:line="209"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We have never generated revenue from product sales and may never achieve or maintain profitability;</w:t>
      </w:r>
    </w:p>
    <w:p>
      <w:pPr>
        <w:spacing w:after="0" w:line="9" w:lineRule="exact"/>
        <w:rPr>
          <w:rFonts w:ascii="Times New Roman" w:cs="Times New Roman" w:eastAsia="Times New Roman" w:hAnsi="Times New Roman"/>
          <w:sz w:val="22"/>
          <w:szCs w:val="22"/>
          <w:color w:val="auto"/>
        </w:rPr>
      </w:pPr>
    </w:p>
    <w:p>
      <w:pPr>
        <w:jc w:val="both"/>
        <w:ind w:left="720" w:right="339" w:hanging="319"/>
        <w:spacing w:after="0" w:line="218"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We are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1" w:lineRule="exact"/>
        <w:rPr>
          <w:rFonts w:ascii="Times New Roman" w:cs="Times New Roman" w:eastAsia="Times New Roman" w:hAnsi="Times New Roman"/>
          <w:sz w:val="22"/>
          <w:szCs w:val="22"/>
          <w:color w:val="auto"/>
        </w:rPr>
      </w:pPr>
    </w:p>
    <w:p>
      <w:pPr>
        <w:ind w:left="720" w:right="459" w:hanging="319"/>
        <w:spacing w:after="0" w:line="211"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We are highly dependent on the success of our lead product candidate, CNTY-813, which we have initiated IND-enabling studies for, and our other product candidates;</w:t>
      </w:r>
    </w:p>
    <w:p>
      <w:pPr>
        <w:jc w:val="both"/>
        <w:ind w:left="720" w:right="479" w:hanging="319"/>
        <w:spacing w:after="0" w:line="218"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Utilizing genetically engineered iPSC-derived immune cells and beta islet cells represents a novel approach to the treatment of cancer and autoimmune diseases, and we must overcome significant challenges in order to develop, commercialize, and manufacture our product candidates;</w:t>
      </w:r>
    </w:p>
    <w:p>
      <w:pPr>
        <w:spacing w:after="0" w:line="1" w:lineRule="exact"/>
        <w:rPr>
          <w:rFonts w:ascii="Times New Roman" w:cs="Times New Roman" w:eastAsia="Times New Roman" w:hAnsi="Times New Roman"/>
          <w:sz w:val="22"/>
          <w:szCs w:val="22"/>
          <w:color w:val="auto"/>
        </w:rPr>
      </w:pPr>
    </w:p>
    <w:p>
      <w:pPr>
        <w:ind w:left="720" w:right="559" w:hanging="319"/>
        <w:spacing w:after="0" w:line="218"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 w:lineRule="exact"/>
        <w:rPr>
          <w:rFonts w:ascii="Times New Roman" w:cs="Times New Roman" w:eastAsia="Times New Roman" w:hAnsi="Times New Roman"/>
          <w:sz w:val="22"/>
          <w:szCs w:val="22"/>
          <w:color w:val="auto"/>
        </w:rPr>
      </w:pPr>
    </w:p>
    <w:p>
      <w:pPr>
        <w:ind w:left="720" w:right="179" w:hanging="319"/>
        <w:spacing w:after="0" w:line="222"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 w:lineRule="exact"/>
        <w:rPr>
          <w:rFonts w:ascii="Times New Roman" w:cs="Times New Roman" w:eastAsia="Times New Roman" w:hAnsi="Times New Roman"/>
          <w:sz w:val="22"/>
          <w:szCs w:val="22"/>
          <w:color w:val="auto"/>
        </w:rPr>
      </w:pPr>
    </w:p>
    <w:p>
      <w:pPr>
        <w:ind w:left="720" w:right="219" w:hanging="319"/>
        <w:spacing w:after="0" w:line="222"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As an organization, we have limited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 w:lineRule="exact"/>
        <w:rPr>
          <w:rFonts w:ascii="Times New Roman" w:cs="Times New Roman" w:eastAsia="Times New Roman" w:hAnsi="Times New Roman"/>
          <w:sz w:val="22"/>
          <w:szCs w:val="22"/>
          <w:color w:val="auto"/>
        </w:rPr>
      </w:pPr>
    </w:p>
    <w:p>
      <w:pPr>
        <w:ind w:left="720" w:right="79" w:hanging="319"/>
        <w:spacing w:after="0" w:line="218"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The manufacture and distribution of our iPSC-derived cell product candidates is complex and subject to a multitude of risks, and these risks could substantially increase our costs and limit the clinical and commercial supply of our product candidates;</w:t>
      </w:r>
    </w:p>
    <w:p>
      <w:pPr>
        <w:spacing w:after="0" w:line="1" w:lineRule="exact"/>
        <w:rPr>
          <w:rFonts w:ascii="Times New Roman" w:cs="Times New Roman" w:eastAsia="Times New Roman" w:hAnsi="Times New Roman"/>
          <w:sz w:val="22"/>
          <w:szCs w:val="22"/>
          <w:color w:val="auto"/>
        </w:rPr>
      </w:pPr>
    </w:p>
    <w:p>
      <w:pPr>
        <w:ind w:left="720" w:right="99" w:hanging="319"/>
        <w:spacing w:after="0" w:line="224"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Cell-based therapies depend on the availability of reagents and specialized materials and equipment which in each case are required to be acceptable to the FDA and foreign regulatory agencies.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3" w:lineRule="exact"/>
        <w:rPr>
          <w:rFonts w:ascii="Times New Roman" w:cs="Times New Roman" w:eastAsia="Times New Roman" w:hAnsi="Times New Roman"/>
          <w:sz w:val="22"/>
          <w:szCs w:val="22"/>
          <w:color w:val="auto"/>
        </w:rPr>
      </w:pPr>
    </w:p>
    <w:p>
      <w:pPr>
        <w:jc w:val="both"/>
        <w:ind w:left="720" w:right="239" w:hanging="319"/>
        <w:spacing w:after="0" w:line="218"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Operational issues related to the manufacture of our product candidates for development either in our own facility or at third party facilities could delay our development plans and thereby limit our ability to generate revenue;</w:t>
      </w:r>
    </w:p>
    <w:p>
      <w:pPr>
        <w:spacing w:after="0" w:line="1" w:lineRule="exact"/>
        <w:rPr>
          <w:rFonts w:ascii="Times New Roman" w:cs="Times New Roman" w:eastAsia="Times New Roman" w:hAnsi="Times New Roman"/>
          <w:sz w:val="22"/>
          <w:szCs w:val="22"/>
          <w:color w:val="auto"/>
        </w:rPr>
      </w:pPr>
    </w:p>
    <w:p>
      <w:pPr>
        <w:ind w:left="720" w:right="79" w:hanging="319"/>
        <w:spacing w:after="0" w:line="225" w:lineRule="auto"/>
        <w:tabs>
          <w:tab w:leader="none" w:pos="72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39" w:hanging="319"/>
        <w:spacing w:after="0" w:line="225" w:lineRule="auto"/>
        <w:tabs>
          <w:tab w:leader="none" w:pos="720"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8"/>
          <w:szCs w:val="18"/>
          <w:color w:val="auto"/>
        </w:rPr>
        <w:t>If we are unable to successfully commercialize CNTY-813 or any of our other product candidates for which we receive regulatory approval, or experience significant delays in doing so, our business will be materially harmed;</w:t>
      </w:r>
    </w:p>
    <w:p>
      <w:pPr>
        <w:ind w:left="720" w:right="119" w:hanging="319"/>
        <w:spacing w:after="0" w:line="224" w:lineRule="auto"/>
        <w:tabs>
          <w:tab w:leader="none" w:pos="720"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regulatory requirements, guidance from the FDA and other regulatory authorities, or unanticipated events during our IND-enabling studies and future clinical trials of CNTY-813 or our other product candidates may result in changes to preclinical studies or clinical trials or additional preclinical or clinical trial requirements, which could result in increased costs to us and could delay our development timeline.</w:t>
      </w:r>
    </w:p>
    <w:p>
      <w:pPr>
        <w:spacing w:after="0" w:line="3" w:lineRule="exact"/>
        <w:rPr>
          <w:rFonts w:ascii="Times New Roman" w:cs="Times New Roman" w:eastAsia="Times New Roman" w:hAnsi="Times New Roman"/>
          <w:sz w:val="22"/>
          <w:szCs w:val="22"/>
          <w:color w:val="auto"/>
        </w:rPr>
      </w:pPr>
    </w:p>
    <w:p>
      <w:pPr>
        <w:ind w:left="720" w:right="139" w:hanging="319"/>
        <w:spacing w:after="0" w:line="211" w:lineRule="auto"/>
        <w:tabs>
          <w:tab w:leader="none" w:pos="720"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8"/>
          <w:szCs w:val="18"/>
          <w:color w:val="auto"/>
        </w:rPr>
        <w:t>If any of our license agreements with FCDI are terminated, we could lose our rights to key components enabling our iPSC-derived allogeneic cell therapy platforms.</w:t>
      </w:r>
    </w:p>
    <w:p>
      <w:pPr>
        <w:jc w:val="both"/>
        <w:ind w:left="720" w:right="459" w:hanging="319"/>
        <w:spacing w:after="0" w:line="229" w:lineRule="auto"/>
        <w:tabs>
          <w:tab w:leader="none" w:pos="720" w:val="left"/>
        </w:tabs>
        <w:numPr>
          <w:ilvl w:val="0"/>
          <w:numId w:val="24"/>
        </w:numPr>
        <w:rPr>
          <w:rFonts w:ascii="Times New Roman" w:cs="Times New Roman" w:eastAsia="Times New Roman" w:hAnsi="Times New Roman"/>
          <w:sz w:val="21"/>
          <w:szCs w:val="21"/>
          <w:color w:val="auto"/>
        </w:rPr>
      </w:pPr>
      <w:r>
        <w:rPr>
          <w:rFonts w:ascii="Arial" w:cs="Arial" w:eastAsia="Arial" w:hAnsi="Arial"/>
          <w:sz w:val="17"/>
          <w:szCs w:val="17"/>
          <w:color w:val="auto"/>
        </w:rPr>
        <w:t>Our success depends on obtaining, protecting, maintaining, and enforcing our intellectual property rights and our proprietary technologies, including intellectual property rights that are licensed to us;</w:t>
      </w:r>
    </w:p>
    <w:p>
      <w:pPr>
        <w:spacing w:after="0" w:line="1" w:lineRule="exact"/>
        <w:rPr>
          <w:rFonts w:ascii="Times New Roman" w:cs="Times New Roman" w:eastAsia="Times New Roman" w:hAnsi="Times New Roman"/>
          <w:sz w:val="21"/>
          <w:szCs w:val="21"/>
          <w:color w:val="auto"/>
        </w:rPr>
      </w:pPr>
    </w:p>
    <w:p>
      <w:pPr>
        <w:ind w:left="720" w:hanging="319"/>
        <w:spacing w:after="0" w:line="209" w:lineRule="auto"/>
        <w:tabs>
          <w:tab w:leader="none" w:pos="720"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8"/>
          <w:szCs w:val="18"/>
          <w:color w:val="auto"/>
        </w:rPr>
        <w:t>We do not currently own issued patents relating to some of our product candidates;</w:t>
      </w:r>
    </w:p>
    <w:p>
      <w:pPr>
        <w:spacing w:after="0" w:line="9" w:lineRule="exact"/>
        <w:rPr>
          <w:rFonts w:ascii="Times New Roman" w:cs="Times New Roman" w:eastAsia="Times New Roman" w:hAnsi="Times New Roman"/>
          <w:sz w:val="22"/>
          <w:szCs w:val="22"/>
          <w:color w:val="auto"/>
        </w:rPr>
      </w:pPr>
    </w:p>
    <w:p>
      <w:pPr>
        <w:ind w:left="720" w:right="179" w:hanging="319"/>
        <w:spacing w:after="0" w:line="227" w:lineRule="auto"/>
        <w:tabs>
          <w:tab w:leader="none" w:pos="720"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8"/>
          <w:szCs w:val="18"/>
          <w:color w:val="auto"/>
        </w:rPr>
        <w:t>Our commercial success depends significantly on our ability to operate without infringing, misappropriating, or otherwise violating the patents and other intellectual property and proprietary rights of thirds parties. Claims by third parties that we infringe, misappropriate, or violate their intellectual property or proprietary rights may result in liability for damages or prevent or delay our development and commercialization efforts, and 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3" w:lineRule="exact"/>
        <w:rPr>
          <w:rFonts w:ascii="Times New Roman" w:cs="Times New Roman" w:eastAsia="Times New Roman" w:hAnsi="Times New Roman"/>
          <w:sz w:val="22"/>
          <w:szCs w:val="22"/>
          <w:color w:val="auto"/>
        </w:rPr>
      </w:pPr>
    </w:p>
    <w:p>
      <w:pPr>
        <w:ind w:left="720" w:right="359" w:hanging="319"/>
        <w:spacing w:after="0" w:line="220" w:lineRule="auto"/>
        <w:tabs>
          <w:tab w:leader="none" w:pos="720"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8"/>
          <w:szCs w:val="18"/>
          <w:color w:val="auto"/>
        </w:rPr>
        <w:t>The trading price of the shares of our common stock has been highly volatile, and purchasers of our common stock could incur substantial losses; and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14"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expect to incur significant losses for the foreseeable future.</w:t>
      </w:r>
    </w:p>
    <w:p>
      <w:pPr>
        <w:spacing w:after="0" w:line="139"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We have incurred significant operating losses since our inception. If our product candidates are not successfully developed and approved, we may never generate any revenue. Our net losses for the years ended December 31, 2025 and 2024 were $9.6 million and $126.6 million, respectively. As of December 31, 2025, we had an accumulated deficit of $791.9 million.</w:t>
      </w:r>
    </w:p>
    <w:p>
      <w:pPr>
        <w:spacing w:after="0" w:line="17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Substantially all of our losses have resulted from expenses incurred in connection with our research and development programs, including our clinical development activities for CNTY-101 and our IND-enabling development activities for CNTY-813 and CNTY-308, our acquisition of Clade, and from general and administrative costs associated with our operations. In 2025, we reprioritized our pipeline, discontinued certain company-sponsored clinical trials evaluating CNTY-101 and redirected resources toward advancing CNTY-813 and CNTY-308, each of which is currently in IND-enabling studies. All of our product candidates will require the expenditure of substantial additional development time and resources before we would be able to apply for or receive regulatory approvals and begin realizing product sales. In particular, CNTY-813 and CNTY-308 have not yet been evaluated in human clinical trials and may require significant additional preclinical development, IND-enabling studies, regulatory review and clinical testing before they can advance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toward potential commercialization, if at all.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17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We expect that it will be several years, if ever, before we have a commercialized product. Because our current lead programs are in IND-enabling studies and we have no product candidates in active company-sponsored clinical trials, our timeline to potential commercialization is longer and more uncertain than in prior periods. We anticipate that our expenses will increase substantially if, and as, we:</w:t>
      </w:r>
    </w:p>
    <w:p>
      <w:pPr>
        <w:spacing w:after="0" w:line="174"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or iPSC-derived allogeneic, cell therapy platforms;</w:t>
      </w:r>
    </w:p>
    <w:p>
      <w:pPr>
        <w:spacing w:after="0" w:line="26" w:lineRule="exact"/>
        <w:rPr>
          <w:rFonts w:ascii="Times New Roman" w:cs="Times New Roman" w:eastAsia="Times New Roman" w:hAnsi="Times New Roman"/>
          <w:sz w:val="18"/>
          <w:szCs w:val="18"/>
          <w:color w:val="auto"/>
        </w:rPr>
      </w:pPr>
    </w:p>
    <w:p>
      <w:pPr>
        <w:ind w:left="720" w:right="579" w:hanging="319"/>
        <w:spacing w:after="0" w:line="234"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advance CNTY-813 and CNTY-308 through IND-enabling studies, submit IND applications and, if cleared, initiate and conduct clinical trials;</w:t>
      </w: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support the clinical development of CNTY-101;</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and validate our own clinical-scale cGMP facilities;</w:t>
      </w:r>
    </w:p>
    <w:p>
      <w:pPr>
        <w:spacing w:after="0" w:line="8" w:lineRule="exact"/>
        <w:rPr>
          <w:rFonts w:ascii="Times New Roman" w:cs="Times New Roman" w:eastAsia="Times New Roman" w:hAnsi="Times New Roman"/>
          <w:sz w:val="18"/>
          <w:szCs w:val="18"/>
          <w:color w:val="auto"/>
        </w:rPr>
      </w:pPr>
    </w:p>
    <w:p>
      <w:pPr>
        <w:ind w:left="720" w:right="359" w:hanging="319"/>
        <w:spacing w:after="0" w:line="234"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other product candidates that successfully complete clinical trials;</w:t>
      </w: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8" w:lineRule="exact"/>
        <w:rPr>
          <w:rFonts w:ascii="Times New Roman" w:cs="Times New Roman" w:eastAsia="Times New Roman" w:hAnsi="Times New Roman"/>
          <w:sz w:val="18"/>
          <w:szCs w:val="18"/>
          <w:color w:val="auto"/>
        </w:rPr>
      </w:pPr>
    </w:p>
    <w:p>
      <w:pPr>
        <w:ind w:left="720" w:right="379" w:hanging="319"/>
        <w:spacing w:after="0" w:line="234"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operating as a public company, such as operational, financial, and management information systems and personnel, including personnel to support our drug development, any future commercialization efforts; and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may never succeed in any or all of these activities and, even if we do, we may never generate revenue.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1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have no product candidates approved for commercial sale and no product candidates in active company-sponsored clinical development and have not generated from product sales. CNTY-813, our current lead product candidate, is in IND-enabling studies and has not yet been evaluated in human clinical trials.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183"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Even if we do achieve profitability, we may not be able to sustain or increase profitability. Our strategic reprioritization toward earlier-stage programs may extend our development timelines and increase the amount of capital required before we are able to generate product revenue, if at all. Our failure to become and remain profitable would decrease the value of our company and could impair our ability to raise capital, maintain our research and development efforts, expand our business, or continue our operations.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59"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time-consuming, expensive, and uncertain process that takes years to complete. Our operations have consumed substantial amounts of cash since inception, and we expect our expenses to increase in connection with our ongoing activities, particularly as we conduct preclinical activities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and our initial public offering of common stock, or IPO, which closed in June 2021. Our research and development expenses decreased from $ 107.2 million for the year ended December 31, 2024 to $95.7 million for the year ended December 31, 2025. As of December 31, 2025, we had cash, and cash equivalents of $61.9 million and investments of $55.3 million. Based on our current business plans, we believe our cash, cash equivalents and investments as of December 31, 2025 of $117.1 million, and the additional $126.7 million we received as net proceeds from our 2026 private placement, will be sufficient for us to fund our operating expenses and capital expenditures requirements into the first quarter of 2029.</w:t>
      </w:r>
    </w:p>
    <w:p>
      <w:pPr>
        <w:spacing w:after="0" w:line="189" w:lineRule="exact"/>
        <w:rPr>
          <w:sz w:val="20"/>
          <w:szCs w:val="20"/>
          <w:color w:val="auto"/>
        </w:rPr>
      </w:pPr>
    </w:p>
    <w:p>
      <w:pPr>
        <w:ind w:left="60" w:right="299"/>
        <w:spacing w:after="0" w:line="259" w:lineRule="auto"/>
        <w:rPr>
          <w:sz w:val="20"/>
          <w:szCs w:val="20"/>
          <w:color w:val="auto"/>
        </w:rPr>
      </w:pPr>
      <w:r>
        <w:rPr>
          <w:rFonts w:ascii="Arial" w:cs="Arial" w:eastAsia="Arial" w:hAnsi="Arial"/>
          <w:sz w:val="17"/>
          <w:szCs w:val="17"/>
          <w:color w:val="auto"/>
        </w:rPr>
        <w:t>However, our operating plan is based on assumptions that may prove to be inaccurate, and we could use our available capital resources sooner than we currently expect. Our capital requirements will depend on many factors, including the timing and cost of completing IND-enabling studies for CNTY-813 and CNTY-308, the timing of IND submissions and potential clinical trial initiation, the progress of the investigator-sponsored CARAMEL trial of CNTY-101, the scope and results of future clinical trials, the costs of manufacturing development and scale-up, and any strategic transactions, collaborations or in-licensing activities.</w:t>
      </w:r>
    </w:p>
    <w:p>
      <w:pPr>
        <w:spacing w:after="0" w:line="165"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and we may need to seek additional funds sooner than planned. If we are unable to obtain funding on a timely basis or at all, we may be required to significantly curtail or stop one or more of our research or development programs.</w:t>
      </w:r>
    </w:p>
    <w:p>
      <w:pPr>
        <w:spacing w:after="0" w:line="181" w:lineRule="exact"/>
        <w:rPr>
          <w:sz w:val="20"/>
          <w:szCs w:val="20"/>
          <w:color w:val="auto"/>
        </w:rPr>
      </w:pPr>
    </w:p>
    <w:p>
      <w:pPr>
        <w:ind w:left="60" w:right="239"/>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3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inflation, pandemics, political unrest and hostilities,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In July 2022, we entered into a sales agreement, or the Sales Agreement, with Cowen and Company, LLC, or Cowen, pursuant to which we may offer and sell shares of our common stock having an aggregate offering price of up to $ 150.0 million from time to time through Cowen acting as our sales agent, or the 2022 ATM Facility. For the year ended December 31, 2025, no shares were sold under the Sales Agreement. In April 2024, we issued and sold 15,873,011 shares of common stock at a price per share of $3.78, resulting in aggregate gross proceeds of $60.0 million, before deducting placement agent fees and offering expenses, or the 2024 Private Placement. In January 2026, we issued and sold an aggregate of 117,391,299 shares of common stock (or pre-funded warrants to purchase common stock in lieu thereof) and accompanying warrants to purchase 58,695,648 shares of common stock (or pre-funded warrants to purchase common stock in lieu thereof) at a price per share of $1.75 per share and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accompanying warrants to purchase 0.5 shares of common stock (or pre-funded warrant to purchase common stock in lieu thereof) and at a purchase price of $1.1499 per pre-funded warrant and accompanying warrant to purchase 0.5 shares of common stock (or pre-funded warrants to purchase common stock in lieu thereof), or the 2026 Private Placement. We received aggregate gross proceeds from the 2026 Private Placement of approximately $135.0 million, before deducting placement agent fees and offering expenses.</w:t>
      </w:r>
    </w:p>
    <w:p>
      <w:pPr>
        <w:spacing w:after="0" w:line="176"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179" w:lineRule="exact"/>
        <w:rPr>
          <w:sz w:val="20"/>
          <w:szCs w:val="20"/>
          <w:color w:val="auto"/>
        </w:rPr>
      </w:pPr>
    </w:p>
    <w:p>
      <w:pPr>
        <w:jc w:val="both"/>
        <w:ind w:left="60" w:right="259"/>
        <w:spacing w:after="0" w:line="254" w:lineRule="auto"/>
        <w:rPr>
          <w:sz w:val="20"/>
          <w:szCs w:val="20"/>
          <w:color w:val="auto"/>
        </w:rPr>
      </w:pPr>
      <w:r>
        <w:rPr>
          <w:rFonts w:ascii="Arial" w:cs="Arial" w:eastAsia="Arial" w:hAnsi="Arial"/>
          <w:sz w:val="17"/>
          <w:szCs w:val="17"/>
          <w:color w:val="auto"/>
        </w:rPr>
        <w:t>If we raise funds through additional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w:t>
      </w:r>
    </w:p>
    <w:p>
      <w:pPr>
        <w:ind w:left="60" w:right="639"/>
        <w:spacing w:after="0" w:line="24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were formed in 2018 as Century Therapeutics, Inc., or Prior Century. In 2019, in connection with our investment from Bayer, Prior Century contributed substantially all of its operating assets and cash to a newly formed entity, Century Therapeutics, LLC. Our business was operated through Century Therapeutics, LLC, until February 2021, at which time we converted into a Delaware C corporation. Upon completion of this conversion, Prior Century, whose only significant asset was its equity investment in Century Therapeutics, LLC, merged with the C corporation, and in connection therewith the C corporation changed its name to “Century Therapeutics, Inc.” We believe that Prior Century or we may have experienced an ownership change in the past, which may affect our ability to utilize our net operating loss carryforwards. In addition, we may experience ownership changes in the future as a result of shifts in our stock ownership, some of which are outside our control. Similar limitations will apply to our ability to carry forward any unused tax credits to offset future taxable income.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For example, under Section 174 of the Code, in taxable years beginning after December 31, 2021, expenses that are incurred for research and development outside the U.S. will be capitalized and amortized, which may have an adverse effect on our cash flow. In recent years, many such changes have been made, and changes are likely to continue to occur in the future. For example, OBBBA was signed into law on July 4, 2025 and made significant changes to U.S. federal tax law.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 Future changes in tax laws could have a material adverse effect on our business, cash flow, financial condition or results of operations.</w:t>
      </w:r>
    </w:p>
    <w:p>
      <w:pPr>
        <w:spacing w:after="0" w:line="206"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13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We are currently in a period of economic uncertainty and capital markets disruption, which has been significantly impacted by the current U.S. presidential administration and accompanying regulatory activities and economic policies, ongoing military conflicts and geopolitical instability, international trade disputes (including threatened or implemented tariffs) and inflation and interest rates. We cannot assure you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including as a result of liquidity constraints, failures and instability in U.S. and international financial banking systems. International trade disputes could adversely impact our business and supply chains, which could increase costs or delay delivery of key inventories and supplies. If the current equity and credit markets deteriorate further, or fail to improve,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8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Further, the impacts geopolitical turmoil, (including any escalation or expansion), social unrest, political instability in the United States and elsewhere, terrorism, cyberwarfare or other acts of war, could lead to disruption, instability and volatility in the global markets, which may have an adverse impact on our business or ability to access the capital markets. Trade and other geopolitical disputes can also be highly disruptive to global financial markets. The length and impact on going trade disputes, military conflicts, inflation and interest rate fluctuations are highly unpredictable. Broad market and industry factors, including potentially worsening economic conditions and other adverse effects, or developments relating to pandemics, political, regulatory, and other market conditions, may negatively affect the market price of shares of our common stock, regardless of our actual operating performance. We are continuing to monitor these factors and their impacts on global capital markets and our business.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79"/>
        <w:spacing w:after="0" w:line="249"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 receivership by the Federal Deposit Insurance Corporation, or FDIC. Even 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7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4"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We are early in our development efforts. Our business is dependent on our ability to advance our current and future product candidates through preclinical studies and clinical trials, obtain marketing approval, and ultimately commercialize them.</w:t>
      </w:r>
    </w:p>
    <w:p>
      <w:pPr>
        <w:spacing w:after="0" w:line="15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in IND-enabling studies for our T1D program, which comprises iPSC-derived beta islets engineered with the company’s proprietary Allo-Evasion™ 5.0 technology, designed to protect from T cell, NK cell and humoral immune rejection, with the goal of durable glycemic control without the need for chronic immunosuppression. We expect to submit an IND application for CNTY-813 to the FDA in as early as the fourth quarter of 2026. Regarding our additional development efforts for autoimmune disease, we are currently completing IND-enabling studies for treatment of B-cell mediated diseases for our product candidate CNTY-308 and patient enrollment is ongoing across four indications for the Phase1/2 CARAMEL IST clinical trial for CNTY-101. Moreover, cell therapy modalities as a treatment for autoimmune diseases are a relatively new use, and rheumatology physicians and hospital processes are just beginning to be familiar and comfortable with their use. As a result, the execution and speed of enrollment of clinical trials in these novel and competitive areas are difficult to predict.</w:t>
      </w:r>
    </w:p>
    <w:p>
      <w:pPr>
        <w:spacing w:after="0" w:line="18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176" w:lineRule="exact"/>
        <w:rPr>
          <w:sz w:val="20"/>
          <w:szCs w:val="20"/>
          <w:color w:val="auto"/>
        </w:rPr>
      </w:pPr>
    </w:p>
    <w:p>
      <w:pPr>
        <w:ind w:left="60" w:right="759"/>
        <w:spacing w:after="0" w:line="301" w:lineRule="auto"/>
        <w:rPr>
          <w:sz w:val="20"/>
          <w:szCs w:val="20"/>
          <w:color w:val="auto"/>
        </w:rPr>
      </w:pPr>
      <w:r>
        <w:rPr>
          <w:rFonts w:ascii="Arial" w:cs="Arial" w:eastAsia="Arial" w:hAnsi="Arial"/>
          <w:sz w:val="17"/>
          <w:szCs w:val="17"/>
          <w:color w:val="auto"/>
        </w:rPr>
        <w:t>Each of our product candidates will require additional preclinical and/or clinical development, regulatory approval in multiple jurisdictions, obtaining manufacturing supply, capacity and expertise, building a</w:t>
      </w:r>
    </w:p>
    <w:p>
      <w:pPr>
        <w:sectPr>
          <w:pgSz w:w="11900" w:h="16838" w:orient="portrait"/>
          <w:cols w:equalWidth="0" w:num="1">
            <w:col w:w="9019"/>
          </w:cols>
          <w:pgMar w:left="1440" w:top="512" w:right="1440"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commercial organization, or successfully outsourcing commercialization, substantial investment, and significant marketing efforts before we generate any revenue from product sales. Our product candidates must be authorized for marketing by the FDA or certain other foreign regulatory agencies before we may commercialize our product candidates.</w:t>
      </w:r>
    </w:p>
    <w:p>
      <w:pPr>
        <w:spacing w:after="0" w:line="174"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The clinical and commercial success of our product candidates will depend on several factors, including the following:</w:t>
      </w:r>
    </w:p>
    <w:p>
      <w:pPr>
        <w:spacing w:after="0" w:line="154" w:lineRule="exact"/>
        <w:rPr>
          <w:sz w:val="20"/>
          <w:szCs w:val="20"/>
          <w:color w:val="auto"/>
        </w:rPr>
      </w:pPr>
    </w:p>
    <w:p>
      <w:pPr>
        <w:ind w:left="720" w:right="319" w:hanging="319"/>
        <w:spacing w:after="0" w:line="225"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in accordance with GLPs;</w:t>
      </w:r>
    </w:p>
    <w:p>
      <w:pPr>
        <w:ind w:left="720" w:right="439" w:hanging="319"/>
        <w:spacing w:after="0" w:line="211"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effective INDs or comparable foreign applications that allow commencement of our planned clinical trials or future clinical trials for our product candidates;</w:t>
      </w:r>
    </w:p>
    <w:p>
      <w:pPr>
        <w:ind w:left="720" w:right="819" w:hanging="319"/>
        <w:spacing w:after="0" w:line="211"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successful enrollment and completion of clinical trials, including under the FDA’s Good Clinical Practices, or GCPs, and GLPs;</w:t>
      </w:r>
    </w:p>
    <w:p>
      <w:pPr>
        <w:ind w:left="720" w:right="259" w:hanging="319"/>
        <w:spacing w:after="0" w:line="211"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successful progression and execution of investigator-initiated trials and collaborative relationship with investigators;</w:t>
      </w:r>
    </w:p>
    <w:p>
      <w:pPr>
        <w:ind w:left="720" w:right="179" w:hanging="319"/>
        <w:spacing w:after="0" w:line="223"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positive results from our ongoing, planned, and future clinical programs that support a finding of safety and effectiveness and an acceptable risk-benefit profile of our product candidates in the intended populations;</w:t>
      </w:r>
    </w:p>
    <w:p>
      <w:pPr>
        <w:spacing w:after="0" w:line="1" w:lineRule="exact"/>
        <w:rPr>
          <w:rFonts w:ascii="Times New Roman" w:cs="Times New Roman" w:eastAsia="Times New Roman" w:hAnsi="Times New Roman"/>
          <w:sz w:val="22"/>
          <w:szCs w:val="22"/>
          <w:color w:val="auto"/>
        </w:rPr>
      </w:pPr>
    </w:p>
    <w:p>
      <w:pPr>
        <w:ind w:left="720" w:hanging="319"/>
        <w:spacing w:after="0" w:line="209"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receipt of marketing approvals from applicable regulatory authorities;</w:t>
      </w:r>
    </w:p>
    <w:p>
      <w:pPr>
        <w:spacing w:after="0" w:line="22" w:lineRule="exact"/>
        <w:rPr>
          <w:rFonts w:ascii="Times New Roman" w:cs="Times New Roman" w:eastAsia="Times New Roman" w:hAnsi="Times New Roman"/>
          <w:sz w:val="22"/>
          <w:szCs w:val="22"/>
          <w:color w:val="auto"/>
        </w:rPr>
      </w:pPr>
    </w:p>
    <w:p>
      <w:pPr>
        <w:ind w:left="720" w:right="159" w:hanging="319"/>
        <w:spacing w:after="0" w:line="225"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establishment of arrangements with contract manufacturing organizations, or CMOs, for clinical supply and, where applicable, commercial manufacturing capabilities;</w:t>
      </w:r>
    </w:p>
    <w:p>
      <w:pPr>
        <w:spacing w:after="0" w:line="1" w:lineRule="exact"/>
        <w:rPr>
          <w:rFonts w:ascii="Times New Roman" w:cs="Times New Roman" w:eastAsia="Times New Roman" w:hAnsi="Times New Roman"/>
          <w:sz w:val="22"/>
          <w:szCs w:val="22"/>
          <w:color w:val="auto"/>
        </w:rPr>
      </w:pPr>
    </w:p>
    <w:p>
      <w:pPr>
        <w:ind w:left="720" w:right="219" w:hanging="319"/>
        <w:spacing w:after="0" w:line="211"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establishment and maintenance of patent and trade secret protection, and/or regulatory exclusivity for our product candidates;</w:t>
      </w:r>
    </w:p>
    <w:p>
      <w:pPr>
        <w:ind w:left="720" w:right="659" w:hanging="319"/>
        <w:spacing w:after="0" w:line="211"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commercial launch of our product candidates, if approved, whether alone or in collaboration with others;</w:t>
      </w:r>
    </w:p>
    <w:p>
      <w:pPr>
        <w:ind w:left="720" w:right="399" w:hanging="319"/>
        <w:spacing w:after="0" w:line="218"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acceptance of the benefits and use of our product candidates, including method of administration, if and when approved, by patients, the medical community, and third-party payors;</w:t>
      </w:r>
    </w:p>
    <w:p>
      <w:pPr>
        <w:ind w:left="720" w:hanging="319"/>
        <w:spacing w:after="0" w:line="209"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effective competition with other therapies;</w:t>
      </w:r>
    </w:p>
    <w:p>
      <w:pPr>
        <w:spacing w:after="0" w:line="9" w:lineRule="exact"/>
        <w:rPr>
          <w:rFonts w:ascii="Times New Roman" w:cs="Times New Roman" w:eastAsia="Times New Roman" w:hAnsi="Times New Roman"/>
          <w:sz w:val="22"/>
          <w:szCs w:val="22"/>
          <w:color w:val="auto"/>
        </w:rPr>
      </w:pPr>
    </w:p>
    <w:p>
      <w:pPr>
        <w:ind w:left="720" w:right="399" w:hanging="319"/>
        <w:spacing w:after="0" w:line="218"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establishment and maintenance of healthcare coverage and adequate reimbursement and patients’ willingness to pay out-of-pocket in the absence of such coverage and adequate reimbursement;</w:t>
      </w:r>
    </w:p>
    <w:p>
      <w:pPr>
        <w:ind w:left="720" w:hanging="319"/>
        <w:spacing w:after="0" w:line="209"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establishment of a physician training system and network for administration of our product candidates;</w:t>
      </w:r>
    </w:p>
    <w:p>
      <w:pPr>
        <w:spacing w:after="0" w:line="22"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enforcement and defense of intellectual property rights and claims; and</w:t>
      </w:r>
    </w:p>
    <w:p>
      <w:pPr>
        <w:spacing w:after="0" w:line="8" w:lineRule="exact"/>
        <w:rPr>
          <w:rFonts w:ascii="Times New Roman" w:cs="Times New Roman" w:eastAsia="Times New Roman" w:hAnsi="Times New Roman"/>
          <w:sz w:val="22"/>
          <w:szCs w:val="22"/>
          <w:color w:val="auto"/>
        </w:rPr>
      </w:pPr>
    </w:p>
    <w:p>
      <w:pPr>
        <w:ind w:left="720" w:right="79" w:hanging="319"/>
        <w:spacing w:after="0" w:line="220" w:lineRule="auto"/>
        <w:tabs>
          <w:tab w:leader="none" w:pos="720" w:val="left"/>
        </w:tabs>
        <w:numPr>
          <w:ilvl w:val="0"/>
          <w:numId w:val="26"/>
        </w:numPr>
        <w:rPr>
          <w:rFonts w:ascii="Times New Roman" w:cs="Times New Roman" w:eastAsia="Times New Roman" w:hAnsi="Times New Roman"/>
          <w:sz w:val="22"/>
          <w:szCs w:val="22"/>
          <w:color w:val="auto"/>
        </w:rPr>
      </w:pPr>
      <w:r>
        <w:rPr>
          <w:rFonts w:ascii="Arial" w:cs="Arial" w:eastAsia="Arial" w:hAnsi="Arial"/>
          <w:sz w:val="18"/>
          <w:szCs w:val="18"/>
          <w:color w:val="auto"/>
        </w:rPr>
        <w:t>maintenance of a continued acceptable safety, tolerability, and efficacy profile of our product candidates following approval.</w:t>
      </w:r>
    </w:p>
    <w:p>
      <w:pPr>
        <w:spacing w:after="0" w:line="20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our product candidates, if approved, which would materially harm our business. Because our pipeline is currently concentrated in a limited number of early-stage pre-clinical programs, failure to advance these programs into and through clinical development would have a material adverse effect on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499"/>
        <w:spacing w:after="0" w:line="278"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CNTY-813 and our other product candidates.</w:t>
      </w:r>
    </w:p>
    <w:p>
      <w:pPr>
        <w:spacing w:after="0" w:line="13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While we have initiated IND-enabling studies for the development of CNTY-813, we cannot guarantee that an IND or CTA application will be cleared to proceed after submission to the FDA or other global health authorities for any additional indications or any of our other product candidates or that CNTY-813 or our other product candidates will be allowed to complete clinical developments and approved for commercialization, on a timely basis or at all. Although certain of our employees have prior experience with clinical trials and regulatory approvals, we have not previously submitted a BLA to the FDA, or similar regulatory approval filings to comparable foreign authorities, for any product candidate, and we cannot be certain that CNTY-813 or our other product candidates will be complete and be successful in clinical trials or receive regulatory approval. The FDA and other comparable global regulatory authorities can delay, limit, or deny development or approval of a product candidate for many reasons. Any delay in obtaining, or inability to obtain, applicable regulatory authorizations or approvals will delay or harm our ability to successfully develop and commercialize CNTY-813 or our other product candidates and materially adversely affect our business, financial condition, results of operations, and growth prospects.</w:t>
      </w:r>
    </w:p>
    <w:p>
      <w:pPr>
        <w:spacing w:after="0" w:line="18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Furthermore, if our future clinical trials of CNTY-813 or our other product candidates encounter safety, efficacy, or manufacturing problems, development delays, regulatory issues, or other problems, our development plans for such product candidates in our pipeline could be significantly impaired, which could materially adversely affect our business, financial condition, results of operations, and growth prospects.</w:t>
      </w:r>
    </w:p>
    <w:p>
      <w:pPr>
        <w:spacing w:after="0" w:line="17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depends upon the success of our iPSC-derived allogeneic cell therapy platforms.</w:t>
      </w:r>
    </w:p>
    <w:p>
      <w:pPr>
        <w:spacing w:after="0" w:line="21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Our success depends on our ability to utilize our iPSC-derived allogeneic cell therapy platforms to generate chimeric antigen receptor product candidates, including CAR-iT cell therapies and iPSC-derived beta islet cell replacement therapies, to obtain regulatory approval for product candidates derived from these platforms, and to then commercialize our product candidates addressing one or more indications. Though iPSC-derived cell therapy product candidates have been evaluated by others in clinical trials, our current lead product candidate, CNTY-813, is in IND-enabling studies and has not yet been evaluated in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In addition, we utilize our proprietary Allo-Evasion technology in our product candidates, which has only been tested in our initial clinical trials for CNTY-101, and we may modify our technology for additional product candidates and such technology as so modified will not have been tested in a clinical setting. If any of our product candidates encounter safety or efficacy problems, including as a result of our use or modification of our Allo-Evasion technology, developmental delays, or regulatory issues or other problems, such problems could impact the development plans for our other product candidates because all of our product candidates are based on the same core iPSC technology.</w:t>
      </w:r>
    </w:p>
    <w:p>
      <w:pPr>
        <w:spacing w:after="0" w:line="180"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date have been focused on identifying a pipeline of product candidates, we may not be able to develop product candidates that a regulatory agency, such as the FDA, will consider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successfully develop, obtain approval for, and begin to commercialize any product candidates for which we receive approval, we will face difficulty in obtaining product revenue in future periods, which could result in significant harm to our financial position and adversely affect our share price.</w:t>
      </w:r>
    </w:p>
    <w:p>
      <w:pPr>
        <w:spacing w:after="0" w:line="182" w:lineRule="exact"/>
        <w:rPr>
          <w:sz w:val="20"/>
          <w:szCs w:val="20"/>
          <w:color w:val="auto"/>
        </w:rPr>
      </w:pPr>
    </w:p>
    <w:p>
      <w:pPr>
        <w:ind w:left="60" w:right="619"/>
        <w:spacing w:after="0" w:line="256" w:lineRule="auto"/>
        <w:rPr>
          <w:sz w:val="20"/>
          <w:szCs w:val="20"/>
          <w:color w:val="auto"/>
        </w:rPr>
      </w:pPr>
      <w:r>
        <w:rPr>
          <w:rFonts w:ascii="Arial" w:cs="Arial" w:eastAsia="Arial" w:hAnsi="Arial"/>
          <w:sz w:val="18"/>
          <w:szCs w:val="18"/>
          <w:b w:val="1"/>
          <w:bCs w:val="1"/>
          <w:i w:val="1"/>
          <w:iCs w:val="1"/>
          <w:color w:val="auto"/>
        </w:rPr>
        <w:t>Utilizing genetically engineered iPSC-derived immune cells and beta islet cells represents a novel therapeutic approach, and we must overcome significant challenges in order to develop, commercialize, and manufacture our product candidates.</w:t>
      </w:r>
    </w:p>
    <w:p>
      <w:pPr>
        <w:spacing w:after="0" w:line="15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have concentrated our research and development efforts on developing iPSC-derived cell therapies, including CAR-iT cell therapies and beta islet replacement therapies engineered with our proprietary Allo-Evasion™ technology.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gene-edited iPSC-derived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and autoimmune cell therapies creates significant challenges for us, including:</w:t>
      </w:r>
    </w:p>
    <w:p>
      <w:pPr>
        <w:spacing w:after="0" w:line="180" w:lineRule="exact"/>
        <w:rPr>
          <w:sz w:val="20"/>
          <w:szCs w:val="20"/>
          <w:color w:val="auto"/>
        </w:rPr>
      </w:pPr>
    </w:p>
    <w:p>
      <w:pPr>
        <w:ind w:left="720" w:right="119" w:hanging="319"/>
        <w:spacing w:after="0" w:line="220" w:lineRule="auto"/>
        <w:tabs>
          <w:tab w:leader="none" w:pos="72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developing and sustaining a manufacturing process to produce our cells on a large scale and in a cost-effective manner;</w:t>
      </w:r>
    </w:p>
    <w:p>
      <w:pPr>
        <w:spacing w:after="0" w:line="1" w:lineRule="exact"/>
        <w:rPr>
          <w:rFonts w:ascii="Times New Roman" w:cs="Times New Roman" w:eastAsia="Times New Roman" w:hAnsi="Times New Roman"/>
          <w:sz w:val="22"/>
          <w:szCs w:val="22"/>
          <w:color w:val="auto"/>
        </w:rPr>
      </w:pPr>
    </w:p>
    <w:p>
      <w:pPr>
        <w:ind w:left="720" w:right="299" w:hanging="319"/>
        <w:spacing w:after="0" w:line="218" w:lineRule="auto"/>
        <w:tabs>
          <w:tab w:leader="none" w:pos="72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educating medical personnel regarding the potential side-effect profile of our cells and, as the clinical program progresses, on any observed side effects with the therapy;</w:t>
      </w:r>
    </w:p>
    <w:p>
      <w:pPr>
        <w:ind w:left="720" w:hanging="319"/>
        <w:spacing w:after="0" w:line="209" w:lineRule="auto"/>
        <w:tabs>
          <w:tab w:leader="none" w:pos="72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unanticipated technical limitations of our CRISPR-MAD7 gene editing technology; and</w:t>
      </w:r>
    </w:p>
    <w:p>
      <w:pPr>
        <w:spacing w:after="0" w:line="9" w:lineRule="exact"/>
        <w:rPr>
          <w:rFonts w:ascii="Times New Roman" w:cs="Times New Roman" w:eastAsia="Times New Roman" w:hAnsi="Times New Roman"/>
          <w:sz w:val="22"/>
          <w:szCs w:val="22"/>
          <w:color w:val="auto"/>
        </w:rPr>
      </w:pPr>
    </w:p>
    <w:p>
      <w:pPr>
        <w:ind w:left="720" w:right="339" w:hanging="319"/>
        <w:spacing w:after="0" w:line="220" w:lineRule="auto"/>
        <w:tabs>
          <w:tab w:leader="none" w:pos="72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establishing sales and marketing capabilities, as well as developing a distribution network to support the commercialization of any approved products.</w:t>
      </w:r>
    </w:p>
    <w:p>
      <w:pPr>
        <w:spacing w:after="0" w:line="208"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must be able to overcome these challenges in order for us to successfully develop, commercialize, and manufacture our product candidates derived from our iPSC platform. In addition, although our product candidates differ in certain respects from other gene-edited cell therapies and autologous CAR-T cell therapies, serious adverse events, deaths or other unexpected safety issues in other companies’ clinical trials or that are discovered from post-marketing data sources involving cancer immunotherapies, more generally, even if unrelated to our product candidates, could negatively impact our business. For example, BCMA-directed or CD19-directed autologous CAR-T cell immunotherapies carry boxed warning language on T cell malignancies. While CNTY-101 contains allogeneic iPSC-derived CD19 targeted NK cells that do not proliferate in vivo and both CNTY-101 and CNTY-308 were created with precision, well-characterized genetic editing in the absence of viral vectors FDA’s ongoing post-market monitoring of CAR-T therapies could result in increased government regulation, unfavorable public perception and publicity, potential impacts on enrollment in our clinical trials, potential regulatory delays in the testing or approval of our product candidates, stricter labeling requirements for those product candidates that may receive approval, and could limit market acceptance for any such product candidates.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not yet demonstrated long-term stability of cryopreserved iPSC-derived cell therapy products.</w:t>
      </w:r>
    </w:p>
    <w:p>
      <w:pPr>
        <w:spacing w:after="0" w:line="210"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We have not yet demonstrated long-term stability of cryopreserved iPSC-derived cell therapy products and, therefore, do not know if we will be able to store the cryopreserved cells for extended periods of time. If we are unable to demonstrate long-term stability, we will need to reduce the manufacturing batch size to ensure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it is also possible that the freezing and thawing methodologies we develop and implement will not sufficiently preserve the function of one or more of our product candidates, thereby potentially negatively impacting certain clinical results.</w:t>
      </w:r>
    </w:p>
    <w:p>
      <w:pPr>
        <w:spacing w:after="0" w:line="167" w:lineRule="exact"/>
        <w:rPr>
          <w:sz w:val="20"/>
          <w:szCs w:val="20"/>
          <w:color w:val="auto"/>
        </w:rPr>
      </w:pPr>
    </w:p>
    <w:p>
      <w:pPr>
        <w:ind w:left="60" w:right="579"/>
        <w:spacing w:after="0" w:line="256" w:lineRule="auto"/>
        <w:rPr>
          <w:sz w:val="20"/>
          <w:szCs w:val="20"/>
          <w:color w:val="auto"/>
        </w:rPr>
      </w:pPr>
      <w:r>
        <w:rPr>
          <w:rFonts w:ascii="Arial" w:cs="Arial" w:eastAsia="Arial" w:hAnsi="Arial"/>
          <w:sz w:val="18"/>
          <w:szCs w:val="18"/>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59"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We use a CRISPR-based nuclease to enable precise editing of the iPSC genome. 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159"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Although we design our product candidates to reduce the risk of graft-versus-host disease immune rejection and other immune-mediated complications through gene editing and Allo-Evasion™ technology, such modifications may not be successful in fully mitigating these risks.</w:t>
      </w:r>
    </w:p>
    <w:p>
      <w:pPr>
        <w:spacing w:after="0" w:line="169"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In addition, the cell therapy industry is rapidly developing, and our competitors may introduce new gene-editing technologies that render our technology less attractive. As the FDA and foreign regulatory authorities begin issuing product approvals for gene-editing products, post-market adverse events or findings could adversely impact developers of gene-editing technologies or competitive pressures may force us to implement new gene-editing technologies at a substantial cost or delay in our clinical development process. In addition, regulatory requirements in the United States and in other jurisdictions governing the development of gene therapy products have changed frequently and may continue to change in the future.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179" w:lineRule="exact"/>
        <w:rPr>
          <w:sz w:val="20"/>
          <w:szCs w:val="20"/>
          <w:color w:val="auto"/>
        </w:rPr>
      </w:pPr>
    </w:p>
    <w:p>
      <w:pPr>
        <w:ind w:left="60" w:right="1119"/>
        <w:spacing w:after="0" w:line="278"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3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ACA, includes a subtitle called the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 such products are manufactured, pose significant hurdles to implementation of the abbreviated approval pathway that are still being worked out by the FDA.</w:t>
      </w:r>
    </w:p>
    <w:p>
      <w:pPr>
        <w:spacing w:after="0" w:line="1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This includes FDA’s evolving view of whether switching studies are needed to support a demonstration of interchangeability.</w:t>
      </w:r>
    </w:p>
    <w:p>
      <w:pPr>
        <w:spacing w:after="0" w:line="99"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7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product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88" w:lineRule="exact"/>
        <w:rPr>
          <w:sz w:val="20"/>
          <w:szCs w:val="20"/>
          <w:color w:val="auto"/>
        </w:rPr>
      </w:pPr>
    </w:p>
    <w:p>
      <w:pPr>
        <w:ind w:left="60" w:right="199"/>
        <w:spacing w:after="0" w:line="249" w:lineRule="auto"/>
        <w:rPr>
          <w:sz w:val="20"/>
          <w:szCs w:val="20"/>
          <w:color w:val="auto"/>
        </w:rPr>
      </w:pPr>
      <w:r>
        <w:rPr>
          <w:rFonts w:ascii="Arial" w:cs="Arial" w:eastAsia="Arial" w:hAnsi="Arial"/>
          <w:sz w:val="18"/>
          <w:szCs w:val="18"/>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84" w:lineRule="exact"/>
        <w:rPr>
          <w:sz w:val="20"/>
          <w:szCs w:val="20"/>
          <w:color w:val="auto"/>
        </w:rPr>
      </w:pPr>
    </w:p>
    <w:p>
      <w:pPr>
        <w:jc w:val="both"/>
        <w:ind w:left="60" w:right="139"/>
        <w:spacing w:after="0" w:line="242" w:lineRule="auto"/>
        <w:rPr>
          <w:sz w:val="20"/>
          <w:szCs w:val="20"/>
          <w:color w:val="auto"/>
        </w:rPr>
      </w:pPr>
      <w:r>
        <w:rPr>
          <w:rFonts w:ascii="Arial" w:cs="Arial" w:eastAsia="Arial" w:hAnsi="Arial"/>
          <w:sz w:val="18"/>
          <w:szCs w:val="18"/>
          <w:color w:val="auto"/>
        </w:rPr>
        <w:t>All but one of our product candidates are in preclinical development and the risk of failure for all of our product candidates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8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8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 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current clinical trials or future clinical trials, if allowed to proceed, will ultimately be successful or support clinical development of our current or any of our future product candidates.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of our current clinical trials or future clinical trials that we could conduct that could delay or prevent our ability to receive marketing approval or commercialize our lead product candidates or any future product candidates, including:</w:t>
      </w:r>
    </w:p>
    <w:p>
      <w:pPr>
        <w:spacing w:after="0" w:line="174" w:lineRule="exact"/>
        <w:rPr>
          <w:sz w:val="20"/>
          <w:szCs w:val="20"/>
          <w:color w:val="auto"/>
        </w:rPr>
      </w:pPr>
    </w:p>
    <w:p>
      <w:pPr>
        <w:ind w:left="720" w:right="839" w:hanging="319"/>
        <w:spacing w:after="0" w:line="220"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regulators or IRBs, the FDA, or ethics committees may not authorize us or our investigators to commence a clinical trial or conduct a clinical trial at a prospective trial site;</w:t>
      </w:r>
    </w:p>
    <w:p>
      <w:pPr>
        <w:spacing w:after="0" w:line="1" w:lineRule="exact"/>
        <w:rPr>
          <w:rFonts w:ascii="Times New Roman" w:cs="Times New Roman" w:eastAsia="Times New Roman" w:hAnsi="Times New Roman"/>
          <w:sz w:val="22"/>
          <w:szCs w:val="22"/>
          <w:color w:val="auto"/>
        </w:rPr>
      </w:pPr>
    </w:p>
    <w:p>
      <w:pPr>
        <w:ind w:left="720" w:right="379" w:hanging="319"/>
        <w:spacing w:after="0" w:line="226"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 as the terms of which can be subject to extensive negotiation and may vary significantly among different CROs and trial sites;</w:t>
      </w:r>
    </w:p>
    <w:p>
      <w:pPr>
        <w:ind w:left="720" w:hanging="319"/>
        <w:spacing w:after="0" w:line="209"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Times New Roman" w:cs="Times New Roman" w:eastAsia="Times New Roman" w:hAnsi="Times New Roman"/>
          <w:sz w:val="22"/>
          <w:szCs w:val="22"/>
          <w:color w:val="auto"/>
        </w:rPr>
      </w:pPr>
    </w:p>
    <w:p>
      <w:pPr>
        <w:ind w:left="720" w:right="179" w:hanging="319"/>
        <w:spacing w:after="0" w:line="218"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1" w:lineRule="exact"/>
        <w:rPr>
          <w:rFonts w:ascii="Times New Roman" w:cs="Times New Roman" w:eastAsia="Times New Roman" w:hAnsi="Times New Roman"/>
          <w:sz w:val="22"/>
          <w:szCs w:val="22"/>
          <w:color w:val="auto"/>
        </w:rPr>
      </w:pPr>
    </w:p>
    <w:p>
      <w:pPr>
        <w:ind w:left="720" w:right="99" w:hanging="319"/>
        <w:spacing w:after="0" w:line="218"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22"/>
          <w:szCs w:val="22"/>
          <w:color w:val="auto"/>
        </w:rPr>
      </w:pPr>
    </w:p>
    <w:p>
      <w:pPr>
        <w:ind w:left="720" w:right="259" w:hanging="319"/>
        <w:spacing w:after="0" w:line="218"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22"/>
          <w:szCs w:val="22"/>
          <w:color w:val="auto"/>
        </w:rPr>
      </w:pPr>
    </w:p>
    <w:p>
      <w:pPr>
        <w:ind w:left="720" w:right="439" w:hanging="319"/>
        <w:spacing w:after="0" w:line="226"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ind w:left="720" w:hanging="319"/>
        <w:spacing w:after="0" w:line="209"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the cost of clinical trials of any of our product candidates may be greater than we anticipate;</w:t>
      </w:r>
    </w:p>
    <w:p>
      <w:pPr>
        <w:spacing w:after="0" w:line="9" w:lineRule="exact"/>
        <w:rPr>
          <w:rFonts w:ascii="Times New Roman" w:cs="Times New Roman" w:eastAsia="Times New Roman" w:hAnsi="Times New Roman"/>
          <w:sz w:val="22"/>
          <w:szCs w:val="22"/>
          <w:color w:val="auto"/>
        </w:rPr>
      </w:pPr>
    </w:p>
    <w:p>
      <w:pPr>
        <w:ind w:left="720" w:right="659" w:hanging="319"/>
        <w:spacing w:after="0" w:line="211"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the quality of our product candidates or other materials necessary to conduct clinical trials of our product candidates may be inadequate to initiate or complete a given clinical trial;</w:t>
      </w:r>
    </w:p>
    <w:p>
      <w:pPr>
        <w:ind w:left="720" w:right="259" w:hanging="319"/>
        <w:spacing w:after="0" w:line="218"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22"/>
          <w:szCs w:val="22"/>
          <w:color w:val="auto"/>
        </w:rPr>
      </w:pPr>
    </w:p>
    <w:p>
      <w:pPr>
        <w:ind w:left="720" w:right="439" w:hanging="319"/>
        <w:spacing w:after="0" w:line="226"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ind w:left="720" w:hanging="319"/>
        <w:spacing w:after="0" w:line="209"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the cost of clinical trials of any of our product candidates may be greater than we anticipate;</w:t>
      </w:r>
    </w:p>
    <w:p>
      <w:pPr>
        <w:spacing w:after="0" w:line="9" w:lineRule="exact"/>
        <w:rPr>
          <w:rFonts w:ascii="Times New Roman" w:cs="Times New Roman" w:eastAsia="Times New Roman" w:hAnsi="Times New Roman"/>
          <w:sz w:val="22"/>
          <w:szCs w:val="22"/>
          <w:color w:val="auto"/>
        </w:rPr>
      </w:pPr>
    </w:p>
    <w:p>
      <w:pPr>
        <w:ind w:left="720" w:right="659" w:hanging="319"/>
        <w:spacing w:after="0" w:line="218"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the quality of our product candidates or other materials necessary to conduct clinical trials of our product candidates may be inadequate to initiate or complete a given clinical trial;</w:t>
      </w:r>
    </w:p>
    <w:p>
      <w:pPr>
        <w:ind w:left="720" w:hanging="319"/>
        <w:spacing w:after="0" w:line="209"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our inability to manufacture sufficient quantities of our product candidates for use in clinical trials;</w:t>
      </w:r>
    </w:p>
    <w:p>
      <w:pPr>
        <w:spacing w:after="0" w:line="9" w:lineRule="exact"/>
        <w:rPr>
          <w:rFonts w:ascii="Times New Roman" w:cs="Times New Roman" w:eastAsia="Times New Roman" w:hAnsi="Times New Roman"/>
          <w:sz w:val="22"/>
          <w:szCs w:val="22"/>
          <w:color w:val="auto"/>
        </w:rPr>
      </w:pPr>
    </w:p>
    <w:p>
      <w:pPr>
        <w:ind w:left="720" w:right="239" w:hanging="319"/>
        <w:spacing w:after="0" w:line="211"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reports from clinical testing of other therapies may raise safety or efficacy concerns about our product candidates;</w:t>
      </w:r>
    </w:p>
    <w:p>
      <w:pPr>
        <w:ind w:left="720" w:right="259" w:hanging="319"/>
        <w:spacing w:after="0" w:line="218" w:lineRule="auto"/>
        <w:tabs>
          <w:tab w:leader="none" w:pos="72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18"/>
          <w:szCs w:val="18"/>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1" w:lineRule="exact"/>
        <w:rPr>
          <w:rFonts w:ascii="Times New Roman" w:cs="Times New Roman" w:eastAsia="Times New Roman" w:hAnsi="Times New Roman"/>
          <w:sz w:val="22"/>
          <w:szCs w:val="22"/>
          <w:color w:val="auto"/>
        </w:rPr>
      </w:pPr>
    </w:p>
    <w:p>
      <w:pPr>
        <w:ind w:left="720" w:right="79" w:hanging="319"/>
        <w:spacing w:after="0" w:line="232" w:lineRule="auto"/>
        <w:tabs>
          <w:tab w:leader="none" w:pos="720" w:val="left"/>
        </w:tabs>
        <w:numPr>
          <w:ilvl w:val="0"/>
          <w:numId w:val="28"/>
        </w:numPr>
        <w:rPr>
          <w:rFonts w:ascii="Times New Roman" w:cs="Times New Roman" w:eastAsia="Times New Roman" w:hAnsi="Times New Roman"/>
          <w:sz w:val="21"/>
          <w:szCs w:val="21"/>
          <w:color w:val="auto"/>
        </w:rPr>
      </w:pPr>
      <w:r>
        <w:rPr>
          <w:rFonts w:ascii="Arial" w:cs="Arial" w:eastAsia="Arial" w:hAnsi="Arial"/>
          <w:sz w:val="17"/>
          <w:szCs w:val="17"/>
          <w:color w:val="auto"/>
        </w:rPr>
        <w:t>the FDA or applicable foreign regulatory agencies may require us to submit additional data such as long-term toxicology studies, or impose other requirements before permitting us to initiate a clinical trial.</w:t>
      </w:r>
    </w:p>
    <w:p>
      <w:pPr>
        <w:spacing w:after="0" w:line="208" w:lineRule="exact"/>
        <w:rPr>
          <w:sz w:val="20"/>
          <w:szCs w:val="20"/>
          <w:color w:val="auto"/>
        </w:rPr>
      </w:pPr>
    </w:p>
    <w:p>
      <w:pPr>
        <w:ind w:left="60" w:right="439"/>
        <w:spacing w:after="0" w:line="301" w:lineRule="auto"/>
        <w:rPr>
          <w:sz w:val="20"/>
          <w:szCs w:val="20"/>
          <w:color w:val="auto"/>
        </w:rPr>
      </w:pPr>
      <w:r>
        <w:rPr>
          <w:rFonts w:ascii="Arial" w:cs="Arial" w:eastAsia="Arial" w:hAnsi="Arial"/>
          <w:sz w:val="17"/>
          <w:szCs w:val="17"/>
          <w:color w:val="auto"/>
        </w:rPr>
        <w:t>Patient enrollment, a significant factor in the timing of clinical trials, is affected by many factors including the size and nature of the patient population, the number and location of clinical sites we enroll, the proximity of</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patients to clinical sites, the eligibility and exclusion criteria for the trial, the design of the clinical trial, the inability to obtain and maintain patient consents, the risk that enrolled participants will drop out before completion, competing clinical trials, and clinicians’ patients’ perceptions as to the potential advantages of the product candidate being studied in relation to other available therapies, including any new drugs or therapeutic biologics that may be approved for the indications being investigated by us, and other factors, such as future pandemics, over which we have no control. Furthermore, we are relying and expect to continue to rely on our collaborators, CROs, and clinical trial sites to ensure the proper and timely conduct of our current and future clinical trials, including the patient enrollment process, and we have limited influence over their performance. Additionally, we could encounter delays if treating physicians encounter unresolved ethical issues associated with enrolling patients in our current and future clinical trials of our product candidates in lieu of prescribing existing treatments that have established safety and efficacy profiles.</w:t>
      </w:r>
    </w:p>
    <w:p>
      <w:pPr>
        <w:spacing w:after="0" w:line="18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87" w:lineRule="exact"/>
        <w:rPr>
          <w:sz w:val="20"/>
          <w:szCs w:val="20"/>
          <w:color w:val="auto"/>
        </w:rPr>
      </w:pPr>
    </w:p>
    <w:p>
      <w:pPr>
        <w:ind w:left="60" w:right="219"/>
        <w:spacing w:after="0" w:line="249" w:lineRule="auto"/>
        <w:rPr>
          <w:sz w:val="20"/>
          <w:szCs w:val="20"/>
          <w:color w:val="auto"/>
        </w:rPr>
      </w:pPr>
      <w:r>
        <w:rPr>
          <w:rFonts w:ascii="Arial" w:cs="Arial" w:eastAsia="Arial" w:hAnsi="Arial"/>
          <w:sz w:val="18"/>
          <w:szCs w:val="18"/>
          <w:b w:val="1"/>
          <w:bCs w:val="1"/>
          <w:i w:val="1"/>
          <w:iCs w:val="1"/>
          <w:color w:val="auto"/>
        </w:rPr>
        <w:t>As an organization, we have limited experience designing and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6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design and implementation of clinical trials is a complex process. Although we have previously conducted company-sponsored clinical trials of CNTY-101 and are supporting an ongoing investigator-sponsored trial, we have not advanced any product candidate through late-stage clinical development or obtained regulatory approval for any product candidate.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459"/>
        <w:spacing w:after="0" w:line="256"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5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7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87" w:lineRule="exact"/>
        <w:rPr>
          <w:sz w:val="20"/>
          <w:szCs w:val="20"/>
          <w:color w:val="auto"/>
        </w:rPr>
      </w:pPr>
    </w:p>
    <w:p>
      <w:pPr>
        <w:ind w:left="60" w:right="119"/>
        <w:spacing w:after="0" w:line="278" w:lineRule="auto"/>
        <w:rPr>
          <w:sz w:val="20"/>
          <w:szCs w:val="20"/>
          <w:color w:val="auto"/>
        </w:rPr>
      </w:pPr>
      <w:r>
        <w:rPr>
          <w:rFonts w:ascii="Arial" w:cs="Arial" w:eastAsia="Arial" w:hAnsi="Arial"/>
          <w:sz w:val="18"/>
          <w:szCs w:val="18"/>
          <w:b w:val="1"/>
          <w:bCs w:val="1"/>
          <w:i w:val="1"/>
          <w:iCs w:val="1"/>
          <w:color w:val="auto"/>
        </w:rPr>
        <w:t>We may not be able to file our INDs or CTAs to commence clinical trials on the timelines we expect, and even if we are able to, the FDA or other global health authorities may not permit us to proceed.</w:t>
      </w:r>
    </w:p>
    <w:p>
      <w:pPr>
        <w:spacing w:after="0" w:line="13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expect our pipeline to yield multiple additional INDs or CTAs, including INDs or CTAs for CNTY-813, our iPSC-derived beta islet cell replacement therapy, and CNTY-308, our CD19-targeted iPSC-derived CAR-T cell therapy, as well as additional future product candidates derived from our iPSC platform. We cannot be sure that submission of an IND will result in the FDA allowing testing and clinical trials to begin, or that, once begun, issues will not arise that result in suspension or termination of such clinical trials. Because CNTY-813 and CNTY-308 are currently in IND-enabling development and have not yet been evaluated in human clinical trials, there is significant uncertainty regarding the scope of data that regulatory authorities may require prior to allowing clinical studies to proceed. The manufacturing of our product candidates remains an emerging and evolving field. Accordingly, we expect chemistry, manufacturing and control related topics, including product specifications, will be a focus of IND reviews, and unfavorable findings may delay or prevent the FDA from allowing us to proceed with clinical trials. Further, FDA guidelines for IND submissions may differ from those in the EU. For example, the cell line used to develop CNTY-308 and CNTY-341 was manufactured by RheinCell Therapeutics GmbH (a wholly owned subsidiary of Catalent) under EU standards. Because the FDA guidelines with respect to the manufacture and utilization of donor cells is not the same as in the EU, IND clearance for CNTY-308, CNTY-341 and any other product candidates using cell lines developed under non-FDA standards may be delayed or ultimately not achieved which could impact our development timelines and harm our business, operating results, prospects, or financial condition.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171"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focus on the development of programmed cellular immunotherapies for patients with T1D, cancer, and autoimmune diseases, including off-the-shelf NK- and T-cell product candidates and iPSC derived beta islet cell therapies generated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In 2025, we reprioritized our pipeline and discontinued certain company-sponsored clinical programs, demonstrating that we may shift resources away from programs that are further along in development in favor of earlier-stage or next-generation candidates that we believe offer greater long-term potential. Such decisions involve complex judgments regarding scientific, clinical, regulatory, competitive and capital allocation considerations and may not ultimately prove successful. Due to these factors, our spending on current and future research and development programs and product candidates and the scientific innovation arising from these expenditures may not yield commercially viable product candidates.</w:t>
      </w:r>
    </w:p>
    <w:p>
      <w:pPr>
        <w:spacing w:after="0" w:line="188" w:lineRule="exact"/>
        <w:rPr>
          <w:sz w:val="20"/>
          <w:szCs w:val="20"/>
          <w:color w:val="auto"/>
        </w:rPr>
      </w:pPr>
    </w:p>
    <w:p>
      <w:pPr>
        <w:ind w:left="60" w:right="59"/>
        <w:spacing w:after="0" w:line="256" w:lineRule="auto"/>
        <w:rPr>
          <w:sz w:val="20"/>
          <w:szCs w:val="20"/>
          <w:color w:val="auto"/>
        </w:rPr>
      </w:pPr>
      <w:r>
        <w:rPr>
          <w:rFonts w:ascii="Arial" w:cs="Arial" w:eastAsia="Arial" w:hAnsi="Arial"/>
          <w:sz w:val="18"/>
          <w:szCs w:val="18"/>
          <w:b w:val="1"/>
          <w:bCs w:val="1"/>
          <w:i w:val="1"/>
          <w:iCs w:val="1"/>
          <w:color w:val="auto"/>
        </w:rPr>
        <w:t>We intend to study some of our product candidates in patient populations with significant comorbidities that may result in deaths or serious adverse events or unacceptable side effects and require us to abandon or limit our clinical development activities.</w:t>
      </w:r>
    </w:p>
    <w:p>
      <w:pPr>
        <w:spacing w:after="0" w:line="15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Patients we intend to treat with some of our product candidates may also receive chemotherapy agents, radiation, chronic immunosuppressants, biologics/monoclonal antibodies,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such product candidates through clinical development, and from obtaining regulatory approval, and would impair our ability to commercialize such product candidates, if approved. Any inability to advance our product candidates through clinical development would have a material adverse effect on our business.</w:t>
      </w:r>
    </w:p>
    <w:p>
      <w:pPr>
        <w:spacing w:after="0" w:line="188" w:lineRule="exact"/>
        <w:rPr>
          <w:sz w:val="20"/>
          <w:szCs w:val="20"/>
          <w:color w:val="auto"/>
        </w:rPr>
      </w:pPr>
    </w:p>
    <w:p>
      <w:pPr>
        <w:ind w:left="60" w:right="159"/>
        <w:spacing w:after="0" w:line="278" w:lineRule="auto"/>
        <w:rPr>
          <w:sz w:val="20"/>
          <w:szCs w:val="20"/>
          <w:color w:val="auto"/>
        </w:rPr>
      </w:pPr>
      <w:r>
        <w:rPr>
          <w:rFonts w:ascii="Arial" w:cs="Arial" w:eastAsia="Arial" w:hAnsi="Arial"/>
          <w:sz w:val="18"/>
          <w:szCs w:val="18"/>
          <w:b w:val="1"/>
          <w:bCs w:val="1"/>
          <w:i w:val="1"/>
          <w:iCs w:val="1"/>
          <w:color w:val="auto"/>
        </w:rPr>
        <w:t>We may experience difficulties identifying and enrolling patients in our future clinical trials. Difficulty in enrolling patients could delay or prevent clinical trials of CNTY-813 or our other product candidates.</w:t>
      </w:r>
    </w:p>
    <w:p>
      <w:pPr>
        <w:spacing w:after="0" w:line="13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Identifying and qualifying patients to participate in future clinical trials of CNTY-813 and our other product candidates is critical to our success. Although CNTY-813 is currently in IND-enabling studies and has not yet entered human clinical trials, if we initiate clinical trials, the timing of such trials will depend in part on the speed at which we can recruit patients to participate in testing our product candidates and we may experience delays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 timeline for recruiting patients, conducting trials, and obtaining regulatory approval of potential products may be delayed, the commercial prospects of CNTY-813 or our other product candidates will be harmed, and our development timelines may be extended. Furthermore, our inability to enroll a sufficient number of patients for our clinical trials could result in significant delays or may require us to abandon one or more 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Any of these occurrences may harm our business, financial condition, and prospects significantly.</w:t>
      </w:r>
    </w:p>
    <w:p>
      <w:pPr>
        <w:spacing w:after="0" w:line="171"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auto"/>
        </w:rPr>
        <w:t>We may conduct clinical trials for programs at sites outside the United States, and the FDA may not accept data from trials conducted in such locations. Moreover, conducting clinical trials outside of the United Staes presents additional risks that may delay our trials.</w:t>
      </w:r>
    </w:p>
    <w:p>
      <w:pPr>
        <w:spacing w:after="0" w:line="15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may choose to conduct one or more of our future clinical trials outside the United States. For example, we are prioritizing a Phase 1/2 IST for CNTY-101, which is currently enrolling and dosing patients living with B-cell-mediated autoimmune diseases, led by Professors Georg Schett and Andreas Mackensen and sponsored by the Friedrich-Alexander University Erlangen-Nürnberg in Germany. Although the FDA may accept data from clinical trials conducted outside the United States, acceptance of this data is subject to conditions imposed by the FDA.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impose additional conditions, such as requiring us to modify our planned clinical trials to receive clearance to initiate such trials in the United States or to continue such trials once initiated.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8"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Further, conducting clinical trials outside of the U.S. presents additional risks that may delay completion of our clinical trials. These risks include the failure of investigators or enrolled participants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potential restrictions, such as local privacy restrictions, on data generated from the clinical trial, diminished protection of intellectual property in some countries, as well as political and economic risks relevant to foreign countries.</w:t>
      </w:r>
    </w:p>
    <w:p>
      <w:pPr>
        <w:spacing w:after="0" w:line="173" w:lineRule="exact"/>
        <w:rPr>
          <w:sz w:val="20"/>
          <w:szCs w:val="20"/>
          <w:color w:val="auto"/>
        </w:rPr>
      </w:pPr>
    </w:p>
    <w:p>
      <w:pPr>
        <w:ind w:left="60" w:right="319"/>
        <w:spacing w:after="0" w:line="256" w:lineRule="auto"/>
        <w:rPr>
          <w:sz w:val="20"/>
          <w:szCs w:val="20"/>
          <w:color w:val="auto"/>
        </w:rPr>
      </w:pPr>
      <w:r>
        <w:rPr>
          <w:rFonts w:ascii="Arial" w:cs="Arial" w:eastAsia="Arial" w:hAnsi="Arial"/>
          <w:sz w:val="18"/>
          <w:szCs w:val="18"/>
          <w:b w:val="1"/>
          <w:bCs w:val="1"/>
          <w:i w:val="1"/>
          <w:iCs w:val="1"/>
          <w:color w:val="auto"/>
        </w:rPr>
        <w:t>CNTY-813 or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59"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7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Any adverse events or undesirable side effects caused by, or other unexpected properties of, CNTY-813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is possible that as we progress CNTY-813 or our other product candidates through preclinical and clinical development, or as the use of CNTY-813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CNTY-813 or our other product candidates commercially or in third-party clinical trials elsewhere, such issues may adversely affect the development potential of CNTY-813 or our other product candidates or result in regulatory authorities restricting our ability to develop or commercialize CNTY-813 or our other product candidates.</w:t>
      </w:r>
    </w:p>
    <w:p>
      <w:pPr>
        <w:spacing w:after="0" w:line="180"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Further, if CNTY-813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169" w:lineRule="exact"/>
        <w:rPr>
          <w:sz w:val="20"/>
          <w:szCs w:val="20"/>
          <w:color w:val="auto"/>
        </w:rPr>
      </w:pPr>
    </w:p>
    <w:p>
      <w:pPr>
        <w:ind w:left="720" w:right="259" w:hanging="319"/>
        <w:spacing w:after="0" w:line="220" w:lineRule="auto"/>
        <w:tabs>
          <w:tab w:leader="none" w:pos="72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regulatory authorities may request that we recall or withdraw the product from the market or may limit the approval of the product through labeling or other means;</w:t>
      </w:r>
    </w:p>
    <w:p>
      <w:pPr>
        <w:spacing w:after="0" w:line="1" w:lineRule="exact"/>
        <w:rPr>
          <w:rFonts w:ascii="Times New Roman" w:cs="Times New Roman" w:eastAsia="Times New Roman" w:hAnsi="Times New Roman"/>
          <w:sz w:val="22"/>
          <w:szCs w:val="22"/>
          <w:color w:val="auto"/>
        </w:rPr>
      </w:pPr>
    </w:p>
    <w:p>
      <w:pPr>
        <w:ind w:left="720" w:right="139" w:hanging="319"/>
        <w:spacing w:after="0" w:line="211" w:lineRule="auto"/>
        <w:tabs>
          <w:tab w:leader="none" w:pos="72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regulatory authorities may require the addition of labeling statements, such as a “black box” warning or a contraindication or a precaution;</w:t>
      </w:r>
    </w:p>
    <w:p>
      <w:pPr>
        <w:ind w:left="720" w:right="359" w:hanging="319"/>
        <w:spacing w:after="0" w:line="218" w:lineRule="auto"/>
        <w:tabs>
          <w:tab w:leader="none" w:pos="72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ind w:left="720" w:hanging="319"/>
        <w:spacing w:after="0" w:line="209" w:lineRule="auto"/>
        <w:tabs>
          <w:tab w:leader="none" w:pos="72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we may decide to recall or remove the product from the marketplace;</w:t>
      </w:r>
    </w:p>
    <w:p>
      <w:pPr>
        <w:spacing w:after="0" w:line="9" w:lineRule="exact"/>
        <w:rPr>
          <w:rFonts w:ascii="Times New Roman" w:cs="Times New Roman" w:eastAsia="Times New Roman" w:hAnsi="Times New Roman"/>
          <w:sz w:val="22"/>
          <w:szCs w:val="22"/>
          <w:color w:val="auto"/>
        </w:rPr>
      </w:pPr>
    </w:p>
    <w:p>
      <w:pPr>
        <w:ind w:left="720" w:right="379" w:hanging="319"/>
        <w:spacing w:after="0" w:line="218" w:lineRule="auto"/>
        <w:tabs>
          <w:tab w:leader="none" w:pos="72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we could be sued and/or held liable for injury caused to individuals exposed to or taking our product candidates;</w:t>
      </w:r>
    </w:p>
    <w:p>
      <w:pPr>
        <w:ind w:left="720" w:hanging="319"/>
        <w:spacing w:after="0" w:line="209" w:lineRule="auto"/>
        <w:tabs>
          <w:tab w:leader="none" w:pos="72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damage to the public perception of the safety of CNTY-813 or our other product candidates; and</w:t>
      </w:r>
    </w:p>
    <w:p>
      <w:pPr>
        <w:spacing w:after="0" w:line="22"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18"/>
          <w:szCs w:val="18"/>
          <w:color w:val="auto"/>
        </w:rPr>
        <w:t>our reputation may suffer.</w:t>
      </w:r>
    </w:p>
    <w:p>
      <w:pPr>
        <w:spacing w:after="0" w:line="193" w:lineRule="exact"/>
        <w:rPr>
          <w:sz w:val="20"/>
          <w:szCs w:val="20"/>
          <w:color w:val="auto"/>
        </w:rPr>
      </w:pPr>
    </w:p>
    <w:p>
      <w:pPr>
        <w:ind w:left="60" w:right="59"/>
        <w:spacing w:after="0" w:line="266"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if approved, and generate revenues, all of which would materially adversely affect our business, financial condition, and results of operations.</w:t>
      </w:r>
    </w:p>
    <w:p>
      <w:pPr>
        <w:spacing w:after="0" w:line="148" w:lineRule="exact"/>
        <w:rPr>
          <w:sz w:val="20"/>
          <w:szCs w:val="20"/>
          <w:color w:val="auto"/>
        </w:rPr>
      </w:pPr>
    </w:p>
    <w:p>
      <w:pPr>
        <w:ind w:left="60" w:right="279"/>
        <w:spacing w:after="0" w:line="249" w:lineRule="auto"/>
        <w:rPr>
          <w:sz w:val="20"/>
          <w:szCs w:val="20"/>
          <w:color w:val="auto"/>
        </w:rPr>
      </w:pPr>
      <w:r>
        <w:rPr>
          <w:rFonts w:ascii="Arial" w:cs="Arial" w:eastAsia="Arial" w:hAnsi="Arial"/>
          <w:sz w:val="18"/>
          <w:szCs w:val="18"/>
          <w:b w:val="1"/>
          <w:bCs w:val="1"/>
          <w:i w:val="1"/>
          <w:iCs w:val="1"/>
          <w:color w:val="auto"/>
        </w:rPr>
        <w:t>Public opinion and scrutiny of cell-based and genetically engineered therapies for treating cancer, autoimmune or other serious diseases, or negative clinical trial results from our competitors, may impact public perception of our company and product candidates, or impair our ability to conduct our business.</w:t>
      </w:r>
    </w:p>
    <w:p>
      <w:pPr>
        <w:spacing w:after="0" w:line="16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iPSC-derived allogeneic cell therapy platforms utilize a relatively novel technology involving the genetic modification of iPSCs and utilization of those modified cells in other individuals, and no iPSC-derived immune cell or beta islet cell therapy developed using our platform has been approved to date. Public perception may be influenced by claims, such as claims that cell-based or genetically engineered therapies are unsafe, unethical, or immoral and, consequently, our approach may not gain the acceptance of the public or the medical community. In addition, the use of gene editing technologies and immune-evasion engineering in our product candidates may raise additional ethical, safety or long-term risk concerns among regulators, healthcare providers, patients and the broader public. Negative public reaction to cell-based therapies in general, or negative clinical trial results from our cell-based therapy competitors, could result in greater government regulation and stricter labeling requirements of cell-based therapies,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1079"/>
        <w:spacing w:after="0" w:line="278"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39"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1" w:lineRule="exact"/>
        <w:rPr>
          <w:sz w:val="20"/>
          <w:szCs w:val="20"/>
          <w:color w:val="auto"/>
        </w:rPr>
      </w:pPr>
    </w:p>
    <w:p>
      <w:pPr>
        <w:ind w:left="60" w:right="239"/>
        <w:spacing w:after="0" w:line="278"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 candidates, if approved, may be delayed.</w:t>
      </w:r>
    </w:p>
    <w:p>
      <w:pPr>
        <w:spacing w:after="0" w:line="139"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and BLA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clinical trials that we conduct that could delay or prevent our ability to receive marketing approval or commercialize our product candidates.</w:t>
      </w:r>
    </w:p>
    <w:p>
      <w:pPr>
        <w:spacing w:after="0" w:line="185" w:lineRule="exact"/>
        <w:rPr>
          <w:sz w:val="20"/>
          <w:szCs w:val="20"/>
          <w:color w:val="auto"/>
        </w:rPr>
      </w:pPr>
    </w:p>
    <w:p>
      <w:pPr>
        <w:ind w:left="60" w:right="99"/>
        <w:spacing w:after="0" w:line="245" w:lineRule="auto"/>
        <w:rPr>
          <w:sz w:val="20"/>
          <w:szCs w:val="20"/>
          <w:color w:val="auto"/>
        </w:rPr>
      </w:pPr>
      <w:r>
        <w:rPr>
          <w:rFonts w:ascii="Arial" w:cs="Arial" w:eastAsia="Arial" w:hAnsi="Arial"/>
          <w:sz w:val="18"/>
          <w:szCs w:val="18"/>
          <w:b w:val="1"/>
          <w:bCs w:val="1"/>
          <w:i w:val="1"/>
          <w:iCs w:val="1"/>
          <w:color w:val="auto"/>
        </w:rPr>
        <w:t>Changes in regulatory requirements, guidance from the FDA and other regulatory authorities, or unanticipated events during our IND-enabling studies and future clinical trials of CNTY-813 or our other product candidates may result in changes to preclinical studies or clinical trials or additional preclinical or clinical trial requirements, which could result in increased costs to us and could delay our development timeline.</w:t>
      </w:r>
    </w:p>
    <w:p>
      <w:pPr>
        <w:spacing w:after="0" w:line="17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Regulatory requirements governing biologic drug products, including iPSC-derived cell therapy products, are still evolving and it is difficult to determine how long it will take or how much it will cost to obtain regulatory approvals for CNTY-813 or our other product candidates. Changes in regulatory requirements, FDA guidance or guidance from other regulatory agencies, or unanticipated events during our preclinical studies or clinical trials may force us to terminate or adjust our development program.</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CNTY-813 or our other product candidates may be harmed and our development timelines may be extended, and it would materially adversely affect our business, financial condition, and results of operations.</w:t>
      </w:r>
    </w:p>
    <w:p>
      <w:pPr>
        <w:spacing w:after="0" w:line="183"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regulatory approval in another, but a failure or delay in obtaining regulatory approval in one country may negatively impact the regulatory process in others.</w:t>
      </w:r>
    </w:p>
    <w:p>
      <w:pPr>
        <w:spacing w:after="0" w:line="142" w:lineRule="exact"/>
        <w:rPr>
          <w:sz w:val="20"/>
          <w:szCs w:val="20"/>
          <w:color w:val="auto"/>
        </w:rPr>
      </w:pPr>
    </w:p>
    <w:p>
      <w:pPr>
        <w:ind w:left="60" w:right="239"/>
        <w:spacing w:after="0" w:line="24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6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U.S. federal government has shut down several times and from time to time, certain regulatory agencies, such as the FDA, have had to furlough critical FDA employees and stop critical activities. Without appropriation of sufficient funding to federal agencies, our business operations related to our product development activities for the U.S. market could be impacted. 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w:t>
      </w:r>
    </w:p>
    <w:p>
      <w:pPr>
        <w:spacing w:after="0" w:line="183" w:lineRule="exact"/>
        <w:rPr>
          <w:sz w:val="20"/>
          <w:szCs w:val="20"/>
          <w:color w:val="auto"/>
        </w:rPr>
      </w:pPr>
    </w:p>
    <w:p>
      <w:pPr>
        <w:ind w:left="60" w:right="439"/>
        <w:spacing w:after="0" w:line="253" w:lineRule="auto"/>
        <w:rPr>
          <w:sz w:val="20"/>
          <w:szCs w:val="20"/>
          <w:color w:val="auto"/>
        </w:rPr>
      </w:pPr>
      <w:r>
        <w:rPr>
          <w:rFonts w:ascii="Arial" w:cs="Arial" w:eastAsia="Arial" w:hAnsi="Arial"/>
          <w:sz w:val="18"/>
          <w:szCs w:val="18"/>
          <w:color w:val="auto"/>
        </w:rPr>
        <w:t>If a prolonged government shutdown occurs, it could significantly impact the ability of the FDA or other regulatory authorities to timely review and process our regulatory submissions, which could have a material adverse effect on our business.</w:t>
      </w:r>
    </w:p>
    <w:p>
      <w:pPr>
        <w:spacing w:after="0" w:line="171" w:lineRule="exact"/>
        <w:rPr>
          <w:sz w:val="20"/>
          <w:szCs w:val="20"/>
          <w:color w:val="auto"/>
        </w:rPr>
      </w:pPr>
    </w:p>
    <w:p>
      <w:pPr>
        <w:ind w:left="60" w:right="899"/>
        <w:spacing w:after="0" w:line="278"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preclinical studies and clinical trials for our product candidates.</w:t>
      </w:r>
    </w:p>
    <w:p>
      <w:pPr>
        <w:spacing w:after="0" w:line="13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rely on third-party CROs, study sites, and others to conduct, supervise, and monitor our preclinical studies and clinical trials for our product candidates. We expect to continue to rely on third parties, such as CROs, clinical data management organizations, medical institutions, and clinical investigators, to conduct our preclinical studies and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preclinical studies and clinical trials required to support future approval of CNTY-813 and our other product candidates, or we may not obtain marketing approval for, or commercialize, CNTY-813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18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studies and clinical trials is conducted in accordance with the general investigational plan and protocols for such trial. We must also ensure that our preclinical studies and clinical trials are conducted in accordance with GLP regulations, as appropriate. Moreover, the FDA and comparable foreign regulatory authorities require us to comply with 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to comply with applicable GCPs or other regulatory requirements, we or they may be subject to enforcement or other legal actions, the data generated in our preclinical studies and clinical trials may be deemed unreliable and the FDA, or comparable foreign regulatory authorities may require us to perform additional studies.</w:t>
      </w:r>
    </w:p>
    <w:p>
      <w:pPr>
        <w:spacing w:after="0" w:line="2"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8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w:t>
      </w:r>
    </w:p>
    <w:p>
      <w:pPr>
        <w:spacing w:after="0" w:line="16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17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 clinical trials in accordance with regulatory requirements or our stated protocols, if these parties are adversely impacted by macroeconomic or other factors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studies and clinical trials may be repeated, extended, delayed, or terminated; we may not be able to obtain, or may be delayed in obtaining, marketing approvals for CNTY-813 and our other product candidates; we may not be able to, or may be delayed in our efforts to, successfully commercialize CNTY-813 or our other product candidates; or we or they may be subject to regulatory enforcement actions. As a result, our results of operations and the commercial prospects for CNTY-813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18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178" w:lineRule="exact"/>
        <w:rPr>
          <w:sz w:val="20"/>
          <w:szCs w:val="20"/>
          <w:color w:val="auto"/>
        </w:rPr>
      </w:pPr>
    </w:p>
    <w:p>
      <w:pPr>
        <w:ind w:left="60" w:right="199"/>
        <w:spacing w:after="0" w:line="256"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162" w:lineRule="exact"/>
        <w:rPr>
          <w:sz w:val="20"/>
          <w:szCs w:val="20"/>
          <w:color w:val="auto"/>
        </w:rPr>
      </w:pPr>
    </w:p>
    <w:p>
      <w:pPr>
        <w:jc w:val="both"/>
        <w:ind w:left="60" w:right="139"/>
        <w:spacing w:after="0" w:line="256" w:lineRule="auto"/>
        <w:rPr>
          <w:sz w:val="20"/>
          <w:szCs w:val="20"/>
          <w:color w:val="auto"/>
        </w:rPr>
      </w:pPr>
      <w:r>
        <w:rPr>
          <w:rFonts w:ascii="Arial" w:cs="Arial" w:eastAsia="Arial" w:hAnsi="Arial"/>
          <w:sz w:val="18"/>
          <w:szCs w:val="18"/>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59"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Our business strategy includes leveraging our strategic partnership with FUJIFILM Cellular Dynamics Inc., or FCDI, and may include additional future partnerships for product development, product commercialization, manufacturing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185" w:lineRule="exact"/>
        <w:rPr>
          <w:sz w:val="20"/>
          <w:szCs w:val="20"/>
          <w:color w:val="auto"/>
        </w:rPr>
      </w:pPr>
    </w:p>
    <w:p>
      <w:pPr>
        <w:ind w:left="60" w:right="299"/>
        <w:spacing w:after="0" w:line="237" w:lineRule="auto"/>
        <w:rPr>
          <w:sz w:val="20"/>
          <w:szCs w:val="20"/>
          <w:color w:val="auto"/>
        </w:rPr>
      </w:pPr>
      <w:r>
        <w:rPr>
          <w:rFonts w:ascii="Arial" w:cs="Arial" w:eastAsia="Arial" w:hAnsi="Arial"/>
          <w:sz w:val="18"/>
          <w:szCs w:val="18"/>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18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173"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expenditure of substantial operational, financial and management resources;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dilutive issuances of our securities;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substantial actual or contingent liabilities; and</w:t>
      </w:r>
    </w:p>
    <w:p>
      <w:pPr>
        <w:spacing w:after="0" w:line="8" w:lineRule="exact"/>
        <w:rPr>
          <w:rFonts w:ascii="Times New Roman" w:cs="Times New Roman" w:eastAsia="Times New Roman" w:hAnsi="Times New Roman"/>
          <w:sz w:val="22"/>
          <w:szCs w:val="22"/>
          <w:color w:val="auto"/>
        </w:rPr>
      </w:pPr>
    </w:p>
    <w:p>
      <w:pPr>
        <w:ind w:left="720" w:right="79" w:hanging="319"/>
        <w:spacing w:after="0" w:line="220" w:lineRule="auto"/>
        <w:tabs>
          <w:tab w:leader="none" w:pos="72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18"/>
          <w:szCs w:val="18"/>
          <w:color w:val="auto"/>
        </w:rPr>
        <w:t>termination or expiration of the arrangement, which would delay the development and may increase the cost of developing our product candidates.</w:t>
      </w:r>
    </w:p>
    <w:p>
      <w:pPr>
        <w:spacing w:after="0" w:line="168" w:lineRule="exact"/>
        <w:rPr>
          <w:sz w:val="20"/>
          <w:szCs w:val="20"/>
          <w:color w:val="auto"/>
        </w:rPr>
      </w:pPr>
    </w:p>
    <w:p>
      <w:pPr>
        <w:ind w:left="60" w:right="379"/>
        <w:spacing w:after="0" w:line="242" w:lineRule="auto"/>
        <w:rPr>
          <w:sz w:val="20"/>
          <w:szCs w:val="20"/>
          <w:color w:val="auto"/>
        </w:rPr>
      </w:pPr>
      <w:r>
        <w:rPr>
          <w:rFonts w:ascii="Arial" w:cs="Arial" w:eastAsia="Arial" w:hAnsi="Arial"/>
          <w:sz w:val="18"/>
          <w:szCs w:val="18"/>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179"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regulatory approval, and commercialization described in this Annual Report on Form 10-K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14" w:lineRule="exact"/>
        <w:rPr>
          <w:sz w:val="20"/>
          <w:szCs w:val="20"/>
          <w:color w:val="auto"/>
        </w:rPr>
      </w:pPr>
    </w:p>
    <w:p>
      <w:pPr>
        <w:ind w:left="60" w:right="79"/>
        <w:spacing w:after="0" w:line="256" w:lineRule="auto"/>
        <w:rPr>
          <w:sz w:val="20"/>
          <w:szCs w:val="20"/>
          <w:color w:val="auto"/>
        </w:rPr>
      </w:pPr>
      <w:r>
        <w:rPr>
          <w:rFonts w:ascii="Arial" w:cs="Arial" w:eastAsia="Arial" w:hAnsi="Arial"/>
          <w:sz w:val="18"/>
          <w:szCs w:val="18"/>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5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COGs development is at an early stage. The actual cost to manufacture and process our product candidates could be greater than we expect and could materially and adversely affect the commercial viability of our product candidates.</w:t>
      </w:r>
    </w:p>
    <w:p>
      <w:pPr>
        <w:spacing w:after="0" w:line="180"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We are still developing optimized and reproducible manufacturing processes for clinical and commercial-scale manufacturing of our product candidates, and none of our manufacturing processes have been validated for commercial production 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16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185" w:lineRule="exact"/>
        <w:rPr>
          <w:sz w:val="20"/>
          <w:szCs w:val="20"/>
          <w:color w:val="auto"/>
        </w:rPr>
      </w:pPr>
    </w:p>
    <w:p>
      <w:pPr>
        <w:ind w:left="60" w:right="119"/>
        <w:spacing w:after="0" w:line="245" w:lineRule="auto"/>
        <w:rPr>
          <w:sz w:val="20"/>
          <w:szCs w:val="20"/>
          <w:color w:val="auto"/>
        </w:rPr>
      </w:pPr>
      <w:r>
        <w:rPr>
          <w:rFonts w:ascii="Arial" w:cs="Arial" w:eastAsia="Arial" w:hAnsi="Arial"/>
          <w:sz w:val="18"/>
          <w:szCs w:val="18"/>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17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capacity to support commercial products manufactured under 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macroeconomic factors, the business and operations of our suppliers may be disrupted or delayed, and we in turn may experience disruptions or delays in our supply chain. An inability to continue to source product from any of these suppliers, which could be due to the impacts of global pandemics, macroeconomic factors, recent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8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82"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There are operational and regulatory risks with manufacturing and releasing product for clinical trials and these could impact our ability to deliver product for trials and therefore impact development timelines.</w:t>
      </w:r>
    </w:p>
    <w:p>
      <w:pPr>
        <w:spacing w:after="0" w:line="159"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We currently are and intend to continue to manufacture our product candidates for clinical trials at our own 53,000 square foot GMP manufacturing facility in Branchburg, New Jersey and could also utilize CMOs to do the same. We also rely on CMOs for the manufacture of related raw materials for clinical and preclinical development.</w:t>
      </w:r>
    </w:p>
    <w:p>
      <w:pPr>
        <w:spacing w:after="0" w:line="17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facilities we use to develop our product candidates, whether they be our own or whether they are CMOs,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01" w:lineRule="auto"/>
        <w:rPr>
          <w:sz w:val="20"/>
          <w:szCs w:val="20"/>
          <w:color w:val="auto"/>
        </w:rPr>
      </w:pPr>
      <w:r>
        <w:rPr>
          <w:rFonts w:ascii="Arial" w:cs="Arial" w:eastAsia="Arial" w:hAnsi="Arial"/>
          <w:sz w:val="17"/>
          <w:szCs w:val="17"/>
          <w:color w:val="auto"/>
        </w:rPr>
        <w:t>Our or a CMO’s failure to execute on our manufacturing requirements, to do so on commercially reasonable terms and comply with cGMP could adversely affect our business in a number of ways, including:</w:t>
      </w:r>
    </w:p>
    <w:p>
      <w:pPr>
        <w:spacing w:after="0" w:line="130"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18"/>
          <w:szCs w:val="18"/>
          <w:color w:val="auto"/>
        </w:rPr>
        <w:t>an inability to initiate or continue preclinical and clinical trials of our product candidates;</w:t>
      </w:r>
    </w:p>
    <w:p>
      <w:pPr>
        <w:spacing w:after="0" w:line="8" w:lineRule="exact"/>
        <w:rPr>
          <w:rFonts w:ascii="Times New Roman" w:cs="Times New Roman" w:eastAsia="Times New Roman" w:hAnsi="Times New Roman"/>
          <w:sz w:val="22"/>
          <w:szCs w:val="22"/>
          <w:color w:val="auto"/>
        </w:rPr>
      </w:pPr>
    </w:p>
    <w:p>
      <w:pPr>
        <w:ind w:left="720" w:right="979" w:hanging="319"/>
        <w:spacing w:after="0" w:line="211" w:lineRule="auto"/>
        <w:tabs>
          <w:tab w:leader="none" w:pos="72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18"/>
          <w:szCs w:val="18"/>
          <w:color w:val="auto"/>
        </w:rPr>
        <w:t>delay in submitting regulatory applications, or receiving marketing approvals, for our product candidates;</w:t>
      </w:r>
    </w:p>
    <w:p>
      <w:pPr>
        <w:ind w:left="720" w:right="139" w:hanging="319"/>
        <w:spacing w:after="0" w:line="211" w:lineRule="auto"/>
        <w:tabs>
          <w:tab w:leader="none" w:pos="72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ind w:left="720" w:right="499" w:hanging="319"/>
        <w:spacing w:after="0" w:line="218" w:lineRule="auto"/>
        <w:tabs>
          <w:tab w:leader="none" w:pos="72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18"/>
          <w:szCs w:val="18"/>
          <w:color w:val="auto"/>
        </w:rPr>
        <w:t>in the event of approval to market and commercialize and of our product candidates, an inability to meet commercial demands for such product candidates; and</w:t>
      </w:r>
    </w:p>
    <w:p>
      <w:pPr>
        <w:ind w:left="720" w:hanging="319"/>
        <w:spacing w:after="0" w:line="209" w:lineRule="auto"/>
        <w:tabs>
          <w:tab w:leader="none" w:pos="72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18"/>
          <w:szCs w:val="18"/>
          <w:color w:val="auto"/>
        </w:rPr>
        <w:t>requirements to cease development or to recall batches of our product candidates.</w:t>
      </w:r>
    </w:p>
    <w:p>
      <w:pPr>
        <w:spacing w:after="0" w:line="194"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Any performance failure on the part of us or our existing or future CMOs could delay clinical development or marketing approval, and any related remedial measures may be costly or time-consuming to implement. If our current CMOs cannot perform as agreed or if we face manufacturing issues at our own GMP manufacturing facility in Branchburg, New Jersey, we may be required to replace such manufacturers and we may be unable to replace them on a timely basis or at all.</w:t>
      </w:r>
    </w:p>
    <w:p>
      <w:pPr>
        <w:spacing w:after="0" w:line="17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71" w:lineRule="exact"/>
        <w:rPr>
          <w:sz w:val="20"/>
          <w:szCs w:val="20"/>
          <w:color w:val="auto"/>
        </w:rPr>
      </w:pPr>
    </w:p>
    <w:p>
      <w:pPr>
        <w:ind w:left="60" w:right="539"/>
        <w:spacing w:after="0" w:line="278"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39"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We believe that internal cGMP manufacturing is important to facilitate clinical product supply, lower the risk of manufacturing disruptions, and enable more cost-effective manufacturing. We believe our Branchburg, New Jersey facility will allow us to supply certain of our product candidates needed for our early-stage clinical trials and preclinical studies. The operation and maintenance, and regulatory approvals for such facilities, require substantial capital and technical expertise and any delay could limit our development activities and our opportunities for growth, or negatively impact our financial results.</w:t>
      </w:r>
    </w:p>
    <w:p>
      <w:pPr>
        <w:spacing w:after="0" w:line="17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also may encounter problems with the following:</w:t>
      </w:r>
    </w:p>
    <w:p>
      <w:pPr>
        <w:spacing w:after="0" w:line="212" w:lineRule="exact"/>
        <w:rPr>
          <w:sz w:val="20"/>
          <w:szCs w:val="20"/>
          <w:color w:val="auto"/>
        </w:rPr>
      </w:pPr>
    </w:p>
    <w:p>
      <w:pPr>
        <w:ind w:left="720" w:right="259" w:hanging="319"/>
        <w:spacing w:after="0" w:line="220" w:lineRule="auto"/>
        <w:tabs>
          <w:tab w:leader="none" w:pos="720" w:val="left"/>
        </w:tabs>
        <w:numPr>
          <w:ilvl w:val="0"/>
          <w:numId w:val="32"/>
        </w:numPr>
        <w:rPr>
          <w:rFonts w:ascii="Times New Roman" w:cs="Times New Roman" w:eastAsia="Times New Roman" w:hAnsi="Times New Roman"/>
          <w:sz w:val="22"/>
          <w:szCs w:val="22"/>
          <w:color w:val="auto"/>
        </w:rPr>
      </w:pPr>
      <w:r>
        <w:rPr>
          <w:rFonts w:ascii="Arial" w:cs="Arial" w:eastAsia="Arial" w:hAnsi="Arial"/>
          <w:sz w:val="18"/>
          <w:szCs w:val="18"/>
          <w:color w:val="auto"/>
        </w:rPr>
        <w:t>complying with regulations regarding donor traceability, manufacturing, release of product candidates and other requirements from regulatory authorities outside the United States;</w:t>
      </w:r>
    </w:p>
    <w:p>
      <w:pPr>
        <w:spacing w:after="0" w:line="1" w:lineRule="exact"/>
        <w:rPr>
          <w:rFonts w:ascii="Times New Roman" w:cs="Times New Roman" w:eastAsia="Times New Roman" w:hAnsi="Times New Roman"/>
          <w:sz w:val="22"/>
          <w:szCs w:val="22"/>
          <w:color w:val="auto"/>
        </w:rPr>
      </w:pPr>
    </w:p>
    <w:p>
      <w:pPr>
        <w:ind w:left="720" w:right="179" w:hanging="319"/>
        <w:spacing w:after="0" w:line="218" w:lineRule="auto"/>
        <w:tabs>
          <w:tab w:leader="none" w:pos="720" w:val="left"/>
        </w:tabs>
        <w:numPr>
          <w:ilvl w:val="0"/>
          <w:numId w:val="32"/>
        </w:numPr>
        <w:rPr>
          <w:rFonts w:ascii="Times New Roman" w:cs="Times New Roman" w:eastAsia="Times New Roman" w:hAnsi="Times New Roman"/>
          <w:sz w:val="22"/>
          <w:szCs w:val="22"/>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ind w:left="720" w:hanging="319"/>
        <w:spacing w:after="0" w:line="209" w:lineRule="auto"/>
        <w:tabs>
          <w:tab w:leader="none" w:pos="720" w:val="left"/>
        </w:tabs>
        <w:numPr>
          <w:ilvl w:val="0"/>
          <w:numId w:val="32"/>
        </w:numPr>
        <w:rPr>
          <w:rFonts w:ascii="Times New Roman" w:cs="Times New Roman" w:eastAsia="Times New Roman" w:hAnsi="Times New Roman"/>
          <w:sz w:val="22"/>
          <w:szCs w:val="22"/>
          <w:color w:val="auto"/>
        </w:rPr>
      </w:pPr>
      <w:r>
        <w:rPr>
          <w:rFonts w:ascii="Arial" w:cs="Arial" w:eastAsia="Arial" w:hAnsi="Arial"/>
          <w:sz w:val="18"/>
          <w:szCs w:val="18"/>
          <w:color w:val="auto"/>
        </w:rPr>
        <w:t>bacterial, fungal, or viral contamination in our manufacturing facility; and</w:t>
      </w:r>
    </w:p>
    <w:p>
      <w:pPr>
        <w:spacing w:after="0" w:line="22"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2"/>
        </w:numPr>
        <w:rPr>
          <w:rFonts w:ascii="Times New Roman" w:cs="Times New Roman" w:eastAsia="Times New Roman" w:hAnsi="Times New Roman"/>
          <w:sz w:val="22"/>
          <w:szCs w:val="22"/>
          <w:color w:val="auto"/>
        </w:rPr>
      </w:pPr>
      <w:r>
        <w:rPr>
          <w:rFonts w:ascii="Arial" w:cs="Arial" w:eastAsia="Arial" w:hAnsi="Arial"/>
          <w:sz w:val="18"/>
          <w:szCs w:val="18"/>
          <w:color w:val="auto"/>
        </w:rPr>
        <w:t>shortages of qualified personnel, raw materials, or key contractors.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72"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cryogenically store our engineered cell therapy products, including CAR-iNK cells, CAR-iT cells and iPSC-derived beta islet cells, and master and working cell banks of the engineered iPSC cells at both our own manufacturing facility and at third-party facilities.</w:t>
      </w:r>
    </w:p>
    <w:p>
      <w:pPr>
        <w:spacing w:after="0" w:line="15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engineered cell therapy products, including CAR-iNK cells, CAR-iT cells and beta islet cells, and the master and working cell banks of the engineered iPSC cells are stored in freezers at both third-party biorepositories and in our freezers at our manufacturing facility. If these materials are damaged at either or both our or these third-party facilities, including by the loss or malfunction of these freezers or our back-up power systems, as well as by damage from fire, power loss or other natural disasters, we may need to establish replacement cell therapy products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14" w:lineRule="exact"/>
        <w:rPr>
          <w:sz w:val="20"/>
          <w:szCs w:val="20"/>
          <w:color w:val="auto"/>
        </w:rPr>
      </w:pPr>
    </w:p>
    <w:p>
      <w:pPr>
        <w:ind w:left="60" w:right="119"/>
        <w:spacing w:after="0" w:line="256" w:lineRule="auto"/>
        <w:rPr>
          <w:sz w:val="20"/>
          <w:szCs w:val="20"/>
          <w:color w:val="auto"/>
        </w:rPr>
      </w:pPr>
      <w:r>
        <w:rPr>
          <w:rFonts w:ascii="Arial" w:cs="Arial" w:eastAsia="Arial" w:hAnsi="Arial"/>
          <w:sz w:val="18"/>
          <w:szCs w:val="18"/>
          <w:b w:val="1"/>
          <w:bCs w:val="1"/>
          <w:i w:val="1"/>
          <w:iCs w:val="1"/>
          <w:color w:val="auto"/>
        </w:rPr>
        <w:t>If we are unable to successfully commercialize CNTY-813 or any of our other product candidates for which we receive regulatory approval, or experience significant delays in doing so, our business will be materially harmed.</w:t>
      </w:r>
    </w:p>
    <w:p>
      <w:pPr>
        <w:spacing w:after="0" w:line="159"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If we are successful in obtaining marketing approval from applicable regulatory authorities for CNTY-813 or any of our other product candidates, our ability to generate revenues from such product candidates will depend on our success in:</w:t>
      </w:r>
    </w:p>
    <w:p>
      <w:pPr>
        <w:spacing w:after="0" w:line="168"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launching commercial sales of our product candidates, whether alone or in collaboration with others;</w:t>
      </w:r>
    </w:p>
    <w:p>
      <w:pPr>
        <w:spacing w:after="0" w:line="8" w:lineRule="exact"/>
        <w:rPr>
          <w:rFonts w:ascii="Times New Roman" w:cs="Times New Roman" w:eastAsia="Times New Roman" w:hAnsi="Times New Roman"/>
          <w:sz w:val="22"/>
          <w:szCs w:val="22"/>
          <w:color w:val="auto"/>
        </w:rPr>
      </w:pPr>
    </w:p>
    <w:p>
      <w:pPr>
        <w:ind w:left="720" w:right="259" w:hanging="319"/>
        <w:spacing w:after="0" w:line="223" w:lineRule="auto"/>
        <w:tabs>
          <w:tab w:leader="none" w:pos="72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receiving an approved label with claims that are necessary or desirable for successful marketing, and that does not contain safety or other limitations that would impede our ability to market our product candidates;</w:t>
      </w:r>
    </w:p>
    <w:p>
      <w:pPr>
        <w:spacing w:after="0" w:line="1" w:lineRule="exact"/>
        <w:rPr>
          <w:rFonts w:ascii="Times New Roman" w:cs="Times New Roman" w:eastAsia="Times New Roman" w:hAnsi="Times New Roman"/>
          <w:sz w:val="22"/>
          <w:szCs w:val="22"/>
          <w:color w:val="auto"/>
        </w:rPr>
      </w:pPr>
    </w:p>
    <w:p>
      <w:pPr>
        <w:ind w:left="720" w:hanging="319"/>
        <w:spacing w:after="0" w:line="209" w:lineRule="auto"/>
        <w:tabs>
          <w:tab w:leader="none" w:pos="72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creating market demand for our product candidates through marketing, sales, and promotion activities;</w:t>
      </w:r>
    </w:p>
    <w:p>
      <w:pPr>
        <w:spacing w:after="0" w:line="9" w:lineRule="exact"/>
        <w:rPr>
          <w:rFonts w:ascii="Times New Roman" w:cs="Times New Roman" w:eastAsia="Times New Roman" w:hAnsi="Times New Roman"/>
          <w:sz w:val="22"/>
          <w:szCs w:val="22"/>
          <w:color w:val="auto"/>
        </w:rPr>
      </w:pPr>
    </w:p>
    <w:p>
      <w:pPr>
        <w:ind w:left="720" w:right="659" w:hanging="319"/>
        <w:spacing w:after="0" w:line="211" w:lineRule="auto"/>
        <w:tabs>
          <w:tab w:leader="none" w:pos="72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hiring, training, and deploying a sales force or contracting with third parties to commercialize our product candidates;</w:t>
      </w:r>
    </w:p>
    <w:p>
      <w:pPr>
        <w:ind w:left="720" w:right="419" w:hanging="319"/>
        <w:spacing w:after="0" w:line="211" w:lineRule="auto"/>
        <w:tabs>
          <w:tab w:leader="none" w:pos="72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manufacturing, either on our own or through third parties, product candidates in sufficient quantities and at acceptable quality and cost to meet commercial demand at launch and thereafter;</w:t>
      </w:r>
    </w:p>
    <w:p>
      <w:pPr>
        <w:ind w:left="720" w:right="839" w:hanging="319"/>
        <w:spacing w:after="0" w:line="211" w:lineRule="auto"/>
        <w:tabs>
          <w:tab w:leader="none" w:pos="72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establishing and maintaining agreements with wholesalers, distributors, and group purchasing organizations on commercially reasonable terms;</w:t>
      </w:r>
    </w:p>
    <w:p>
      <w:pPr>
        <w:ind w:left="720" w:right="239" w:hanging="319"/>
        <w:spacing w:after="0" w:line="211" w:lineRule="auto"/>
        <w:tabs>
          <w:tab w:leader="none" w:pos="72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creating partnerships with, or offering licenses to, third parties to promote and sell product candidates in foreign markets where we receive marketing approval;</w:t>
      </w:r>
    </w:p>
    <w:p>
      <w:pPr>
        <w:ind w:left="720" w:right="519" w:hanging="319"/>
        <w:spacing w:after="0" w:line="211" w:lineRule="auto"/>
        <w:tabs>
          <w:tab w:leader="none" w:pos="72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obtaining, maintaining, protecting, and enforcing patent and trade secret protection and regulatory exclusivity for our product candidates;</w:t>
      </w:r>
    </w:p>
    <w:p>
      <w:pPr>
        <w:ind w:left="720" w:right="179" w:hanging="319"/>
        <w:spacing w:after="0" w:line="220" w:lineRule="auto"/>
        <w:tabs>
          <w:tab w:leader="none" w:pos="72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achieving market acceptance of our product candidates by patients, the medical community, and third-party payors;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achieving appropriate reimbursement for our product candidates, if approved;</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effectively competing with other therapies; and</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maintaining an acceptable tolerability profile of our product candidates following launch.</w:t>
      </w:r>
    </w:p>
    <w:p>
      <w:pPr>
        <w:spacing w:after="0" w:line="19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To the extent we are not able to do any of the foregoing, our business, financial condition, results of operations, and prospects will be materially harmed.</w:t>
      </w:r>
    </w:p>
    <w:p>
      <w:pPr>
        <w:spacing w:after="0" w:line="156" w:lineRule="exact"/>
        <w:rPr>
          <w:sz w:val="20"/>
          <w:szCs w:val="20"/>
          <w:color w:val="auto"/>
        </w:rPr>
      </w:pPr>
    </w:p>
    <w:p>
      <w:pPr>
        <w:ind w:left="60" w:right="279"/>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5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are developing off-the-shelf cell therapies by differentiating engineered iPSC into beta islet cells, NK cells, T cells or other immune cells for the treatment of T1D, autoimmune diseases and oncology indications. While we believe our genetically engineered immune effector cell therapies derived from iPSC are highly differentiated, a number of companies are currently focused on the development of cellular immunotherapies for the treatment of T1D, cancer and autoimmune diseases. In addition, because reprogramming technology and gene editing technology are available on a non-exclusive basis, the number of companies developing iPSC-derived products and products using gene-editing technology is expected to increase, which will increase competitive pressure on us. Moreover, the reprogramming technology licensed to us from FCDI and the gene-editing technology licensed to us from Inscripta, Inc. are each licensed to us on a non-exclusive basis, and therefore third parties may obtain licenses to the same technology to compete with us.</w:t>
      </w:r>
    </w:p>
    <w:p>
      <w:pPr>
        <w:spacing w:after="0" w:line="180" w:lineRule="exact"/>
        <w:rPr>
          <w:sz w:val="20"/>
          <w:szCs w:val="20"/>
          <w:color w:val="auto"/>
        </w:rPr>
      </w:pPr>
    </w:p>
    <w:p>
      <w:pPr>
        <w:jc w:val="both"/>
        <w:ind w:left="60" w:right="119"/>
        <w:spacing w:after="0" w:line="247" w:lineRule="auto"/>
        <w:rPr>
          <w:sz w:val="20"/>
          <w:szCs w:val="20"/>
          <w:color w:val="auto"/>
        </w:rPr>
      </w:pPr>
      <w:r>
        <w:rPr>
          <w:rFonts w:ascii="Arial" w:cs="Arial" w:eastAsia="Arial" w:hAnsi="Arial"/>
          <w:sz w:val="18"/>
          <w:szCs w:val="18"/>
          <w:color w:val="auto"/>
        </w:rPr>
        <w:t>Large pharmaceutical companies that have commercialized or are developing immunotherapies to treat cancer include but are not limited to AstraZeneca, Bristol-Myers Squibb, Gilead Sciences, Merck, Novartis, Pfizer, and Roche. Some of these companies, such as Bristol-Myers Squibb, Novartis, and Roche, are also developing cell therapy therapies for autoimmune diseases.</w:t>
      </w:r>
    </w:p>
    <w:p>
      <w:pPr>
        <w:spacing w:after="0" w:line="174" w:lineRule="exact"/>
        <w:rPr>
          <w:sz w:val="20"/>
          <w:szCs w:val="20"/>
          <w:color w:val="auto"/>
        </w:rPr>
      </w:pPr>
    </w:p>
    <w:p>
      <w:pPr>
        <w:ind w:left="60" w:right="159"/>
        <w:spacing w:after="0" w:line="301" w:lineRule="auto"/>
        <w:rPr>
          <w:sz w:val="20"/>
          <w:szCs w:val="20"/>
          <w:color w:val="auto"/>
        </w:rPr>
      </w:pPr>
      <w:r>
        <w:rPr>
          <w:rFonts w:ascii="Arial" w:cs="Arial" w:eastAsia="Arial" w:hAnsi="Arial"/>
          <w:sz w:val="17"/>
          <w:szCs w:val="17"/>
          <w:color w:val="auto"/>
        </w:rPr>
        <w:t>Companies that compete with us directly on the level of the development of product candidates targeting B-cell lymphomas include but are not limited to Gilead Sciences, Novartis, and Bristol-Myers Squibb, among others.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Other emerging biopharmaceutical companies which can potentially develop competing cell therapy candidates to treat both cancer and autoimmune diseases include but are not limited to Adicet Bio, Allogene Therapeutics, Artiva Biotherapeutics, Caribou Biosciences, CRISPR Therapeutics, Fate Therapeutics, Nkarta Therapeutics, and Sana Biotechnology. Furthermore, companies pursuing the development of cell therapies in autoimmune diseases include but are not limited to Cabaletta Bio, Cartesian Therapeutics, and Kyverna Therapeutics. Companies pursuing cell-based or gene-edited beta cell replacement therapies for T1D include, among others, Vertex Pharmaceuticals, Sana Biotechnology, CRISPR Therapeutics, CellTrans, Sernova, and others.</w:t>
      </w:r>
    </w:p>
    <w:p>
      <w:pPr>
        <w:spacing w:after="0" w:line="141"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Because our lead programs are currently in IND-enabling development and have not yet entered company-sponsored clinical trials, our competitors may be further advanced in clinical development, which could enable them to generate clinical data, obtain regulatory approvals or establish commercial positions before we do.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45" w:lineRule="exact"/>
        <w:rPr>
          <w:sz w:val="20"/>
          <w:szCs w:val="20"/>
          <w:color w:val="auto"/>
        </w:rPr>
      </w:pPr>
    </w:p>
    <w:p>
      <w:pPr>
        <w:ind w:left="60" w:right="359"/>
        <w:spacing w:after="0" w:line="278" w:lineRule="auto"/>
        <w:rPr>
          <w:sz w:val="20"/>
          <w:szCs w:val="20"/>
          <w:color w:val="auto"/>
        </w:rPr>
      </w:pPr>
      <w:r>
        <w:rPr>
          <w:rFonts w:ascii="Arial" w:cs="Arial" w:eastAsia="Arial" w:hAnsi="Arial"/>
          <w:sz w:val="18"/>
          <w:szCs w:val="18"/>
          <w:b w:val="1"/>
          <w:bCs w:val="1"/>
          <w:i w:val="1"/>
          <w:iCs w:val="1"/>
          <w:color w:val="auto"/>
        </w:rPr>
        <w:t>We expect to face uncertainty regarding the pricing of our existing product candidates and any other product candidates that we may develop, and for which we may receive approval.</w:t>
      </w:r>
    </w:p>
    <w:p>
      <w:pPr>
        <w:spacing w:after="0" w:line="9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15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199"/>
        <w:spacing w:after="0" w:line="256"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new products could limit our product revenues.</w:t>
      </w:r>
    </w:p>
    <w:p>
      <w:pPr>
        <w:spacing w:after="0" w:line="15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 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payors is essential for most patients to be able to afford expensive treatments, such as cellular immunotherapy. There is significant uncertainty related to the insurance coverage and reimbursement of newly approved products by government and third-party payors. In particular, there is no body of established practices and precedents for reimbursement of cellular immunotherapies, and it is difficult to predict what the regulatory authority or private payor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 commercialize our product candidates, if approved. Even if coverage is provided, the approved reimbursement amount may not be sufficient to allow us to establish or maintain pricing to generate income. For additional information on coverage and reimbursement, see the section entitled “Business-Government Regulation-Healthcare Reform.”</w:t>
      </w:r>
    </w:p>
    <w:p>
      <w:pPr>
        <w:spacing w:after="0" w:line="18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reimbursement agencies in foreign jurisdictions may be more conservative than those in the United States. Accordingly, in markets outside the United States, the reimbursement for our product candidates, if approved,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182" w:lineRule="exact"/>
        <w:rPr>
          <w:sz w:val="20"/>
          <w:szCs w:val="20"/>
          <w:color w:val="auto"/>
        </w:rPr>
      </w:pPr>
    </w:p>
    <w:p>
      <w:pPr>
        <w:ind w:left="60" w:right="339"/>
        <w:spacing w:after="0" w:line="278" w:lineRule="auto"/>
        <w:rPr>
          <w:sz w:val="20"/>
          <w:szCs w:val="20"/>
          <w:color w:val="auto"/>
        </w:rPr>
      </w:pPr>
      <w:r>
        <w:rPr>
          <w:rFonts w:ascii="Arial" w:cs="Arial" w:eastAsia="Arial" w:hAnsi="Arial"/>
          <w:sz w:val="18"/>
          <w:szCs w:val="18"/>
          <w:b w:val="1"/>
          <w:bCs w:val="1"/>
          <w:i w:val="1"/>
          <w:iCs w:val="1"/>
          <w:color w:val="auto"/>
        </w:rPr>
        <w:t>Even if we obtain regulatory and marketing approval for a product candidate, our product candidates will remain subject to regulatory oversight.</w:t>
      </w:r>
    </w:p>
    <w:p>
      <w:pPr>
        <w:spacing w:after="0" w:line="13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Even if we receive marketing and regulatory approval for CNTY-813 or any of our other product candidates, regulatory authorities may still impose significant restrictions on the indicated uses or marketing or impose ongoing requirements for potentially costly post-approval studies. CNTY-813 and our other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CNTY-813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materials must comply with FDA rules and are subject to FDA review, in addition to other potentially applicable federal and state laws.</w:t>
      </w:r>
    </w:p>
    <w:p>
      <w:pPr>
        <w:spacing w:after="0" w:line="140"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 we or our contractors fail to comply with applicable regulatory requirements following approval, if granted, of</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CNTY-813 or our other product candidates, a regulatory authority may:</w:t>
      </w:r>
    </w:p>
    <w:p>
      <w:pPr>
        <w:spacing w:after="0" w:line="193"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18"/>
          <w:szCs w:val="18"/>
          <w:color w:val="auto"/>
        </w:rPr>
        <w:t>issue a warning letter, untitled letter, or Form 483, asserting that we are in violation of the law;</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18"/>
          <w:szCs w:val="18"/>
          <w:color w:val="auto"/>
        </w:rPr>
        <w:t>request voluntary product recalls;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18"/>
          <w:szCs w:val="18"/>
          <w:color w:val="auto"/>
        </w:rPr>
        <w:t>seek an injunction or impose administrative, civil, or criminal penalties or monetary fines;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18"/>
          <w:szCs w:val="18"/>
          <w:color w:val="auto"/>
        </w:rPr>
        <w:t>suspend or withdraw regulatory approval;</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18"/>
          <w:szCs w:val="18"/>
          <w:color w:val="auto"/>
        </w:rPr>
        <w:t>suspend any ongoing clinical trials;</w:t>
      </w:r>
    </w:p>
    <w:p>
      <w:pPr>
        <w:spacing w:after="0" w:line="8" w:lineRule="exact"/>
        <w:rPr>
          <w:rFonts w:ascii="Times New Roman" w:cs="Times New Roman" w:eastAsia="Times New Roman" w:hAnsi="Times New Roman"/>
          <w:sz w:val="22"/>
          <w:szCs w:val="22"/>
          <w:color w:val="auto"/>
        </w:rPr>
      </w:pPr>
    </w:p>
    <w:p>
      <w:pPr>
        <w:ind w:left="720" w:right="439" w:hanging="319"/>
        <w:spacing w:after="0" w:line="218" w:lineRule="auto"/>
        <w:tabs>
          <w:tab w:leader="none" w:pos="72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18"/>
          <w:szCs w:val="18"/>
          <w:color w:val="auto"/>
        </w:rPr>
        <w:t>refuse to approve a pending BLA or comparable foreign marketing application (or any supplements thereto);</w:t>
      </w:r>
    </w:p>
    <w:p>
      <w:pPr>
        <w:ind w:left="720" w:hanging="319"/>
        <w:spacing w:after="0" w:line="209" w:lineRule="auto"/>
        <w:tabs>
          <w:tab w:leader="none" w:pos="72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18"/>
          <w:szCs w:val="18"/>
          <w:color w:val="auto"/>
        </w:rPr>
        <w:t>restrict the marketing or manufacturing of the product;</w:t>
      </w:r>
    </w:p>
    <w:p>
      <w:pPr>
        <w:spacing w:after="0" w:line="22"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18"/>
          <w:szCs w:val="18"/>
          <w:color w:val="auto"/>
        </w:rPr>
        <w:t>seize or detain the product or otherwise require the withdrawal of the product from the market;</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18"/>
          <w:szCs w:val="18"/>
          <w:color w:val="auto"/>
        </w:rPr>
        <w:t>refuse to permit the import or export of product candidates; or</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5"/>
        </w:numPr>
        <w:rPr>
          <w:rFonts w:ascii="Times New Roman" w:cs="Times New Roman" w:eastAsia="Times New Roman" w:hAnsi="Times New Roman"/>
          <w:sz w:val="22"/>
          <w:szCs w:val="22"/>
          <w:color w:val="auto"/>
        </w:rPr>
      </w:pPr>
      <w:r>
        <w:rPr>
          <w:rFonts w:ascii="Arial" w:cs="Arial" w:eastAsia="Arial" w:hAnsi="Arial"/>
          <w:sz w:val="18"/>
          <w:szCs w:val="18"/>
          <w:color w:val="auto"/>
        </w:rPr>
        <w:t>refuse to allow us to enter into supply contracts, including government contracts.</w:t>
      </w:r>
    </w:p>
    <w:p>
      <w:pPr>
        <w:spacing w:after="0" w:line="19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CNTY-813 or our other product candidates, if approved, and adversely affect our business, financial condition, results of operations, and prospects.</w:t>
      </w:r>
    </w:p>
    <w:p>
      <w:pPr>
        <w:spacing w:after="0" w:line="176" w:lineRule="exact"/>
        <w:rPr>
          <w:sz w:val="20"/>
          <w:szCs w:val="20"/>
          <w:color w:val="auto"/>
        </w:rPr>
      </w:pPr>
    </w:p>
    <w:p>
      <w:pPr>
        <w:ind w:left="60" w:right="679"/>
        <w:spacing w:after="0" w:line="278" w:lineRule="auto"/>
        <w:rPr>
          <w:sz w:val="20"/>
          <w:szCs w:val="20"/>
          <w:color w:val="auto"/>
        </w:rPr>
      </w:pPr>
      <w:r>
        <w:rPr>
          <w:rFonts w:ascii="Arial" w:cs="Arial" w:eastAsia="Arial" w:hAnsi="Arial"/>
          <w:sz w:val="18"/>
          <w:szCs w:val="18"/>
          <w:b w:val="1"/>
          <w:bCs w:val="1"/>
          <w:i w:val="1"/>
          <w:iCs w:val="1"/>
          <w:color w:val="auto"/>
        </w:rPr>
        <w:t>Even if we receive marketing approval for CNTY-813 or our other product candidates, we may not achieve broad market acceptance.</w:t>
      </w:r>
    </w:p>
    <w:p>
      <w:pPr>
        <w:spacing w:after="0" w:line="139"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commercial success of CNTY-813 or our other product candidates, if developed and approved for marketing by the FDA or comparable foreign regulatory authority, will depend upon the awareness and acceptance of CNTY-813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176"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22"/>
          <w:szCs w:val="22"/>
          <w:color w:val="auto"/>
        </w:rPr>
      </w:pPr>
      <w:r>
        <w:rPr>
          <w:rFonts w:ascii="Arial" w:cs="Arial" w:eastAsia="Arial" w:hAnsi="Arial"/>
          <w:sz w:val="18"/>
          <w:szCs w:val="18"/>
          <w:color w:val="auto"/>
        </w:rPr>
        <w:t>the prevalence and severity of any adverse side effects associated with our product candidates;</w:t>
      </w:r>
    </w:p>
    <w:p>
      <w:pPr>
        <w:spacing w:after="0" w:line="8" w:lineRule="exact"/>
        <w:rPr>
          <w:rFonts w:ascii="Times New Roman" w:cs="Times New Roman" w:eastAsia="Times New Roman" w:hAnsi="Times New Roman"/>
          <w:sz w:val="22"/>
          <w:szCs w:val="22"/>
          <w:color w:val="auto"/>
        </w:rPr>
      </w:pPr>
    </w:p>
    <w:p>
      <w:pPr>
        <w:ind w:left="720" w:right="419" w:hanging="319"/>
        <w:spacing w:after="0" w:line="211" w:lineRule="auto"/>
        <w:tabs>
          <w:tab w:leader="none" w:pos="720" w:val="left"/>
        </w:tabs>
        <w:numPr>
          <w:ilvl w:val="0"/>
          <w:numId w:val="36"/>
        </w:numPr>
        <w:rPr>
          <w:rFonts w:ascii="Times New Roman" w:cs="Times New Roman" w:eastAsia="Times New Roman" w:hAnsi="Times New Roman"/>
          <w:sz w:val="22"/>
          <w:szCs w:val="22"/>
          <w:color w:val="auto"/>
        </w:rPr>
      </w:pPr>
      <w:r>
        <w:rPr>
          <w:rFonts w:ascii="Arial" w:cs="Arial" w:eastAsia="Arial" w:hAnsi="Arial"/>
          <w:sz w:val="18"/>
          <w:szCs w:val="18"/>
          <w:color w:val="auto"/>
        </w:rPr>
        <w:t>limitations or warnings contained in the labeling approved for our product candidates by the FDA or comparable foreign regulatory authority, such as a “black box” warning;</w:t>
      </w:r>
    </w:p>
    <w:p>
      <w:pPr>
        <w:ind w:left="720" w:right="239" w:hanging="319"/>
        <w:spacing w:after="0" w:line="211" w:lineRule="auto"/>
        <w:tabs>
          <w:tab w:leader="none" w:pos="720" w:val="left"/>
        </w:tabs>
        <w:numPr>
          <w:ilvl w:val="0"/>
          <w:numId w:val="36"/>
        </w:numPr>
        <w:rPr>
          <w:rFonts w:ascii="Times New Roman" w:cs="Times New Roman" w:eastAsia="Times New Roman" w:hAnsi="Times New Roman"/>
          <w:sz w:val="22"/>
          <w:szCs w:val="22"/>
          <w:color w:val="auto"/>
        </w:rPr>
      </w:pPr>
      <w:r>
        <w:rPr>
          <w:rFonts w:ascii="Arial" w:cs="Arial" w:eastAsia="Arial" w:hAnsi="Arial"/>
          <w:sz w:val="18"/>
          <w:szCs w:val="18"/>
          <w:color w:val="auto"/>
        </w:rPr>
        <w:t>availability of alternative treatments, including any competitive therapies in development that could be approved or commercially launched prior to approval of our product candidates;</w:t>
      </w:r>
    </w:p>
    <w:p>
      <w:pPr>
        <w:ind w:left="720" w:right="99" w:hanging="319"/>
        <w:spacing w:after="0" w:line="220" w:lineRule="auto"/>
        <w:tabs>
          <w:tab w:leader="none" w:pos="720" w:val="left"/>
        </w:tabs>
        <w:numPr>
          <w:ilvl w:val="0"/>
          <w:numId w:val="36"/>
        </w:numPr>
        <w:rPr>
          <w:rFonts w:ascii="Times New Roman" w:cs="Times New Roman" w:eastAsia="Times New Roman" w:hAnsi="Times New Roman"/>
          <w:sz w:val="22"/>
          <w:szCs w:val="22"/>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59" w:hanging="319"/>
        <w:spacing w:after="0" w:line="244"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pricing;</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payor acceptance;</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future changes to the United States healthcare system;</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sales and marketing strategies; and</w:t>
      </w:r>
    </w:p>
    <w:p>
      <w:pPr>
        <w:spacing w:after="0" w:line="8" w:lineRule="exact"/>
        <w:rPr>
          <w:rFonts w:ascii="Times New Roman" w:cs="Times New Roman" w:eastAsia="Times New Roman" w:hAnsi="Times New Roman"/>
          <w:sz w:val="18"/>
          <w:szCs w:val="18"/>
          <w:color w:val="auto"/>
        </w:rPr>
      </w:pPr>
    </w:p>
    <w:p>
      <w:pPr>
        <w:ind w:left="720" w:right="279" w:hanging="319"/>
        <w:spacing w:after="0" w:line="234"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 w:lineRule="exact"/>
        <w:rPr>
          <w:sz w:val="20"/>
          <w:szCs w:val="20"/>
          <w:color w:val="auto"/>
        </w:rPr>
      </w:pPr>
    </w:p>
    <w:p>
      <w:pPr>
        <w:ind w:left="60" w:right="159"/>
        <w:spacing w:after="0" w:line="256" w:lineRule="auto"/>
        <w:rPr>
          <w:sz w:val="20"/>
          <w:szCs w:val="20"/>
          <w:color w:val="auto"/>
        </w:rPr>
      </w:pPr>
      <w:r>
        <w:rPr>
          <w:rFonts w:ascii="Arial" w:cs="Arial" w:eastAsia="Arial" w:hAnsi="Arial"/>
          <w:sz w:val="17"/>
          <w:szCs w:val="17"/>
          <w:color w:val="auto"/>
        </w:rPr>
        <w:t>If CNTY-813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CNTY-813 and our other product candidates may require significant resources and may never be successful.</w:t>
      </w:r>
    </w:p>
    <w:p>
      <w:pPr>
        <w:spacing w:after="0" w:line="170"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Even if we receive marketing approval for CNTY-8131 or our other product candidates in the United States, we may never receive regulatory approval to market CNTY-813 or our other product candidates outside of the United States.</w:t>
      </w:r>
    </w:p>
    <w:p>
      <w:pPr>
        <w:spacing w:after="0" w:line="15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order to market any product outside of the United States, we must establish and comply with the numerous and varying safety, efficacy, and other regulatory requirements of other jurisdictions, including potential additional 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190" w:lineRule="exact"/>
        <w:rPr>
          <w:sz w:val="20"/>
          <w:szCs w:val="20"/>
          <w:color w:val="auto"/>
        </w:rPr>
      </w:pPr>
    </w:p>
    <w:p>
      <w:pPr>
        <w:ind w:left="60" w:right="99"/>
        <w:spacing w:after="0" w:line="309" w:lineRule="auto"/>
        <w:rPr>
          <w:sz w:val="20"/>
          <w:szCs w:val="20"/>
          <w:color w:val="auto"/>
        </w:rPr>
      </w:pPr>
      <w:r>
        <w:rPr>
          <w:rFonts w:ascii="Arial" w:cs="Arial" w:eastAsia="Arial" w:hAnsi="Arial"/>
          <w:sz w:val="17"/>
          <w:szCs w:val="17"/>
          <w:b w:val="1"/>
          <w:bCs w:val="1"/>
          <w:i w:val="1"/>
          <w:iCs w:val="1"/>
          <w:color w:val="auto"/>
        </w:rPr>
        <w:t>We may be unable to establish effective marketing, sales and distribution capabilities or enter into agreements with third parties to market and sell CNTY-813 or our other product candidates, if approved.</w:t>
      </w:r>
    </w:p>
    <w:p>
      <w:pPr>
        <w:spacing w:after="0" w:line="11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currently do not have a commercial infrastructure for the marketing, sale, and distribution of CNTY-101, or our other product candidates. If CNTY-813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CNTY-813 and our other product candidates. Even if we are able to effectively hire a sales force and develop a marketing and sales infrastructure, our sales force and marketing teams may not be successful in commercializing CNTY-8131 or our other product candidates. This may be costly, and our investment would be lost if we cannot retain or reposition our sales and marketing personnel.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8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18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the event we are unable to develop a marketing and sales infrastructure, we may not be able to commercialize CNTY-813 or our other product candidates, if approved, in the United States or elsewhere, which could limit our ability to generate product revenues and materially harm our business, financial condition, results of operations, and prospects.</w:t>
      </w:r>
    </w:p>
    <w:p>
      <w:pPr>
        <w:spacing w:after="0" w:line="176" w:lineRule="exact"/>
        <w:rPr>
          <w:sz w:val="20"/>
          <w:szCs w:val="20"/>
          <w:color w:val="auto"/>
        </w:rPr>
      </w:pPr>
    </w:p>
    <w:p>
      <w:pPr>
        <w:ind w:left="60" w:right="219"/>
        <w:spacing w:after="0" w:line="309" w:lineRule="auto"/>
        <w:rPr>
          <w:sz w:val="20"/>
          <w:szCs w:val="20"/>
          <w:color w:val="auto"/>
        </w:rPr>
      </w:pPr>
      <w:r>
        <w:rPr>
          <w:rFonts w:ascii="Arial" w:cs="Arial" w:eastAsia="Arial" w:hAnsi="Arial"/>
          <w:sz w:val="17"/>
          <w:szCs w:val="17"/>
          <w:b w:val="1"/>
          <w:bCs w:val="1"/>
          <w:i w:val="1"/>
          <w:iCs w:val="1"/>
          <w:color w:val="auto"/>
        </w:rPr>
        <w:t>If the market opportunities for our product candidates for which we receive marketing approval are smaller than we believe they are, our revenue may be adversely affected, and our business may suffer.</w:t>
      </w:r>
    </w:p>
    <w:p>
      <w:pPr>
        <w:spacing w:after="0" w:line="11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We focus our research and product development on iPSC-derived beta islet cell replacement therapies engineered with our proprietary Allo-Evasion™ 5.0 technology for the treatment of T1D, and on differentiating engineered iPSCs into NK cells, T cells, or other immune cells for the treatment of B-cell-mediated autoimmune diseases and, potentially, oncology indications.</w:t>
      </w:r>
    </w:p>
    <w:p>
      <w:pPr>
        <w:spacing w:after="0" w:line="160"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color w:val="auto"/>
        </w:rPr>
        <w:t>T1D affects millions of people worldwide; however, the subset of patients who may be eligible for, or elect to receive, a cell-based beta islet replacement therapy may be significantly smaller than the overall diagnosed population. Adoption may be influenced by factors such as the invasiveness of the procedure, perceived risk profile, physician familiarity, availability of specialized treatment centers, cost and reimbursement, and the continued advancement of insulin delivery technologies and disease-modifying therapies.</w:t>
      </w:r>
    </w:p>
    <w:p>
      <w:pPr>
        <w:spacing w:after="0" w:line="16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projections of both the number of people who have T1D or B-cell-mediated autoimmune diseases, as well as the subset of people with these conditions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diseases and conditions.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 candidates, for which we receive marketing approval,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9" w:lineRule="exact"/>
        <w:rPr>
          <w:sz w:val="20"/>
          <w:szCs w:val="20"/>
          <w:color w:val="auto"/>
        </w:rPr>
      </w:pPr>
    </w:p>
    <w:p>
      <w:pPr>
        <w:ind w:left="720" w:right="239" w:hanging="319"/>
        <w:spacing w:after="0" w:line="244"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IND-enabling studies, IND submissions and the initiation of future clinical trials, including potential delays resulting from manufacturing, regulatory or preclinical findings;</w:t>
      </w:r>
    </w:p>
    <w:p>
      <w:pPr>
        <w:spacing w:after="0" w:line="1" w:lineRule="exact"/>
        <w:rPr>
          <w:rFonts w:ascii="Times New Roman" w:cs="Times New Roman" w:eastAsia="Times New Roman" w:hAnsi="Times New Roman"/>
          <w:sz w:val="18"/>
          <w:szCs w:val="18"/>
          <w:color w:val="auto"/>
        </w:rPr>
      </w:pPr>
    </w:p>
    <w:p>
      <w:pPr>
        <w:ind w:left="720" w:right="119" w:hanging="319"/>
        <w:spacing w:after="0" w:line="218" w:lineRule="auto"/>
        <w:tabs>
          <w:tab w:leader="none" w:pos="720" w:val="left"/>
        </w:tabs>
        <w:numPr>
          <w:ilvl w:val="0"/>
          <w:numId w:val="38"/>
        </w:numPr>
        <w:rPr>
          <w:rFonts w:ascii="Times New Roman" w:cs="Times New Roman" w:eastAsia="Times New Roman" w:hAnsi="Times New Roman"/>
          <w:sz w:val="22"/>
          <w:szCs w:val="22"/>
          <w:color w:val="auto"/>
        </w:rPr>
      </w:pPr>
      <w:r>
        <w:rPr>
          <w:rFonts w:ascii="Arial" w:cs="Arial" w:eastAsia="Arial" w:hAnsi="Arial"/>
          <w:sz w:val="18"/>
          <w:szCs w:val="18"/>
          <w:color w:val="auto"/>
        </w:rPr>
        <w:t>the timing and cost of, and level of investment in, research, development, regulatory approval, and commercialization activities relating to CNTY-813 and our other product candidates, which may change from time to time;</w:t>
      </w:r>
    </w:p>
    <w:p>
      <w:pPr>
        <w:spacing w:after="0" w:line="1" w:lineRule="exact"/>
        <w:rPr>
          <w:rFonts w:ascii="Times New Roman" w:cs="Times New Roman" w:eastAsia="Times New Roman" w:hAnsi="Times New Roman"/>
          <w:sz w:val="22"/>
          <w:szCs w:val="22"/>
          <w:color w:val="auto"/>
        </w:rPr>
      </w:pPr>
    </w:p>
    <w:p>
      <w:pPr>
        <w:ind w:left="720" w:right="319" w:hanging="319"/>
        <w:spacing w:after="0" w:line="211" w:lineRule="auto"/>
        <w:tabs>
          <w:tab w:leader="none" w:pos="720" w:val="left"/>
        </w:tabs>
        <w:numPr>
          <w:ilvl w:val="0"/>
          <w:numId w:val="38"/>
        </w:numPr>
        <w:rPr>
          <w:rFonts w:ascii="Times New Roman" w:cs="Times New Roman" w:eastAsia="Times New Roman" w:hAnsi="Times New Roman"/>
          <w:sz w:val="22"/>
          <w:szCs w:val="22"/>
          <w:color w:val="auto"/>
        </w:rPr>
      </w:pPr>
      <w:r>
        <w:rPr>
          <w:rFonts w:ascii="Arial" w:cs="Arial" w:eastAsia="Arial" w:hAnsi="Arial"/>
          <w:sz w:val="18"/>
          <w:szCs w:val="18"/>
          <w:color w:val="auto"/>
        </w:rPr>
        <w:t>coverage and reimbursement policies with respect to CNTY-813 and our other product candidates, if approved, and potential future drugs or biologics that compete with our products;</w:t>
      </w:r>
    </w:p>
    <w:p>
      <w:pPr>
        <w:ind w:left="720" w:right="219" w:hanging="319"/>
        <w:spacing w:after="0" w:line="211" w:lineRule="auto"/>
        <w:tabs>
          <w:tab w:leader="none" w:pos="720" w:val="left"/>
        </w:tabs>
        <w:numPr>
          <w:ilvl w:val="0"/>
          <w:numId w:val="38"/>
        </w:numPr>
        <w:rPr>
          <w:rFonts w:ascii="Times New Roman" w:cs="Times New Roman" w:eastAsia="Times New Roman" w:hAnsi="Times New Roman"/>
          <w:sz w:val="22"/>
          <w:szCs w:val="22"/>
          <w:color w:val="auto"/>
        </w:rPr>
      </w:pPr>
      <w:r>
        <w:rPr>
          <w:rFonts w:ascii="Arial" w:cs="Arial" w:eastAsia="Arial" w:hAnsi="Arial"/>
          <w:sz w:val="18"/>
          <w:szCs w:val="18"/>
          <w:color w:val="auto"/>
        </w:rPr>
        <w:t>the cost of manufacturing CNTY-813 and our other product candidates, which may vary depending on the quantity of production and the terms of our agreements with CMOs;</w:t>
      </w:r>
    </w:p>
    <w:p>
      <w:pPr>
        <w:ind w:left="720" w:right="419" w:hanging="319"/>
        <w:spacing w:after="0" w:line="218" w:lineRule="auto"/>
        <w:tabs>
          <w:tab w:leader="none" w:pos="720" w:val="left"/>
        </w:tabs>
        <w:numPr>
          <w:ilvl w:val="0"/>
          <w:numId w:val="38"/>
        </w:numPr>
        <w:rPr>
          <w:rFonts w:ascii="Times New Roman" w:cs="Times New Roman" w:eastAsia="Times New Roman" w:hAnsi="Times New Roman"/>
          <w:sz w:val="22"/>
          <w:szCs w:val="22"/>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w:t>
      </w:r>
    </w:p>
    <w:p>
      <w:pPr>
        <w:ind w:left="720" w:hanging="319"/>
        <w:spacing w:after="0" w:line="209" w:lineRule="auto"/>
        <w:tabs>
          <w:tab w:leader="none" w:pos="720" w:val="left"/>
        </w:tabs>
        <w:numPr>
          <w:ilvl w:val="0"/>
          <w:numId w:val="38"/>
        </w:numPr>
        <w:rPr>
          <w:rFonts w:ascii="Times New Roman" w:cs="Times New Roman" w:eastAsia="Times New Roman" w:hAnsi="Times New Roman"/>
          <w:sz w:val="22"/>
          <w:szCs w:val="22"/>
          <w:color w:val="auto"/>
        </w:rPr>
      </w:pPr>
      <w:r>
        <w:rPr>
          <w:rFonts w:ascii="Arial" w:cs="Arial" w:eastAsia="Arial" w:hAnsi="Arial"/>
          <w:sz w:val="18"/>
          <w:szCs w:val="18"/>
          <w:color w:val="auto"/>
        </w:rPr>
        <w:t>the level of demand for any approved products, which may vary significantly;</w:t>
      </w:r>
    </w:p>
    <w:p>
      <w:pPr>
        <w:spacing w:after="0" w:line="22"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38"/>
        </w:numPr>
        <w:rPr>
          <w:rFonts w:ascii="Times New Roman" w:cs="Times New Roman" w:eastAsia="Times New Roman" w:hAnsi="Times New Roman"/>
          <w:sz w:val="22"/>
          <w:szCs w:val="22"/>
          <w:color w:val="auto"/>
        </w:rPr>
      </w:pPr>
      <w:r>
        <w:rPr>
          <w:rFonts w:ascii="Arial" w:cs="Arial" w:eastAsia="Arial" w:hAnsi="Arial"/>
          <w:sz w:val="18"/>
          <w:szCs w:val="18"/>
          <w:color w:val="auto"/>
        </w:rPr>
        <w:t>future accounting pronouncements or changes in our accounting policies; and</w:t>
      </w:r>
    </w:p>
    <w:p>
      <w:pPr>
        <w:spacing w:after="0" w:line="8" w:lineRule="exact"/>
        <w:rPr>
          <w:rFonts w:ascii="Times New Roman" w:cs="Times New Roman" w:eastAsia="Times New Roman" w:hAnsi="Times New Roman"/>
          <w:sz w:val="22"/>
          <w:szCs w:val="22"/>
          <w:color w:val="auto"/>
        </w:rPr>
      </w:pPr>
    </w:p>
    <w:p>
      <w:pPr>
        <w:ind w:left="720" w:hanging="319"/>
        <w:spacing w:after="0" w:line="192" w:lineRule="auto"/>
        <w:tabs>
          <w:tab w:leader="none" w:pos="720" w:val="left"/>
        </w:tabs>
        <w:numPr>
          <w:ilvl w:val="0"/>
          <w:numId w:val="38"/>
        </w:numPr>
        <w:rPr>
          <w:rFonts w:ascii="Times New Roman" w:cs="Times New Roman" w:eastAsia="Times New Roman" w:hAnsi="Times New Roman"/>
          <w:sz w:val="22"/>
          <w:szCs w:val="22"/>
          <w:color w:val="auto"/>
        </w:rPr>
      </w:pPr>
      <w:r>
        <w:rPr>
          <w:rFonts w:ascii="Arial" w:cs="Arial" w:eastAsia="Arial" w:hAnsi="Arial"/>
          <w:sz w:val="18"/>
          <w:szCs w:val="18"/>
          <w:color w:val="auto"/>
        </w:rPr>
        <w:t>any other change in the competitive landscape of our industry, including consolidation among our</w:t>
      </w:r>
    </w:p>
    <w:p>
      <w:pPr>
        <w:ind w:left="720"/>
        <w:spacing w:after="0" w:line="234" w:lineRule="auto"/>
        <w:rPr>
          <w:sz w:val="20"/>
          <w:szCs w:val="20"/>
          <w:color w:val="auto"/>
        </w:rPr>
      </w:pPr>
      <w:r>
        <w:rPr>
          <w:rFonts w:ascii="Arial" w:cs="Arial" w:eastAsia="Arial" w:hAnsi="Arial"/>
          <w:sz w:val="18"/>
          <w:szCs w:val="18"/>
          <w:color w:val="auto"/>
        </w:rPr>
        <w:t>competitors or partners.</w:t>
      </w:r>
    </w:p>
    <w:p>
      <w:pPr>
        <w:spacing w:after="0" w:line="1"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In addition, because our current lead programs are in IND-enabling development and we do not have ongoing company-sponsored clinical trials, our operating results may be disproportionately affected by changes in the timing or scope of preclinical activities or strategic reprioritization decisions.</w:t>
      </w:r>
    </w:p>
    <w:p>
      <w:pPr>
        <w:spacing w:after="0" w:line="181"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214" w:lineRule="exact"/>
        <w:rPr>
          <w:sz w:val="20"/>
          <w:szCs w:val="20"/>
          <w:color w:val="auto"/>
        </w:rPr>
      </w:pPr>
    </w:p>
    <w:p>
      <w:pPr>
        <w:ind w:left="60" w:right="119"/>
        <w:spacing w:after="0" w:line="256"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59"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are highly dependent upon our senior management, particularly Brent Pfeiffenberger, Pharm.D.,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CNTY-813 and our other product candidates. In addition, in July 2025, we implemented a reduction in force as part of a broader effort to reprioritize our pipeline and focus our resources. While we believe this restructuring better aligns our workforce with our strategic priorities, it may increase reliance on a smaller group of employees and may adversely affect employee morale, retention, and our ability to execute on our development plans. We have executed employment agreements or offer letters with each member of our senior management team, and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8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Our research and development programs, clinical operations, and potential future commercialization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182" w:lineRule="exact"/>
        <w:rPr>
          <w:sz w:val="20"/>
          <w:szCs w:val="20"/>
          <w:color w:val="auto"/>
        </w:rPr>
      </w:pPr>
    </w:p>
    <w:p>
      <w:pPr>
        <w:ind w:left="60" w:right="999"/>
        <w:spacing w:after="0" w:line="278" w:lineRule="auto"/>
        <w:rPr>
          <w:sz w:val="20"/>
          <w:szCs w:val="20"/>
          <w:color w:val="auto"/>
        </w:rPr>
      </w:pPr>
      <w:r>
        <w:rPr>
          <w:rFonts w:ascii="Arial" w:cs="Arial" w:eastAsia="Arial" w:hAnsi="Arial"/>
          <w:sz w:val="18"/>
          <w:szCs w:val="18"/>
          <w:b w:val="1"/>
          <w:bCs w:val="1"/>
          <w:i w:val="1"/>
          <w:iCs w:val="1"/>
          <w:color w:val="auto"/>
        </w:rPr>
        <w:t>We will need to increase the size and capabilities of our organization, and we may experience difficulties in managing our growth.</w:t>
      </w:r>
    </w:p>
    <w:p>
      <w:pPr>
        <w:spacing w:after="0" w:line="139"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As of March 1, 2026, we had [78] full-time employees. In July 2025, we implemented a reduction in force to align our workforce with our strategic reprioritization. As we advance CNTY-813 and CNTY-308 through IND-enabling studies and into clinical development, and potentially re-expand our operations in the future, we may need to selectively hire additional managerial, operational, financial, manufacturing, regulatory, and other personnel. Future growth changes in the size and scope of our organization will impose significant added responsibilities on members of management, including:</w:t>
      </w:r>
    </w:p>
    <w:p>
      <w:pPr>
        <w:spacing w:after="0" w:line="178"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22"/>
          <w:szCs w:val="22"/>
          <w:color w:val="auto"/>
        </w:rPr>
      </w:pPr>
      <w:r>
        <w:rPr>
          <w:rFonts w:ascii="Arial" w:cs="Arial" w:eastAsia="Arial" w:hAnsi="Arial"/>
          <w:sz w:val="18"/>
          <w:szCs w:val="18"/>
          <w:color w:val="auto"/>
        </w:rPr>
        <w:t>identifying, recruiting, integrating, maintaining, and motivating additional employees;</w:t>
      </w:r>
    </w:p>
    <w:p>
      <w:pPr>
        <w:spacing w:after="0" w:line="8" w:lineRule="exact"/>
        <w:rPr>
          <w:rFonts w:ascii="Times New Roman" w:cs="Times New Roman" w:eastAsia="Times New Roman" w:hAnsi="Times New Roman"/>
          <w:sz w:val="22"/>
          <w:szCs w:val="22"/>
          <w:color w:val="auto"/>
        </w:rPr>
      </w:pPr>
    </w:p>
    <w:p>
      <w:pPr>
        <w:ind w:left="720" w:right="159" w:hanging="319"/>
        <w:spacing w:after="0" w:line="223" w:lineRule="auto"/>
        <w:tabs>
          <w:tab w:leader="none" w:pos="720" w:val="left"/>
        </w:tabs>
        <w:numPr>
          <w:ilvl w:val="0"/>
          <w:numId w:val="39"/>
        </w:numPr>
        <w:rPr>
          <w:rFonts w:ascii="Times New Roman" w:cs="Times New Roman" w:eastAsia="Times New Roman" w:hAnsi="Times New Roman"/>
          <w:sz w:val="22"/>
          <w:szCs w:val="22"/>
          <w:color w:val="auto"/>
        </w:rPr>
      </w:pPr>
      <w:r>
        <w:rPr>
          <w:rFonts w:ascii="Arial" w:cs="Arial" w:eastAsia="Arial" w:hAnsi="Arial"/>
          <w:sz w:val="18"/>
          <w:szCs w:val="18"/>
          <w:color w:val="auto"/>
        </w:rPr>
        <w:t>managing our internal development efforts effectively, including additional clinical and FDA or other comparable authority review process for CNTY-813 and our other product candidates, while complying with our contractual obligations to contractors and other third parties; and</w:t>
      </w:r>
    </w:p>
    <w:p>
      <w:pPr>
        <w:spacing w:after="0" w:line="1" w:lineRule="exact"/>
        <w:rPr>
          <w:rFonts w:ascii="Times New Roman" w:cs="Times New Roman" w:eastAsia="Times New Roman" w:hAnsi="Times New Roman"/>
          <w:sz w:val="22"/>
          <w:szCs w:val="22"/>
          <w:color w:val="auto"/>
        </w:rPr>
      </w:pPr>
    </w:p>
    <w:p>
      <w:pPr>
        <w:ind w:left="60" w:right="159" w:firstLine="341"/>
        <w:spacing w:after="0" w:line="249" w:lineRule="auto"/>
        <w:tabs>
          <w:tab w:leader="none" w:pos="735" w:val="left"/>
        </w:tabs>
        <w:numPr>
          <w:ilvl w:val="0"/>
          <w:numId w:val="39"/>
        </w:numPr>
        <w:rPr>
          <w:rFonts w:ascii="Times New Roman" w:cs="Times New Roman" w:eastAsia="Times New Roman" w:hAnsi="Times New Roman"/>
          <w:sz w:val="21"/>
          <w:szCs w:val="21"/>
          <w:color w:val="auto"/>
        </w:rPr>
      </w:pPr>
      <w:r>
        <w:rPr>
          <w:rFonts w:ascii="Arial" w:cs="Arial" w:eastAsia="Arial" w:hAnsi="Arial"/>
          <w:sz w:val="17"/>
          <w:szCs w:val="17"/>
          <w:color w:val="auto"/>
        </w:rPr>
        <w:t>improving our operational, financial, and management controls, reporting systems, and procedures. Our future financial performance and our ability to commercialize CNTY-813 and our other product candidates, if approved, will depend, in part, on our ability to effectively manage any future changes in organizational scale, and our management may also have to divert a disproportionate amount of its attention away from day-to-day activities in order to devote a substantial amount of time to managing these organizational transition activities. In addition, we expect to incur additional costs in hiring, training, and retaining such additional personnel.</w:t>
      </w:r>
    </w:p>
    <w:p>
      <w:pPr>
        <w:spacing w:after="0" w:line="175"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If we are not able to effectively manage and, where necessary, expand or reconfigureour organization by hiring new employees and expanding our groups of consultants and contractors, we may not be able to successfully implement the tasks necessary to further develop and commercialize CNTY-813 and our other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product candidates and, accordingly, may not achieve our research, development, and commercialization goals.</w:t>
      </w:r>
    </w:p>
    <w:p>
      <w:pPr>
        <w:spacing w:after="0" w:line="225"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5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including, without limitation, the federal Anti-Kickback Statute and the federal False Claims Act, or FCA, which may constrain the business or financial arrangements and relationships through which such companies conduct research,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additional information on coverage and reimbursement, see the section entitled “Business-Government Regulation-Healthcare laws and regulations.”</w:t>
      </w:r>
    </w:p>
    <w:p>
      <w:pPr>
        <w:spacing w:after="0" w:line="18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 physicians and other healthcare providers,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168" w:lineRule="exact"/>
        <w:rPr>
          <w:sz w:val="20"/>
          <w:szCs w:val="20"/>
          <w:color w:val="auto"/>
        </w:rPr>
      </w:pPr>
    </w:p>
    <w:p>
      <w:pPr>
        <w:ind w:left="60" w:right="219"/>
        <w:spacing w:after="0" w:line="256" w:lineRule="auto"/>
        <w:rPr>
          <w:sz w:val="20"/>
          <w:szCs w:val="20"/>
          <w:color w:val="auto"/>
        </w:rPr>
      </w:pPr>
      <w:r>
        <w:rPr>
          <w:rFonts w:ascii="Arial" w:cs="Arial" w:eastAsia="Arial" w:hAnsi="Arial"/>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5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price controls, restrictions on reimbursement, and requirements for substitution of generic products for branded prescription drugs and biologics. For additional information on coverage and reimbursement, see the section entitled “Business - Government Regulation - Healthcare reform”.</w:t>
      </w:r>
    </w:p>
    <w:p>
      <w:pPr>
        <w:spacing w:after="0" w:line="16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and maintain profitability of our product and product candidates, if approved.</w:t>
      </w:r>
    </w:p>
    <w:p>
      <w:pPr>
        <w:spacing w:after="0" w:line="17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CNTY-813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81"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139"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We are required to maintain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in our Annual Reports on Form 10-K, as required by Section 404 of the Sarbanes-Oxley Act of 2002, or the Sarbanes-Oxley Act. This has required us to incur substantial additional professional fees and internal costs to expand our accounting and finance functions.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17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18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believe that any internal controls and procedures, no matter how well-conceived and operated, can provide only reasonable, not absolute, assurance that the objectives of the control system are met. We may discover 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5"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299"/>
        <w:spacing w:after="0" w:line="256" w:lineRule="auto"/>
        <w:rPr>
          <w:sz w:val="20"/>
          <w:szCs w:val="20"/>
          <w:color w:val="auto"/>
        </w:rPr>
      </w:pPr>
      <w:r>
        <w:rPr>
          <w:rFonts w:ascii="Arial" w:cs="Arial" w:eastAsia="Arial" w:hAnsi="Arial"/>
          <w:sz w:val="18"/>
          <w:szCs w:val="18"/>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59"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185"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78" w:lineRule="exact"/>
        <w:rPr>
          <w:sz w:val="20"/>
          <w:szCs w:val="20"/>
          <w:color w:val="auto"/>
        </w:rPr>
      </w:pPr>
    </w:p>
    <w:p>
      <w:pPr>
        <w:ind w:left="60" w:right="619"/>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3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While we currently have no product candidates that have been approved for commercial sale, the future use of product candidates by us in clinical trials, and the sale of any approved products in the future, may expose us to liability claims. For example, we may be sued if CNTY-813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79"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decreased demand for our products;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injury to our reputation and significant negative media attention;</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withdrawal of clinical trial participants and inability to continue clinical trials;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initiation of investigations by regulators;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costs to defend the related litigation;</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a diversion of management’s time and our resources;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substantial monetary awards to trial participants or patients;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product recalls, withdrawals or labeling, marketing, or promotional restrictions;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injury to our reputation and significant negative media attention;</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withdrawal of clinical trial participants and inability to continue clinical trials;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initiation of investigations by regulators;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costs to defend the related litigation;</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a diversion of management’s time and our resources;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0"/>
        </w:numPr>
        <w:rPr>
          <w:rFonts w:ascii="Times New Roman" w:cs="Times New Roman" w:eastAsia="Times New Roman" w:hAnsi="Times New Roman"/>
          <w:sz w:val="22"/>
          <w:szCs w:val="22"/>
          <w:color w:val="auto"/>
        </w:rPr>
      </w:pPr>
      <w:r>
        <w:rPr>
          <w:rFonts w:ascii="Arial" w:cs="Arial" w:eastAsia="Arial" w:hAnsi="Arial"/>
          <w:sz w:val="18"/>
          <w:szCs w:val="18"/>
          <w:color w:val="auto"/>
        </w:rPr>
        <w:t>substantial monetary awards to trial participants or patients;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22"/>
          <w:szCs w:val="22"/>
          <w:color w:val="auto"/>
        </w:rPr>
      </w:pPr>
      <w:r>
        <w:rPr>
          <w:rFonts w:ascii="Arial" w:cs="Arial" w:eastAsia="Arial" w:hAnsi="Arial"/>
          <w:sz w:val="18"/>
          <w:szCs w:val="18"/>
          <w:color w:val="auto"/>
        </w:rPr>
        <w:t>product recalls, withdrawals or labeling, marketing, or promotional restrictions;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1"/>
        </w:numPr>
        <w:rPr>
          <w:rFonts w:ascii="Times New Roman" w:cs="Times New Roman" w:eastAsia="Times New Roman" w:hAnsi="Times New Roman"/>
          <w:sz w:val="22"/>
          <w:szCs w:val="22"/>
          <w:color w:val="auto"/>
        </w:rPr>
      </w:pPr>
      <w:r>
        <w:rPr>
          <w:rFonts w:ascii="Arial" w:cs="Arial" w:eastAsia="Arial" w:hAnsi="Arial"/>
          <w:sz w:val="18"/>
          <w:szCs w:val="18"/>
          <w:color w:val="auto"/>
        </w:rPr>
        <w:t>significant negative financial impact;</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1"/>
        </w:numPr>
        <w:rPr>
          <w:rFonts w:ascii="Times New Roman" w:cs="Times New Roman" w:eastAsia="Times New Roman" w:hAnsi="Times New Roman"/>
          <w:sz w:val="22"/>
          <w:szCs w:val="22"/>
          <w:color w:val="auto"/>
        </w:rPr>
      </w:pPr>
      <w:r>
        <w:rPr>
          <w:rFonts w:ascii="Arial" w:cs="Arial" w:eastAsia="Arial" w:hAnsi="Arial"/>
          <w:sz w:val="18"/>
          <w:szCs w:val="18"/>
          <w:color w:val="auto"/>
        </w:rPr>
        <w:t>exhaustion of any available insurance and our capital resources;</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1"/>
        </w:numPr>
        <w:rPr>
          <w:rFonts w:ascii="Times New Roman" w:cs="Times New Roman" w:eastAsia="Times New Roman" w:hAnsi="Times New Roman"/>
          <w:sz w:val="22"/>
          <w:szCs w:val="22"/>
          <w:color w:val="auto"/>
        </w:rPr>
      </w:pPr>
      <w:r>
        <w:rPr>
          <w:rFonts w:ascii="Arial" w:cs="Arial" w:eastAsia="Arial" w:hAnsi="Arial"/>
          <w:sz w:val="18"/>
          <w:szCs w:val="18"/>
          <w:color w:val="auto"/>
        </w:rPr>
        <w:t>the inability to commercialize CNTY-813 or our other product candidates; and</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1"/>
        </w:numPr>
        <w:rPr>
          <w:rFonts w:ascii="Times New Roman" w:cs="Times New Roman" w:eastAsia="Times New Roman" w:hAnsi="Times New Roman"/>
          <w:sz w:val="22"/>
          <w:szCs w:val="22"/>
          <w:color w:val="auto"/>
        </w:rPr>
      </w:pPr>
      <w:r>
        <w:rPr>
          <w:rFonts w:ascii="Arial" w:cs="Arial" w:eastAsia="Arial" w:hAnsi="Arial"/>
          <w:sz w:val="18"/>
          <w:szCs w:val="18"/>
          <w:color w:val="auto"/>
        </w:rPr>
        <w:t>a decline in our stock price.</w:t>
      </w:r>
    </w:p>
    <w:p>
      <w:pPr>
        <w:spacing w:after="0" w:line="19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currently hold product liability coverage in an amount we consider reasonable. We may need to increase our insurance coverage as we expand our clinical trials or if we commence commercialization of CNTY-813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CNTY-813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8" w:lineRule="exact"/>
        <w:rPr>
          <w:sz w:val="20"/>
          <w:szCs w:val="20"/>
          <w:color w:val="auto"/>
        </w:rPr>
      </w:pPr>
    </w:p>
    <w:p>
      <w:pPr>
        <w:ind w:left="60" w:right="79"/>
        <w:spacing w:after="0" w:line="278" w:lineRule="auto"/>
        <w:rPr>
          <w:sz w:val="20"/>
          <w:szCs w:val="20"/>
          <w:color w:val="auto"/>
        </w:rPr>
      </w:pPr>
      <w:r>
        <w:rPr>
          <w:rFonts w:ascii="Arial" w:cs="Arial" w:eastAsia="Arial" w:hAnsi="Arial"/>
          <w:sz w:val="17"/>
          <w:szCs w:val="17"/>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4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 xml:space="preserve">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We and the third parties upon which we rely face a variety of evolving threats, which could cause cybersecurity incidents or data breaches, such as cyber-attacks, malicious internet-based activity, online and offline fraud, and other similar activities, as well as data breaches. Such threats are prevalent and continue to rise, are increasingly difficult to detect, and come from a variety of sources.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and sophisticated cyber-attacks, including the theft, fraud, and subsequent misuse of employee credentials, attacks enhanced or facilitated by AI, </w:t>
      </w:r>
      <w:r>
        <w:rPr>
          <w:rFonts w:ascii="Arial" w:cs="Arial" w:eastAsia="Arial" w:hAnsi="Arial"/>
          <w:sz w:val="18"/>
          <w:szCs w:val="18"/>
          <w:i w:val="1"/>
          <w:iCs w:val="1"/>
          <w:color w:val="auto"/>
        </w:rPr>
        <w:t>wrongful conduct by insider</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 or vendors</w:t>
      </w:r>
      <w:r>
        <w:rPr>
          <w:rFonts w:ascii="Arial" w:cs="Arial" w:eastAsia="Arial" w:hAnsi="Arial"/>
          <w:sz w:val="18"/>
          <w:szCs w:val="18"/>
          <w:color w:val="auto"/>
        </w:rPr>
        <w:t>, denial-of-service attacks, ransomware attacks, business email compromises, computer</w:t>
      </w:r>
      <w:r>
        <w:rPr>
          <w:rFonts w:ascii="Arial" w:cs="Arial" w:eastAsia="Arial" w:hAnsi="Arial"/>
          <w:sz w:val="18"/>
          <w:szCs w:val="18"/>
          <w:i w:val="1"/>
          <w:iCs w:val="1"/>
          <w:color w:val="auto"/>
        </w:rPr>
        <w:t xml:space="preserve"> </w:t>
      </w:r>
      <w:r>
        <w:rPr>
          <w:rFonts w:ascii="Arial" w:cs="Arial" w:eastAsia="Arial" w:hAnsi="Arial"/>
          <w:sz w:val="18"/>
          <w:szCs w:val="18"/>
          <w:color w:val="auto"/>
        </w:rPr>
        <w:t>malware, malicious codes, viruses, breakdown, wrongful intrusions, data breaches, and social engineering (including phishing attacks). Additionally, our security measures or those of our vendors could be breached as a result of employee theft, exfiltration, misuse, malfeasance, or unintentional events. A successful cyberattack or other data breach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or breach could cause serious negative consequences for us, including, without limitation, breach notification(s) and other disclosure requirements, the disruption of operations, the misappropriation of confidential business information, including financial information, trade secrets, financial loss, and the disclosure of corporate strategic plans. Although we devote resources to protect our information systems, like others in our industry, we and our third-party vendors have from time-to-time experienced threats and security incidents that could affect our information or systems. We realize that cyberattacks are a threat, and there can be no assurance that our efforts will prevent information security incidents that would result in business, legal, financial, or reputational harm to us, or would have a material adverse effect on our results of operations and financial condition. Any failure to prevent or mitigate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6" w:lineRule="auto"/>
        <w:rPr>
          <w:sz w:val="20"/>
          <w:szCs w:val="20"/>
          <w:color w:val="auto"/>
        </w:rPr>
      </w:pPr>
      <w:r>
        <w:rPr>
          <w:rFonts w:ascii="Arial" w:cs="Arial" w:eastAsia="Arial" w:hAnsi="Arial"/>
          <w:sz w:val="17"/>
          <w:szCs w:val="17"/>
          <w:color w:val="auto"/>
        </w:rPr>
        <w:t>security incidents or improper access to, use of, or disclosure of our clinical data or patients’ personal data could result in significant liability under state (e.g., state breach notification laws), federal (e.g., HIPAA, as amended by HITECH), and international law (e.g., the EU and UK GDPR) and may cause a material adverse impact to our reputation, affect our ability to conduct new studies and potentially disrupt our business.</w:t>
      </w:r>
    </w:p>
    <w:p>
      <w:pPr>
        <w:spacing w:after="0" w:line="15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incidents or improper access to or disclosure of such information could have similarly adverse consequences for us. If we are unable to prevent or mitigate the impact of such security or data privacy incidents, we could be exposed to litigation and governmental investigations, which could lead to a potential disruption to our business.</w:t>
      </w:r>
    </w:p>
    <w:p>
      <w:pPr>
        <w:spacing w:after="0" w:line="183"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78" w:lineRule="exact"/>
        <w:rPr>
          <w:sz w:val="20"/>
          <w:szCs w:val="20"/>
          <w:color w:val="auto"/>
        </w:rPr>
      </w:pPr>
    </w:p>
    <w:p>
      <w:pPr>
        <w:ind w:left="60" w:right="299"/>
        <w:spacing w:after="0" w:line="249"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16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or our collaborators collect, use, process, store and transfer certain personal and/or confidential information as part of our normal business operations. We are therefore subject to federal, state, and international laws and regulations governing the privacy and security of confidential information and personal data. In the United States, we are subject to numerous federal and state laws and regulations, including federal health information privacy laws, state data breach notification laws, state health information privacy laws, and federal and state consumer protection laws, governing the collection, use, disclosure, storage, transfer, protection, and disposal of health-related and other the personal and/or confidential information we and/or our collaborators utilize A failure or perceived failure to comply with these current or future federal, state, and international laws and regulations and industry standards relating to data privacy and security could lead to investigatory or regulatory action, private litigation or class actions that could result in exposure to civil or criminal penalties, monetary or statutory damages, attorney fee awards and/or exposure to adverse publicity that could negatively affect our operating results and business.</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At the federal level,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 In addition, certain state laws govern privacy and security of personal information.</w:t>
      </w:r>
    </w:p>
    <w:p>
      <w:pPr>
        <w:spacing w:after="0" w:line="183" w:lineRule="exact"/>
        <w:rPr>
          <w:sz w:val="20"/>
          <w:szCs w:val="20"/>
          <w:color w:val="auto"/>
        </w:rPr>
      </w:pPr>
    </w:p>
    <w:p>
      <w:pPr>
        <w:ind w:left="60" w:right="479"/>
        <w:spacing w:after="0" w:line="301" w:lineRule="auto"/>
        <w:rPr>
          <w:sz w:val="20"/>
          <w:szCs w:val="20"/>
          <w:color w:val="auto"/>
        </w:rPr>
      </w:pPr>
      <w:r>
        <w:rPr>
          <w:rFonts w:ascii="Arial" w:cs="Arial" w:eastAsia="Arial" w:hAnsi="Arial"/>
          <w:sz w:val="17"/>
          <w:szCs w:val="17"/>
          <w:color w:val="auto"/>
        </w:rPr>
        <w:t>Many state legislatures have adopted legislation that regulates how businesses operate online, including measures relating to privacy, data security, and cybersecurity incidents or data breaches, and laws in all 50</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states require businesses to provide notice to customers whose personally identifiable information has been disclosed as a result of a data breach. Such laws are not consistent, and compliance in the event of a widespread security incident may be costly and could disrupt our operations. By way of example, the CCPA created individual privacy rights for California consumers and increases the privacy and security obligations of entities handling certain personal data. The CCPA requires covered companies to provide certain disclosures to consumers about its data collection, use and sharing practices, and to provide affected California residents with ways to opt-out of certain sales or transfers of personal information. The CCPA also provided for civil penalties for violations, as well as a private right of action for data breaches that is expected to increase data breach litigation. Additionally, the CCPA was amended by a California ballot initiative, the California Privacy Rights Act, or the CPRA, which became effective on January 1, 2023. The amendments introduced by the CPRA modified the CCPA significantly, including by imposing additional obligations on companies covered by the legislation, expanding consumers’ rights with respect to certain sensitive personal information, and creating a new state agency that is vested with authority to implement and enforce the CCPA. The effects of the CCPA (as modified by the CPRA) are potentially significant and may increase out potential exposure to regulatory enforcement and/or litigation potentially resulting in further uncertainty and requiring us to incur additional costs and expenses in an effort to comply.</w:t>
      </w:r>
    </w:p>
    <w:p>
      <w:pPr>
        <w:spacing w:after="0" w:line="18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Similar laws have been passed in numerous other states and several states have proposed new privacy laws which,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71"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There are also states that are specifically regulating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are discussions in the U.S. Congress of new comprehensive federal data privacy laws to which we could become subject to, if enacted.</w:t>
      </w:r>
    </w:p>
    <w:p>
      <w:pPr>
        <w:spacing w:after="0" w:line="16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Foreign data protection laws, may also apply to health-related and other personal information belonging to individuals who reside outside of the United States. In Europe, data collection and use is governed by restrictive regulations, including, in relation to the European Union, the General Data Protection Regulation (EU) 2016/679, or the EU GDPR. Following the withdrawal of the United Kingdom from the European Union, or Brexit, the EU GDPR has been incorporated into the United Kingdom’s law, or UK GDPR. The EU GDPR and UK GDPR are wide-ranging in scope and impose numerous requirements on companies that process personal data, including, among other obligations and requirements: (i) strict requirements relating to processing certain categories of data (i.e. “sensitive information” or special category data) including health data, (ii) requirements relating to how an organization can obtain and rely upon consent obtained from individuals to process their personal data, (iii) obligations related to providing information to individuals regarding data processing activities,</w:t>
      </w:r>
    </w:p>
    <w:p>
      <w:pPr>
        <w:spacing w:after="0" w:line="8" w:lineRule="exact"/>
        <w:rPr>
          <w:sz w:val="20"/>
          <w:szCs w:val="20"/>
          <w:color w:val="auto"/>
        </w:rPr>
      </w:pPr>
    </w:p>
    <w:p>
      <w:pPr>
        <w:ind w:left="60" w:right="79" w:hanging="10"/>
        <w:spacing w:after="0" w:line="237"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responsibility to implement safeguards to protect the security and confidentiality of personal data, (v) requirements to provide notification to competent data protection authorities and/or individuals of personal data breaches, and (vi) taking certain measures when engaging third-party processors. The EU GDPR and UK GDPR also grant individuals certain data protection rights, subject to certain limitations, including the rights to request and access a copy of the personal data processed by an organization, to have inaccurate personal data rectified or completed if incomplete, to object to or restrict the processing of their personal data, and to request deletion of personal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EU GDPR and UK also regulate cross-border transfers of personal data. For example, the EU GDPR requires us to enter into an appropriate transfer mechanism and may require us to take additional steps to ensure an essentially equivalent level of data protection. These transfer mechanisms are subject to change, and implementing new or revised transfer mechanisms or ensuring an essentially equivalent protection may involve additional expense and potentially increased compliance risk. Such restrictions may increase our obligations in relation to carrying out international transfers of personal data and cause us to incur additional expense and increased regulatory liabilities. Despite Brexit, the EU GDPR and UK GDPR remain largely aligned. Currently, the most impactful point of divergence between the EU GDPR and the UK GDPR relates to the transfer mechanisms, as explained above. There may be further divergence in the future, including with regard to administrative burdens. The UK Government has introduced a Data Protection and Digital Information Bill to reform the UK data protection legal framework which failed in the UK legislative process</w:t>
      </w:r>
      <w:r>
        <w:rPr>
          <w:rFonts w:ascii="Arial" w:cs="Arial" w:eastAsia="Arial" w:hAnsi="Arial"/>
          <w:sz w:val="18"/>
          <w:szCs w:val="18"/>
          <w:b w:val="1"/>
          <w:bCs w:val="1"/>
          <w:color w:val="auto"/>
        </w:rPr>
        <w:t>.</w:t>
      </w:r>
      <w:r>
        <w:rPr>
          <w:rFonts w:ascii="Arial" w:cs="Arial" w:eastAsia="Arial" w:hAnsi="Arial"/>
          <w:sz w:val="18"/>
          <w:szCs w:val="18"/>
          <w:color w:val="auto"/>
        </w:rPr>
        <w:t xml:space="preserve"> A new Data (Use and Access) Bill, or the UK Bill, has been introduced into parliament. If passed, the final version of the UK Bill may have the effect of further altering the similarities between the UK and EEA data protection regime and threaten the UK adequacy decision from the EC. Further, this may lead to additional compliance costs and could increase our overall risk and we will need to amend our processes and procedures to align with the new framework.</w:t>
      </w:r>
    </w:p>
    <w:p>
      <w:pPr>
        <w:spacing w:after="0" w:line="132"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Companies that must comply with the GDPR face increased compliance obligations and risk, including more robust regulatory enforcement of data protection requirements and potential fines for noncompliance of up to the greater of four percent of worldwide turnover of the noncompliant company in the preceding financial year or €20.0 million (under EU GDPR) or £17.5 million (under UK GDPR), as applicable. The EU GDPR and UK GDPR also confer a private right of action on data subjects and consumer associations to lodge complaints with supervisory authorities, seek judicial remedies, and obtain compensation for damages resulting from violations. The EU GDPR and UK GDPR increased our responsibility and liability in relation to personal data that we process where such processing is subject to such laws, and we may be required to put in place additional mechanisms to ensure compliance, including as implemented by individual countries. Compliance with the EU GDPR and UK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1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Compliance with U.S. federal and state laws and foreign data protection laws and regulations could require us to take on more onerous obligations in our contracts, restrict our ability to collect, use and disclose data, or in some cases, impact our ability to operate in certain jurisdictions. Failure or perceived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188" w:lineRule="exact"/>
        <w:rPr>
          <w:sz w:val="20"/>
          <w:szCs w:val="20"/>
          <w:color w:val="auto"/>
        </w:rPr>
      </w:pPr>
    </w:p>
    <w:p>
      <w:pPr>
        <w:ind w:left="60" w:right="139"/>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59"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83" w:lineRule="exact"/>
        <w:rPr>
          <w:sz w:val="20"/>
          <w:szCs w:val="20"/>
          <w:color w:val="auto"/>
        </w:rPr>
      </w:pPr>
    </w:p>
    <w:p>
      <w:pPr>
        <w:ind w:left="60" w:right="299"/>
        <w:spacing w:after="0" w:line="278"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3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21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Social media is increasingly being used to communicate about pharmaceutical companies’ clinical development activities, and we intend to utilize appropriate social media in connection with our development efforts. Additionally, patients may use social media channels to comment on their experience in an ongoing clinical trial or to report an alleged adverse event. If such disclosures occur in the future in connection with any of our sponsored clinical trials,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It is also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product candidates under an expanded access policy, our reputation may be negatively affected and our business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may be harmed. There is also a risk of inappropriate disclosure of sensitive or confidential information or negative or inaccurate posts or comments about us on any social networking website. In addition, we may encounter attacks on social media regarding our company, management or our product candidates, and fraudsters could and have attempted to illegally use our name on social media platforms to defraud the public. If any of these events were to occur or we fail to comply with applicable regulations, we could incur liability, face regulatory actions or incur other harm to our business.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currently own issued patents relating to some of our product candidates.</w:t>
      </w:r>
    </w:p>
    <w:p>
      <w:pPr>
        <w:spacing w:after="0" w:line="21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Given the early stage of development of our product candidates, our patent portfolio is similarly at a very early stage.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patent applications in the United States and internationally related to our product candidates and have filed non-provisional and provisional patent applications on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technology and any proprietary products and technology we develop, our business, financial condition, results of operations, and prospects could be materially harmed.</w:t>
      </w:r>
    </w:p>
    <w:p>
      <w:pPr>
        <w:spacing w:after="0" w:line="172"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If any of our license agreements with FCDI are terminated, we could lose our rights to key components enabling our iPSC-derived allogeneic cell therapy platforms.</w:t>
      </w:r>
    </w:p>
    <w:p>
      <w:pPr>
        <w:spacing w:after="0" w:line="13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commercial success will depend in part on the maintenance of our license agreements. We are party to the Differentiation License, the Reprogramming License, and the Autoimmune License, together with the Reprogramming License and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18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FCDI Licenses impose, and future license agreements may impose, various diligence, milestone payment, royalty, and other obligations on us. If we fail to comply with our obligations under the FCDI Licenses, our other license agreements, or any future license agreements with any party, or we are subject to a bankruptcy, the licensor may have the right to terminate the license, in which event we would not be able to develop products covered by such license.</w:t>
      </w:r>
    </w:p>
    <w:p>
      <w:pPr>
        <w:spacing w:after="0" w:line="1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If, for any reason, the FCDI Licenses or certain of our other license agreements are terminated or we otherwise lose the rights under such agreements, it would adversely affect our business. If we breach any material obligations under the FCDI Licenses or certain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pacing w:after="0" w:line="187" w:lineRule="exact"/>
        <w:rPr>
          <w:sz w:val="20"/>
          <w:szCs w:val="20"/>
          <w:color w:val="auto"/>
        </w:rPr>
      </w:pPr>
    </w:p>
    <w:p>
      <w:pPr>
        <w:ind w:left="60" w:right="579"/>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intellectual property rights in the future for the development of CNTY-813 and our other product candidates.</w:t>
      </w:r>
    </w:p>
    <w:p>
      <w:pPr>
        <w:spacing w:after="0" w:line="13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may in the future enter into additional license agreements with third parties for other intellectual property rights or assets to advance our research or allow commercialization of CNTY-813 and our other product candidates, and we cannot provide any assurances that third-party patents do not exist which might be enforced against CNTY-813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8" w:lineRule="exact"/>
        <w:rPr>
          <w:sz w:val="20"/>
          <w:szCs w:val="20"/>
          <w:color w:val="auto"/>
        </w:rPr>
      </w:pPr>
    </w:p>
    <w:p>
      <w:pPr>
        <w:ind w:left="1040" w:right="79" w:hanging="315"/>
        <w:spacing w:after="0" w:line="227" w:lineRule="auto"/>
        <w:tabs>
          <w:tab w:leader="none" w:pos="1040" w:val="left"/>
        </w:tabs>
        <w:numPr>
          <w:ilvl w:val="0"/>
          <w:numId w:val="43"/>
        </w:numPr>
        <w:rPr>
          <w:rFonts w:ascii="Times New Roman" w:cs="Times New Roman" w:eastAsia="Times New Roman" w:hAnsi="Times New Roman"/>
          <w:sz w:val="22"/>
          <w:szCs w:val="22"/>
          <w:color w:val="auto"/>
        </w:rPr>
      </w:pPr>
      <w:r>
        <w:rPr>
          <w:rFonts w:ascii="Arial" w:cs="Arial" w:eastAsia="Arial" w:hAnsi="Arial"/>
          <w:sz w:val="18"/>
          <w:szCs w:val="18"/>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1" w:lineRule="exact"/>
        <w:rPr>
          <w:rFonts w:ascii="Times New Roman" w:cs="Times New Roman" w:eastAsia="Times New Roman" w:hAnsi="Times New Roman"/>
          <w:sz w:val="22"/>
          <w:szCs w:val="22"/>
          <w:color w:val="auto"/>
        </w:rPr>
      </w:pPr>
    </w:p>
    <w:p>
      <w:pPr>
        <w:ind w:left="1040" w:right="179" w:hanging="315"/>
        <w:spacing w:after="0" w:line="218" w:lineRule="auto"/>
        <w:tabs>
          <w:tab w:leader="none" w:pos="1040" w:val="left"/>
        </w:tabs>
        <w:numPr>
          <w:ilvl w:val="0"/>
          <w:numId w:val="43"/>
        </w:numPr>
        <w:rPr>
          <w:rFonts w:ascii="Times New Roman" w:cs="Times New Roman" w:eastAsia="Times New Roman" w:hAnsi="Times New Roman"/>
          <w:sz w:val="22"/>
          <w:szCs w:val="22"/>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licensing agreement;</w:t>
      </w:r>
    </w:p>
    <w:p>
      <w:pPr>
        <w:ind w:left="1040" w:hanging="315"/>
        <w:spacing w:after="0" w:line="209" w:lineRule="auto"/>
        <w:tabs>
          <w:tab w:leader="none" w:pos="1040" w:val="left"/>
        </w:tabs>
        <w:numPr>
          <w:ilvl w:val="0"/>
          <w:numId w:val="43"/>
        </w:numPr>
        <w:rPr>
          <w:rFonts w:ascii="Times New Roman" w:cs="Times New Roman" w:eastAsia="Times New Roman" w:hAnsi="Times New Roman"/>
          <w:sz w:val="22"/>
          <w:szCs w:val="22"/>
          <w:color w:val="auto"/>
        </w:rPr>
      </w:pPr>
      <w:r>
        <w:rPr>
          <w:rFonts w:ascii="Arial" w:cs="Arial" w:eastAsia="Arial" w:hAnsi="Arial"/>
          <w:sz w:val="18"/>
          <w:szCs w:val="18"/>
          <w:color w:val="auto"/>
        </w:rPr>
        <w:t>our right to sublicense patents and other intellectual property rights to third parties;</w:t>
      </w:r>
    </w:p>
    <w:p>
      <w:pPr>
        <w:spacing w:after="0" w:line="9" w:lineRule="exact"/>
        <w:rPr>
          <w:rFonts w:ascii="Times New Roman" w:cs="Times New Roman" w:eastAsia="Times New Roman" w:hAnsi="Times New Roman"/>
          <w:sz w:val="22"/>
          <w:szCs w:val="22"/>
          <w:color w:val="auto"/>
        </w:rPr>
      </w:pPr>
    </w:p>
    <w:p>
      <w:pPr>
        <w:ind w:left="1040" w:right="499" w:hanging="315"/>
        <w:spacing w:after="0" w:line="223" w:lineRule="auto"/>
        <w:tabs>
          <w:tab w:leader="none" w:pos="1040" w:val="left"/>
        </w:tabs>
        <w:numPr>
          <w:ilvl w:val="0"/>
          <w:numId w:val="43"/>
        </w:numPr>
        <w:rPr>
          <w:rFonts w:ascii="Times New Roman" w:cs="Times New Roman" w:eastAsia="Times New Roman" w:hAnsi="Times New Roman"/>
          <w:sz w:val="22"/>
          <w:szCs w:val="22"/>
          <w:color w:val="auto"/>
        </w:rPr>
      </w:pPr>
      <w:r>
        <w:rPr>
          <w:rFonts w:ascii="Arial" w:cs="Arial" w:eastAsia="Arial" w:hAnsi="Arial"/>
          <w:sz w:val="18"/>
          <w:szCs w:val="18"/>
          <w:color w:val="auto"/>
        </w:rPr>
        <w:t>our diligence obligations with respect to the use of the licensed technology in relation to our development and commercialization of CNTY-813 and our other product candidates, and what activities satisfy those diligence obligations;</w:t>
      </w:r>
    </w:p>
    <w:p>
      <w:pPr>
        <w:spacing w:after="0" w:line="1" w:lineRule="exact"/>
        <w:rPr>
          <w:rFonts w:ascii="Times New Roman" w:cs="Times New Roman" w:eastAsia="Times New Roman" w:hAnsi="Times New Roman"/>
          <w:sz w:val="22"/>
          <w:szCs w:val="22"/>
          <w:color w:val="auto"/>
        </w:rPr>
      </w:pPr>
    </w:p>
    <w:p>
      <w:pPr>
        <w:ind w:left="1040" w:hanging="315"/>
        <w:spacing w:after="0" w:line="209" w:lineRule="auto"/>
        <w:tabs>
          <w:tab w:leader="none" w:pos="1040" w:val="left"/>
        </w:tabs>
        <w:numPr>
          <w:ilvl w:val="0"/>
          <w:numId w:val="43"/>
        </w:numPr>
        <w:rPr>
          <w:rFonts w:ascii="Times New Roman" w:cs="Times New Roman" w:eastAsia="Times New Roman" w:hAnsi="Times New Roman"/>
          <w:sz w:val="22"/>
          <w:szCs w:val="22"/>
          <w:color w:val="auto"/>
        </w:rPr>
      </w:pPr>
      <w:r>
        <w:rPr>
          <w:rFonts w:ascii="Arial" w:cs="Arial" w:eastAsia="Arial" w:hAnsi="Arial"/>
          <w:sz w:val="18"/>
          <w:szCs w:val="18"/>
          <w:color w:val="auto"/>
        </w:rPr>
        <w:t>our right to transfer or assign the license; and</w:t>
      </w:r>
    </w:p>
    <w:p>
      <w:pPr>
        <w:spacing w:after="0" w:line="9" w:lineRule="exact"/>
        <w:rPr>
          <w:rFonts w:ascii="Times New Roman" w:cs="Times New Roman" w:eastAsia="Times New Roman" w:hAnsi="Times New Roman"/>
          <w:sz w:val="22"/>
          <w:szCs w:val="22"/>
          <w:color w:val="auto"/>
        </w:rPr>
      </w:pPr>
    </w:p>
    <w:p>
      <w:pPr>
        <w:ind w:left="1040" w:right="599" w:hanging="315"/>
        <w:spacing w:after="0" w:line="211" w:lineRule="auto"/>
        <w:tabs>
          <w:tab w:leader="none" w:pos="1040" w:val="left"/>
        </w:tabs>
        <w:numPr>
          <w:ilvl w:val="0"/>
          <w:numId w:val="43"/>
        </w:numPr>
        <w:rPr>
          <w:rFonts w:ascii="Times New Roman" w:cs="Times New Roman" w:eastAsia="Times New Roman" w:hAnsi="Times New Roman"/>
          <w:sz w:val="22"/>
          <w:szCs w:val="22"/>
          <w:color w:val="auto"/>
        </w:rPr>
      </w:pPr>
      <w:r>
        <w:rPr>
          <w:rFonts w:ascii="Arial" w:cs="Arial" w:eastAsia="Arial" w:hAnsi="Arial"/>
          <w:sz w:val="18"/>
          <w:szCs w:val="18"/>
          <w:color w:val="auto"/>
        </w:rPr>
        <w:t>the ownership of inventions, know-how, and other intellectual property resulting from the joint creation or use of intellectual property by our licensors and us and our partners.</w:t>
      </w:r>
    </w:p>
    <w:p>
      <w:pPr>
        <w:spacing w:after="0" w:line="1" w:lineRule="exact"/>
        <w:rPr>
          <w:sz w:val="20"/>
          <w:szCs w:val="20"/>
          <w:color w:val="auto"/>
        </w:rPr>
      </w:pPr>
    </w:p>
    <w:p>
      <w:pPr>
        <w:jc w:val="both"/>
        <w:ind w:left="60" w:right="279"/>
        <w:spacing w:after="0" w:line="242"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7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Under one of the FCDI Licenses and certain other in-licenses under which we sublicense certain rights related to our technology, we rely on FCDI and our other sub-licensors to comply with their obligations under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5" w:lineRule="auto"/>
        <w:rPr>
          <w:sz w:val="20"/>
          <w:szCs w:val="20"/>
          <w:color w:val="auto"/>
        </w:rPr>
      </w:pPr>
      <w:r>
        <w:rPr>
          <w:rFonts w:ascii="Arial" w:cs="Arial" w:eastAsia="Arial" w:hAnsi="Arial"/>
          <w:sz w:val="18"/>
          <w:szCs w:val="18"/>
          <w:color w:val="auto"/>
        </w:rPr>
        <w:t>their upstream license agreements where we may have no relationship with the original licensor of such rights. If our sub-licensors fail to comply with their obligations under their upstream license agreements, and</w:t>
      </w:r>
    </w:p>
    <w:p>
      <w:pPr>
        <w:ind w:left="60" w:right="259"/>
        <w:spacing w:after="0" w:line="250" w:lineRule="auto"/>
        <w:rPr>
          <w:sz w:val="20"/>
          <w:szCs w:val="20"/>
          <w:color w:val="auto"/>
        </w:rPr>
      </w:pPr>
      <w:r>
        <w:rPr>
          <w:rFonts w:ascii="Arial" w:cs="Arial" w:eastAsia="Arial" w:hAnsi="Arial"/>
          <w:sz w:val="18"/>
          <w:szCs w:val="18"/>
          <w:color w:val="auto"/>
        </w:rPr>
        <w:t>the upstream license agreements are consequently terminated, such termination may result in the termination of our sublicenses and loss of such rights.</w:t>
      </w:r>
    </w:p>
    <w:p>
      <w:pPr>
        <w:spacing w:after="0" w:line="174" w:lineRule="exact"/>
        <w:rPr>
          <w:sz w:val="20"/>
          <w:szCs w:val="20"/>
          <w:color w:val="auto"/>
        </w:rPr>
      </w:pPr>
    </w:p>
    <w:p>
      <w:pPr>
        <w:ind w:left="60" w:right="339"/>
        <w:spacing w:after="0" w:line="278" w:lineRule="auto"/>
        <w:rPr>
          <w:sz w:val="20"/>
          <w:szCs w:val="20"/>
          <w:color w:val="auto"/>
        </w:rPr>
      </w:pPr>
      <w:r>
        <w:rPr>
          <w:rFonts w:ascii="Arial" w:cs="Arial" w:eastAsia="Arial" w:hAnsi="Arial"/>
          <w:sz w:val="18"/>
          <w:szCs w:val="18"/>
          <w:b w:val="1"/>
          <w:bCs w:val="1"/>
          <w:i w:val="1"/>
          <w:iCs w:val="1"/>
          <w:color w:val="auto"/>
        </w:rPr>
        <w:t>Our success depends on our ability to obtain, maintain, protect, and enforce our intellectual property and our proprietary technologies.</w:t>
      </w:r>
    </w:p>
    <w:p>
      <w:pPr>
        <w:spacing w:after="0" w:line="13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commercial success depends in part on our ability to obtain, maintain, protect, and enforce our intellectual property and proprietary technologies, including patent protection and trade secret protection for CNTY-813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patent applications with respect to CNTY-813 and other aspects of our product technology, our patent portfolio is in an earlier stage of prosecution. We own few issued patents related to some of our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CNTY-813 and our other product candidates could have a material adverse effect on our financial condition and results of operations.</w:t>
      </w:r>
    </w:p>
    <w:p>
      <w:pPr>
        <w:spacing w:after="0" w:line="193" w:lineRule="exact"/>
        <w:rPr>
          <w:sz w:val="20"/>
          <w:szCs w:val="20"/>
          <w:color w:val="auto"/>
        </w:rPr>
      </w:pPr>
    </w:p>
    <w:p>
      <w:pPr>
        <w:ind w:left="60" w:right="139"/>
        <w:spacing w:after="0" w:line="261" w:lineRule="auto"/>
        <w:rPr>
          <w:sz w:val="20"/>
          <w:szCs w:val="20"/>
          <w:color w:val="auto"/>
        </w:rPr>
      </w:pPr>
      <w:r>
        <w:rPr>
          <w:rFonts w:ascii="Arial" w:cs="Arial" w:eastAsia="Arial" w:hAnsi="Arial"/>
          <w:sz w:val="17"/>
          <w:szCs w:val="17"/>
          <w:color w:val="auto"/>
        </w:rPr>
        <w:t>We cannot be certain that the claims in our pending patent applications will be considered patentable by the USPTO courts in the United States or by the patent offices and courts 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166"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we or any of our potential future collaborators will be successful in protecting CNTY-813 and our other product candidates by obtaining and defending patents. These risks and uncertainties include the following:</w:t>
      </w:r>
    </w:p>
    <w:p>
      <w:pPr>
        <w:spacing w:after="0" w:line="152" w:lineRule="exact"/>
        <w:rPr>
          <w:sz w:val="20"/>
          <w:szCs w:val="20"/>
          <w:color w:val="auto"/>
        </w:rPr>
      </w:pPr>
    </w:p>
    <w:p>
      <w:pPr>
        <w:ind w:left="720" w:right="379" w:hanging="319"/>
        <w:spacing w:after="0" w:line="231" w:lineRule="auto"/>
        <w:tabs>
          <w:tab w:leader="none" w:pos="720" w:val="left"/>
        </w:tabs>
        <w:numPr>
          <w:ilvl w:val="0"/>
          <w:numId w:val="44"/>
        </w:numPr>
        <w:rPr>
          <w:rFonts w:ascii="Times New Roman" w:cs="Times New Roman" w:eastAsia="Times New Roman" w:hAnsi="Times New Roman"/>
          <w:sz w:val="22"/>
          <w:szCs w:val="22"/>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ind w:left="720" w:hanging="319"/>
        <w:spacing w:after="0" w:line="209" w:lineRule="auto"/>
        <w:tabs>
          <w:tab w:leader="none" w:pos="720" w:val="left"/>
        </w:tabs>
        <w:numPr>
          <w:ilvl w:val="0"/>
          <w:numId w:val="44"/>
        </w:numPr>
        <w:rPr>
          <w:rFonts w:ascii="Times New Roman" w:cs="Times New Roman" w:eastAsia="Times New Roman" w:hAnsi="Times New Roman"/>
          <w:sz w:val="22"/>
          <w:szCs w:val="22"/>
          <w:color w:val="auto"/>
        </w:rPr>
      </w:pPr>
      <w:r>
        <w:rPr>
          <w:rFonts w:ascii="Arial" w:cs="Arial" w:eastAsia="Arial" w:hAnsi="Arial"/>
          <w:sz w:val="18"/>
          <w:szCs w:val="18"/>
          <w:color w:val="auto"/>
        </w:rPr>
        <w:t>patent applications may not result in any patents being issued;</w:t>
      </w:r>
    </w:p>
    <w:p>
      <w:pPr>
        <w:spacing w:after="0" w:line="9" w:lineRule="exact"/>
        <w:rPr>
          <w:rFonts w:ascii="Times New Roman" w:cs="Times New Roman" w:eastAsia="Times New Roman" w:hAnsi="Times New Roman"/>
          <w:sz w:val="22"/>
          <w:szCs w:val="22"/>
          <w:color w:val="auto"/>
        </w:rPr>
      </w:pPr>
    </w:p>
    <w:p>
      <w:pPr>
        <w:ind w:left="720" w:right="259" w:hanging="319"/>
        <w:spacing w:after="0" w:line="211" w:lineRule="auto"/>
        <w:tabs>
          <w:tab w:leader="none" w:pos="720" w:val="left"/>
        </w:tabs>
        <w:numPr>
          <w:ilvl w:val="0"/>
          <w:numId w:val="44"/>
        </w:numPr>
        <w:rPr>
          <w:rFonts w:ascii="Times New Roman" w:cs="Times New Roman" w:eastAsia="Times New Roman" w:hAnsi="Times New Roman"/>
          <w:sz w:val="22"/>
          <w:szCs w:val="22"/>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ind w:left="720" w:right="119" w:hanging="319"/>
        <w:spacing w:after="0" w:line="227" w:lineRule="auto"/>
        <w:tabs>
          <w:tab w:leader="none" w:pos="720" w:val="left"/>
        </w:tabs>
        <w:numPr>
          <w:ilvl w:val="0"/>
          <w:numId w:val="44"/>
        </w:numPr>
        <w:rPr>
          <w:rFonts w:ascii="Times New Roman" w:cs="Times New Roman" w:eastAsia="Times New Roman" w:hAnsi="Times New Roman"/>
          <w:sz w:val="22"/>
          <w:szCs w:val="22"/>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CNTY-813 and our other product candidates;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237" w:lineRule="auto"/>
        <w:tabs>
          <w:tab w:leader="none" w:pos="720" w:val="left"/>
        </w:tabs>
        <w:numPr>
          <w:ilvl w:val="0"/>
          <w:numId w:val="45"/>
        </w:numPr>
        <w:rPr>
          <w:rFonts w:ascii="Times New Roman" w:cs="Times New Roman" w:eastAsia="Times New Roman" w:hAnsi="Times New Roman"/>
          <w:sz w:val="21"/>
          <w:szCs w:val="21"/>
          <w:color w:val="auto"/>
        </w:rPr>
      </w:pPr>
      <w:r>
        <w:rPr>
          <w:rFonts w:ascii="Arial" w:cs="Arial" w:eastAsia="Arial" w:hAnsi="Arial"/>
          <w:sz w:val="17"/>
          <w:szCs w:val="17"/>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jc w:val="both"/>
        <w:ind w:left="720" w:right="379" w:hanging="319"/>
        <w:spacing w:after="0" w:line="218" w:lineRule="auto"/>
        <w:tabs>
          <w:tab w:leader="none" w:pos="720" w:val="left"/>
        </w:tabs>
        <w:numPr>
          <w:ilvl w:val="0"/>
          <w:numId w:val="45"/>
        </w:numPr>
        <w:rPr>
          <w:rFonts w:ascii="Times New Roman" w:cs="Times New Roman" w:eastAsia="Times New Roman" w:hAnsi="Times New Roman"/>
          <w:sz w:val="22"/>
          <w:szCs w:val="22"/>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8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185" w:lineRule="exact"/>
        <w:rPr>
          <w:sz w:val="20"/>
          <w:szCs w:val="20"/>
          <w:color w:val="auto"/>
        </w:rPr>
      </w:pPr>
    </w:p>
    <w:p>
      <w:pPr>
        <w:ind w:left="60" w:right="259"/>
        <w:spacing w:after="0" w:line="256"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59"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7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CNTY-813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18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not cover CNTY-813 and our other product candidates or may be challenged in the courts or patent offices in the United States and abroad. We may be subject to a third-party pre-issuance submission of prior art to the USPTO, or become involved in opposition, derivation, revocation, reexamination, post-grant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review, or PGR, and inter parties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CNTY-813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CNTY-813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95" w:lineRule="exact"/>
        <w:rPr>
          <w:sz w:val="20"/>
          <w:szCs w:val="20"/>
          <w:color w:val="auto"/>
        </w:rPr>
      </w:pPr>
    </w:p>
    <w:p>
      <w:pPr>
        <w:ind w:left="60" w:right="119"/>
        <w:spacing w:after="0" w:line="278" w:lineRule="auto"/>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3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or our licensors or collaborators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our collaborators or our licensors, whether current or future, fail to establish, maintain, or protect such patents and other intellectual property rights, such rights may be reduced or eliminated. If our licensors or collaborators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auto"/>
        </w:rPr>
        <w:t>covering CNTY-813 and our other product candidates, our ability to develop and commercialize those product candidates may be adversely affected and we may not be able to prevent competitors from making, using, and selling competing products.</w:t>
      </w:r>
    </w:p>
    <w:p>
      <w:pPr>
        <w:spacing w:after="0" w:line="155"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7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8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88"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CNTY-813 and our other product candidates.</w:t>
      </w:r>
    </w:p>
    <w:p>
      <w:pPr>
        <w:spacing w:after="0" w:line="181" w:lineRule="exact"/>
        <w:rPr>
          <w:sz w:val="20"/>
          <w:szCs w:val="20"/>
          <w:color w:val="auto"/>
        </w:rPr>
      </w:pPr>
    </w:p>
    <w:p>
      <w:pPr>
        <w:ind w:left="60" w:right="1019"/>
        <w:spacing w:after="0" w:line="278"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9" w:lineRule="exact"/>
        <w:rPr>
          <w:sz w:val="20"/>
          <w:szCs w:val="20"/>
          <w:color w:val="auto"/>
        </w:rPr>
      </w:pPr>
    </w:p>
    <w:p>
      <w:pPr>
        <w:jc w:val="both"/>
        <w:ind w:left="60" w:right="539"/>
        <w:spacing w:after="0" w:line="25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9" w:lineRule="exact"/>
        <w:rPr>
          <w:sz w:val="20"/>
          <w:szCs w:val="20"/>
          <w:color w:val="auto"/>
        </w:rPr>
      </w:pPr>
    </w:p>
    <w:p>
      <w:pPr>
        <w:ind w:left="720" w:right="139" w:hanging="319"/>
        <w:spacing w:after="0" w:line="220" w:lineRule="auto"/>
        <w:tabs>
          <w:tab w:leader="none" w:pos="720" w:val="left"/>
        </w:tabs>
        <w:numPr>
          <w:ilvl w:val="0"/>
          <w:numId w:val="46"/>
        </w:numPr>
        <w:rPr>
          <w:rFonts w:ascii="Times New Roman" w:cs="Times New Roman" w:eastAsia="Times New Roman" w:hAnsi="Times New Roman"/>
          <w:sz w:val="22"/>
          <w:szCs w:val="22"/>
          <w:color w:val="auto"/>
        </w:rPr>
      </w:pPr>
      <w:r>
        <w:rPr>
          <w:rFonts w:ascii="Arial" w:cs="Arial" w:eastAsia="Arial" w:hAnsi="Arial"/>
          <w:sz w:val="18"/>
          <w:szCs w:val="18"/>
          <w:color w:val="auto"/>
        </w:rPr>
        <w:t>others may be able to develop products that are similar to CNTY-813 and our other product candidates but that are not covered by the claims of the patents that we own or license;</w:t>
      </w:r>
    </w:p>
    <w:p>
      <w:pPr>
        <w:spacing w:after="0" w:line="1" w:lineRule="exact"/>
        <w:rPr>
          <w:rFonts w:ascii="Times New Roman" w:cs="Times New Roman" w:eastAsia="Times New Roman" w:hAnsi="Times New Roman"/>
          <w:sz w:val="22"/>
          <w:szCs w:val="22"/>
          <w:color w:val="auto"/>
        </w:rPr>
      </w:pPr>
    </w:p>
    <w:p>
      <w:pPr>
        <w:ind w:left="720" w:right="339" w:hanging="319"/>
        <w:spacing w:after="0" w:line="211" w:lineRule="auto"/>
        <w:tabs>
          <w:tab w:leader="none" w:pos="720" w:val="left"/>
        </w:tabs>
        <w:numPr>
          <w:ilvl w:val="0"/>
          <w:numId w:val="46"/>
        </w:numPr>
        <w:rPr>
          <w:rFonts w:ascii="Times New Roman" w:cs="Times New Roman" w:eastAsia="Times New Roman" w:hAnsi="Times New Roman"/>
          <w:sz w:val="22"/>
          <w:szCs w:val="22"/>
          <w:color w:val="auto"/>
        </w:rPr>
      </w:pPr>
      <w:r>
        <w:rPr>
          <w:rFonts w:ascii="Arial" w:cs="Arial" w:eastAsia="Arial" w:hAnsi="Arial"/>
          <w:sz w:val="18"/>
          <w:szCs w:val="18"/>
          <w:color w:val="auto"/>
        </w:rPr>
        <w:t>we or our licensors or predecessors might not have been the first to make the inventions covered by the issued patents or patent application that we own or license;</w:t>
      </w:r>
    </w:p>
    <w:p>
      <w:pPr>
        <w:ind w:left="720" w:right="359" w:hanging="319"/>
        <w:spacing w:after="0" w:line="220" w:lineRule="auto"/>
        <w:tabs>
          <w:tab w:leader="none" w:pos="720" w:val="left"/>
        </w:tabs>
        <w:numPr>
          <w:ilvl w:val="0"/>
          <w:numId w:val="46"/>
        </w:numPr>
        <w:rPr>
          <w:rFonts w:ascii="Times New Roman" w:cs="Times New Roman" w:eastAsia="Times New Roman" w:hAnsi="Times New Roman"/>
          <w:sz w:val="22"/>
          <w:szCs w:val="22"/>
          <w:color w:val="auto"/>
        </w:rPr>
      </w:pPr>
      <w:r>
        <w:rPr>
          <w:rFonts w:ascii="Arial" w:cs="Arial" w:eastAsia="Arial" w:hAnsi="Arial"/>
          <w:sz w:val="18"/>
          <w:szCs w:val="18"/>
          <w:color w:val="auto"/>
        </w:rPr>
        <w:t>we or our licensors or predecessors might not have been the first to file patent applications covering certain of our inventions;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99" w:hanging="319"/>
        <w:spacing w:after="0" w:line="227" w:lineRule="auto"/>
        <w:tabs>
          <w:tab w:leader="none" w:pos="720" w:val="left"/>
        </w:tabs>
        <w:numPr>
          <w:ilvl w:val="0"/>
          <w:numId w:val="47"/>
        </w:numPr>
        <w:rPr>
          <w:rFonts w:ascii="Times New Roman" w:cs="Times New Roman" w:eastAsia="Times New Roman" w:hAnsi="Times New Roman"/>
          <w:sz w:val="22"/>
          <w:szCs w:val="22"/>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 w:lineRule="exact"/>
        <w:rPr>
          <w:rFonts w:ascii="Times New Roman" w:cs="Times New Roman" w:eastAsia="Times New Roman" w:hAnsi="Times New Roman"/>
          <w:sz w:val="22"/>
          <w:szCs w:val="22"/>
          <w:color w:val="auto"/>
        </w:rPr>
      </w:pPr>
    </w:p>
    <w:p>
      <w:pPr>
        <w:ind w:left="720" w:hanging="319"/>
        <w:spacing w:after="0" w:line="209" w:lineRule="auto"/>
        <w:tabs>
          <w:tab w:leader="none" w:pos="720" w:val="left"/>
        </w:tabs>
        <w:numPr>
          <w:ilvl w:val="0"/>
          <w:numId w:val="47"/>
        </w:numPr>
        <w:rPr>
          <w:rFonts w:ascii="Times New Roman" w:cs="Times New Roman" w:eastAsia="Times New Roman" w:hAnsi="Times New Roman"/>
          <w:sz w:val="22"/>
          <w:szCs w:val="22"/>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Times New Roman" w:cs="Times New Roman" w:eastAsia="Times New Roman" w:hAnsi="Times New Roman"/>
          <w:sz w:val="22"/>
          <w:szCs w:val="22"/>
          <w:color w:val="auto"/>
        </w:rPr>
      </w:pPr>
    </w:p>
    <w:p>
      <w:pPr>
        <w:ind w:left="720" w:right="759" w:hanging="319"/>
        <w:spacing w:after="0" w:line="211" w:lineRule="auto"/>
        <w:tabs>
          <w:tab w:leader="none" w:pos="720" w:val="left"/>
        </w:tabs>
        <w:numPr>
          <w:ilvl w:val="0"/>
          <w:numId w:val="47"/>
        </w:numPr>
        <w:rPr>
          <w:rFonts w:ascii="Times New Roman" w:cs="Times New Roman" w:eastAsia="Times New Roman" w:hAnsi="Times New Roman"/>
          <w:sz w:val="22"/>
          <w:szCs w:val="22"/>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jc w:val="both"/>
        <w:ind w:left="720" w:right="159" w:hanging="319"/>
        <w:spacing w:after="0" w:line="223" w:lineRule="auto"/>
        <w:tabs>
          <w:tab w:leader="none" w:pos="720" w:val="left"/>
        </w:tabs>
        <w:numPr>
          <w:ilvl w:val="0"/>
          <w:numId w:val="47"/>
        </w:numPr>
        <w:rPr>
          <w:rFonts w:ascii="Times New Roman" w:cs="Times New Roman" w:eastAsia="Times New Roman" w:hAnsi="Times New Roman"/>
          <w:sz w:val="22"/>
          <w:szCs w:val="22"/>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 w:lineRule="exact"/>
        <w:rPr>
          <w:rFonts w:ascii="Times New Roman" w:cs="Times New Roman" w:eastAsia="Times New Roman" w:hAnsi="Times New Roman"/>
          <w:sz w:val="22"/>
          <w:szCs w:val="22"/>
          <w:color w:val="auto"/>
        </w:rPr>
      </w:pPr>
    </w:p>
    <w:p>
      <w:pPr>
        <w:ind w:left="720" w:hanging="319"/>
        <w:spacing w:after="0" w:line="209" w:lineRule="auto"/>
        <w:tabs>
          <w:tab w:leader="none" w:pos="720" w:val="left"/>
        </w:tabs>
        <w:numPr>
          <w:ilvl w:val="0"/>
          <w:numId w:val="47"/>
        </w:numPr>
        <w:rPr>
          <w:rFonts w:ascii="Times New Roman" w:cs="Times New Roman" w:eastAsia="Times New Roman" w:hAnsi="Times New Roman"/>
          <w:sz w:val="22"/>
          <w:szCs w:val="22"/>
          <w:color w:val="auto"/>
        </w:rPr>
      </w:pPr>
      <w:r>
        <w:rPr>
          <w:rFonts w:ascii="Arial" w:cs="Arial" w:eastAsia="Arial" w:hAnsi="Arial"/>
          <w:sz w:val="18"/>
          <w:szCs w:val="18"/>
          <w:color w:val="auto"/>
        </w:rPr>
        <w:t>we may not develop additional proprietary technologies that are patentable; and</w:t>
      </w:r>
    </w:p>
    <w:p>
      <w:pPr>
        <w:spacing w:after="0" w:line="22"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7"/>
        </w:numPr>
        <w:rPr>
          <w:rFonts w:ascii="Times New Roman" w:cs="Times New Roman" w:eastAsia="Times New Roman" w:hAnsi="Times New Roman"/>
          <w:sz w:val="22"/>
          <w:szCs w:val="22"/>
          <w:color w:val="auto"/>
        </w:rPr>
      </w:pPr>
      <w:r>
        <w:rPr>
          <w:rFonts w:ascii="Arial" w:cs="Arial" w:eastAsia="Arial" w:hAnsi="Arial"/>
          <w:sz w:val="18"/>
          <w:szCs w:val="18"/>
          <w:color w:val="auto"/>
        </w:rPr>
        <w:t>the patents of others may have an adverse effect on our business.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96" w:lineRule="exact"/>
        <w:rPr>
          <w:sz w:val="20"/>
          <w:szCs w:val="20"/>
          <w:color w:val="auto"/>
        </w:rPr>
      </w:pPr>
    </w:p>
    <w:p>
      <w:pPr>
        <w:ind w:left="60" w:right="519"/>
        <w:spacing w:after="0" w:line="245"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7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CNTY-813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 applications held by our competitors. There may be third-party patents or patent applications with claims to materials, formulations, methods of manufacture, or methods for treatment related to the use or manufacture of CNTY-813 and our other product candidates.</w:t>
      </w:r>
    </w:p>
    <w:p>
      <w:pPr>
        <w:spacing w:after="0" w:line="1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the biopharmaceutical industry expands and more patents are issued, the risk increases that CNTY-813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CNTY-813 and our other product candidates, and we cannot be certain that we were the first to file a patent application related to CNTY-813 and our other product candidates. Moreover, because patent applications can take many years to issue, there may be currently pending patent applications that may later result in issued patents that CNTY-813 and our other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ind w:left="720" w:hanging="319"/>
        <w:spacing w:after="0" w:line="226" w:lineRule="auto"/>
        <w:tabs>
          <w:tab w:leader="none" w:pos="720" w:val="left"/>
        </w:tabs>
        <w:numPr>
          <w:ilvl w:val="0"/>
          <w:numId w:val="48"/>
        </w:numPr>
        <w:rPr>
          <w:rFonts w:ascii="Times New Roman" w:cs="Times New Roman" w:eastAsia="Times New Roman" w:hAnsi="Times New Roman"/>
          <w:sz w:val="22"/>
          <w:szCs w:val="22"/>
          <w:color w:val="auto"/>
        </w:rPr>
      </w:pPr>
      <w:r>
        <w:rPr>
          <w:rFonts w:ascii="Arial" w:cs="Arial" w:eastAsia="Arial" w:hAnsi="Arial"/>
          <w:sz w:val="18"/>
          <w:szCs w:val="18"/>
          <w:color w:val="auto"/>
        </w:rPr>
        <w:t>result in costly litigation that may cause negative publicity;</w:t>
      </w:r>
    </w:p>
    <w:p>
      <w:pPr>
        <w:spacing w:after="0" w:line="22"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8"/>
        </w:numPr>
        <w:rPr>
          <w:rFonts w:ascii="Times New Roman" w:cs="Times New Roman" w:eastAsia="Times New Roman" w:hAnsi="Times New Roman"/>
          <w:sz w:val="22"/>
          <w:szCs w:val="22"/>
          <w:color w:val="auto"/>
        </w:rPr>
      </w:pPr>
      <w:r>
        <w:rPr>
          <w:rFonts w:ascii="Arial" w:cs="Arial" w:eastAsia="Arial" w:hAnsi="Arial"/>
          <w:sz w:val="18"/>
          <w:szCs w:val="18"/>
          <w:color w:val="auto"/>
        </w:rPr>
        <w:t>divert the time and attention of our technical personnel and management;</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8"/>
        </w:numPr>
        <w:rPr>
          <w:rFonts w:ascii="Times New Roman" w:cs="Times New Roman" w:eastAsia="Times New Roman" w:hAnsi="Times New Roman"/>
          <w:sz w:val="22"/>
          <w:szCs w:val="22"/>
          <w:color w:val="auto"/>
        </w:rPr>
      </w:pPr>
      <w:r>
        <w:rPr>
          <w:rFonts w:ascii="Arial" w:cs="Arial" w:eastAsia="Arial" w:hAnsi="Arial"/>
          <w:sz w:val="18"/>
          <w:szCs w:val="18"/>
          <w:color w:val="auto"/>
        </w:rPr>
        <w:t>cause development delays;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27" w:lineRule="auto"/>
        <w:tabs>
          <w:tab w:leader="none" w:pos="720" w:val="left"/>
        </w:tabs>
        <w:numPr>
          <w:ilvl w:val="0"/>
          <w:numId w:val="49"/>
        </w:numPr>
        <w:rPr>
          <w:rFonts w:ascii="Times New Roman" w:cs="Times New Roman" w:eastAsia="Times New Roman" w:hAnsi="Times New Roman"/>
          <w:sz w:val="22"/>
          <w:szCs w:val="22"/>
          <w:color w:val="auto"/>
        </w:rPr>
      </w:pPr>
      <w:r>
        <w:rPr>
          <w:rFonts w:ascii="Arial" w:cs="Arial" w:eastAsia="Arial" w:hAnsi="Arial"/>
          <w:sz w:val="18"/>
          <w:szCs w:val="18"/>
          <w:color w:val="auto"/>
        </w:rPr>
        <w:t>prevent us from commercializing CNTY-813 and our other product candidates until the asserted patent expires or is held finally invalid or not infringed in a court of law;</w:t>
      </w:r>
    </w:p>
    <w:p>
      <w:pPr>
        <w:spacing w:after="0" w:line="1" w:lineRule="exact"/>
        <w:rPr>
          <w:rFonts w:ascii="Times New Roman" w:cs="Times New Roman" w:eastAsia="Times New Roman" w:hAnsi="Times New Roman"/>
          <w:sz w:val="22"/>
          <w:szCs w:val="22"/>
          <w:color w:val="auto"/>
        </w:rPr>
      </w:pPr>
    </w:p>
    <w:p>
      <w:pPr>
        <w:ind w:left="720" w:hanging="319"/>
        <w:spacing w:after="0" w:line="209" w:lineRule="auto"/>
        <w:tabs>
          <w:tab w:leader="none" w:pos="720" w:val="left"/>
        </w:tabs>
        <w:numPr>
          <w:ilvl w:val="0"/>
          <w:numId w:val="49"/>
        </w:numPr>
        <w:rPr>
          <w:rFonts w:ascii="Times New Roman" w:cs="Times New Roman" w:eastAsia="Times New Roman" w:hAnsi="Times New Roman"/>
          <w:sz w:val="22"/>
          <w:szCs w:val="22"/>
          <w:color w:val="auto"/>
        </w:rPr>
      </w:pPr>
      <w:r>
        <w:rPr>
          <w:rFonts w:ascii="Arial" w:cs="Arial" w:eastAsia="Arial" w:hAnsi="Arial"/>
          <w:sz w:val="18"/>
          <w:szCs w:val="18"/>
          <w:color w:val="auto"/>
        </w:rPr>
        <w:t>require us to develop non-infringing technology, which may not be possible on a cost-effective basis;</w:t>
      </w:r>
    </w:p>
    <w:p>
      <w:pPr>
        <w:spacing w:after="0" w:line="22"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49"/>
        </w:numPr>
        <w:rPr>
          <w:rFonts w:ascii="Times New Roman" w:cs="Times New Roman" w:eastAsia="Times New Roman" w:hAnsi="Times New Roman"/>
          <w:sz w:val="22"/>
          <w:szCs w:val="22"/>
          <w:color w:val="auto"/>
        </w:rPr>
      </w:pPr>
      <w:r>
        <w:rPr>
          <w:rFonts w:ascii="Arial" w:cs="Arial" w:eastAsia="Arial" w:hAnsi="Arial"/>
          <w:sz w:val="18"/>
          <w:szCs w:val="18"/>
          <w:color w:val="auto"/>
        </w:rPr>
        <w:t>subject us to significant liability to third parties; or</w:t>
      </w:r>
    </w:p>
    <w:p>
      <w:pPr>
        <w:spacing w:after="0" w:line="8" w:lineRule="exact"/>
        <w:rPr>
          <w:rFonts w:ascii="Times New Roman" w:cs="Times New Roman" w:eastAsia="Times New Roman" w:hAnsi="Times New Roman"/>
          <w:sz w:val="22"/>
          <w:szCs w:val="22"/>
          <w:color w:val="auto"/>
        </w:rPr>
      </w:pPr>
    </w:p>
    <w:p>
      <w:pPr>
        <w:ind w:left="720" w:right="339" w:hanging="319"/>
        <w:spacing w:after="0" w:line="218" w:lineRule="auto"/>
        <w:tabs>
          <w:tab w:leader="none" w:pos="720" w:val="left"/>
        </w:tabs>
        <w:numPr>
          <w:ilvl w:val="0"/>
          <w:numId w:val="49"/>
        </w:numPr>
        <w:rPr>
          <w:rFonts w:ascii="Times New Roman" w:cs="Times New Roman" w:eastAsia="Times New Roman" w:hAnsi="Times New Roman"/>
          <w:sz w:val="22"/>
          <w:szCs w:val="22"/>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Third parties may hold intellectual property or proprietary rights that could prevent CNTY-813 and our other product candidates from being marketed. Any patent-related legal action against us claiming damages and seeking to enjoin activities relating to CNTY-813 and our other product candidates or processes could subject us to potential liability for damages, including treble damages if we were determined to willfully infringe, and require us to obtain a license to manufacture or develop CNTY-813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CNTY-813 and our other product candidates or processes to avoid infringement, if necessary. Accordingly, an adverse determination in a judicial or administrative proceeding, or the failure to obtain necessary licenses, could prevent us from developing and commercializing CNTY-813 and our other product candidates, which could harm our business, financial condition, and operating results.</w:t>
      </w:r>
    </w:p>
    <w:p>
      <w:pPr>
        <w:spacing w:after="0" w:line="182"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85"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1"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5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field of gene-editing, especially in the area of CRISPR technology, is still in its infancy, and few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178"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6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CNTY-813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or non-enablement. Grounds for an unenforceability assertion could include an allegation that someone connected with prosecution of the patent withheld relevant information from the USPTO or made a misleading statement during prosecution.</w:t>
      </w:r>
    </w:p>
    <w:p>
      <w:pPr>
        <w:spacing w:after="0" w:line="18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we may in the future choose to challenge the patentability of claims in a third-party’s patent by requesting that the USPTO review the patent claims in re-examination, post-grant review, inter parties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18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16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79"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54" w:lineRule="exact"/>
        <w:rPr>
          <w:sz w:val="20"/>
          <w:szCs w:val="20"/>
          <w:color w:val="auto"/>
        </w:rPr>
      </w:pPr>
    </w:p>
    <w:p>
      <w:pPr>
        <w:ind w:left="60" w:right="259"/>
        <w:spacing w:after="0" w:line="278" w:lineRule="auto"/>
        <w:rPr>
          <w:sz w:val="20"/>
          <w:szCs w:val="20"/>
          <w:color w:val="auto"/>
        </w:rPr>
      </w:pPr>
      <w:r>
        <w:rPr>
          <w:rFonts w:ascii="Arial" w:cs="Arial" w:eastAsia="Arial" w:hAnsi="Arial"/>
          <w:sz w:val="18"/>
          <w:szCs w:val="18"/>
          <w:b w:val="1"/>
          <w:bCs w:val="1"/>
          <w:i w:val="1"/>
          <w:iCs w:val="1"/>
          <w:color w:val="auto"/>
        </w:rPr>
        <w:t>Changes in United States patent law, or laws in other countries, could diminish the value of patents in general, thereby impairing our ability to protect CNTY-813 and our other product candidates.</w:t>
      </w:r>
    </w:p>
    <w:p>
      <w:pPr>
        <w:spacing w:after="0" w:line="13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3" w:lineRule="exact"/>
        <w:rPr>
          <w:sz w:val="20"/>
          <w:szCs w:val="20"/>
          <w:color w:val="auto"/>
        </w:rPr>
      </w:pPr>
    </w:p>
    <w:p>
      <w:pPr>
        <w:ind w:left="60" w:right="59"/>
        <w:spacing w:after="0" w:line="257" w:lineRule="auto"/>
        <w:rPr>
          <w:sz w:val="20"/>
          <w:szCs w:val="20"/>
          <w:color w:val="auto"/>
        </w:rPr>
      </w:pPr>
      <w:r>
        <w:rPr>
          <w:rFonts w:ascii="Arial" w:cs="Arial" w:eastAsia="Arial" w:hAnsi="Arial"/>
          <w:sz w:val="17"/>
          <w:szCs w:val="17"/>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70" w:lineRule="exact"/>
        <w:rPr>
          <w:sz w:val="20"/>
          <w:szCs w:val="20"/>
          <w:color w:val="auto"/>
        </w:rPr>
      </w:pPr>
    </w:p>
    <w:p>
      <w:pPr>
        <w:ind w:left="60" w:right="719"/>
        <w:spacing w:after="0" w:line="278"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12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28" w:lineRule="exact"/>
        <w:rPr>
          <w:sz w:val="20"/>
          <w:szCs w:val="20"/>
          <w:color w:val="auto"/>
        </w:rPr>
      </w:pPr>
    </w:p>
    <w:p>
      <w:pPr>
        <w:ind w:left="60" w:right="99"/>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CNTY-813 and our other product candidates for an adequate amount of time.</w:t>
      </w:r>
    </w:p>
    <w:p>
      <w:pPr>
        <w:spacing w:after="0" w:line="85"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CNTY-813 and our other product candidates are obtained, once the patent life has expired, we may be open to competition from competitive products. Given the amount of time required for the development, testing, and regulatory review of product candidates, patents protecting CNTY-813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16" w:lineRule="exact"/>
        <w:rPr>
          <w:sz w:val="20"/>
          <w:szCs w:val="20"/>
          <w:color w:val="auto"/>
        </w:rPr>
      </w:pPr>
    </w:p>
    <w:p>
      <w:pPr>
        <w:ind w:left="60" w:right="139"/>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for CNTY-813 and our other product candidates, our business may be materially harmed.</w:t>
      </w:r>
    </w:p>
    <w:p>
      <w:pPr>
        <w:spacing w:after="0" w:line="8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Depending upon the timing, duration, and specifics of FDA marketing approval of CNTY-813 and our other product candidates, one or more of our United States patents may be eligible for limited patent term restoration under the Hatch-Waxman Act. The Hatch-Waxman Act permits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42"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Although we have licenses to issued patents and pending patent applications in the United States and certain other countries, filing, prosecuting, and defending patents in all countries throughout the world would be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8"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00" w:lineRule="exact"/>
        <w:rPr>
          <w:sz w:val="20"/>
          <w:szCs w:val="20"/>
          <w:color w:val="auto"/>
        </w:rPr>
      </w:pPr>
    </w:p>
    <w:p>
      <w:pPr>
        <w:ind w:left="60" w:right="319"/>
        <w:spacing w:after="0" w:line="24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9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739"/>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17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7"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5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CNTY-813 and our other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14" w:lineRule="exact"/>
        <w:rPr>
          <w:sz w:val="20"/>
          <w:szCs w:val="20"/>
          <w:color w:val="auto"/>
        </w:rPr>
      </w:pPr>
    </w:p>
    <w:p>
      <w:pPr>
        <w:ind w:left="60" w:right="379"/>
        <w:spacing w:after="0" w:line="278"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highly volatile, and purchasers of our common stock could incur substantial losses.</w:t>
      </w:r>
    </w:p>
    <w:p>
      <w:pPr>
        <w:spacing w:after="0" w:line="13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Our stock price has been volatile since our initial public offering. The stock market in general and the market for stock of biopharmaceutical companies in particular have experienced extreme volatility that has often been unrelated to the operating performance of particular companies. The market price for our common stock may be influenced by those factors discussed in this “Risk factors” section and many others, including:</w:t>
      </w:r>
    </w:p>
    <w:p>
      <w:pPr>
        <w:spacing w:after="0" w:line="174" w:lineRule="exact"/>
        <w:rPr>
          <w:sz w:val="20"/>
          <w:szCs w:val="20"/>
          <w:color w:val="auto"/>
        </w:rPr>
      </w:pPr>
    </w:p>
    <w:p>
      <w:pPr>
        <w:jc w:val="both"/>
        <w:ind w:left="720" w:right="539" w:hanging="319"/>
        <w:spacing w:after="0" w:line="220"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the commencement, enrollment, or results of our current and future preclinical studies and clinical trials, and the results of trials of our competitors or those of other companies in our market sector;</w:t>
      </w:r>
    </w:p>
    <w:p>
      <w:pPr>
        <w:spacing w:after="0" w:line="1" w:lineRule="exact"/>
        <w:rPr>
          <w:rFonts w:ascii="Times New Roman" w:cs="Times New Roman" w:eastAsia="Times New Roman" w:hAnsi="Times New Roman"/>
          <w:sz w:val="22"/>
          <w:szCs w:val="22"/>
          <w:color w:val="auto"/>
        </w:rPr>
      </w:pPr>
    </w:p>
    <w:p>
      <w:pPr>
        <w:ind w:left="720" w:right="859" w:hanging="319"/>
        <w:spacing w:after="0" w:line="234"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progress and results of IND-enabling studies for CNTY-813 and CNTY-308, IND submissions and regulatory feedback, and the initiation and results of any future clinical trials;</w:t>
      </w:r>
    </w:p>
    <w:p>
      <w:pPr>
        <w:ind w:left="720" w:right="579" w:hanging="319"/>
        <w:spacing w:after="0" w:line="218"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regulatory approval of our product candidates, or limitations to specific label indications or patient populations for their use, or changes or delays in the regulatory review process;</w:t>
      </w:r>
    </w:p>
    <w:p>
      <w:pPr>
        <w:ind w:left="720" w:hanging="319"/>
        <w:spacing w:after="0" w:line="209"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regulatory developments in the United States and foreign countries;</w:t>
      </w:r>
    </w:p>
    <w:p>
      <w:pPr>
        <w:spacing w:after="0" w:line="9" w:lineRule="exact"/>
        <w:rPr>
          <w:rFonts w:ascii="Times New Roman" w:cs="Times New Roman" w:eastAsia="Times New Roman" w:hAnsi="Times New Roman"/>
          <w:sz w:val="22"/>
          <w:szCs w:val="22"/>
          <w:color w:val="auto"/>
        </w:rPr>
      </w:pPr>
    </w:p>
    <w:p>
      <w:pPr>
        <w:ind w:left="720" w:right="399" w:hanging="319"/>
        <w:spacing w:after="0" w:line="218"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the structure of healthcare payment systems, especially in light of current reforms to the United States healthcare system;</w:t>
      </w:r>
    </w:p>
    <w:p>
      <w:pPr>
        <w:ind w:left="720" w:hanging="319"/>
        <w:spacing w:after="0" w:line="209"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the success or failure of our efforts to acquire, license, or develop additional product candidates;</w:t>
      </w:r>
    </w:p>
    <w:p>
      <w:pPr>
        <w:spacing w:after="0" w:line="22"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innovations or new products developed by us or our competitors;</w:t>
      </w:r>
    </w:p>
    <w:p>
      <w:pPr>
        <w:spacing w:after="0" w:line="8" w:lineRule="exact"/>
        <w:rPr>
          <w:rFonts w:ascii="Times New Roman" w:cs="Times New Roman" w:eastAsia="Times New Roman" w:hAnsi="Times New Roman"/>
          <w:sz w:val="22"/>
          <w:szCs w:val="22"/>
          <w:color w:val="auto"/>
        </w:rPr>
      </w:pPr>
    </w:p>
    <w:p>
      <w:pPr>
        <w:ind w:left="720" w:right="739" w:hanging="319"/>
        <w:spacing w:after="0" w:line="218"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ind w:left="720" w:hanging="319"/>
        <w:spacing w:after="0" w:line="209"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manufacturing, supply, or distribution delays or shortages;</w:t>
      </w:r>
    </w:p>
    <w:p>
      <w:pPr>
        <w:spacing w:after="0" w:line="9" w:lineRule="exact"/>
        <w:rPr>
          <w:rFonts w:ascii="Times New Roman" w:cs="Times New Roman" w:eastAsia="Times New Roman" w:hAnsi="Times New Roman"/>
          <w:sz w:val="22"/>
          <w:szCs w:val="22"/>
          <w:color w:val="auto"/>
        </w:rPr>
      </w:pPr>
    </w:p>
    <w:p>
      <w:pPr>
        <w:ind w:left="720" w:right="1179" w:hanging="319"/>
        <w:spacing w:after="0" w:line="211"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any changes to our relationship with FCDI, any manufacturers, suppliers, licensors, future collaborators, or other strategic partners;</w:t>
      </w:r>
    </w:p>
    <w:p>
      <w:pPr>
        <w:ind w:left="720" w:right="139" w:hanging="319"/>
        <w:spacing w:after="0" w:line="218"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successfully advance our product candidates into and through clinical development and, if approved, achieve commercial sales and profitability; variations in our financial results or those of companies that are perceived to be similar to us;</w:t>
      </w:r>
    </w:p>
    <w:p>
      <w:pPr>
        <w:spacing w:after="0" w:line="1" w:lineRule="exact"/>
        <w:rPr>
          <w:rFonts w:ascii="Times New Roman" w:cs="Times New Roman" w:eastAsia="Times New Roman" w:hAnsi="Times New Roman"/>
          <w:sz w:val="22"/>
          <w:szCs w:val="22"/>
          <w:color w:val="auto"/>
        </w:rPr>
      </w:pPr>
    </w:p>
    <w:p>
      <w:pPr>
        <w:ind w:left="720" w:right="659" w:hanging="319"/>
        <w:spacing w:after="0" w:line="218"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market conditions in the biopharmaceutical sector and issuance of securities analysts’ reports or recommendations;</w:t>
      </w:r>
    </w:p>
    <w:p>
      <w:pPr>
        <w:ind w:left="720" w:hanging="319"/>
        <w:spacing w:after="0" w:line="209"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trading volume of our common stock;</w:t>
      </w:r>
    </w:p>
    <w:p>
      <w:pPr>
        <w:spacing w:after="0" w:line="22"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an inability to obtain additional funding;</w:t>
      </w:r>
    </w:p>
    <w:p>
      <w:pPr>
        <w:spacing w:after="0" w:line="21"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sales of our stock by insiders and stockholders;</w:t>
      </w:r>
    </w:p>
    <w:p>
      <w:pPr>
        <w:spacing w:after="0" w:line="8" w:lineRule="exact"/>
        <w:rPr>
          <w:rFonts w:ascii="Times New Roman" w:cs="Times New Roman" w:eastAsia="Times New Roman" w:hAnsi="Times New Roman"/>
          <w:sz w:val="22"/>
          <w:szCs w:val="22"/>
          <w:color w:val="auto"/>
        </w:rPr>
      </w:pPr>
    </w:p>
    <w:p>
      <w:pPr>
        <w:ind w:left="720" w:right="639" w:hanging="319"/>
        <w:spacing w:after="0" w:line="218"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general economic, industry, and market conditions, or other events or factors, many of which are beyond our control;</w:t>
      </w:r>
    </w:p>
    <w:p>
      <w:pPr>
        <w:ind w:left="720" w:hanging="319"/>
        <w:spacing w:after="0" w:line="209"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additions or departures of key personnel; and</w:t>
      </w:r>
    </w:p>
    <w:p>
      <w:pPr>
        <w:spacing w:after="0" w:line="22" w:lineRule="exact"/>
        <w:rPr>
          <w:rFonts w:ascii="Times New Roman" w:cs="Times New Roman" w:eastAsia="Times New Roman" w:hAnsi="Times New Roman"/>
          <w:sz w:val="22"/>
          <w:szCs w:val="22"/>
          <w:color w:val="auto"/>
        </w:rPr>
      </w:pPr>
    </w:p>
    <w:p>
      <w:pPr>
        <w:ind w:left="720" w:hanging="319"/>
        <w:spacing w:after="0" w:line="210" w:lineRule="auto"/>
        <w:tabs>
          <w:tab w:leader="none" w:pos="720" w:val="left"/>
        </w:tabs>
        <w:numPr>
          <w:ilvl w:val="0"/>
          <w:numId w:val="50"/>
        </w:numPr>
        <w:rPr>
          <w:rFonts w:ascii="Times New Roman" w:cs="Times New Roman" w:eastAsia="Times New Roman" w:hAnsi="Times New Roman"/>
          <w:sz w:val="22"/>
          <w:szCs w:val="22"/>
          <w:color w:val="auto"/>
        </w:rPr>
      </w:pPr>
      <w:r>
        <w:rPr>
          <w:rFonts w:ascii="Arial" w:cs="Arial" w:eastAsia="Arial" w:hAnsi="Arial"/>
          <w:sz w:val="18"/>
          <w:szCs w:val="18"/>
          <w:color w:val="auto"/>
        </w:rPr>
        <w:t>intellectual property, product liability, or other litigation against us.</w:t>
      </w:r>
    </w:p>
    <w:p>
      <w:pPr>
        <w:spacing w:after="0" w:line="193"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In addition, our strategic reprioritization, including the discontinuation of certain company-sponsored clinical trials and workforce reductions, may contribute to increased volatility in our stock price as investors reassess our development timelines, capital requirements and prospects. Because our lead programs are currently in IND-enabling development and we do not have ongoing company-sponsored clinical trials, our stock price may be particularly sensitive to preclinical data announcements, regulatory interactions and other early-stage development milestones. 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339"/>
        <w:spacing w:after="0" w:line="256"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81"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13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76" w:lineRule="exact"/>
        <w:rPr>
          <w:sz w:val="20"/>
          <w:szCs w:val="20"/>
          <w:color w:val="auto"/>
        </w:rPr>
      </w:pPr>
    </w:p>
    <w:p>
      <w:pPr>
        <w:jc w:val="both"/>
        <w:ind w:left="60" w:right="199"/>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are an emerging growth company, as defined in the Jumpstart Our Business Startups Act, or JOBS Act, and may remain an emerging growth company until December 31, 2026.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such date.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180" w:lineRule="exact"/>
        <w:rPr>
          <w:sz w:val="20"/>
          <w:szCs w:val="20"/>
          <w:color w:val="auto"/>
        </w:rPr>
      </w:pPr>
    </w:p>
    <w:p>
      <w:pPr>
        <w:ind w:left="720" w:right="299" w:hanging="319"/>
        <w:spacing w:after="0" w:line="227" w:lineRule="auto"/>
        <w:tabs>
          <w:tab w:leader="none" w:pos="720" w:val="left"/>
        </w:tabs>
        <w:numPr>
          <w:ilvl w:val="0"/>
          <w:numId w:val="51"/>
        </w:numPr>
        <w:rPr>
          <w:rFonts w:ascii="Times New Roman" w:cs="Times New Roman" w:eastAsia="Times New Roman" w:hAnsi="Times New Roman"/>
          <w:sz w:val="22"/>
          <w:szCs w:val="22"/>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 w:lineRule="exact"/>
        <w:rPr>
          <w:rFonts w:ascii="Times New Roman" w:cs="Times New Roman" w:eastAsia="Times New Roman" w:hAnsi="Times New Roman"/>
          <w:sz w:val="22"/>
          <w:szCs w:val="22"/>
          <w:color w:val="auto"/>
        </w:rPr>
      </w:pPr>
    </w:p>
    <w:p>
      <w:pPr>
        <w:ind w:left="720" w:hanging="319"/>
        <w:spacing w:after="0" w:line="209" w:lineRule="auto"/>
        <w:tabs>
          <w:tab w:leader="none" w:pos="720" w:val="left"/>
        </w:tabs>
        <w:numPr>
          <w:ilvl w:val="0"/>
          <w:numId w:val="51"/>
        </w:numPr>
        <w:rPr>
          <w:rFonts w:ascii="Times New Roman" w:cs="Times New Roman" w:eastAsia="Times New Roman" w:hAnsi="Times New Roman"/>
          <w:sz w:val="22"/>
          <w:szCs w:val="22"/>
          <w:color w:val="auto"/>
        </w:rPr>
      </w:pPr>
      <w:r>
        <w:rPr>
          <w:rFonts w:ascii="Arial" w:cs="Arial" w:eastAsia="Arial" w:hAnsi="Arial"/>
          <w:sz w:val="18"/>
          <w:szCs w:val="18"/>
          <w:color w:val="auto"/>
        </w:rPr>
        <w:t>presenting reduced disclosure about our executive compensation arrangements;</w:t>
      </w:r>
    </w:p>
    <w:p>
      <w:pPr>
        <w:spacing w:after="0" w:line="9" w:lineRule="exact"/>
        <w:rPr>
          <w:rFonts w:ascii="Times New Roman" w:cs="Times New Roman" w:eastAsia="Times New Roman" w:hAnsi="Times New Roman"/>
          <w:sz w:val="22"/>
          <w:szCs w:val="22"/>
          <w:color w:val="auto"/>
        </w:rPr>
      </w:pPr>
    </w:p>
    <w:p>
      <w:pPr>
        <w:ind w:left="720" w:right="179" w:hanging="319"/>
        <w:spacing w:after="0" w:line="218" w:lineRule="auto"/>
        <w:tabs>
          <w:tab w:leader="none" w:pos="720" w:val="left"/>
        </w:tabs>
        <w:numPr>
          <w:ilvl w:val="0"/>
          <w:numId w:val="51"/>
        </w:numPr>
        <w:rPr>
          <w:rFonts w:ascii="Times New Roman" w:cs="Times New Roman" w:eastAsia="Times New Roman" w:hAnsi="Times New Roman"/>
          <w:sz w:val="22"/>
          <w:szCs w:val="22"/>
          <w:color w:val="auto"/>
        </w:rPr>
      </w:pPr>
      <w:r>
        <w:rPr>
          <w:rFonts w:ascii="Arial" w:cs="Arial" w:eastAsia="Arial" w:hAnsi="Arial"/>
          <w:sz w:val="18"/>
          <w:szCs w:val="18"/>
          <w:color w:val="auto"/>
        </w:rPr>
        <w:t>not being required to hold non-binding advisory votes on executive compensation or golden parachute arrangements; and</w:t>
      </w:r>
    </w:p>
    <w:p>
      <w:pPr>
        <w:ind w:left="720" w:hanging="319"/>
        <w:spacing w:after="0" w:line="209" w:lineRule="auto"/>
        <w:tabs>
          <w:tab w:leader="none" w:pos="720" w:val="left"/>
        </w:tabs>
        <w:numPr>
          <w:ilvl w:val="0"/>
          <w:numId w:val="51"/>
        </w:numPr>
        <w:rPr>
          <w:rFonts w:ascii="Times New Roman" w:cs="Times New Roman" w:eastAsia="Times New Roman" w:hAnsi="Times New Roman"/>
          <w:sz w:val="22"/>
          <w:szCs w:val="22"/>
          <w:color w:val="auto"/>
        </w:rPr>
      </w:pPr>
      <w:r>
        <w:rPr>
          <w:rFonts w:ascii="Arial" w:cs="Arial" w:eastAsia="Arial" w:hAnsi="Arial"/>
          <w:sz w:val="18"/>
          <w:szCs w:val="18"/>
          <w:color w:val="auto"/>
        </w:rPr>
        <w:t>extended transition periods for complying with new or revised accounting standards.</w:t>
      </w:r>
    </w:p>
    <w:p>
      <w:pPr>
        <w:spacing w:after="0" w:line="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have taken advantage of reduced reporting burdens in this Annual Report on Form 10-K.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8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are also a “smaller reporting company.”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10-K and, similar to emerging growth companies, smaller reporting companies have reduced disclosure obligations regarding executive compensation.</w:t>
      </w:r>
    </w:p>
    <w:p>
      <w:pPr>
        <w:spacing w:after="0" w:line="156" w:lineRule="exact"/>
        <w:rPr>
          <w:sz w:val="20"/>
          <w:szCs w:val="20"/>
          <w:color w:val="auto"/>
        </w:rPr>
      </w:pPr>
    </w:p>
    <w:p>
      <w:pPr>
        <w:ind w:left="60" w:right="839"/>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3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As a public company, we have and will continue to incur significant legal, accounting, and other expenses that we did not incur as a private company. In addition, the Sarbanes-Oxley Act and rules subsequently implemented by the Securities and Exchange Commission, or the SEC, and The Nasdaq Stock Market LLC, or Nasdaq, impose various requirements on public companies, including establishment and maintenance of effective disclosure and financial controls and corporate governance practices. Our management and other personnel devote a substantial amount of time to comply with these requirements. Moreover, these rules and regulations increase our legal and financial compliance costs and make some activities more time-consuming and costly.</w:t>
      </w:r>
    </w:p>
    <w:p>
      <w:pPr>
        <w:spacing w:after="0" w:line="18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186" w:lineRule="exact"/>
        <w:rPr>
          <w:sz w:val="20"/>
          <w:szCs w:val="20"/>
          <w:color w:val="auto"/>
        </w:rPr>
      </w:pPr>
    </w:p>
    <w:p>
      <w:pPr>
        <w:ind w:left="60" w:right="199"/>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3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78" w:lineRule="exact"/>
        <w:rPr>
          <w:sz w:val="20"/>
          <w:szCs w:val="20"/>
          <w:color w:val="auto"/>
        </w:rPr>
      </w:pPr>
    </w:p>
    <w:p>
      <w:pPr>
        <w:ind w:left="60" w:right="399"/>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15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Provisions in our second amended and restated certificate of incorporation and our second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provisions could in turn affect any attempt by our stockholders to replace current members of our management team. These provisions provide, among other things, that:</w:t>
      </w:r>
    </w:p>
    <w:p>
      <w:pPr>
        <w:spacing w:after="0" w:line="154" w:lineRule="exact"/>
        <w:rPr>
          <w:sz w:val="20"/>
          <w:szCs w:val="20"/>
          <w:color w:val="auto"/>
        </w:rPr>
      </w:pPr>
    </w:p>
    <w:p>
      <w:pPr>
        <w:jc w:val="both"/>
        <w:ind w:left="720" w:right="259" w:hanging="319"/>
        <w:spacing w:after="0" w:line="227" w:lineRule="auto"/>
        <w:tabs>
          <w:tab w:leader="none" w:pos="720" w:val="left"/>
        </w:tabs>
        <w:numPr>
          <w:ilvl w:val="1"/>
          <w:numId w:val="52"/>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 w:lineRule="exact"/>
        <w:rPr>
          <w:rFonts w:ascii="Times New Roman" w:cs="Times New Roman" w:eastAsia="Times New Roman" w:hAnsi="Times New Roman"/>
          <w:sz w:val="22"/>
          <w:szCs w:val="22"/>
          <w:color w:val="auto"/>
        </w:rPr>
      </w:pPr>
    </w:p>
    <w:p>
      <w:pPr>
        <w:ind w:left="720" w:right="559" w:hanging="319"/>
        <w:spacing w:after="0" w:line="218" w:lineRule="auto"/>
        <w:tabs>
          <w:tab w:leader="none" w:pos="720" w:val="left"/>
        </w:tabs>
        <w:numPr>
          <w:ilvl w:val="1"/>
          <w:numId w:val="52"/>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1" w:lineRule="exact"/>
        <w:rPr>
          <w:rFonts w:ascii="Times New Roman" w:cs="Times New Roman" w:eastAsia="Times New Roman" w:hAnsi="Times New Roman"/>
          <w:sz w:val="22"/>
          <w:szCs w:val="22"/>
          <w:color w:val="auto"/>
        </w:rPr>
      </w:pPr>
    </w:p>
    <w:p>
      <w:pPr>
        <w:ind w:left="720" w:right="499" w:hanging="319"/>
        <w:spacing w:after="0" w:line="211" w:lineRule="auto"/>
        <w:tabs>
          <w:tab w:leader="none" w:pos="720" w:val="left"/>
        </w:tabs>
        <w:numPr>
          <w:ilvl w:val="1"/>
          <w:numId w:val="52"/>
        </w:numPr>
        <w:rPr>
          <w:rFonts w:ascii="Times New Roman" w:cs="Times New Roman" w:eastAsia="Times New Roman" w:hAnsi="Times New Roman"/>
          <w:sz w:val="22"/>
          <w:szCs w:val="22"/>
          <w:color w:val="auto"/>
        </w:rPr>
      </w:pPr>
      <w:r>
        <w:rPr>
          <w:rFonts w:ascii="Arial" w:cs="Arial" w:eastAsia="Arial" w:hAnsi="Arial"/>
          <w:sz w:val="18"/>
          <w:szCs w:val="18"/>
          <w:color w:val="auto"/>
        </w:rPr>
        <w:t>our stockholders may not act by written consent, which forces stockholder action to be taken at an annual or special meeting of our stockholders;</w:t>
      </w:r>
    </w:p>
    <w:p>
      <w:pPr>
        <w:ind w:left="720" w:right="139" w:hanging="319"/>
        <w:spacing w:after="0" w:line="218" w:lineRule="auto"/>
        <w:tabs>
          <w:tab w:leader="none" w:pos="720" w:val="left"/>
        </w:tabs>
        <w:numPr>
          <w:ilvl w:val="1"/>
          <w:numId w:val="52"/>
        </w:numPr>
        <w:rPr>
          <w:rFonts w:ascii="Times New Roman" w:cs="Times New Roman" w:eastAsia="Times New Roman" w:hAnsi="Times New Roman"/>
          <w:sz w:val="22"/>
          <w:szCs w:val="22"/>
          <w:color w:val="auto"/>
        </w:rPr>
      </w:pPr>
      <w:r>
        <w:rPr>
          <w:rFonts w:ascii="Arial" w:cs="Arial" w:eastAsia="Arial" w:hAnsi="Arial"/>
          <w:sz w:val="18"/>
          <w:szCs w:val="18"/>
          <w:color w:val="auto"/>
        </w:rPr>
        <w:t>a special meeting of stockholders may be called only by the chair of our board of directors, our chief executive officer, or a majority of our board of directors, which may delay the ability of our stockholders to force consideration of a proposal or to take action, including the removal of directors;</w:t>
      </w:r>
    </w:p>
    <w:p>
      <w:pPr>
        <w:spacing w:after="0" w:line="1" w:lineRule="exact"/>
        <w:rPr>
          <w:rFonts w:ascii="Times New Roman" w:cs="Times New Roman" w:eastAsia="Times New Roman" w:hAnsi="Times New Roman"/>
          <w:sz w:val="22"/>
          <w:szCs w:val="22"/>
          <w:color w:val="auto"/>
        </w:rPr>
      </w:pPr>
    </w:p>
    <w:p>
      <w:pPr>
        <w:ind w:left="720" w:right="119" w:hanging="319"/>
        <w:spacing w:after="0" w:line="211" w:lineRule="auto"/>
        <w:tabs>
          <w:tab w:leader="none" w:pos="720" w:val="left"/>
        </w:tabs>
        <w:numPr>
          <w:ilvl w:val="1"/>
          <w:numId w:val="52"/>
        </w:numPr>
        <w:rPr>
          <w:rFonts w:ascii="Times New Roman" w:cs="Times New Roman" w:eastAsia="Times New Roman" w:hAnsi="Times New Roman"/>
          <w:sz w:val="22"/>
          <w:szCs w:val="22"/>
          <w:color w:val="auto"/>
        </w:rPr>
      </w:pPr>
      <w:r>
        <w:rPr>
          <w:rFonts w:ascii="Arial" w:cs="Arial" w:eastAsia="Arial" w:hAnsi="Arial"/>
          <w:sz w:val="18"/>
          <w:szCs w:val="18"/>
          <w:color w:val="auto"/>
        </w:rPr>
        <w:t>our second amended and restated certificate of incorporation prohibits cumulative voting in the election of directors, which limits the ability of minority stockholders to elect director candidates;</w:t>
      </w:r>
    </w:p>
    <w:p>
      <w:pPr>
        <w:ind w:left="720" w:right="139" w:hanging="319"/>
        <w:spacing w:after="0" w:line="211" w:lineRule="auto"/>
        <w:tabs>
          <w:tab w:leader="none" w:pos="720" w:val="left"/>
        </w:tabs>
        <w:numPr>
          <w:ilvl w:val="1"/>
          <w:numId w:val="52"/>
        </w:numPr>
        <w:rPr>
          <w:rFonts w:ascii="Times New Roman" w:cs="Times New Roman" w:eastAsia="Times New Roman" w:hAnsi="Times New Roman"/>
          <w:sz w:val="22"/>
          <w:szCs w:val="22"/>
          <w:color w:val="auto"/>
        </w:rPr>
      </w:pPr>
      <w:r>
        <w:rPr>
          <w:rFonts w:ascii="Arial" w:cs="Arial" w:eastAsia="Arial" w:hAnsi="Arial"/>
          <w:sz w:val="18"/>
          <w:szCs w:val="18"/>
          <w:color w:val="auto"/>
        </w:rPr>
        <w:t>our board of directors may alter certain provisions of our second amended and restated bylaws without obtaining stockholder approval;</w:t>
      </w:r>
    </w:p>
    <w:p>
      <w:pPr>
        <w:ind w:left="720" w:right="319" w:hanging="319"/>
        <w:spacing w:after="0" w:line="218" w:lineRule="auto"/>
        <w:tabs>
          <w:tab w:leader="none" w:pos="720" w:val="left"/>
        </w:tabs>
        <w:numPr>
          <w:ilvl w:val="1"/>
          <w:numId w:val="52"/>
        </w:numPr>
        <w:rPr>
          <w:rFonts w:ascii="Times New Roman" w:cs="Times New Roman" w:eastAsia="Times New Roman" w:hAnsi="Times New Roman"/>
          <w:sz w:val="22"/>
          <w:szCs w:val="22"/>
          <w:color w:val="auto"/>
        </w:rPr>
      </w:pPr>
      <w:r>
        <w:rPr>
          <w:rFonts w:ascii="Arial" w:cs="Arial" w:eastAsia="Arial" w:hAnsi="Arial"/>
          <w:sz w:val="18"/>
          <w:szCs w:val="18"/>
          <w:color w:val="auto"/>
        </w:rPr>
        <w:t>the approval of the holders of at least two-thirds of the outstanding shares of our capital stock is required to adopt, amend, or repeal our second amended and restated bylaws, unless such action is recommended by our board of directors at an annual or special meeting of shareholders;</w:t>
      </w:r>
    </w:p>
    <w:p>
      <w:pPr>
        <w:spacing w:after="0" w:line="1" w:lineRule="exact"/>
        <w:rPr>
          <w:rFonts w:ascii="Times New Roman" w:cs="Times New Roman" w:eastAsia="Times New Roman" w:hAnsi="Times New Roman"/>
          <w:sz w:val="22"/>
          <w:szCs w:val="22"/>
          <w:color w:val="auto"/>
        </w:rPr>
      </w:pPr>
    </w:p>
    <w:p>
      <w:pPr>
        <w:ind w:left="720" w:right="319" w:hanging="319"/>
        <w:spacing w:after="0" w:line="224" w:lineRule="auto"/>
        <w:tabs>
          <w:tab w:leader="none" w:pos="720" w:val="left"/>
        </w:tabs>
        <w:numPr>
          <w:ilvl w:val="1"/>
          <w:numId w:val="52"/>
        </w:numPr>
        <w:rPr>
          <w:rFonts w:ascii="Times New Roman" w:cs="Times New Roman" w:eastAsia="Times New Roman" w:hAnsi="Times New Roman"/>
          <w:sz w:val="22"/>
          <w:szCs w:val="22"/>
          <w:color w:val="auto"/>
        </w:rPr>
      </w:pPr>
      <w:r>
        <w:rPr>
          <w:rFonts w:ascii="Arial" w:cs="Arial" w:eastAsia="Arial" w:hAnsi="Arial"/>
          <w:sz w:val="18"/>
          <w:szCs w:val="18"/>
          <w:color w:val="auto"/>
        </w:rPr>
        <w:t>the approval of the holders of at least two-thirds of the outstanding shares of our capital stock is required to adopt, amend, or repeal provisions in our second amended and restated certificate of incorporation relating to (i) the amendment of the second amended and restated certificate of incorporation or amendment of the second amended and restated bylaws, (ii) stockholder action, (iii) election and removal of directors, (iv) limitations on liability and (v) exclusive forum for proceedings;</w:t>
      </w:r>
    </w:p>
    <w:p>
      <w:pPr>
        <w:spacing w:after="0" w:line="3" w:lineRule="exact"/>
        <w:rPr>
          <w:rFonts w:ascii="Times New Roman" w:cs="Times New Roman" w:eastAsia="Times New Roman" w:hAnsi="Times New Roman"/>
          <w:sz w:val="22"/>
          <w:szCs w:val="22"/>
          <w:color w:val="auto"/>
        </w:rPr>
      </w:pPr>
    </w:p>
    <w:p>
      <w:pPr>
        <w:ind w:left="720" w:right="99" w:hanging="319"/>
        <w:spacing w:after="0" w:line="224" w:lineRule="auto"/>
        <w:tabs>
          <w:tab w:leader="none" w:pos="720" w:val="left"/>
        </w:tabs>
        <w:numPr>
          <w:ilvl w:val="1"/>
          <w:numId w:val="52"/>
        </w:numPr>
        <w:rPr>
          <w:rFonts w:ascii="Times New Roman" w:cs="Times New Roman" w:eastAsia="Times New Roman" w:hAnsi="Times New Roman"/>
          <w:sz w:val="22"/>
          <w:szCs w:val="22"/>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3" w:lineRule="exact"/>
        <w:rPr>
          <w:rFonts w:ascii="Times New Roman" w:cs="Times New Roman" w:eastAsia="Times New Roman" w:hAnsi="Times New Roman"/>
          <w:sz w:val="22"/>
          <w:szCs w:val="22"/>
          <w:color w:val="auto"/>
        </w:rPr>
      </w:pPr>
    </w:p>
    <w:p>
      <w:pPr>
        <w:ind w:left="540" w:right="99" w:hanging="328"/>
        <w:spacing w:after="0" w:line="242" w:lineRule="auto"/>
        <w:tabs>
          <w:tab w:leader="none" w:pos="5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6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8" w:lineRule="exact"/>
        <w:rPr>
          <w:sz w:val="20"/>
          <w:szCs w:val="20"/>
          <w:color w:val="auto"/>
        </w:rPr>
      </w:pPr>
    </w:p>
    <w:p>
      <w:pPr>
        <w:ind w:left="60" w:right="239"/>
        <w:spacing w:after="0" w:line="249"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and second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Our second amended and restated certificate of incorporation and second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affairs doctrine; provided, that, this provision would not apply to suits brought to enforce a duty or liability created by the Securities Exchange Act of 1934, as amended, or the Exchange Act. Furthermore, our amended and restated certificate of incorporation provides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1C. CYBERSECURITY</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21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At Century Therapeutics, we recognize the importance of information security practices designed to protect the confidentiality, integrity, and availability of Company information. We have implemented a cybersecurity program in accordance with our risk profile and business that is informed by recognized industry standards and frameworks, and incorporates elements of the same, including elements of the National Institute of Standards and Technology Cybersecurity Framework.</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cybersecurity risk management program includes multiple components, including information security assessments, penetration testing, response and vulnerability assessments, that are conducted periodically by both internal and external resources. We also conduct employee training and leverage third-party security tools, including but not limited to access controls, threat monitoring, and endpoint protection and response. We maintain a security operations center operated by a third party that collects cybersecurity threat data from multiple internal and external sources and determines if activity is potentially suspicious or malicious. We are in the process of developing and implementing additional cybersecurity policies and procedures.</w:t>
      </w:r>
    </w:p>
    <w:p>
      <w:pPr>
        <w:spacing w:after="0" w:line="185"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We take a risk-based approach to the evaluation of third-party vendors, and apply mitigations and processes based on the nature of the data accessed by the vendor. Currently, we review System and Organization Controls reports from vendors who have access to financial reporting information, and we are in the process of developing additional vendor risk management policies and procedures.</w:t>
      </w:r>
    </w:p>
    <w:p>
      <w:pPr>
        <w:spacing w:after="0" w:line="174"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experienced threats and security incidents that could affect our information or systems. For more information, please see Section 1A. Risk Factors.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210"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Our Head of Information Technology is responsible for the strategic leadership and direction of the Company’s cybersecurity management. The individual currently serving as the Head of Information Technology has over 20 years of experience working in information technology. The Head of Information Technology receives cybersecurity alerts from the Company’s third-party security operations center, and provides periodic updates to the Company’s executive committee, which includes the Company’s Chief Executive Officer, and Principal Financial Officer.</w:t>
      </w:r>
    </w:p>
    <w:p>
      <w:pPr>
        <w:spacing w:after="0" w:line="179"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Head of Information Technology also provides updates to the Audit Committee of the board of directors approximately on a quarterly basis. The Audit Committee, pursuant to its charter, reviews significant existing and emerging cybersecurity risks, including material cybersecurity incidents if any, the impact on the Company and its stockholders of any significant cybersecurity incident and any disclosure obligations arising from any such incidents.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Our principal executive offices are located in Philadelphia, Pennsylvania. We operate in two office and laboratory spaces in Philadelphia pursuant to leases that expire in October 2031 and March 2034. Additionally, we entered into the Watertown lease for office and laboratory space that commenced in February, 2026 and expires in January, 2031. We also have a 53,000 square foot cell therapy manufacturing facility in Branchburg, New Jersey pursuant to a lease expiring in February 2037.</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that our current facilities are adequate to meet our ongoing needs.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60" w:right="399"/>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publicly traded on the Nasdaq Global Market under the symbol “IPSC.”</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February 28, 2026, we had approximately 72 record holders of our common stock.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85"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We have never declared or paid any dividends on our capital or common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1"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Information about our equity compensation plans is incorporated herein by reference to Part III, Item 12 of this Annual Report on Form 10-K.</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1" w:lineRule="exact"/>
        <w:rPr>
          <w:sz w:val="20"/>
          <w:szCs w:val="20"/>
          <w:color w:val="auto"/>
        </w:rPr>
      </w:pPr>
    </w:p>
    <w:p>
      <w:pPr>
        <w:ind w:left="60" w:right="759"/>
        <w:spacing w:after="0" w:line="271" w:lineRule="auto"/>
        <w:rPr>
          <w:sz w:val="20"/>
          <w:szCs w:val="20"/>
          <w:color w:val="auto"/>
        </w:rPr>
      </w:pPr>
      <w:r>
        <w:rPr>
          <w:rFonts w:ascii="Arial" w:cs="Arial" w:eastAsia="Arial" w:hAnsi="Arial"/>
          <w:sz w:val="18"/>
          <w:szCs w:val="18"/>
          <w:color w:val="auto"/>
        </w:rPr>
        <w:t>There were no sales of unregistered securities during the year ended December 31, 2025 that were not previously reported on a Current Report on Form 8-K.</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4"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included elsewhere in this Annual Report on Form 10-K and our audited consolidated financial statements and the related notes thereto.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Note Regarding Forward-Looking Statements” and “Risk Factors” in this Annual Report on Form 10-K. You should review the disclosure under the heading “Risk Factors” herein for a discussion of important factors that could cause our actual results to differ materially from those anticipated in these forward-looking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139"/>
        <w:spacing w:after="0" w:line="254" w:lineRule="auto"/>
        <w:rPr>
          <w:sz w:val="20"/>
          <w:szCs w:val="20"/>
          <w:color w:val="auto"/>
        </w:rPr>
      </w:pPr>
      <w:r>
        <w:rPr>
          <w:rFonts w:ascii="Arial" w:cs="Arial" w:eastAsia="Arial" w:hAnsi="Arial"/>
          <w:sz w:val="17"/>
          <w:szCs w:val="17"/>
          <w:color w:val="auto"/>
        </w:rPr>
        <w:t>We are a biotechnology company harnessing the power of allogeneic pluripotent stem cell therapies to develop potentially curative cell therapy products for autoimmune diseases, including T1D, and cancer. Our beta islet, T cell and NK cell programs are allogeneic, meaning they are derived from healthy donors for use in any patient, rather than being sourced from an individual for their own specific use, as is the case with autologous T cells.</w:t>
      </w:r>
    </w:p>
    <w:p>
      <w:pPr>
        <w:ind w:left="60" w:right="99"/>
        <w:spacing w:after="0" w:line="238" w:lineRule="auto"/>
        <w:rPr>
          <w:sz w:val="20"/>
          <w:szCs w:val="20"/>
          <w:color w:val="auto"/>
        </w:rPr>
      </w:pPr>
      <w:r>
        <w:rPr>
          <w:rFonts w:ascii="Arial" w:cs="Arial" w:eastAsia="Arial" w:hAnsi="Arial"/>
          <w:sz w:val="18"/>
          <w:szCs w:val="18"/>
          <w:color w:val="auto"/>
        </w:rPr>
        <w:t>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p>
    <w:p>
      <w:pPr>
        <w:spacing w:after="0" w:line="168" w:lineRule="exact"/>
        <w:rPr>
          <w:sz w:val="20"/>
          <w:szCs w:val="20"/>
          <w:color w:val="auto"/>
        </w:rPr>
      </w:pPr>
    </w:p>
    <w:p>
      <w:pPr>
        <w:ind w:left="720" w:right="539" w:hanging="319"/>
        <w:spacing w:after="0" w:line="270" w:lineRule="auto"/>
        <w:tabs>
          <w:tab w:leader="none" w:pos="7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Industry-leading iPSCs and differentiation know-how to generate fully functional mature cells from iPSCs, or iPSC-derived cells;</w:t>
      </w:r>
    </w:p>
    <w:p>
      <w:pPr>
        <w:spacing w:after="0" w:line="154" w:lineRule="exact"/>
        <w:rPr>
          <w:rFonts w:ascii="Times New Roman" w:cs="Times New Roman" w:eastAsia="Times New Roman" w:hAnsi="Times New Roman"/>
          <w:sz w:val="18"/>
          <w:szCs w:val="18"/>
          <w:color w:val="auto"/>
        </w:rPr>
      </w:pPr>
    </w:p>
    <w:p>
      <w:pPr>
        <w:ind w:left="720" w:right="179" w:hanging="319"/>
        <w:spacing w:after="0" w:line="270" w:lineRule="auto"/>
        <w:tabs>
          <w:tab w:leader="none" w:pos="7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CRISPR mediated precision gene editing that allows us to incorporate multiple transgenes and disrupt target genes intended to optimize cell product performance;</w:t>
      </w:r>
    </w:p>
    <w:p>
      <w:pPr>
        <w:spacing w:after="0" w:line="154" w:lineRule="exact"/>
        <w:rPr>
          <w:rFonts w:ascii="Times New Roman" w:cs="Times New Roman" w:eastAsia="Times New Roman" w:hAnsi="Times New Roman"/>
          <w:sz w:val="18"/>
          <w:szCs w:val="18"/>
          <w:color w:val="auto"/>
        </w:rPr>
      </w:pPr>
    </w:p>
    <w:p>
      <w:pPr>
        <w:ind w:left="720" w:right="119" w:hanging="319"/>
        <w:spacing w:after="0" w:line="270" w:lineRule="auto"/>
        <w:tabs>
          <w:tab w:leader="none" w:pos="7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proprietary Allo-Evasion™ technology intended to prevent rejection of our cell products by the host immune system, enabling the potential for persistence and re-dosing of therapy; and</w:t>
      </w:r>
    </w:p>
    <w:p>
      <w:pPr>
        <w:spacing w:after="0" w:line="154"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Cutting-edge manufacturing capabilities intended to drive scale advantages and reduce cost of goods sold, or COGs, while minimizing product development and supply risk.</w:t>
      </w:r>
    </w:p>
    <w:p>
      <w:pPr>
        <w:spacing w:after="0" w:line="154"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color w:val="auto"/>
        </w:rPr>
        <w:t xml:space="preserve">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cell types we can generate from iPSCs, including iPSC-derived beta islet cells, iPSC-derived CD4+ and CD8+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T cells, or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iT cells, and iPSC- natural killer cells, or iNK cells. We believe this capability enables optimal matching of cell characteristics to disease indication, ensuring we target the right cell for the right indication.</w:t>
      </w:r>
    </w:p>
    <w:p>
      <w:pPr>
        <w:spacing w:after="0" w:line="17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Our vision is to become a premier, fully integrated biotechnology company by developing and ultimately commercializing off-the-shelf allogeneic cell therapies that dramatically and positively transform the lives of patients suffering from T1D, autoimmune diseases and cancers. To achieve our vision, our world-class team is applying its decades of collective experience in cell therapy and drug development, manufacturing, and commercialization.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In November 2025, we announced our plans to develop a beta islet program, CNTY-813, for T1D. We are leveraging our deep expertise in selective iPSC differentiation to advance this program, engineered with Allo-Evasion™ 5.0, toward clinical evaluation subject to regulatory clearance. We have moved CNTY-813 into IND-enabling studies and anticipate submission of an IND application as early as 2026.</w:t>
      </w:r>
    </w:p>
    <w:p>
      <w:pPr>
        <w:spacing w:after="0" w:line="174" w:lineRule="exact"/>
        <w:rPr>
          <w:sz w:val="20"/>
          <w:szCs w:val="20"/>
          <w:color w:val="auto"/>
        </w:rPr>
      </w:pPr>
    </w:p>
    <w:p>
      <w:pPr>
        <w:jc w:val="both"/>
        <w:ind w:left="60" w:right="179"/>
        <w:spacing w:after="0" w:line="247" w:lineRule="auto"/>
        <w:rPr>
          <w:sz w:val="20"/>
          <w:szCs w:val="20"/>
          <w:color w:val="auto"/>
        </w:rPr>
      </w:pPr>
      <w:r>
        <w:rPr>
          <w:rFonts w:ascii="Arial" w:cs="Arial" w:eastAsia="Arial" w:hAnsi="Arial"/>
          <w:sz w:val="18"/>
          <w:szCs w:val="18"/>
          <w:color w:val="auto"/>
        </w:rPr>
        <w:t xml:space="preserve">We also continue to make progress with IND-enabling studies for CNTY-308, a CD19-targeted CD4+CD8+ </w:t>
      </w:r>
      <w:r>
        <w:rPr>
          <w:rFonts w:ascii="Times New Roman" w:cs="Times New Roman" w:eastAsia="Times New Roman" w:hAnsi="Times New Roman"/>
          <w:sz w:val="18"/>
          <w:szCs w:val="18"/>
          <w:color w:val="auto"/>
        </w:rPr>
        <w:t>ab</w:t>
      </w:r>
      <w:r>
        <w:rPr>
          <w:rFonts w:ascii="Arial" w:cs="Arial" w:eastAsia="Arial" w:hAnsi="Arial"/>
          <w:sz w:val="18"/>
          <w:szCs w:val="18"/>
          <w:color w:val="auto"/>
        </w:rPr>
        <w:t xml:space="preserve"> CAR-iT cell therapy functionally comparable to primary T cells and engineered with Allo-Evasion™ 5.0. CNTY-308 is being developed as a potential treatment for B-cell-mediated diseases. Following successful completion of these IND-enabling studies, and the receipt of requisite regulatory authorization, we expect to initiate clinical studies in 2026.</w:t>
      </w:r>
    </w:p>
    <w:p>
      <w:pPr>
        <w:spacing w:after="0" w:line="17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In November 2025, we announced that we will prioritize clinical development activities for CNTY-101, a CAR-iNK cell therapy with six precision gene edits, in CARAMEL, a Phase 1/2 IST, which is currently enrolling and dosing patients living with B-cell-mediated autoimmune diseases, led by Professors Georg Schett and Andreas Mackensen and sponsored by the Friedrich-Alexander University Erlangen-Nürnberg. Investigators of the CARAMEL IST presented initial data in December 2025.</w:t>
      </w:r>
    </w:p>
    <w:p>
      <w:pPr>
        <w:spacing w:after="0" w:line="16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January 2026, we entered into a securities purchase agreement with certain institutional accredited investors, or the 2026 Investors, pursuant to which we issued and sold to the 2026 Investors in a private placement (a) (i) 92,030,595 shares of common stock, (ii) pre-funded warrants to purchase 25,360,704 shares of common stock, or the Pre-Funded Warrants and (b) warrants to purchase 58,695,648 shares of common stock or Pre-Funded Warrants in lieu thereof, or the Common Warrants, together with the Pre -Funded Warrants, the “Warrants” at a purchase price of $1.15 per share and accompanying Common Warrant to purchase 0.5 shares of common stock or Pre-Funded Warrant and a purchase price of $1.1499 per Pre-Funded Warrant and accompanying Common Warrant to purchase 0.5 shares of common stock or Pre-Funded Warrant, or the 2026 Private Placement.</w:t>
      </w:r>
    </w:p>
    <w:p>
      <w:pPr>
        <w:spacing w:after="0" w:line="17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Based on our current business plans, we believe our cash, cash equivalents and investments as of December 31, 2025 of $117.1 million, and the additional $126.7 million we received as net proceeds from our 2026 private placement, will be sufficient for us to fund our operating expenses and capital expenditures requirements into the first quarter of 2029.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we:continue to advance our iPSC cell therapy platforms;</w:t>
      </w:r>
    </w:p>
    <w:p>
      <w:pPr>
        <w:spacing w:after="0" w:line="153"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cell therapy platforms;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progress preclinical and clinical development of our product candidates;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expand and validate our own clinical-scale cGMP facilities;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incur costs associated with operating as a public company;</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Times New Roman" w:cs="Times New Roman" w:eastAsia="Times New Roman" w:hAnsi="Times New Roman"/>
          <w:sz w:val="18"/>
          <w:szCs w:val="18"/>
          <w:color w:val="auto"/>
        </w:rPr>
      </w:pPr>
    </w:p>
    <w:p>
      <w:pPr>
        <w:ind w:left="720" w:right="499" w:hanging="319"/>
        <w:spacing w:after="0" w:line="252" w:lineRule="auto"/>
        <w:tabs>
          <w:tab w:leader="none" w:pos="7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p>
      <w:pPr>
        <w:sectPr>
          <w:pgSz w:w="11900" w:h="16838" w:orient="portrait"/>
          <w:cols w:equalWidth="0" w:num="1">
            <w:col w:w="9019"/>
          </w:cols>
          <w:pgMar w:left="1440" w:top="512"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97"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Until such time, if ever, as we can generate significant product revenue, we expect to finance our operations with our existing cash and cash equivalents, investments, any future equity or debt financings, and upfront and milestone and royalty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210" w:lineRule="exact"/>
        <w:rPr>
          <w:sz w:val="20"/>
          <w:szCs w:val="20"/>
          <w:color w:val="auto"/>
        </w:rPr>
      </w:pPr>
    </w:p>
    <w:p>
      <w:pPr>
        <w:jc w:val="both"/>
        <w:ind w:left="60" w:right="219"/>
        <w:spacing w:after="0" w:line="247" w:lineRule="auto"/>
        <w:rPr>
          <w:sz w:val="20"/>
          <w:szCs w:val="20"/>
          <w:color w:val="auto"/>
        </w:rPr>
      </w:pPr>
      <w:r>
        <w:rPr>
          <w:rFonts w:ascii="Arial" w:cs="Arial" w:eastAsia="Arial" w:hAnsi="Arial"/>
          <w:sz w:val="18"/>
          <w:szCs w:val="18"/>
          <w:color w:val="auto"/>
        </w:rPr>
        <w:t>On January 7, 2022, we entered into the Collaboration Agreement with Bristol-Myers Squibb to collaborate on the research, development and commercialization of induced pluripotent stem cell derived, engineered natural killer cell and/or gamma delta T cell programs for hematologic malignancies, initially focused on acute myeloid leukemia, and multiple myeloma.</w:t>
      </w:r>
    </w:p>
    <w:p>
      <w:pPr>
        <w:spacing w:after="0" w:line="160"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 million and purchased 2,160,760 shares of our common stock at a price per share of $23.14, for an aggregate purchase price of $50.0 million.</w:t>
      </w:r>
    </w:p>
    <w:p>
      <w:pPr>
        <w:spacing w:after="0" w:line="15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Following an internal corporate portfolio prioritization process, Bristol-Myers Squibb notified the Company on December 12, 2024 that it would be terminating the Collaboration Agreement in its entirety without cause. The termination was effective as of March 12, 2025.</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w:t>
      </w:r>
    </w:p>
    <w:p>
      <w:pPr>
        <w:spacing w:after="0" w:line="210"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On September 18, 2018, we entered into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 in connection with the Reorganization.</w:t>
      </w:r>
    </w:p>
    <w:p>
      <w:pPr>
        <w:spacing w:after="0" w:line="1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Also on September 18, 2018, we entered into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the FCDI Collaboration Agreement with FCDI on October 21, 2019, pursuant to which we agreed to fund research and development work at FCDI pursuant to a research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42" w:lineRule="auto"/>
        <w:rPr>
          <w:sz w:val="20"/>
          <w:szCs w:val="20"/>
          <w:color w:val="auto"/>
        </w:rPr>
      </w:pPr>
      <w:r>
        <w:rPr>
          <w:rFonts w:ascii="Arial" w:cs="Arial" w:eastAsia="Arial" w:hAnsi="Arial"/>
          <w:sz w:val="18"/>
          <w:szCs w:val="18"/>
          <w:color w:val="auto"/>
        </w:rPr>
        <w:t>Under the FCDI Collaboration Agreement,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7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January 7, 2022, we and FCDI entered into the Letter Agreement, which amends each of the FCDI Agreements as further discussed in Note 16 to our consolidated financial statements. Pursuant to the Letter Agreement, and in consideration for amending the FCDI Agreements, we agreed to pay to FCDI (i) an upfront payment of $10.0 million, (ii) a percentage of any milestone payments received by us under the FCDI Collaboration Agreement, in respect of achievement of development or regulatory milestones specific to Japan, and (iii) a percentage of all royalties received by us under the FCDI Collaboration Agreement in respect of sales of products in Japan.</w:t>
      </w:r>
    </w:p>
    <w:p>
      <w:pPr>
        <w:spacing w:after="0" w:line="18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September 22, 2023, we entered into the Autoimmune License with FCDI, whereby FCDI will grant non-exclusive licenses to us for certain patent rights and know-how related to cell differentiation and reprogramming for the development and commercialization of iPSC-derived therapies for the treatment of inflammatory and autoimmune diseases.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FCDI Collaboration Agreement to expand our existing license related to the development and commercialization of iPSC-derived cancer immunotherapeutic to also include inflammatory and autoimmune diseases.</w:t>
      </w:r>
    </w:p>
    <w:p>
      <w:pPr>
        <w:spacing w:after="0" w:line="17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During the years ended December 31, 2025 and 2024, we made payments of $2.0 million and $7.4 million and incurred research and development expenses of $ 0.9 million and $6.3 million, in-process research and development expenses of $0 and $0.5 million and legal fees of $0.1 million and $0.1 million, respectively, related to the FCDI Agreements. The legal fees are recorded within general and administrative expenses in the consolidated statements of operations and comprehensive loss.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iCell and Distributed Bio</w:t>
      </w:r>
    </w:p>
    <w:p>
      <w:pPr>
        <w:spacing w:after="0" w:line="210"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We also have entered into a sublicense agreement with iCell Inc. and a master services agreement with Distributed Bio, Inc. See Note 9 to our consolidated financial statements.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Catalent Dusseldorf GmbH</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December 12, 2022, Clade entered into a non-exclusive license agreement with Catalent Dusseldorf GmbH, or Catalent, pursuant to which Catalent granted Clade a worldwide, non-exclusive, non-transferrable, royalty-bearing license under all rights owned or controlled by Catalent to one of its GMP-grade iPSC cell lines derived from human cord blood CD34+ cells, to develop, have developed, make, have made, use, have used, sell, offer for sale, have sold, distribute, have distributed, import, have imported and otherwise exploit or have exploited cell therapy products. The license, or the Catalent License, permits the genetic modification of the licensed cell line and the development and commercialization of resulting cell therapy products for any indication. We have a right to use the Catalent License as a result of our acquisition of Clade.</w:t>
      </w:r>
    </w:p>
    <w:p>
      <w:pPr>
        <w:spacing w:after="0" w:line="18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Under the Catalent License, we may grant sublicenses to third parties to develop, manufacture and commercialize resulting products, but we may not sublicense the original cell line itself. Catalent retains ownership of the original cell line, and we own the modified cells and resulting products that we make from the original cell line, subject to certain restrictions and limited rights granted back to Catalent.</w:t>
      </w:r>
    </w:p>
    <w:p>
      <w:pPr>
        <w:spacing w:after="0" w:line="174"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In consideration for the rights granted, Clade paid Catalent an upfront fee. We are also required to pay certain product-by-product milestone payments upon the achievement of certain development and regulatory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milestones up to an aggregate of $20.43 million. We additionally agreed to pay royalties equal to a low single digit percentage of net sales of each product during a defined royalty term, after which royalty term the license automatically becomes fully paid-up, perpetual, irrevocable and royalty-free. We also agreed to pay annual minimum fees during a defined period, with milestone payments and royalties paid in a calendar year creditable against the annual minimum fees payable for the same calendar year.</w:t>
      </w:r>
    </w:p>
    <w:p>
      <w:pPr>
        <w:spacing w:after="0" w:line="176"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The agreement remains in effect until terminated and may be terminated by us for convenience upon prior written notice or by either party for material breach, subject to specified cure periods. Certain provisions, including payment obligations, indemnification obligations and confidentiality obligations, survive termination.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10"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were generated through our collaboration, option and license agreement with Bristol-Myers Squibb, which was terminated in March 2025. We recognized revenue over the expected performance period under this agreement. We expect that our revenue for the next several years will be derived primarily from any collaborations that we may enter into in the future. To date, we have not received any royalties under any of our existing and former collaboration agreements.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0"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To date, research and development expenses have related primarily to the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76"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59"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6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8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long-lived assets</w:t>
      </w:r>
    </w:p>
    <w:p>
      <w:pPr>
        <w:spacing w:after="0" w:line="23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review our amortizable long lived assets, consisting primarily of our lease related right of use assets and property and equipment, when impairment indicators are present by comparing the carrying values of the assets with their estimated future undiscounted cash flows. Should the carrying value of the long lived assets exceed the undiscounted cash flows, the Company calculates the fair value of the underlying long lived assets, utilizing a discounted cash flow approach, which is considered a level three fair value estimate.</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incurred $6.8 million in impairment in 2025 for a portion of the Company’s Philadelphia, PA headquarters.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impairment charges incurred in 2024.</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goodwill</w:t>
      </w:r>
    </w:p>
    <w:p>
      <w:pPr>
        <w:spacing w:after="0" w:line="210"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The Company had no goodwill as of December 31, 2025, as the entire goodwill balance was fully impaired during the year ended December 31, 2024.</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consists of interest earned on our cash, cash equivalents and investment balances.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1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Due to historical losses, we maintain a full valuation allowance against the unrealizable portion of our deferred tax assets. The main drivers of the tax provision during the year ends December 31, 2025 are state deferred taxes and 2024 federal and state provision-to-return adjustments and state tax revaluation of the deferred tax liability for the Clade IPR&amp;D intangible.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years ended December 31, 2025 and 2024</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4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Year Ended</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Year Ended</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2025</w:t>
            </w:r>
          </w:p>
        </w:tc>
        <w:tc>
          <w:tcPr>
            <w:tcW w:w="16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2024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23"/>
        </w:trPr>
        <w:tc>
          <w:tcPr>
            <w:tcW w:w="4440" w:type="dxa"/>
            <w:vAlign w:val="bottom"/>
            <w:vMerge w:val="restart"/>
          </w:tcPr>
          <w:p>
            <w:pPr>
              <w:spacing w:after="0"/>
              <w:rPr>
                <w:sz w:val="20"/>
                <w:szCs w:val="20"/>
                <w:color w:val="auto"/>
              </w:rPr>
            </w:pPr>
            <w:r>
              <w:rPr>
                <w:rFonts w:ascii="Arial" w:cs="Arial" w:eastAsia="Arial" w:hAnsi="Arial"/>
                <w:sz w:val="18"/>
                <w:szCs w:val="18"/>
                <w:color w:val="auto"/>
              </w:rPr>
              <w:t>Collaboration revenue</w:t>
            </w:r>
          </w:p>
        </w:tc>
        <w:tc>
          <w:tcPr>
            <w:tcW w:w="84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109,164</w:t>
            </w:r>
          </w:p>
        </w:tc>
        <w:tc>
          <w:tcPr>
            <w:tcW w:w="160" w:type="dxa"/>
            <w:vAlign w:val="bottom"/>
          </w:tcPr>
          <w:p>
            <w:pPr>
              <w:spacing w:after="0"/>
              <w:rPr>
                <w:sz w:val="10"/>
                <w:szCs w:val="10"/>
                <w:color w:val="auto"/>
              </w:rPr>
            </w:pPr>
          </w:p>
        </w:tc>
        <w:tc>
          <w:tcPr>
            <w:tcW w:w="1280" w:type="dxa"/>
            <w:vAlign w:val="bottom"/>
            <w:gridSpan w:val="2"/>
          </w:tcPr>
          <w:p>
            <w:pPr>
              <w:spacing w:after="0" w:line="123" w:lineRule="exact"/>
              <w:rPr>
                <w:sz w:val="20"/>
                <w:szCs w:val="20"/>
                <w:color w:val="auto"/>
              </w:rPr>
            </w:pPr>
            <w:r>
              <w:rPr>
                <w:rFonts w:ascii="Arial" w:cs="Arial" w:eastAsia="Arial" w:hAnsi="Arial"/>
                <w:sz w:val="14"/>
                <w:szCs w:val="14"/>
                <w:color w:val="auto"/>
              </w:rPr>
              <w:t>(in thousands)</w:t>
            </w:r>
          </w:p>
        </w:tc>
        <w:tc>
          <w:tcPr>
            <w:tcW w:w="3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102,575</w:t>
            </w:r>
          </w:p>
        </w:tc>
        <w:tc>
          <w:tcPr>
            <w:tcW w:w="0" w:type="dxa"/>
            <w:vAlign w:val="bottom"/>
          </w:tcPr>
          <w:p>
            <w:pPr>
              <w:spacing w:after="0"/>
              <w:rPr>
                <w:sz w:val="1"/>
                <w:szCs w:val="1"/>
                <w:color w:val="auto"/>
              </w:rPr>
            </w:pPr>
          </w:p>
        </w:tc>
      </w:tr>
      <w:tr>
        <w:trPr>
          <w:trHeight w:val="221"/>
        </w:trPr>
        <w:tc>
          <w:tcPr>
            <w:tcW w:w="444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6,589</w:t>
            </w:r>
          </w:p>
        </w:tc>
        <w:tc>
          <w:tcPr>
            <w:tcW w:w="320" w:type="dxa"/>
            <w:vAlign w:val="bottom"/>
            <w:gridSpan w:val="3"/>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95,667</w:t>
            </w: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107,244</w:t>
            </w:r>
          </w:p>
        </w:tc>
        <w:tc>
          <w:tcPr>
            <w:tcW w:w="320" w:type="dxa"/>
            <w:vAlign w:val="bottom"/>
            <w:gridSpan w:val="3"/>
          </w:tcPr>
          <w:p>
            <w:pPr>
              <w:jc w:val="right"/>
              <w:ind w:right="47"/>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33,155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(9,152)</w:t>
            </w:r>
          </w:p>
        </w:tc>
        <w:tc>
          <w:tcPr>
            <w:tcW w:w="0" w:type="dxa"/>
            <w:vAlign w:val="bottom"/>
          </w:tcPr>
          <w:p>
            <w:pPr>
              <w:spacing w:after="0"/>
              <w:rPr>
                <w:sz w:val="1"/>
                <w:szCs w:val="1"/>
                <w:color w:val="auto"/>
              </w:rPr>
            </w:pPr>
          </w:p>
        </w:tc>
      </w:tr>
      <w:tr>
        <w:trPr>
          <w:trHeight w:val="203"/>
        </w:trPr>
        <w:tc>
          <w:tcPr>
            <w:tcW w:w="4440" w:type="dxa"/>
            <w:vAlign w:val="bottom"/>
          </w:tcPr>
          <w:p>
            <w:pPr>
              <w:ind w:left="120"/>
              <w:spacing w:after="0" w:line="202" w:lineRule="exact"/>
              <w:rPr>
                <w:sz w:val="20"/>
                <w:szCs w:val="20"/>
                <w:color w:val="auto"/>
              </w:rPr>
            </w:pPr>
            <w:r>
              <w:rPr>
                <w:rFonts w:ascii="Arial" w:cs="Arial" w:eastAsia="Arial" w:hAnsi="Arial"/>
                <w:sz w:val="18"/>
                <w:szCs w:val="18"/>
                <w:color w:val="auto"/>
              </w:rPr>
              <w:t>Impairment of long-lived assets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6,763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Impairment of goodwill</w:t>
            </w:r>
          </w:p>
        </w:tc>
        <w:tc>
          <w:tcPr>
            <w:tcW w:w="6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6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126,433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144,726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(18,293)</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Loss from operations</w:t>
            </w: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(17,269)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(138,137)</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120,868</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7,346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w:t>
            </w:r>
          </w:p>
        </w:tc>
        <w:tc>
          <w:tcPr>
            <w:tcW w:w="6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other income</w:t>
            </w:r>
          </w:p>
        </w:tc>
        <w:tc>
          <w:tcPr>
            <w:tcW w:w="6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7,621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13,361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Loss before (benefit) provision for income taxes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(9,648)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(124,776)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115,128</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provision for income taxes</w:t>
            </w:r>
          </w:p>
        </w:tc>
        <w:tc>
          <w:tcPr>
            <w:tcW w:w="6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(9,580)</w:t>
            </w:r>
          </w:p>
        </w:tc>
        <w:tc>
          <w:tcPr>
            <w:tcW w:w="16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(126,566)</w:t>
            </w:r>
          </w:p>
        </w:tc>
        <w:tc>
          <w:tcPr>
            <w:tcW w:w="18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116,986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3"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For the years ended December 31, 2025 and 2024, we recognized revenue of $109.2 million and $6.6 million under the Collaboration Agreement with Bristol-Myers Squibb, respectively. Revenue recognized under Collaboration Agreement fluctuated based on the amount and timing of expenses incurred under the agreement. See Notes 9 and 19 to our consolidated financial statements for additional information. The Collaboration Agreement was terminated in March 2025. As such, we recognized the remaining transaction price of $109.2 million as collaboration revenue during the year ended December 31, 2025. There will be no future collaboration revenues recognized under this collaboration agreement.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6"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0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color w:val="auto"/>
              </w:rPr>
              <w:t>Year Ended</w:t>
            </w: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66"/>
              <w:spacing w:after="0"/>
              <w:rPr>
                <w:sz w:val="20"/>
                <w:szCs w:val="20"/>
                <w:color w:val="auto"/>
              </w:rPr>
            </w:pPr>
            <w:r>
              <w:rPr>
                <w:rFonts w:ascii="Arial" w:cs="Arial" w:eastAsia="Arial" w:hAnsi="Arial"/>
                <w:sz w:val="14"/>
                <w:szCs w:val="14"/>
                <w:color w:val="auto"/>
              </w:rPr>
              <w:t>Year Ended</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December 31, 2025</w:t>
            </w:r>
          </w:p>
        </w:tc>
        <w:tc>
          <w:tcPr>
            <w:tcW w:w="200" w:type="dxa"/>
            <w:vAlign w:val="bottom"/>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2024</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Change</w:t>
            </w:r>
          </w:p>
        </w:tc>
      </w:tr>
      <w:tr>
        <w:trPr>
          <w:trHeight w:val="142"/>
        </w:trPr>
        <w:tc>
          <w:tcPr>
            <w:tcW w:w="4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80" w:type="dxa"/>
            <w:vAlign w:val="bottom"/>
            <w:gridSpan w:val="3"/>
          </w:tcPr>
          <w:p>
            <w:pPr>
              <w:jc w:val="right"/>
              <w:ind w:right="346"/>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Personnel and related costs</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33,139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42,398</w:t>
            </w:r>
          </w:p>
        </w:tc>
        <w:tc>
          <w:tcPr>
            <w:tcW w:w="11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(9,259)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Facility and other allocated costs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20"/>
                <w:szCs w:val="20"/>
                <w:color w:val="auto"/>
              </w:rPr>
              <w:t>22,118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22,485</w:t>
            </w:r>
          </w:p>
        </w:tc>
        <w:tc>
          <w:tcPr>
            <w:tcW w:w="112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(367)</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laboratory</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36,371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30,655</w:t>
            </w:r>
          </w:p>
        </w:tc>
        <w:tc>
          <w:tcPr>
            <w:tcW w:w="11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5,716</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20"/>
                <w:szCs w:val="20"/>
                <w:color w:val="auto"/>
              </w:rPr>
              <w:t>4,039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11,706</w:t>
            </w:r>
          </w:p>
        </w:tc>
        <w:tc>
          <w:tcPr>
            <w:tcW w:w="112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(7,667)</w:t>
            </w:r>
          </w:p>
        </w:tc>
      </w:tr>
      <w:tr>
        <w:trPr>
          <w:trHeight w:val="210"/>
        </w:trPr>
        <w:tc>
          <w:tcPr>
            <w:tcW w:w="40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research and development expense</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95,667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107,244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98"/>
              </w:rPr>
              <w:t>$ (11,577)</w:t>
            </w:r>
          </w:p>
        </w:tc>
      </w:tr>
      <w:tr>
        <w:trPr>
          <w:trHeight w:val="20"/>
        </w:trPr>
        <w:tc>
          <w:tcPr>
            <w:tcW w:w="4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Research and development expenses were $95.7 million and $107.2 million for the years ended December 31, 2025 and 2024, respectively. The decrease of $11.6 million was primarily due to:</w:t>
      </w:r>
    </w:p>
    <w:p>
      <w:pPr>
        <w:spacing w:after="0" w:line="154" w:lineRule="exact"/>
        <w:rPr>
          <w:sz w:val="20"/>
          <w:szCs w:val="20"/>
          <w:color w:val="auto"/>
        </w:rPr>
      </w:pPr>
    </w:p>
    <w:p>
      <w:pPr>
        <w:ind w:left="720" w:right="1019" w:hanging="319"/>
        <w:spacing w:after="0" w:line="270" w:lineRule="auto"/>
        <w:tabs>
          <w:tab w:leader="none" w:pos="7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personnel and related costs of $9.3 million due to a reduction in research and development staff.;</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7" w:name="page118"/>
    <w:bookmarkEnd w:id="1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99" w:hanging="319"/>
        <w:spacing w:after="0" w:line="252" w:lineRule="auto"/>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other expense of $7.7 million was primarily driven by a decrease in collaboration costs due to the completion of the product candidate manufacturing campaign performed under our collaboration agreement with FCDI in 2024.</w:t>
      </w:r>
    </w:p>
    <w:p>
      <w:pPr>
        <w:spacing w:after="0" w:line="170" w:lineRule="exact"/>
        <w:rPr>
          <w:rFonts w:ascii="Times New Roman" w:cs="Times New Roman" w:eastAsia="Times New Roman" w:hAnsi="Times New Roman"/>
          <w:sz w:val="18"/>
          <w:szCs w:val="18"/>
          <w:color w:val="auto"/>
        </w:rPr>
      </w:pPr>
    </w:p>
    <w:p>
      <w:pPr>
        <w:ind w:left="720" w:right="99" w:hanging="319"/>
        <w:spacing w:after="0" w:line="270" w:lineRule="auto"/>
        <w:tabs>
          <w:tab w:leader="none" w:pos="7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above decreases were offset by an increase in research and laboratory costs of $5.7 million due to the progression of CALiPSO-1 and CNTY-308.</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0"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General and administrative expenses were $24.0 million and $33.2 million for the years ended December 31, 2025 and 2024, respectively. The decrease of $ 9.2 million was primarily the result of a decrease in legal fees associated with the Clade acquisition in 2024, a gain on lease modification of $1.4 million, a gain on the reduction of contingent consideration liability of $4.5 million, and a decrease in stock-based compensation of $3.4 million.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on long-lived assets and goodwill</w:t>
      </w:r>
    </w:p>
    <w:p>
      <w:pPr>
        <w:spacing w:after="0" w:line="196"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Impairment on long-lived assets were $6.8 million and $0.0 million for the years ended December 31, 2025 and 2024, respectively. This increase was due to an impairment charge taken on a portion of the right of use lease asset at the Company’s Philadelphia headquarters.</w:t>
      </w:r>
    </w:p>
    <w:p>
      <w:pPr>
        <w:spacing w:after="0" w:line="15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On December 31, 2024, the Company performed its annual impairment test of goodwill, and based on the result this test, we recorded a goodwill impairment charge of $4.3 million to write off goodwill. There was no similar expense associated with the impairment of goodwill for the year ended December 31, 2025.</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left="60" w:right="859"/>
        <w:spacing w:after="0" w:line="301" w:lineRule="auto"/>
        <w:rPr>
          <w:sz w:val="20"/>
          <w:szCs w:val="20"/>
          <w:color w:val="auto"/>
        </w:rPr>
      </w:pPr>
      <w:r>
        <w:rPr>
          <w:rFonts w:ascii="Arial" w:cs="Arial" w:eastAsia="Arial" w:hAnsi="Arial"/>
          <w:sz w:val="17"/>
          <w:szCs w:val="17"/>
          <w:color w:val="auto"/>
        </w:rPr>
        <w:t>Interest income was $7.3 million and $13.0 million for the years ended December 31, 2025 and 2024, respectively, which related to interest earned on our cash, cash equivalents, and investment balances.</w:t>
      </w:r>
    </w:p>
    <w:p>
      <w:pPr>
        <w:spacing w:after="0" w:line="90" w:lineRule="exact"/>
        <w:rPr>
          <w:sz w:val="20"/>
          <w:szCs w:val="20"/>
          <w:color w:val="auto"/>
        </w:rPr>
      </w:pPr>
    </w:p>
    <w:p>
      <w:pPr>
        <w:ind w:left="60" w:right="4419"/>
        <w:spacing w:after="0" w:line="446"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ind w:left="60" w:right="179"/>
        <w:spacing w:after="0" w:line="239" w:lineRule="auto"/>
        <w:rPr>
          <w:sz w:val="20"/>
          <w:szCs w:val="20"/>
          <w:color w:val="auto"/>
        </w:rPr>
      </w:pPr>
      <w:r>
        <w:rPr>
          <w:rFonts w:ascii="Arial" w:cs="Arial" w:eastAsia="Arial" w:hAnsi="Arial"/>
          <w:sz w:val="18"/>
          <w:szCs w:val="18"/>
          <w:color w:val="auto"/>
        </w:rPr>
        <w:t>To date, we have funded our operations from public and private issuances and sales of our equity securities, debt financing and collaboration revenues. Since our inception, we have raised approximately $793.0 million in net proceeds from the sales of our equity securities. As of December 31, 2025, we had cash, and cash equivalents of $61.9 million and investments of $55.3 million. Based on our research and development plans, we believe our existing cash, cash equivalents and investments, and the additional $126.7 million we received as net proceeds from our 2026 private placement will be sufficient to fund our operating expenses and capital expenditures requirements into the first quarter of 2029. Since our inception, we have incurred significant operating losses. We have not yet commercialized any products and we do not expect to generate revenue from sales of any product candidates for a number of years, if ever. We had an accumulated deficit of $796.9 million as of December 31, 2025.</w:t>
      </w:r>
    </w:p>
    <w:p>
      <w:pPr>
        <w:spacing w:after="0" w:line="16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In July 2022, we entered into a Sales Agreement, with Cowen and Company, LLC or Cowen, under which we may offer and sell, from time to time in our sole discretion, shares of our common stock, having an aggregate offering price of up to $150.0 million through Cowen as sales agent. In February of 2024, 4,084,502 shares of common stock were issued and sold pursuant to the Sales Agreement at a weighted-average price of $4.50 per share, resulting in approximately $18.4 million in gross proceeds. No shares were sold under the Sales Agreement in 2025.</w:t>
      </w:r>
    </w:p>
    <w:p>
      <w:pPr>
        <w:spacing w:after="0" w:line="16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In April 2024, we entered into a securities purchase agreement or, the 2024 Securities Purchase Agreement, with certain institutional accredited investors, or the 2024 Investors, pursuant to which we issued and sold to the 2024 Investors in a private placement an aggregate of 15,873,011 shares of common stock, or the Private</w:t>
      </w:r>
    </w:p>
    <w:p>
      <w:pPr>
        <w:sectPr>
          <w:pgSz w:w="11900" w:h="16838" w:orient="portrait"/>
          <w:cols w:equalWidth="0" w:num="1">
            <w:col w:w="9019"/>
          </w:cols>
          <w:pgMar w:left="1440" w:top="512"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8" w:name="page119"/>
    <w:bookmarkEnd w:id="1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Placement Shares, at a price of $3.78 per share, or the 2024 Private Placement. We received aggregate gross proceeds from the 2024 Private Placement of approximately $60.0 million, before deducting placement agent fees and offering expenses.</w:t>
      </w:r>
    </w:p>
    <w:p>
      <w:pPr>
        <w:spacing w:after="0" w:line="15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January 2026, we entered into a securities purchase agreement with certain institutional accredited investors, or the 2026 Investors, pursuant to which we issued and sold to the 2026 Investors in a private placement (a) (i) 92,030,595 shares of common stock, (ii) pre-funded warrants to purchase 25,360,704 shares of common stock, or the Pre-Funded Warrants and (b) warrants to purchase 58,695,648 shares of common stock or Pre-Funded Warrants in lieu thereof, or the Common Warrants, together with the Pre -Funded Warrants, the “Warrants” at a purchase price of $1.15 per share and accompanying Common Warrant to purchase 0.5 shares of common stock or Pre-Funded Warrant and a purchase price of $1.1499 per Pre-Funded Warrant and accompanying Common Warrant to purchase 0.5 shares of common stock or Pre-Funded Warrant, or the 2026 Private Placement.</w:t>
      </w:r>
    </w:p>
    <w:p>
      <w:pPr>
        <w:spacing w:after="0" w:line="170"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We received net proceeds from the 2026 Private Placement, after deducting the underwriting discount and commissions and other estimated offering expenses, of approximately $126.7 million.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funding requirements</w:t>
      </w:r>
    </w:p>
    <w:p>
      <w:pPr>
        <w:spacing w:after="0" w:line="18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720" w:right="239" w:hanging="319"/>
        <w:spacing w:after="0" w:line="270" w:lineRule="auto"/>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979" w:hanging="319"/>
        <w:spacing w:after="0" w:line="270" w:lineRule="auto"/>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224" w:lineRule="exact"/>
        <w:rPr>
          <w:rFonts w:ascii="Times New Roman" w:cs="Times New Roman" w:eastAsia="Times New Roman" w:hAnsi="Times New Roman"/>
          <w:sz w:val="18"/>
          <w:szCs w:val="18"/>
          <w:color w:val="auto"/>
        </w:rPr>
      </w:pPr>
    </w:p>
    <w:p>
      <w:pPr>
        <w:ind w:left="720" w:right="1019" w:hanging="319"/>
        <w:spacing w:after="0" w:line="270" w:lineRule="auto"/>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299" w:hanging="319"/>
        <w:spacing w:after="0" w:line="270" w:lineRule="auto"/>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54" w:lineRule="exact"/>
        <w:rPr>
          <w:rFonts w:ascii="Times New Roman" w:cs="Times New Roman" w:eastAsia="Times New Roman" w:hAnsi="Times New Roman"/>
          <w:sz w:val="18"/>
          <w:szCs w:val="18"/>
          <w:color w:val="auto"/>
        </w:rPr>
      </w:pPr>
    </w:p>
    <w:p>
      <w:pPr>
        <w:ind w:left="720" w:right="99" w:hanging="319"/>
        <w:spacing w:after="0" w:line="246" w:lineRule="auto"/>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76" w:lineRule="exact"/>
        <w:rPr>
          <w:rFonts w:ascii="Times New Roman" w:cs="Times New Roman" w:eastAsia="Times New Roman" w:hAnsi="Times New Roman"/>
          <w:sz w:val="18"/>
          <w:szCs w:val="18"/>
          <w:color w:val="auto"/>
        </w:rPr>
      </w:pPr>
    </w:p>
    <w:p>
      <w:pPr>
        <w:ind w:left="720" w:right="179" w:hanging="319"/>
        <w:spacing w:after="0" w:line="252" w:lineRule="auto"/>
        <w:tabs>
          <w:tab w:leader="none" w:pos="7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9" w:name="page120"/>
    <w:bookmarkEnd w:id="1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hanging="319"/>
        <w:spacing w:after="0" w:line="270" w:lineRule="auto"/>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costs of operating as a public company;</w:t>
      </w:r>
    </w:p>
    <w:p>
      <w:pPr>
        <w:spacing w:after="0" w:line="224"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22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pandemics,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ind w:right="398"/>
              <w:spacing w:after="0"/>
              <w:rPr>
                <w:sz w:val="20"/>
                <w:szCs w:val="20"/>
                <w:color w:val="auto"/>
              </w:rPr>
            </w:pPr>
            <w:r>
              <w:rPr>
                <w:rFonts w:ascii="Arial" w:cs="Arial" w:eastAsia="Arial" w:hAnsi="Arial"/>
                <w:sz w:val="14"/>
                <w:szCs w:val="14"/>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96"/>
              <w:spacing w:after="0"/>
              <w:rPr>
                <w:sz w:val="20"/>
                <w:szCs w:val="20"/>
                <w:color w:val="auto"/>
              </w:rPr>
            </w:pPr>
            <w:r>
              <w:rPr>
                <w:rFonts w:ascii="Arial" w:cs="Arial" w:eastAsia="Arial" w:hAnsi="Arial"/>
                <w:sz w:val="14"/>
                <w:szCs w:val="14"/>
                <w:color w:val="auto"/>
              </w:rPr>
              <w:t>Year ended</w:t>
            </w:r>
          </w:p>
        </w:tc>
      </w:tr>
      <w:tr>
        <w:trPr>
          <w:trHeight w:val="171"/>
        </w:trPr>
        <w:tc>
          <w:tcPr>
            <w:tcW w:w="5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December 31, 2025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December 31, 2024</w:t>
            </w:r>
          </w:p>
        </w:tc>
      </w:tr>
      <w:tr>
        <w:trPr>
          <w:trHeight w:val="142"/>
        </w:trPr>
        <w:tc>
          <w:tcPr>
            <w:tcW w:w="5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gridSpan w:val="4"/>
          </w:tcPr>
          <w:p>
            <w:pPr>
              <w:jc w:val="right"/>
              <w:ind w:right="1136"/>
              <w:spacing w:after="0" w:line="142" w:lineRule="exact"/>
              <w:rPr>
                <w:sz w:val="20"/>
                <w:szCs w:val="20"/>
                <w:color w:val="auto"/>
              </w:rPr>
            </w:pPr>
            <w:r>
              <w:rPr>
                <w:rFonts w:ascii="Arial" w:cs="Arial" w:eastAsia="Arial" w:hAnsi="Arial"/>
                <w:sz w:val="14"/>
                <w:szCs w:val="14"/>
                <w:color w:val="auto"/>
              </w:rPr>
              <w:t>(in thousands)</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(103,876)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(110,135)</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47,482</w:t>
            </w:r>
          </w:p>
        </w:tc>
      </w:tr>
      <w:tr>
        <w:trPr>
          <w:trHeight w:val="203"/>
        </w:trPr>
        <w:tc>
          <w:tcPr>
            <w:tcW w:w="51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Financing activities</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74,563</w:t>
            </w:r>
          </w:p>
        </w:tc>
      </w:tr>
      <w:tr>
        <w:trPr>
          <w:trHeight w:val="196"/>
        </w:trPr>
        <w:tc>
          <w:tcPr>
            <w:tcW w:w="5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11,910</w:t>
            </w:r>
          </w:p>
        </w:tc>
      </w:tr>
      <w:tr>
        <w:trPr>
          <w:trHeight w:val="20"/>
        </w:trPr>
        <w:tc>
          <w:tcPr>
            <w:tcW w:w="5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37" w:lineRule="exact"/>
        <w:rPr>
          <w:sz w:val="20"/>
          <w:szCs w:val="20"/>
          <w:color w:val="auto"/>
        </w:rPr>
      </w:pPr>
    </w:p>
    <w:p>
      <w:pPr>
        <w:jc w:val="both"/>
        <w:ind w:left="60" w:right="239"/>
        <w:spacing w:after="0" w:line="247" w:lineRule="auto"/>
        <w:rPr>
          <w:sz w:val="20"/>
          <w:szCs w:val="20"/>
          <w:color w:val="auto"/>
        </w:rPr>
      </w:pPr>
      <w:r>
        <w:rPr>
          <w:rFonts w:ascii="Arial" w:cs="Arial" w:eastAsia="Arial" w:hAnsi="Arial"/>
          <w:sz w:val="18"/>
          <w:szCs w:val="18"/>
          <w:color w:val="auto"/>
        </w:rPr>
        <w:t>Net cash used in operating activities was $103.9 million and $110.1 million for the years ended December 31, 2025 and 2024, respectively. Net cash used in operating activities during the year ended December 31, 2025 consisted primarily of a net loss of $9.6 million, offset by the impact of non-cash charges and the impact of the recognition of the remaining BMS revenues in 2025 of $109.2 million.</w:t>
      </w:r>
    </w:p>
    <w:p>
      <w:pPr>
        <w:spacing w:after="0" w:line="214" w:lineRule="exact"/>
        <w:rPr>
          <w:sz w:val="20"/>
          <w:szCs w:val="20"/>
          <w:color w:val="auto"/>
        </w:rPr>
      </w:pPr>
    </w:p>
    <w:p>
      <w:pPr>
        <w:ind w:left="60" w:right="399"/>
        <w:spacing w:after="0" w:line="275" w:lineRule="auto"/>
        <w:rPr>
          <w:sz w:val="20"/>
          <w:szCs w:val="20"/>
          <w:color w:val="auto"/>
        </w:rPr>
      </w:pPr>
      <w:r>
        <w:rPr>
          <w:rFonts w:ascii="Arial" w:cs="Arial" w:eastAsia="Arial" w:hAnsi="Arial"/>
          <w:sz w:val="17"/>
          <w:szCs w:val="17"/>
          <w:color w:val="auto"/>
        </w:rPr>
        <w:t>The non-cash charges of $20.3 million consisted primarily of $13.1 million for depreciation, stock-based compensation expense of $6.8 million, non-cash operating lease expense for $1.9 million and impairment of long-lived asset of $6.8 million. These charges were offset by accretion of investments of $2.4 million, gain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0" w:name="page121"/>
    <w:bookmarkEnd w:id="1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on reduction in lease liability due to lease termination of $1.4 million and change in fair value of contingent consideration liability of $4.5 million.</w:t>
      </w:r>
    </w:p>
    <w:p>
      <w:pPr>
        <w:spacing w:after="0" w:line="14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Net cash used in operating activities was $110.1 million for the year ended December 31, 2024. Net cash used in operating activities during the year ended December 31, 2024 consisted primarily of a net loss of $126.6 million. The non-cash charges of $25.7 million consisted primarily of $ 13.3 million for depreciation, stock-based compensation expense of $ 12.7 million, and impairment of goodwill of $4.3 million. These charges were offset by accretion of investments of $4.8 million and gain on contingent consideration liability of $1.4 million.</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Cash provided by investing activities was $107.5 million and $47.5 million for the years ended December 31, 2025 and 2024, respectively. Cash provided by investing activities for the year ended December 31, 2025 consisted primarily of the sale of fixed maturity securities of $159.5 million, which was partially offset by purchases of fixed maturity securities of $51.2 million and acquisition of property and equipment of $0.8 million.</w:t>
      </w:r>
    </w:p>
    <w:p>
      <w:pPr>
        <w:spacing w:after="0" w:line="15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Cash provided by investing activities was $47.5 million for the year ended December 31, 2024. Cash provided by investing activities for the year ended December 31, 2024 consisted primarily of the sale of fixed maturity securities of $176.8 million, which was partially offset by purchases of fixed maturity securities of $119.5 million and acquisition of Clade for $9.6 million.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 xml:space="preserve">Cash provided by financing activities was $0.2 million and $74.6 million for the years ended December 31, 2025, and 2024, respectively. </w:t>
      </w:r>
      <w:r>
        <w:rPr>
          <w:rFonts w:ascii="Arial" w:cs="Arial" w:eastAsia="Arial" w:hAnsi="Arial"/>
          <w:sz w:val="18"/>
          <w:szCs w:val="18"/>
          <w:color w:val="212529"/>
        </w:rPr>
        <w:t>Cash provided by financing activities for the year ended December 31, 2025 was</w:t>
      </w:r>
      <w:r>
        <w:rPr>
          <w:rFonts w:ascii="Arial" w:cs="Arial" w:eastAsia="Arial" w:hAnsi="Arial"/>
          <w:sz w:val="18"/>
          <w:szCs w:val="18"/>
          <w:color w:val="auto"/>
        </w:rPr>
        <w:t xml:space="preserve"> </w:t>
      </w:r>
      <w:r>
        <w:rPr>
          <w:rFonts w:ascii="Arial" w:cs="Arial" w:eastAsia="Arial" w:hAnsi="Arial"/>
          <w:sz w:val="18"/>
          <w:szCs w:val="18"/>
          <w:color w:val="212529"/>
        </w:rPr>
        <w:t>from issuance of our common stock from equity incentive plans pursuant to the exercise of employee stock options.</w:t>
      </w:r>
    </w:p>
    <w:p>
      <w:pPr>
        <w:spacing w:after="0" w:line="17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Cash provided by financing activities was $74.6 million for the year ended December 31, 2024 and consisted of $17.8 million from proceeds from our at-the-market capital raise, $ 56.6 million from proceeds from our 2024 Private Placement, and $ 0.1 million from issuance of our common stock from equity incentive plans pursuant to the exercise of employee stock options.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1" w:name="page122"/>
    <w:bookmarkEnd w:id="1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5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Payments Due by Period</w:t>
            </w:r>
          </w:p>
        </w:tc>
      </w:tr>
      <w:tr>
        <w:trPr>
          <w:trHeight w:val="155"/>
        </w:trPr>
        <w:tc>
          <w:tcPr>
            <w:tcW w:w="2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1 Year</w:t>
            </w:r>
          </w:p>
        </w:tc>
        <w:tc>
          <w:tcPr>
            <w:tcW w:w="102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1 to 3 Years</w:t>
            </w:r>
          </w:p>
        </w:tc>
        <w:tc>
          <w:tcPr>
            <w:tcW w:w="9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3 to 5 Years</w:t>
            </w:r>
          </w:p>
        </w:tc>
        <w:tc>
          <w:tcPr>
            <w:tcW w:w="13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More than 5 Years</w:t>
            </w:r>
          </w:p>
        </w:tc>
        <w:tc>
          <w:tcPr>
            <w:tcW w:w="100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color w:val="auto"/>
              </w:rPr>
              <w:t>Total</w:t>
            </w:r>
          </w:p>
        </w:tc>
      </w:tr>
      <w:tr>
        <w:trPr>
          <w:trHeight w:val="156"/>
        </w:trPr>
        <w:tc>
          <w:tcPr>
            <w:tcW w:w="25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6"/>
        </w:trPr>
        <w:tc>
          <w:tcPr>
            <w:tcW w:w="2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leases</w:t>
            </w:r>
          </w:p>
        </w:tc>
        <w:tc>
          <w:tcPr>
            <w:tcW w:w="1980" w:type="dxa"/>
            <w:vAlign w:val="bottom"/>
            <w:gridSpan w:val="2"/>
            <w:shd w:val="clear" w:color="auto" w:fill="CCEEFF"/>
          </w:tcPr>
          <w:p>
            <w:pPr>
              <w:ind w:left="1180"/>
              <w:spacing w:after="0" w:line="196" w:lineRule="exact"/>
              <w:rPr>
                <w:sz w:val="20"/>
                <w:szCs w:val="20"/>
                <w:color w:val="auto"/>
              </w:rPr>
            </w:pPr>
            <w:r>
              <w:rPr>
                <w:rFonts w:ascii="Arial" w:cs="Arial" w:eastAsia="Arial" w:hAnsi="Arial"/>
                <w:sz w:val="18"/>
                <w:szCs w:val="18"/>
                <w:color w:val="auto"/>
              </w:rPr>
              <w:t>​​​$ 7,340</w:t>
            </w:r>
          </w:p>
        </w:tc>
        <w:tc>
          <w:tcPr>
            <w:tcW w:w="102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​​​$ 14,942</w:t>
            </w:r>
          </w:p>
        </w:tc>
        <w:tc>
          <w:tcPr>
            <w:tcW w:w="9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​​​$ 15,709</w:t>
            </w:r>
          </w:p>
        </w:tc>
        <w:tc>
          <w:tcPr>
            <w:tcW w:w="50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25,955</w:t>
            </w:r>
          </w:p>
        </w:tc>
        <w:tc>
          <w:tcPr>
            <w:tcW w:w="1000" w:type="dxa"/>
            <w:vAlign w:val="bottom"/>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​​​$ 63,946</w:t>
            </w:r>
          </w:p>
        </w:tc>
      </w:tr>
    </w:tbl>
    <w:p>
      <w:pPr>
        <w:spacing w:after="0" w:line="184"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Our lease in Watertown, MA commenced in January, 2026, and it will add approximately $7.3 million to our future operating lease commitments</w:t>
      </w:r>
      <w:r>
        <w:rPr>
          <w:rFonts w:ascii="Arial" w:cs="Arial" w:eastAsia="Arial" w:hAnsi="Arial"/>
          <w:sz w:val="18"/>
          <w:szCs w:val="18"/>
          <w:color w:val="FF0000"/>
        </w:rPr>
        <w:t>.</w:t>
      </w:r>
    </w:p>
    <w:p>
      <w:pPr>
        <w:spacing w:after="0" w:line="154"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and merger agreements as of December 31, 2025 are contingent upon future events such as our achievement of pre-specified development, regulatory, and commercial milestones, or royalties on net product sales. As of December 31, 2025, the timing and likelihood of achieving the milestones and success payments and generating future product sales are uncertain and therefore, any related payments are not included in the table above. 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9 “Commitments and contingencies” for additional information.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commitments under operating leases for certain facilities used in our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76" w:lineRule="exact"/>
        <w:rPr>
          <w:sz w:val="20"/>
          <w:szCs w:val="20"/>
          <w:color w:val="auto"/>
        </w:rPr>
      </w:pPr>
    </w:p>
    <w:p>
      <w:pPr>
        <w:ind w:left="720" w:right="299" w:hanging="319"/>
        <w:spacing w:after="0" w:line="270" w:lineRule="auto"/>
        <w:tabs>
          <w:tab w:leader="none" w:pos="7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224" w:lineRule="exact"/>
        <w:rPr>
          <w:rFonts w:ascii="Times New Roman" w:cs="Times New Roman" w:eastAsia="Times New Roman" w:hAnsi="Times New Roman"/>
          <w:sz w:val="18"/>
          <w:szCs w:val="18"/>
          <w:color w:val="auto"/>
        </w:rPr>
      </w:pPr>
    </w:p>
    <w:p>
      <w:pPr>
        <w:ind w:left="720" w:right="359" w:hanging="319"/>
        <w:spacing w:after="0" w:line="252" w:lineRule="auto"/>
        <w:tabs>
          <w:tab w:leader="none" w:pos="7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70" w:lineRule="exact"/>
        <w:rPr>
          <w:rFonts w:ascii="Times New Roman" w:cs="Times New Roman" w:eastAsia="Times New Roman" w:hAnsi="Times New Roman"/>
          <w:sz w:val="18"/>
          <w:szCs w:val="18"/>
          <w:color w:val="auto"/>
        </w:rPr>
      </w:pPr>
    </w:p>
    <w:p>
      <w:pPr>
        <w:ind w:left="720" w:right="179" w:hanging="319"/>
        <w:spacing w:after="0" w:line="270" w:lineRule="auto"/>
        <w:tabs>
          <w:tab w:leader="none" w:pos="7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2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2" w:name="page123"/>
    <w:bookmarkEnd w:id="1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 billion in non-convertible debt securities during the prior three-year period.</w:t>
      </w:r>
    </w:p>
    <w:p>
      <w:pPr>
        <w:spacing w:after="0" w:line="185"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We are also a “smaller reporting company.”We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0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recognize revenue in accordance with ASC Topic 606, Revenue from Contracts with Customers, or ASC</w:t>
      </w:r>
    </w:p>
    <w:p>
      <w:pPr>
        <w:spacing w:after="0" w:line="14" w:lineRule="exact"/>
        <w:rPr>
          <w:sz w:val="20"/>
          <w:szCs w:val="20"/>
          <w:color w:val="auto"/>
        </w:rPr>
      </w:pPr>
    </w:p>
    <w:p>
      <w:pPr>
        <w:ind w:left="60" w:right="239" w:hanging="10"/>
        <w:spacing w:after="0" w:line="24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This standard applies to all contracts with customers. When an agreement falls under the scope of other standards, such as ASC Topic 808, Collaborative Arrangements, or ASC 808, we will apply the recognition, measurement, presentation, and disclosure guidance in ASC 606 to the performance obligations in the agreements if those performance obligations are with a customer. Revenue recognized by analogizing to ASC</w:t>
      </w:r>
    </w:p>
    <w:p>
      <w:pPr>
        <w:spacing w:after="0" w:line="2" w:lineRule="exact"/>
        <w:rPr>
          <w:rFonts w:ascii="Arial" w:cs="Arial" w:eastAsia="Arial" w:hAnsi="Arial"/>
          <w:sz w:val="17"/>
          <w:szCs w:val="17"/>
          <w:color w:val="auto"/>
        </w:rPr>
      </w:pPr>
    </w:p>
    <w:p>
      <w:pPr>
        <w:ind w:left="400" w:hanging="350"/>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 recorded as collaboration revenue on the statements of operations.</w:t>
      </w:r>
    </w:p>
    <w:p>
      <w:pPr>
        <w:spacing w:after="0" w:line="8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3" w:name="page124"/>
    <w:bookmarkEnd w:id="1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to the performance obligations on a relative stand-alone selling price basis; and (v) recognition of revenue when (or as) we satisfy each performance obligation.</w:t>
      </w:r>
    </w:p>
    <w:p>
      <w:pPr>
        <w:spacing w:after="0" w:line="4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part of the accounting for these arrangements, we must use our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We also apply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78"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not determined to represent a material right, no transaction price is allocated to these options and we will account for these options at that time they are exercised. If the customer options are determined to represent a material right, the material right is recognized as a separate performance obligation at the outset of the arrangement.</w:t>
      </w:r>
    </w:p>
    <w:p>
      <w:pPr>
        <w:spacing w:after="0" w:line="72"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The obligations under our collaboration agreements may include research and development services to be performed by us for or on behalf of the customer. Amounts allocated to these performance obligations are recognized as we perform these obligations, and revenue is measures based on an inputs method of costs incurred to date of budgeted costs. Under certain circumstances, we may be reimbursed for certain expenses incurred under the research and development services.</w:t>
      </w:r>
    </w:p>
    <w:p>
      <w:pPr>
        <w:spacing w:after="0" w:line="6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we evaluate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us or the licensee,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185" w:lineRule="exact"/>
        <w:rPr>
          <w:sz w:val="20"/>
          <w:szCs w:val="20"/>
          <w:color w:val="auto"/>
        </w:rPr>
      </w:pPr>
    </w:p>
    <w:p>
      <w:pPr>
        <w:jc w:val="both"/>
        <w:ind w:left="60" w:right="259"/>
        <w:spacing w:after="0" w:line="301" w:lineRule="auto"/>
        <w:rPr>
          <w:sz w:val="20"/>
          <w:szCs w:val="20"/>
          <w:color w:val="auto"/>
        </w:rPr>
      </w:pPr>
      <w:r>
        <w:rPr>
          <w:rFonts w:ascii="Arial" w:cs="Arial" w:eastAsia="Arial" w:hAnsi="Arial"/>
          <w:sz w:val="17"/>
          <w:szCs w:val="17"/>
          <w:color w:val="auto"/>
        </w:rPr>
        <w:t>Clinical trial costs are a component of research and development expenses. We expense costs for our clinical trial activities performed by third parties, including clinical research organizations and other service providers,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4" w:name="page125"/>
    <w:bookmarkEnd w:id="1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as they are incurred, based upon estimates of the work completed over the life of the individual study in accordance with associated agreements. We use information it receives from internal personnel and external service providers to estimate the clinical trial costs incurred.</w:t>
      </w:r>
    </w:p>
    <w:p>
      <w:pPr>
        <w:spacing w:after="0" w:line="169"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 in future periods.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Our long-lived assets, including right-of-use assets, are reviewed for impairment whenever events or changes in circumstances indicate that the carrying amount of an asset may not be recoverable. Recoverability is measured by comparison of the carrying amount of an asset group to the future net undiscounted cash flows that the assets are expected to generate. The long-lived assets recoverability test is performed at the asset group level, i.e., the lowest level for which identifiable cash flows are largely independent of the cash flows of other assets and liabilities. If this test indicates that the carrying amount of the asset group is not recoverable, an impairment loss is measured as the amount by which the carrying amount of an asset group exceeds its fair value. Any impairment loss is allocated to the long-lived assets of the group on a pro rata basis using the relative carrying amounts of those assets, except that the carrying amount of an individual asset shall not be reduced below its fair value.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indefinite-lived intangible assets</w:t>
      </w:r>
    </w:p>
    <w:p>
      <w:pPr>
        <w:spacing w:after="0" w:line="169" w:lineRule="exact"/>
        <w:rPr>
          <w:sz w:val="20"/>
          <w:szCs w:val="20"/>
          <w:color w:val="auto"/>
        </w:rPr>
      </w:pPr>
    </w:p>
    <w:p>
      <w:pPr>
        <w:ind w:left="60" w:right="79"/>
        <w:spacing w:after="0" w:line="228" w:lineRule="exact"/>
        <w:rPr>
          <w:sz w:val="20"/>
          <w:szCs w:val="20"/>
          <w:color w:val="auto"/>
        </w:rPr>
      </w:pPr>
      <w:r>
        <w:rPr>
          <w:rFonts w:ascii="Arial" w:cs="Arial" w:eastAsia="Arial" w:hAnsi="Arial"/>
          <w:sz w:val="18"/>
          <w:szCs w:val="18"/>
          <w:color w:val="auto"/>
        </w:rPr>
        <w:t>We classify certain acquired in</w:t>
      </w:r>
      <w:r>
        <w:rPr>
          <w:rFonts w:ascii="MS PGothic" w:cs="MS PGothic" w:eastAsia="MS PGothic" w:hAnsi="MS PGothic"/>
          <w:sz w:val="18"/>
          <w:szCs w:val="18"/>
          <w:color w:val="auto"/>
        </w:rPr>
        <w:t>‑</w:t>
      </w:r>
      <w:r>
        <w:rPr>
          <w:rFonts w:ascii="Arial" w:cs="Arial" w:eastAsia="Arial" w:hAnsi="Arial"/>
          <w:sz w:val="18"/>
          <w:szCs w:val="18"/>
          <w:color w:val="auto"/>
        </w:rPr>
        <w:t>process research and development (“IPR&amp;D”) assets as indefinite</w:t>
      </w:r>
      <w:r>
        <w:rPr>
          <w:rFonts w:ascii="MS PGothic" w:cs="MS PGothic" w:eastAsia="MS PGothic" w:hAnsi="MS PGothic"/>
          <w:sz w:val="18"/>
          <w:szCs w:val="18"/>
          <w:color w:val="auto"/>
        </w:rPr>
        <w:t>‑</w:t>
      </w:r>
      <w:r>
        <w:rPr>
          <w:rFonts w:ascii="Arial" w:cs="Arial" w:eastAsia="Arial" w:hAnsi="Arial"/>
          <w:sz w:val="18"/>
          <w:szCs w:val="18"/>
          <w:color w:val="auto"/>
        </w:rPr>
        <w:t>lived until the completion or abandonment of the associated development efforts.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are not amortized but are tested for impairment at least annually, or more frequently if events or changes in circumstances indicate that it is more likely than not that the asset is impaired.</w:t>
      </w:r>
    </w:p>
    <w:p>
      <w:pPr>
        <w:spacing w:after="0" w:line="142" w:lineRule="exact"/>
        <w:rPr>
          <w:sz w:val="20"/>
          <w:szCs w:val="20"/>
          <w:color w:val="auto"/>
        </w:rPr>
      </w:pPr>
    </w:p>
    <w:p>
      <w:pPr>
        <w:ind w:left="60" w:right="499"/>
        <w:spacing w:after="0" w:line="247" w:lineRule="exact"/>
        <w:rPr>
          <w:sz w:val="20"/>
          <w:szCs w:val="20"/>
          <w:color w:val="auto"/>
        </w:rPr>
      </w:pPr>
      <w:r>
        <w:rPr>
          <w:rFonts w:ascii="Arial" w:cs="Arial" w:eastAsia="Arial" w:hAnsi="Arial"/>
          <w:sz w:val="18"/>
          <w:szCs w:val="18"/>
          <w:color w:val="auto"/>
        </w:rPr>
        <w:t>The impairment test compares the carrying value of the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 to its estimated fair value. If the carrying value exceeds fair value, an impairment charge is recognized equal to the excess.</w:t>
      </w:r>
    </w:p>
    <w:p>
      <w:pPr>
        <w:spacing w:after="0" w:line="181"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We may first perform a qualitative assessment to evaluate whether it is more likely than not that the fair value of the asset is less than its carrying amount. If we determine that a quantitative impairment test is required, we estimate fair value using an income approach based on discounted cash flows. Significant assumptions used in the valuation include projected revenues, probability of regulatory approval, estimated development and commercialization timelines, market penetration, pricing, operating margins, terminal growth rates, and discount rates.</w:t>
      </w:r>
    </w:p>
    <w:p>
      <w:pPr>
        <w:spacing w:after="0" w:line="179" w:lineRule="exact"/>
        <w:rPr>
          <w:sz w:val="20"/>
          <w:szCs w:val="20"/>
          <w:color w:val="auto"/>
        </w:rPr>
      </w:pPr>
    </w:p>
    <w:p>
      <w:pPr>
        <w:ind w:left="60" w:right="459"/>
        <w:spacing w:after="0" w:line="253" w:lineRule="auto"/>
        <w:rPr>
          <w:sz w:val="20"/>
          <w:szCs w:val="20"/>
          <w:color w:val="auto"/>
        </w:rPr>
      </w:pPr>
      <w:r>
        <w:rPr>
          <w:rFonts w:ascii="Arial" w:cs="Arial" w:eastAsia="Arial" w:hAnsi="Arial"/>
          <w:sz w:val="18"/>
          <w:szCs w:val="18"/>
          <w:color w:val="auto"/>
        </w:rPr>
        <w:t>The estimation of fair value requires significant judgment and is sensitive to changes in key assumptions, particularly those related to regulatory approval, competitive dynamics, and the timing and amount of future cash flows. Changes in these assumptions could result in an impairment charge in future periods.</w:t>
      </w:r>
    </w:p>
    <w:p>
      <w:pPr>
        <w:spacing w:after="0" w:line="129" w:lineRule="exact"/>
        <w:rPr>
          <w:sz w:val="20"/>
          <w:szCs w:val="20"/>
          <w:color w:val="auto"/>
        </w:rPr>
      </w:pPr>
    </w:p>
    <w:p>
      <w:pPr>
        <w:jc w:val="both"/>
        <w:ind w:left="60" w:right="319"/>
        <w:spacing w:after="0" w:line="232" w:lineRule="exact"/>
        <w:rPr>
          <w:sz w:val="20"/>
          <w:szCs w:val="20"/>
          <w:color w:val="auto"/>
        </w:rPr>
      </w:pPr>
      <w:r>
        <w:rPr>
          <w:rFonts w:ascii="Arial" w:cs="Arial" w:eastAsia="Arial" w:hAnsi="Arial"/>
          <w:sz w:val="18"/>
          <w:szCs w:val="18"/>
          <w:color w:val="auto"/>
        </w:rPr>
        <w:t>During the year ended December 31, 2025, we performed our annual impairment test for our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and determined that no impairment was required. However, adverse changes in clinical trial results, regulatory outcomes, or market conditions could result in future impairment charges.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5" w:name="page126"/>
    <w:bookmarkEnd w:id="1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and liquidity risk</w:t>
      </w:r>
    </w:p>
    <w:p>
      <w:pPr>
        <w:spacing w:after="0" w:line="210" w:lineRule="exact"/>
        <w:rPr>
          <w:sz w:val="20"/>
          <w:szCs w:val="20"/>
          <w:color w:val="auto"/>
        </w:rPr>
      </w:pPr>
    </w:p>
    <w:p>
      <w:pPr>
        <w:ind w:left="60" w:right="119"/>
        <w:spacing w:after="0" w:line="261" w:lineRule="auto"/>
        <w:rPr>
          <w:sz w:val="20"/>
          <w:szCs w:val="20"/>
          <w:color w:val="auto"/>
        </w:rPr>
      </w:pPr>
      <w:r>
        <w:rPr>
          <w:rFonts w:ascii="Arial" w:cs="Arial" w:eastAsia="Arial" w:hAnsi="Arial"/>
          <w:sz w:val="17"/>
          <w:szCs w:val="17"/>
          <w:color w:val="auto"/>
        </w:rPr>
        <w:t>We had cash, cash equivalents, and restricted cash of $65 million as of December 31, 2025, which consisted of bank deposits and money market funds. We also had investments of $55.3 million as of December 31, 2025.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Instability</w:t>
      </w:r>
    </w:p>
    <w:p>
      <w:pPr>
        <w:spacing w:after="0" w:line="12"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Future disruptions of financial institutions where we bank or have credit arrangements, or disruptions of the financial service industry in general, could adversely affect our ability to access our cash and cash equivalents.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10"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768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320" w:type="dxa"/>
            <w:vAlign w:val="bottom"/>
            <w:gridSpan w:val="6"/>
          </w:tcPr>
          <w:p>
            <w:pPr>
              <w:jc w:val="center"/>
              <w:ind w:right="1140"/>
              <w:spacing w:after="0"/>
              <w:rPr>
                <w:sz w:val="20"/>
                <w:szCs w:val="20"/>
                <w:color w:val="auto"/>
              </w:rPr>
            </w:pPr>
            <w:r>
              <w:rPr>
                <w:rFonts w:ascii="Arial" w:cs="Arial" w:eastAsia="Arial" w:hAnsi="Arial"/>
                <w:sz w:val="18"/>
                <w:szCs w:val="18"/>
                <w:b w:val="1"/>
                <w:bCs w:val="1"/>
                <w:color w:val="auto"/>
                <w:w w:val="99"/>
              </w:rPr>
              <w:t>CENTURY THERAPEUTICS, INC.</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320" w:type="dxa"/>
            <w:vAlign w:val="bottom"/>
            <w:gridSpan w:val="6"/>
          </w:tcPr>
          <w:p>
            <w:pPr>
              <w:jc w:val="center"/>
              <w:ind w:right="116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80" w:type="dxa"/>
            <w:vAlign w:val="bottom"/>
            <w:gridSpan w:val="8"/>
            <w:vMerge w:val="restart"/>
          </w:tcPr>
          <w:p>
            <w:pPr>
              <w:spacing w:after="0"/>
              <w:rPr>
                <w:sz w:val="20"/>
                <w:szCs w:val="20"/>
                <w:color w:val="auto"/>
              </w:rPr>
            </w:pPr>
            <w:r>
              <w:rPr>
                <w:rFonts w:ascii="Arial" w:cs="Arial" w:eastAsia="Arial" w:hAnsi="Arial"/>
                <w:sz w:val="18"/>
                <w:szCs w:val="18"/>
                <w:color w:val="0000EE"/>
              </w:rPr>
              <w:t>Report of Ernst &amp; Young, LLP, Independent Registered Public Accounting Firm, Philadelphia,</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7"/>
        </w:trPr>
        <w:tc>
          <w:tcPr>
            <w:tcW w:w="7680" w:type="dxa"/>
            <w:vAlign w:val="bottom"/>
            <w:gridSpan w:val="8"/>
            <w:vMerge w:val="continue"/>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 xml:space="preserve">Pennsylvania, </w:t>
            </w:r>
            <w:r>
              <w:rPr>
                <w:rFonts w:ascii="Arial" w:cs="Arial" w:eastAsia="Arial" w:hAnsi="Arial"/>
                <w:sz w:val="18"/>
                <w:szCs w:val="18"/>
                <w:color w:val="000000"/>
              </w:rPr>
              <w:t>(PCAOB ID:42)</w:t>
            </w:r>
          </w:p>
        </w:tc>
        <w:tc>
          <w:tcPr>
            <w:tcW w:w="32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Consolidated Balance Sheets</w:t>
            </w:r>
          </w:p>
        </w:tc>
        <w:tc>
          <w:tcPr>
            <w:tcW w:w="5320" w:type="dxa"/>
            <w:vAlign w:val="bottom"/>
            <w:gridSpan w:val="6"/>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7680" w:type="dxa"/>
            <w:vAlign w:val="bottom"/>
            <w:gridSpan w:val="8"/>
          </w:tcPr>
          <w:p>
            <w:pPr>
              <w:spacing w:after="0"/>
              <w:rPr>
                <w:sz w:val="20"/>
                <w:szCs w:val="20"/>
                <w:color w:val="auto"/>
              </w:rPr>
            </w:pPr>
            <w:r>
              <w:rPr>
                <w:rFonts w:ascii="Arial" w:cs="Arial" w:eastAsia="Arial" w:hAnsi="Arial"/>
                <w:sz w:val="18"/>
                <w:szCs w:val="18"/>
                <w:color w:val="0000EE"/>
              </w:rPr>
              <w:t>Consolidated Statements of Operations and Comprehensive Loss</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5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Consolidated Statements of Changes in Stockholders’ Equity</w:t>
            </w:r>
          </w:p>
        </w:tc>
        <w:tc>
          <w:tcPr>
            <w:tcW w:w="2460" w:type="dxa"/>
            <w:vAlign w:val="bottom"/>
            <w:gridSpan w:val="2"/>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32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9"/>
              </w:rPr>
              <w:t>Consolidated Statements of Cash Flows</w:t>
            </w:r>
          </w:p>
        </w:tc>
        <w:tc>
          <w:tcPr>
            <w:tcW w:w="1640" w:type="dxa"/>
            <w:vAlign w:val="bottom"/>
            <w:tcBorders>
              <w:top w:val="single" w:sz="8" w:color="0000EE"/>
            </w:tcBorders>
            <w:gridSpan w:val="2"/>
          </w:tcPr>
          <w:p>
            <w:pPr>
              <w:spacing w:after="0"/>
              <w:rPr>
                <w:sz w:val="18"/>
                <w:szCs w:val="18"/>
                <w:color w:val="auto"/>
              </w:rPr>
            </w:pPr>
          </w:p>
        </w:tc>
        <w:tc>
          <w:tcPr>
            <w:tcW w:w="2840" w:type="dxa"/>
            <w:vAlign w:val="bottom"/>
            <w:gridSpan w:val="3"/>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4180" w:type="dxa"/>
            <w:vAlign w:val="bottom"/>
            <w:gridSpan w:val="4"/>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6" w:name="page127"/>
    <w:bookmarkEnd w:id="1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90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To the Stockholders and the Board of Directors of Century Therapeutics, Inc.</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Opinion on the Financial Statements</w:t>
      </w:r>
    </w:p>
    <w:p>
      <w:pPr>
        <w:spacing w:after="0" w:line="21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9"/>
          <w:szCs w:val="19"/>
          <w:color w:val="auto"/>
        </w:rPr>
        <w:t>We have audited the accompanying consolidated balance sheets of Century Therapeutics, Inc. (the Company) as of December 31, 2025 and 2024, the related consolidated statements of operations and comprehensive loss, changes in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Basis for Opinion</w:t>
      </w:r>
    </w:p>
    <w:p>
      <w:pPr>
        <w:spacing w:after="0" w:line="21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Ernst &amp; Young LLP</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We have served as the Company’s auditor since 2019.</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Philadelphia, Pennsylvania</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March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7" w:name="page128"/>
    <w:bookmarkEnd w:id="1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BALANCE SHEETS</w:t>
      </w:r>
    </w:p>
    <w:p>
      <w:pPr>
        <w:jc w:val="center"/>
        <w:ind w:right="19"/>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90805</wp:posOffset>
            </wp:positionV>
            <wp:extent cx="56489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Assets</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December 31, 2025</w:t>
            </w:r>
          </w:p>
        </w:tc>
        <w:tc>
          <w:tcPr>
            <w:tcW w:w="5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60" w:type="dxa"/>
            <w:vAlign w:val="bottom"/>
            <w:gridSpan w:val="2"/>
          </w:tcPr>
          <w:p>
            <w:pPr>
              <w:ind w:left="480"/>
              <w:spacing w:after="0"/>
              <w:rPr>
                <w:sz w:val="20"/>
                <w:szCs w:val="20"/>
                <w:color w:val="auto"/>
              </w:rPr>
            </w:pPr>
            <w:r>
              <w:rPr>
                <w:rFonts w:ascii="Arial" w:cs="Arial" w:eastAsia="Arial" w:hAnsi="Arial"/>
                <w:sz w:val="13"/>
                <w:szCs w:val="13"/>
                <w:color w:val="auto"/>
              </w:rPr>
              <w:t>December 31, 2024</w:t>
            </w:r>
          </w:p>
        </w:tc>
        <w:tc>
          <w:tcPr>
            <w:tcW w:w="0" w:type="dxa"/>
            <w:vAlign w:val="bottom"/>
          </w:tcPr>
          <w:p>
            <w:pPr>
              <w:spacing w:after="0"/>
              <w:rPr>
                <w:sz w:val="1"/>
                <w:szCs w:val="1"/>
                <w:color w:val="auto"/>
              </w:rPr>
            </w:pPr>
          </w:p>
        </w:tc>
      </w:tr>
      <w:tr>
        <w:trPr>
          <w:trHeight w:val="134"/>
        </w:trPr>
        <w:tc>
          <w:tcPr>
            <w:tcW w:w="2740" w:type="dxa"/>
            <w:vAlign w:val="bottom"/>
            <w:gridSpan w:val="2"/>
            <w:vMerge w:val="continue"/>
          </w:tcPr>
          <w:p>
            <w:pPr>
              <w:spacing w:after="0"/>
              <w:rPr>
                <w:sz w:val="11"/>
                <w:szCs w:val="11"/>
                <w:color w:val="auto"/>
              </w:rPr>
            </w:pPr>
          </w:p>
        </w:tc>
        <w:tc>
          <w:tcPr>
            <w:tcW w:w="2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2740" w:type="dxa"/>
            <w:vAlign w:val="bottom"/>
            <w:gridSpan w:val="2"/>
          </w:tcPr>
          <w:p>
            <w:pPr>
              <w:spacing w:after="0"/>
              <w:rPr>
                <w:sz w:val="20"/>
                <w:szCs w:val="20"/>
                <w:color w:val="auto"/>
              </w:rPr>
            </w:pPr>
            <w:r>
              <w:rPr>
                <w:rFonts w:ascii="Arial" w:cs="Arial" w:eastAsia="Arial" w:hAnsi="Arial"/>
                <w:sz w:val="13"/>
                <w:szCs w:val="13"/>
                <w:color w:val="auto"/>
              </w:rPr>
              <w:t>Current assets</w:t>
            </w:r>
          </w:p>
        </w:tc>
        <w:tc>
          <w:tcPr>
            <w:tcW w:w="2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Cash and cash equivalents</w:t>
            </w:r>
          </w:p>
        </w:tc>
        <w:tc>
          <w:tcPr>
            <w:tcW w:w="242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61,853</w:t>
            </w: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58,441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Short-term investments</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55,261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130,851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3,655</w:t>
            </w:r>
          </w:p>
        </w:tc>
        <w:tc>
          <w:tcPr>
            <w:tcW w:w="2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tcPr>
          <w:p>
            <w:pPr>
              <w:spacing w:after="0" w:line="129" w:lineRule="exact"/>
              <w:rPr>
                <w:sz w:val="20"/>
                <w:szCs w:val="20"/>
                <w:color w:val="auto"/>
              </w:rPr>
            </w:pPr>
            <w:r>
              <w:rPr>
                <w:rFonts w:ascii="Arial" w:cs="Arial" w:eastAsia="Arial" w:hAnsi="Arial"/>
                <w:sz w:val="13"/>
                <w:szCs w:val="13"/>
                <w:color w:val="auto"/>
              </w:rPr>
              <w:t>Total current assets</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29" w:lineRule="exact"/>
              <w:rPr>
                <w:sz w:val="20"/>
                <w:szCs w:val="20"/>
                <w:color w:val="auto"/>
              </w:rPr>
            </w:pPr>
            <w:r>
              <w:rPr>
                <w:rFonts w:ascii="Arial" w:cs="Arial" w:eastAsia="Arial" w:hAnsi="Arial"/>
                <w:sz w:val="13"/>
                <w:szCs w:val="13"/>
                <w:color w:val="auto"/>
              </w:rPr>
              <w:t>120,769</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29" w:lineRule="exact"/>
              <w:rPr>
                <w:sz w:val="20"/>
                <w:szCs w:val="20"/>
                <w:color w:val="auto"/>
              </w:rPr>
            </w:pPr>
            <w:r>
              <w:rPr>
                <w:rFonts w:ascii="Arial" w:cs="Arial" w:eastAsia="Arial" w:hAnsi="Arial"/>
                <w:sz w:val="13"/>
                <w:szCs w:val="13"/>
                <w:color w:val="auto"/>
              </w:rPr>
              <w:t>194,051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Property and equipment, net</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50,026</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62,141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Operating lease right-of-use assets</w:t>
            </w:r>
          </w:p>
        </w:tc>
        <w:tc>
          <w:tcPr>
            <w:tcW w:w="2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16,139</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28,706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Restricted cash</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2,359</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2,772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Long-term investments</w:t>
            </w:r>
          </w:p>
        </w:tc>
        <w:tc>
          <w:tcPr>
            <w:tcW w:w="2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Intangible assets</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34,200</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34,200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Security deposits and non-current assets</w:t>
            </w:r>
          </w:p>
        </w:tc>
        <w:tc>
          <w:tcPr>
            <w:tcW w:w="2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211</w:t>
            </w:r>
          </w:p>
        </w:tc>
        <w:tc>
          <w:tcPr>
            <w:tcW w:w="28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20" w:type="dxa"/>
            <w:vAlign w:val="bottom"/>
          </w:tcPr>
          <w:p>
            <w:pPr>
              <w:spacing w:after="0" w:line="129" w:lineRule="exact"/>
              <w:rPr>
                <w:sz w:val="20"/>
                <w:szCs w:val="20"/>
                <w:color w:val="auto"/>
              </w:rPr>
            </w:pPr>
            <w:r>
              <w:rPr>
                <w:rFonts w:ascii="Arial" w:cs="Arial" w:eastAsia="Arial" w:hAnsi="Arial"/>
                <w:sz w:val="13"/>
                <w:szCs w:val="13"/>
                <w:b w:val="1"/>
                <w:bCs w:val="1"/>
                <w:color w:val="auto"/>
              </w:rPr>
              <w:t>Total assets</w:t>
            </w:r>
          </w:p>
        </w:tc>
        <w:tc>
          <w:tcPr>
            <w:tcW w:w="2200" w:type="dxa"/>
            <w:vAlign w:val="bottom"/>
          </w:tcPr>
          <w:p>
            <w:pPr>
              <w:spacing w:after="0"/>
              <w:rPr>
                <w:sz w:val="14"/>
                <w:szCs w:val="14"/>
                <w:color w:val="auto"/>
              </w:rPr>
            </w:pPr>
          </w:p>
        </w:tc>
        <w:tc>
          <w:tcPr>
            <w:tcW w:w="22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82"/>
              </w:rPr>
              <w:t>$</w:t>
            </w:r>
          </w:p>
        </w:tc>
        <w:tc>
          <w:tcPr>
            <w:tcW w:w="1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223,704</w:t>
            </w:r>
          </w:p>
        </w:tc>
        <w:tc>
          <w:tcPr>
            <w:tcW w:w="50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rPr>
              <w:t>$</w:t>
            </w:r>
          </w:p>
        </w:tc>
        <w:tc>
          <w:tcPr>
            <w:tcW w:w="1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353,216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20" w:type="dxa"/>
            <w:vAlign w:val="bottom"/>
            <w:tcBorders>
              <w:top w:val="single" w:sz="8" w:color="CCEEFF"/>
            </w:tcBorders>
            <w:shd w:val="clear" w:color="auto" w:fill="CCEEFF"/>
          </w:tcPr>
          <w:p>
            <w:pPr>
              <w:spacing w:after="0"/>
              <w:rPr>
                <w:sz w:val="10"/>
                <w:szCs w:val="10"/>
                <w:color w:val="auto"/>
              </w:rPr>
            </w:pPr>
          </w:p>
        </w:tc>
        <w:tc>
          <w:tcPr>
            <w:tcW w:w="2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spacing w:after="0"/>
              <w:rPr>
                <w:sz w:val="10"/>
                <w:szCs w:val="10"/>
                <w:color w:val="auto"/>
              </w:rPr>
            </w:pP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gridSpan w:val="2"/>
          </w:tcPr>
          <w:p>
            <w:pPr>
              <w:jc w:val="right"/>
              <w:ind w:right="480"/>
              <w:spacing w:after="0"/>
              <w:rPr>
                <w:sz w:val="20"/>
                <w:szCs w:val="20"/>
                <w:color w:val="auto"/>
              </w:rPr>
            </w:pPr>
            <w:r>
              <w:rPr>
                <w:rFonts w:ascii="Arial" w:cs="Arial" w:eastAsia="Arial" w:hAnsi="Arial"/>
                <w:sz w:val="1"/>
                <w:szCs w:val="1"/>
                <w:color w:val="auto"/>
                <w:w w:val="4294942296"/>
              </w:rPr>
              <w:t>​</w:t>
            </w:r>
          </w:p>
        </w:tc>
        <w:tc>
          <w:tcPr>
            <w:tcW w:w="16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Current liabilities</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gridSpan w:val="2"/>
          </w:tcPr>
          <w:p>
            <w:pPr>
              <w:jc w:val="right"/>
              <w:ind w:right="480"/>
              <w:spacing w:after="0"/>
              <w:rPr>
                <w:sz w:val="20"/>
                <w:szCs w:val="20"/>
                <w:color w:val="auto"/>
              </w:rPr>
            </w:pPr>
            <w:r>
              <w:rPr>
                <w:rFonts w:ascii="Arial" w:cs="Arial" w:eastAsia="Arial" w:hAnsi="Arial"/>
                <w:sz w:val="1"/>
                <w:szCs w:val="1"/>
                <w:color w:val="auto"/>
                <w:w w:val="4294942296"/>
              </w:rPr>
              <w:t>​</w:t>
            </w:r>
          </w:p>
        </w:tc>
        <w:tc>
          <w:tcPr>
            <w:tcW w:w="16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Accounts payable</w:t>
            </w:r>
          </w:p>
        </w:tc>
        <w:tc>
          <w:tcPr>
            <w:tcW w:w="242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4,773</w:t>
            </w: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Accrued expenses and other liabilities</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11,676</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17,461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Contingent consideration liability, short-term</w:t>
            </w:r>
          </w:p>
        </w:tc>
        <w:tc>
          <w:tcPr>
            <w:tcW w:w="2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3,757</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ind w:left="100"/>
              <w:spacing w:after="0" w:line="135" w:lineRule="exact"/>
              <w:rPr>
                <w:sz w:val="20"/>
                <w:szCs w:val="20"/>
                <w:color w:val="auto"/>
              </w:rPr>
            </w:pPr>
            <w:r>
              <w:rPr>
                <w:rFonts w:ascii="Arial" w:cs="Arial" w:eastAsia="Arial" w:hAnsi="Arial"/>
                <w:sz w:val="13"/>
                <w:szCs w:val="13"/>
                <w:color w:val="auto"/>
              </w:rPr>
              <w:t>Deposit liability</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revenue, current</w:t>
            </w:r>
          </w:p>
        </w:tc>
        <w:tc>
          <w:tcPr>
            <w:tcW w:w="2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109,164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tcPr>
          <w:p>
            <w:pPr>
              <w:spacing w:after="0" w:line="129" w:lineRule="exact"/>
              <w:rPr>
                <w:sz w:val="20"/>
                <w:szCs w:val="20"/>
                <w:color w:val="auto"/>
              </w:rPr>
            </w:pPr>
            <w:r>
              <w:rPr>
                <w:rFonts w:ascii="Arial" w:cs="Arial" w:eastAsia="Arial" w:hAnsi="Arial"/>
                <w:sz w:val="13"/>
                <w:szCs w:val="13"/>
                <w:color w:val="auto"/>
              </w:rPr>
              <w:t>Total current liabilities</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20,226</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129,782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Operating lease liability, long term</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40,241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48,960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Contingent consideration liability</w:t>
            </w:r>
          </w:p>
        </w:tc>
        <w:tc>
          <w:tcPr>
            <w:tcW w:w="2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Deferred tax liability</w:t>
            </w:r>
          </w:p>
        </w:tc>
        <w:tc>
          <w:tcPr>
            <w:tcW w:w="2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4,301</w:t>
            </w:r>
          </w:p>
        </w:tc>
        <w:tc>
          <w:tcPr>
            <w:tcW w:w="2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7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b w:val="1"/>
                <w:bCs w:val="1"/>
                <w:color w:val="auto"/>
              </w:rPr>
              <w:t>Total liabilities</w:t>
            </w:r>
          </w:p>
        </w:tc>
        <w:tc>
          <w:tcPr>
            <w:tcW w:w="2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64,768</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191,854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2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Commitments and contingencies (Note 9)</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gridSpan w:val="2"/>
          </w:tcPr>
          <w:p>
            <w:pPr>
              <w:jc w:val="right"/>
              <w:ind w:right="480"/>
              <w:spacing w:after="0"/>
              <w:rPr>
                <w:sz w:val="20"/>
                <w:szCs w:val="20"/>
                <w:color w:val="auto"/>
              </w:rPr>
            </w:pPr>
            <w:r>
              <w:rPr>
                <w:rFonts w:ascii="Arial" w:cs="Arial" w:eastAsia="Arial" w:hAnsi="Arial"/>
                <w:sz w:val="1"/>
                <w:szCs w:val="1"/>
                <w:color w:val="auto"/>
                <w:w w:val="4294942296"/>
              </w:rPr>
              <w:t>​</w:t>
            </w:r>
          </w:p>
        </w:tc>
        <w:tc>
          <w:tcPr>
            <w:tcW w:w="16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Stockholders' equity:</w:t>
            </w:r>
          </w:p>
        </w:tc>
        <w:tc>
          <w:tcPr>
            <w:tcW w:w="2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40" w:type="dxa"/>
            <w:vAlign w:val="bottom"/>
            <w:gridSpan w:val="3"/>
          </w:tcPr>
          <w:p>
            <w:pPr>
              <w:spacing w:after="0" w:line="117" w:lineRule="exact"/>
              <w:rPr>
                <w:sz w:val="20"/>
                <w:szCs w:val="20"/>
                <w:color w:val="auto"/>
              </w:rPr>
            </w:pPr>
            <w:r>
              <w:rPr>
                <w:rFonts w:ascii="Arial" w:cs="Arial" w:eastAsia="Arial" w:hAnsi="Arial"/>
                <w:sz w:val="13"/>
                <w:szCs w:val="13"/>
                <w:color w:val="auto"/>
              </w:rPr>
              <w:t>Preferred stock, $ 0.0001 par value, 10,000,000 shares authorized and 0 shares</w:t>
            </w:r>
          </w:p>
        </w:tc>
        <w:tc>
          <w:tcPr>
            <w:tcW w:w="1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5160" w:type="dxa"/>
            <w:vAlign w:val="bottom"/>
            <w:gridSpan w:val="4"/>
          </w:tcPr>
          <w:p>
            <w:pPr>
              <w:spacing w:after="0"/>
              <w:rPr>
                <w:sz w:val="20"/>
                <w:szCs w:val="20"/>
                <w:color w:val="auto"/>
              </w:rPr>
            </w:pPr>
            <w:r>
              <w:rPr>
                <w:rFonts w:ascii="Arial" w:cs="Arial" w:eastAsia="Arial" w:hAnsi="Arial"/>
                <w:sz w:val="13"/>
                <w:szCs w:val="13"/>
                <w:color w:val="auto"/>
              </w:rPr>
              <w:t>issued and outstanding at December 31, 2025 and December 31, 2024, respectivel</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7"/>
              </w:rPr>
              <w:t>Common stock, $0.0001 par value, 300,000,000</w:t>
            </w:r>
          </w:p>
        </w:tc>
        <w:tc>
          <w:tcPr>
            <w:tcW w:w="2420" w:type="dxa"/>
            <w:vAlign w:val="bottom"/>
            <w:gridSpan w:val="2"/>
            <w:shd w:val="clear" w:color="auto" w:fill="CCEEFF"/>
          </w:tcPr>
          <w:p>
            <w:pPr>
              <w:jc w:val="right"/>
              <w:ind w:right="1057"/>
              <w:spacing w:after="0" w:line="117" w:lineRule="exact"/>
              <w:rPr>
                <w:sz w:val="20"/>
                <w:szCs w:val="20"/>
                <w:color w:val="auto"/>
              </w:rPr>
            </w:pPr>
            <w:r>
              <w:rPr>
                <w:rFonts w:ascii="Arial" w:cs="Arial" w:eastAsia="Arial" w:hAnsi="Arial"/>
                <w:sz w:val="13"/>
                <w:szCs w:val="13"/>
                <w:color w:val="auto"/>
                <w:w w:val="96"/>
              </w:rPr>
              <w:t>shares authorized; and</w:t>
            </w:r>
          </w:p>
        </w:tc>
        <w:tc>
          <w:tcPr>
            <w:tcW w:w="1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4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87,519,096 and 85,836,429 shares issued and outstanding at December 31, 2025</w:t>
            </w:r>
          </w:p>
        </w:tc>
        <w:tc>
          <w:tcPr>
            <w:tcW w:w="1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3"/>
                <w:szCs w:val="13"/>
                <w:color w:val="auto"/>
              </w:rPr>
              <w:t>and December 31, 2024, respectively</w:t>
            </w:r>
          </w:p>
        </w:tc>
        <w:tc>
          <w:tcPr>
            <w:tcW w:w="2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line="135" w:lineRule="exact"/>
              <w:rPr>
                <w:sz w:val="20"/>
                <w:szCs w:val="20"/>
                <w:color w:val="auto"/>
              </w:rPr>
            </w:pPr>
            <w:r>
              <w:rPr>
                <w:rFonts w:ascii="Arial" w:cs="Arial" w:eastAsia="Arial" w:hAnsi="Arial"/>
                <w:sz w:val="13"/>
                <w:szCs w:val="13"/>
                <w:color w:val="auto"/>
              </w:rPr>
              <w:t>Additional paid-in capital</w:t>
            </w:r>
          </w:p>
        </w:tc>
        <w:tc>
          <w:tcPr>
            <w:tcW w:w="2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950,814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Arial" w:cs="Arial" w:eastAsia="Arial" w:hAnsi="Arial"/>
                <w:sz w:val="13"/>
                <w:szCs w:val="13"/>
                <w:color w:val="auto"/>
              </w:rPr>
              <w:t>943,366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Accumulated deficit</w:t>
            </w:r>
          </w:p>
        </w:tc>
        <w:tc>
          <w:tcPr>
            <w:tcW w:w="2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(791,917)</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(782,337)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Accumulated other comprehensive Income</w:t>
            </w:r>
          </w:p>
        </w:tc>
        <w:tc>
          <w:tcPr>
            <w:tcW w:w="2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w:t>
            </w:r>
          </w:p>
        </w:tc>
        <w:tc>
          <w:tcPr>
            <w:tcW w:w="2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2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158,936</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161,362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tcPr>
          <w:p>
            <w:pPr>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2420" w:type="dxa"/>
            <w:vAlign w:val="bottom"/>
            <w:gridSpan w:val="2"/>
          </w:tcPr>
          <w:p>
            <w:pPr>
              <w:jc w:val="right"/>
              <w:ind w:right="77"/>
              <w:spacing w:after="0" w:line="129" w:lineRule="exact"/>
              <w:rPr>
                <w:sz w:val="20"/>
                <w:szCs w:val="20"/>
                <w:color w:val="auto"/>
              </w:rPr>
            </w:pPr>
            <w:r>
              <w:rPr>
                <w:rFonts w:ascii="Arial" w:cs="Arial" w:eastAsia="Arial" w:hAnsi="Arial"/>
                <w:sz w:val="13"/>
                <w:szCs w:val="13"/>
                <w:b w:val="1"/>
                <w:bCs w:val="1"/>
                <w:color w:val="auto"/>
              </w:rPr>
              <w:t>$</w:t>
            </w:r>
          </w:p>
        </w:tc>
        <w:tc>
          <w:tcPr>
            <w:tcW w:w="1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223,704</w:t>
            </w:r>
          </w:p>
        </w:tc>
        <w:tc>
          <w:tcPr>
            <w:tcW w:w="50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rPr>
              <w:t>$</w:t>
            </w:r>
          </w:p>
        </w:tc>
        <w:tc>
          <w:tcPr>
            <w:tcW w:w="1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353,216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8" w:name="page129"/>
    <w:bookmarkEnd w:id="1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9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For the Year Ended</w:t>
            </w:r>
          </w:p>
        </w:tc>
        <w:tc>
          <w:tcPr>
            <w:tcW w:w="3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Year Ended</w:t>
            </w:r>
          </w:p>
        </w:tc>
        <w:tc>
          <w:tcPr>
            <w:tcW w:w="180" w:type="dxa"/>
            <w:vAlign w:val="bottom"/>
            <w:tcBorders>
              <w:right w:val="single" w:sz="8" w:color="auto"/>
            </w:tcBorders>
            <w:gridSpan w:val="2"/>
          </w:tcPr>
          <w:p>
            <w:pPr>
              <w:spacing w:after="0"/>
              <w:rPr>
                <w:sz w:val="14"/>
                <w:szCs w:val="14"/>
                <w:color w:val="auto"/>
              </w:rPr>
            </w:pPr>
          </w:p>
        </w:tc>
      </w:tr>
      <w:tr>
        <w:trPr>
          <w:trHeight w:val="171"/>
        </w:trPr>
        <w:tc>
          <w:tcPr>
            <w:tcW w:w="3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gridSpan w:val="2"/>
          </w:tcPr>
          <w:p>
            <w:pPr>
              <w:jc w:val="right"/>
              <w:ind w:right="260"/>
              <w:spacing w:after="0"/>
              <w:rPr>
                <w:sz w:val="20"/>
                <w:szCs w:val="20"/>
                <w:color w:val="auto"/>
              </w:rPr>
            </w:pPr>
            <w:r>
              <w:rPr>
                <w:rFonts w:ascii="Arial" w:cs="Arial" w:eastAsia="Arial" w:hAnsi="Arial"/>
                <w:sz w:val="14"/>
                <w:szCs w:val="14"/>
                <w:color w:val="auto"/>
              </w:rPr>
              <w:t>December 31, 2025</w:t>
            </w:r>
          </w:p>
        </w:tc>
        <w:tc>
          <w:tcPr>
            <w:tcW w:w="380" w:type="dxa"/>
            <w:vAlign w:val="bottom"/>
          </w:tcPr>
          <w:p>
            <w:pPr>
              <w:spacing w:after="0"/>
              <w:rPr>
                <w:sz w:val="14"/>
                <w:szCs w:val="14"/>
                <w:color w:val="auto"/>
              </w:rPr>
            </w:pPr>
          </w:p>
        </w:tc>
        <w:tc>
          <w:tcPr>
            <w:tcW w:w="17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December 31, 2024</w:t>
            </w:r>
          </w:p>
        </w:tc>
      </w:tr>
      <w:tr>
        <w:trPr>
          <w:trHeight w:val="155"/>
        </w:trPr>
        <w:tc>
          <w:tcPr>
            <w:tcW w:w="39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Collaboration revenue</w:t>
            </w:r>
          </w:p>
        </w:tc>
        <w:tc>
          <w:tcPr>
            <w:tcW w:w="7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109,164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6,589</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95,667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107,244</w:t>
            </w: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33,155</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Impairment of long-lived assets</w:t>
            </w:r>
          </w:p>
        </w:tc>
        <w:tc>
          <w:tcPr>
            <w:tcW w:w="70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6,763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Borders>
              <w:right w:val="single" w:sz="8" w:color="auto"/>
            </w:tcBorders>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goodwill</w:t>
            </w:r>
          </w:p>
        </w:tc>
        <w:tc>
          <w:tcPr>
            <w:tcW w:w="7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4,327</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196"/>
        </w:trPr>
        <w:tc>
          <w:tcPr>
            <w:tcW w:w="3960" w:type="dxa"/>
            <w:vAlign w:val="bottom"/>
            <w:tcBorders>
              <w:bottom w:val="single" w:sz="8" w:color="CCEEFF"/>
            </w:tcBorders>
          </w:tcPr>
          <w:p>
            <w:pPr>
              <w:ind w:left="10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70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126,433</w:t>
            </w:r>
          </w:p>
        </w:tc>
        <w:tc>
          <w:tcPr>
            <w:tcW w:w="2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144,726</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right w:val="single" w:sz="8" w:color="auto"/>
            </w:tcBorders>
          </w:tcPr>
          <w:p>
            <w:pPr>
              <w:spacing w:after="0"/>
              <w:rPr>
                <w:sz w:val="17"/>
                <w:szCs w:val="17"/>
                <w:color w:val="auto"/>
              </w:rPr>
            </w:pPr>
          </w:p>
        </w:tc>
      </w:tr>
      <w:tr>
        <w:trPr>
          <w:trHeight w:val="196"/>
        </w:trPr>
        <w:tc>
          <w:tcPr>
            <w:tcW w:w="3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202"/>
        </w:trPr>
        <w:tc>
          <w:tcPr>
            <w:tcW w:w="3960" w:type="dxa"/>
            <w:vAlign w:val="bottom"/>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700" w:type="dxa"/>
            <w:vAlign w:val="bottom"/>
          </w:tcPr>
          <w:p>
            <w:pPr>
              <w:spacing w:after="0"/>
              <w:rPr>
                <w:sz w:val="17"/>
                <w:szCs w:val="17"/>
                <w:color w:val="auto"/>
              </w:rPr>
            </w:pPr>
          </w:p>
        </w:tc>
        <w:tc>
          <w:tcPr>
            <w:tcW w:w="2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(17,269)</w:t>
            </w:r>
          </w:p>
        </w:tc>
        <w:tc>
          <w:tcPr>
            <w:tcW w:w="380" w:type="dxa"/>
            <w:vAlign w:val="bottom"/>
          </w:tcPr>
          <w:p>
            <w:pPr>
              <w:spacing w:after="0"/>
              <w:rPr>
                <w:sz w:val="17"/>
                <w:szCs w:val="17"/>
                <w:color w:val="auto"/>
              </w:rPr>
            </w:pPr>
          </w:p>
        </w:tc>
        <w:tc>
          <w:tcPr>
            <w:tcW w:w="1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(138,137)</w:t>
            </w:r>
          </w:p>
        </w:tc>
        <w:tc>
          <w:tcPr>
            <w:tcW w:w="160" w:type="dxa"/>
            <w:vAlign w:val="bottom"/>
            <w:tcBorders>
              <w:right w:val="single" w:sz="8" w:color="auto"/>
            </w:tcBorders>
          </w:tcPr>
          <w:p>
            <w:pPr>
              <w:spacing w:after="0"/>
              <w:rPr>
                <w:sz w:val="17"/>
                <w:szCs w:val="17"/>
                <w:color w:val="auto"/>
              </w:rPr>
            </w:pPr>
          </w:p>
        </w:tc>
      </w:tr>
      <w:tr>
        <w:trPr>
          <w:trHeight w:val="203"/>
        </w:trPr>
        <w:tc>
          <w:tcPr>
            <w:tcW w:w="3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70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7,346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13,007</w:t>
            </w: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7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196"/>
        </w:trPr>
        <w:tc>
          <w:tcPr>
            <w:tcW w:w="396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Total other income</w:t>
            </w:r>
          </w:p>
        </w:tc>
        <w:tc>
          <w:tcPr>
            <w:tcW w:w="70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7,621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13,361</w:t>
            </w: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184"/>
        </w:trPr>
        <w:tc>
          <w:tcPr>
            <w:tcW w:w="39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Loss before (benefit) provision for</w:t>
            </w:r>
          </w:p>
        </w:tc>
        <w:tc>
          <w:tcPr>
            <w:tcW w:w="7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r>
      <w:tr>
        <w:trPr>
          <w:trHeight w:val="221"/>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7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(9,648)</w:t>
            </w:r>
          </w:p>
        </w:tc>
        <w:tc>
          <w:tcPr>
            <w:tcW w:w="3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(124,776)</w:t>
            </w:r>
          </w:p>
        </w:tc>
        <w:tc>
          <w:tcPr>
            <w:tcW w:w="160" w:type="dxa"/>
            <w:vAlign w:val="bottom"/>
            <w:tcBorders>
              <w:right w:val="single" w:sz="8" w:color="auto"/>
            </w:tcBorders>
            <w:shd w:val="clear" w:color="auto" w:fill="CCEEFF"/>
          </w:tcPr>
          <w:p>
            <w:pPr>
              <w:spacing w:after="0"/>
              <w:rPr>
                <w:sz w:val="19"/>
                <w:szCs w:val="19"/>
                <w:color w:val="auto"/>
              </w:rPr>
            </w:pPr>
          </w:p>
        </w:tc>
      </w:tr>
      <w:tr>
        <w:trPr>
          <w:trHeight w:val="202"/>
        </w:trPr>
        <w:tc>
          <w:tcPr>
            <w:tcW w:w="3960" w:type="dxa"/>
            <w:vAlign w:val="bottom"/>
          </w:tcPr>
          <w:p>
            <w:pPr>
              <w:spacing w:after="0" w:line="202" w:lineRule="exact"/>
              <w:rPr>
                <w:sz w:val="20"/>
                <w:szCs w:val="20"/>
                <w:color w:val="auto"/>
              </w:rPr>
            </w:pPr>
            <w:r>
              <w:rPr>
                <w:rFonts w:ascii="Arial" w:cs="Arial" w:eastAsia="Arial" w:hAnsi="Arial"/>
                <w:sz w:val="18"/>
                <w:szCs w:val="18"/>
                <w:color w:val="auto"/>
              </w:rPr>
              <w:t>(Benefit) provision for income taxes</w:t>
            </w:r>
          </w:p>
        </w:tc>
        <w:tc>
          <w:tcPr>
            <w:tcW w:w="700" w:type="dxa"/>
            <w:vAlign w:val="bottom"/>
          </w:tcPr>
          <w:p>
            <w:pPr>
              <w:spacing w:after="0"/>
              <w:rPr>
                <w:sz w:val="17"/>
                <w:szCs w:val="17"/>
                <w:color w:val="auto"/>
              </w:rPr>
            </w:pPr>
          </w:p>
        </w:tc>
        <w:tc>
          <w:tcPr>
            <w:tcW w:w="2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w:t>
            </w:r>
          </w:p>
        </w:tc>
        <w:tc>
          <w:tcPr>
            <w:tcW w:w="3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1,790</w:t>
            </w: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196"/>
        </w:trPr>
        <w:tc>
          <w:tcPr>
            <w:tcW w:w="3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700" w:type="dxa"/>
            <w:vAlign w:val="bottom"/>
            <w:tcBorders>
              <w:top w:val="single" w:sz="8" w:color="auto"/>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(9,580)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(126,566)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r>
      <w:tr>
        <w:trPr>
          <w:trHeight w:val="20"/>
        </w:trPr>
        <w:tc>
          <w:tcPr>
            <w:tcW w:w="3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183"/>
        </w:trPr>
        <w:tc>
          <w:tcPr>
            <w:tcW w:w="3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r>
      <w:tr>
        <w:trPr>
          <w:trHeight w:val="184"/>
        </w:trPr>
        <w:tc>
          <w:tcPr>
            <w:tcW w:w="39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loss per common share</w:t>
            </w:r>
          </w:p>
        </w:tc>
        <w:tc>
          <w:tcPr>
            <w:tcW w:w="7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r>
      <w:tr>
        <w:trPr>
          <w:trHeight w:val="22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7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3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160" w:type="dxa"/>
            <w:vAlign w:val="bottom"/>
            <w:tcBorders>
              <w:right w:val="single" w:sz="8" w:color="auto"/>
            </w:tcBorders>
            <w:shd w:val="clear" w:color="auto" w:fill="CCEEFF"/>
          </w:tcPr>
          <w:p>
            <w:pPr>
              <w:spacing w:after="0"/>
              <w:rPr>
                <w:sz w:val="19"/>
                <w:szCs w:val="19"/>
                <w:color w:val="auto"/>
              </w:rPr>
            </w:pPr>
          </w:p>
        </w:tc>
      </w:tr>
      <w:tr>
        <w:trPr>
          <w:trHeight w:val="184"/>
        </w:trPr>
        <w:tc>
          <w:tcPr>
            <w:tcW w:w="396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outstanding</w:t>
            </w: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8"/>
                <w:szCs w:val="18"/>
                <w:color w:val="auto"/>
              </w:rPr>
              <w:t>Basic and Diluted</w:t>
            </w:r>
          </w:p>
        </w:tc>
        <w:tc>
          <w:tcPr>
            <w:tcW w:w="7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86,556,515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78,648,958</w:t>
            </w:r>
          </w:p>
        </w:tc>
        <w:tc>
          <w:tcPr>
            <w:tcW w:w="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r>
      <w:tr>
        <w:trPr>
          <w:trHeight w:val="203"/>
        </w:trPr>
        <w:tc>
          <w:tcPr>
            <w:tcW w:w="3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loss</w:t>
            </w:r>
          </w:p>
        </w:tc>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3"/>
        </w:trPr>
        <w:tc>
          <w:tcPr>
            <w:tcW w:w="39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Net loss</w:t>
            </w:r>
          </w:p>
        </w:tc>
        <w:tc>
          <w:tcPr>
            <w:tcW w:w="7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(9,580)</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(126,566)</w:t>
            </w:r>
          </w:p>
        </w:tc>
        <w:tc>
          <w:tcPr>
            <w:tcW w:w="160" w:type="dxa"/>
            <w:vAlign w:val="bottom"/>
            <w:tcBorders>
              <w:right w:val="single" w:sz="8" w:color="auto"/>
            </w:tcBorders>
            <w:shd w:val="clear" w:color="auto" w:fill="CCEEFF"/>
          </w:tcPr>
          <w:p>
            <w:pPr>
              <w:spacing w:after="0"/>
              <w:rPr>
                <w:sz w:val="17"/>
                <w:szCs w:val="17"/>
                <w:color w:val="auto"/>
              </w:rPr>
            </w:pPr>
          </w:p>
        </w:tc>
      </w:tr>
      <w:tr>
        <w:trPr>
          <w:trHeight w:val="203"/>
        </w:trPr>
        <w:tc>
          <w:tcPr>
            <w:tcW w:w="3960" w:type="dxa"/>
            <w:vAlign w:val="bottom"/>
          </w:tcPr>
          <w:p>
            <w:pPr>
              <w:ind w:left="100"/>
              <w:spacing w:after="0" w:line="202" w:lineRule="exact"/>
              <w:rPr>
                <w:sz w:val="20"/>
                <w:szCs w:val="20"/>
                <w:color w:val="auto"/>
              </w:rPr>
            </w:pPr>
            <w:r>
              <w:rPr>
                <w:rFonts w:ascii="Arial" w:cs="Arial" w:eastAsia="Arial" w:hAnsi="Arial"/>
                <w:sz w:val="18"/>
                <w:szCs w:val="18"/>
                <w:color w:val="auto"/>
              </w:rPr>
              <w:t>Unrealized gain (loss) on investments</w:t>
            </w:r>
          </w:p>
        </w:tc>
        <w:tc>
          <w:tcPr>
            <w:tcW w:w="700" w:type="dxa"/>
            <w:vAlign w:val="bottom"/>
          </w:tcPr>
          <w:p>
            <w:pPr>
              <w:spacing w:after="0"/>
              <w:rPr>
                <w:sz w:val="17"/>
                <w:szCs w:val="17"/>
                <w:color w:val="auto"/>
              </w:rPr>
            </w:pPr>
          </w:p>
        </w:tc>
        <w:tc>
          <w:tcPr>
            <w:tcW w:w="2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(294)</w:t>
            </w:r>
          </w:p>
        </w:tc>
        <w:tc>
          <w:tcPr>
            <w:tcW w:w="3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3"/>
        </w:trPr>
        <w:tc>
          <w:tcPr>
            <w:tcW w:w="39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Foreign currency translation gain</w:t>
            </w:r>
          </w:p>
        </w:tc>
        <w:tc>
          <w:tcPr>
            <w:tcW w:w="7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196"/>
        </w:trPr>
        <w:tc>
          <w:tcPr>
            <w:tcW w:w="3960" w:type="dxa"/>
            <w:vAlign w:val="bottom"/>
          </w:tcPr>
          <w:p>
            <w:pPr>
              <w:spacing w:after="0" w:line="196" w:lineRule="exact"/>
              <w:rPr>
                <w:sz w:val="20"/>
                <w:szCs w:val="20"/>
                <w:color w:val="auto"/>
              </w:rPr>
            </w:pPr>
            <w:r>
              <w:rPr>
                <w:rFonts w:ascii="Arial" w:cs="Arial" w:eastAsia="Arial" w:hAnsi="Arial"/>
                <w:sz w:val="18"/>
                <w:szCs w:val="18"/>
                <w:color w:val="auto"/>
              </w:rPr>
              <w:t>Comprehensive loss</w:t>
            </w:r>
          </w:p>
        </w:tc>
        <w:tc>
          <w:tcPr>
            <w:tcW w:w="70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(9,874)</w:t>
            </w:r>
          </w:p>
        </w:tc>
        <w:tc>
          <w:tcPr>
            <w:tcW w:w="2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(126,350)</w:t>
            </w:r>
          </w:p>
        </w:tc>
        <w:tc>
          <w:tcPr>
            <w:tcW w:w="20" w:type="dxa"/>
            <w:vAlign w:val="bottom"/>
            <w:tcBorders>
              <w:bottom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
        </w:trPr>
        <w:tc>
          <w:tcPr>
            <w:tcW w:w="3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158750</wp:posOffset>
            </wp:positionV>
            <wp:extent cx="59836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2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124"/>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5"/>
              <w:spacing w:after="0"/>
              <w:rPr>
                <w:sz w:val="20"/>
                <w:szCs w:val="20"/>
                <w:color w:val="auto"/>
              </w:rPr>
            </w:pPr>
            <w:r>
              <w:rPr>
                <w:rFonts w:ascii="Arial" w:cs="Arial" w:eastAsia="Arial" w:hAnsi="Arial"/>
                <w:sz w:val="14"/>
                <w:szCs w:val="14"/>
                <w:color w:val="auto"/>
              </w:rPr>
              <w:t>Accumulated</w:t>
            </w:r>
          </w:p>
        </w:tc>
        <w:tc>
          <w:tcPr>
            <w:tcW w:w="1240" w:type="dxa"/>
            <w:vAlign w:val="bottom"/>
            <w:gridSpan w:val="4"/>
          </w:tcPr>
          <w:p>
            <w:pPr>
              <w:jc w:val="center"/>
              <w:spacing w:after="0"/>
              <w:rPr>
                <w:sz w:val="20"/>
                <w:szCs w:val="20"/>
                <w:color w:val="auto"/>
              </w:rPr>
            </w:pPr>
            <w:r>
              <w:rPr>
                <w:rFonts w:ascii="Arial" w:cs="Arial" w:eastAsia="Arial" w:hAnsi="Arial"/>
                <w:sz w:val="14"/>
                <w:szCs w:val="14"/>
                <w:color w:val="auto"/>
              </w:rPr>
              <w:t>Comprehensive</w:t>
            </w:r>
          </w:p>
        </w:tc>
        <w:tc>
          <w:tcPr>
            <w:tcW w:w="860" w:type="dxa"/>
            <w:vAlign w:val="bottom"/>
            <w:gridSpan w:val="3"/>
          </w:tcPr>
          <w:p>
            <w:pPr>
              <w:spacing w:after="0"/>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
              <w:spacing w:after="0" w:line="155"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24"/>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265"/>
              <w:spacing w:after="0" w:line="155" w:lineRule="exact"/>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rPr>
              <w:t>Gain (Loss)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85"/>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2023</w:t>
            </w: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60,335,701</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CEEFF"/>
          </w:tcPr>
          <w:p>
            <w:pPr>
              <w:jc w:val="right"/>
              <w:ind w:right="5"/>
              <w:spacing w:after="0" w:line="115" w:lineRule="exact"/>
              <w:rPr>
                <w:sz w:val="20"/>
                <w:szCs w:val="20"/>
                <w:color w:val="auto"/>
              </w:rPr>
            </w:pPr>
            <w:r>
              <w:rPr>
                <w:rFonts w:ascii="Arial" w:cs="Arial" w:eastAsia="Arial" w:hAnsi="Arial"/>
                <w:sz w:val="11"/>
                <w:szCs w:val="11"/>
                <w:b w:val="1"/>
                <w:bCs w:val="1"/>
                <w:color w:val="auto"/>
              </w:rPr>
              <w:t>6</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840,407</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(655,771)</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108</w:t>
            </w: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184,750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gridSpan w:val="2"/>
          </w:tcPr>
          <w:p>
            <w:pPr>
              <w:spacing w:after="0" w:line="109" w:lineRule="exact"/>
              <w:rPr>
                <w:sz w:val="20"/>
                <w:szCs w:val="20"/>
                <w:color w:val="auto"/>
              </w:rPr>
            </w:pPr>
            <w:r>
              <w:rPr>
                <w:rFonts w:ascii="Arial" w:cs="Arial" w:eastAsia="Arial" w:hAnsi="Arial"/>
                <w:sz w:val="11"/>
                <w:szCs w:val="11"/>
                <w:color w:val="auto"/>
              </w:rPr>
              <w:t>Issuance of common stock upon the exercise of stock options and</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40" w:type="dxa"/>
            <w:vAlign w:val="bottom"/>
            <w:gridSpan w:val="3"/>
          </w:tcPr>
          <w:p>
            <w:pPr>
              <w:spacing w:after="0"/>
              <w:rPr>
                <w:sz w:val="20"/>
                <w:szCs w:val="20"/>
                <w:color w:val="auto"/>
              </w:rPr>
            </w:pPr>
            <w:r>
              <w:rPr>
                <w:rFonts w:ascii="Arial" w:cs="Arial" w:eastAsia="Arial" w:hAnsi="Arial"/>
                <w:sz w:val="11"/>
                <w:szCs w:val="11"/>
                <w:color w:val="auto"/>
              </w:rPr>
              <w:t>2021 ESPP</w:t>
            </w:r>
          </w:p>
        </w:tc>
        <w:tc>
          <w:tcPr>
            <w:tcW w:w="720" w:type="dxa"/>
            <w:vAlign w:val="bottom"/>
          </w:tcPr>
          <w:p>
            <w:pPr>
              <w:jc w:val="right"/>
              <w:spacing w:after="0"/>
              <w:rPr>
                <w:sz w:val="20"/>
                <w:szCs w:val="20"/>
                <w:color w:val="auto"/>
              </w:rPr>
            </w:pPr>
            <w:r>
              <w:rPr>
                <w:rFonts w:ascii="Arial" w:cs="Arial" w:eastAsia="Arial" w:hAnsi="Arial"/>
                <w:sz w:val="11"/>
                <w:szCs w:val="11"/>
                <w:color w:val="auto"/>
              </w:rPr>
              <w:t>635,471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773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24,734</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2"/>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107,959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558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558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1,033,315</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(635)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gridSpan w:val="2"/>
          </w:tcPr>
          <w:p>
            <w:pPr>
              <w:spacing w:after="0" w:line="109" w:lineRule="exact"/>
              <w:rPr>
                <w:sz w:val="20"/>
                <w:szCs w:val="20"/>
                <w:color w:val="auto"/>
              </w:rPr>
            </w:pPr>
            <w:r>
              <w:rPr>
                <w:rFonts w:ascii="Arial" w:cs="Arial" w:eastAsia="Arial" w:hAnsi="Arial"/>
                <w:sz w:val="11"/>
                <w:szCs w:val="11"/>
                <w:color w:val="auto"/>
              </w:rPr>
              <w:t>Issuance of common stock in connection with the acquisition of Clade</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40" w:type="dxa"/>
            <w:vAlign w:val="bottom"/>
            <w:gridSpan w:val="3"/>
          </w:tcPr>
          <w:p>
            <w:pPr>
              <w:spacing w:after="0"/>
              <w:rPr>
                <w:sz w:val="20"/>
                <w:szCs w:val="20"/>
                <w:color w:val="auto"/>
              </w:rPr>
            </w:pPr>
            <w:r>
              <w:rPr>
                <w:rFonts w:ascii="Arial" w:cs="Arial" w:eastAsia="Arial" w:hAnsi="Arial"/>
                <w:sz w:val="11"/>
                <w:szCs w:val="11"/>
                <w:color w:val="auto"/>
              </w:rPr>
              <w:t>(Note 3)</w:t>
            </w:r>
          </w:p>
        </w:tc>
        <w:tc>
          <w:tcPr>
            <w:tcW w:w="720" w:type="dxa"/>
            <w:vAlign w:val="bottom"/>
          </w:tcPr>
          <w:p>
            <w:pPr>
              <w:jc w:val="right"/>
              <w:spacing w:after="0"/>
              <w:rPr>
                <w:sz w:val="20"/>
                <w:szCs w:val="20"/>
                <w:color w:val="auto"/>
              </w:rPr>
            </w:pPr>
            <w:r>
              <w:rPr>
                <w:rFonts w:ascii="Arial" w:cs="Arial" w:eastAsia="Arial" w:hAnsi="Arial"/>
                <w:sz w:val="11"/>
                <w:szCs w:val="11"/>
                <w:color w:val="auto"/>
              </w:rPr>
              <w:t>3,741,646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15,154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15,154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via ATM, net of underwriting discounts and</w:t>
            </w: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commissions and other issuance costs</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4,084,502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17,829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gridSpan w:val="2"/>
          </w:tcPr>
          <w:p>
            <w:pPr>
              <w:spacing w:after="0" w:line="109" w:lineRule="exact"/>
              <w:rPr>
                <w:sz w:val="20"/>
                <w:szCs w:val="20"/>
                <w:color w:val="auto"/>
              </w:rPr>
            </w:pPr>
            <w:r>
              <w:rPr>
                <w:rFonts w:ascii="Arial" w:cs="Arial" w:eastAsia="Arial" w:hAnsi="Arial"/>
                <w:sz w:val="11"/>
                <w:szCs w:val="11"/>
                <w:color w:val="auto"/>
              </w:rPr>
              <w:t>Issuance of common stock via PIPE, net of underwriting discounts</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40" w:type="dxa"/>
            <w:vAlign w:val="bottom"/>
            <w:gridSpan w:val="3"/>
          </w:tcPr>
          <w:p>
            <w:pPr>
              <w:spacing w:after="0"/>
              <w:rPr>
                <w:sz w:val="20"/>
                <w:szCs w:val="20"/>
                <w:color w:val="auto"/>
              </w:rPr>
            </w:pPr>
            <w:r>
              <w:rPr>
                <w:rFonts w:ascii="Arial" w:cs="Arial" w:eastAsia="Arial" w:hAnsi="Arial"/>
                <w:sz w:val="11"/>
                <w:szCs w:val="11"/>
                <w:color w:val="auto"/>
              </w:rPr>
              <w:t>and commissions and other issuance costs</w:t>
            </w:r>
          </w:p>
        </w:tc>
        <w:tc>
          <w:tcPr>
            <w:tcW w:w="720" w:type="dxa"/>
            <w:vAlign w:val="bottom"/>
          </w:tcPr>
          <w:p>
            <w:pPr>
              <w:jc w:val="right"/>
              <w:spacing w:after="0"/>
              <w:rPr>
                <w:sz w:val="20"/>
                <w:szCs w:val="20"/>
                <w:color w:val="auto"/>
              </w:rPr>
            </w:pPr>
            <w:r>
              <w:rPr>
                <w:rFonts w:ascii="Arial" w:cs="Arial" w:eastAsia="Arial" w:hAnsi="Arial"/>
                <w:sz w:val="11"/>
                <w:szCs w:val="11"/>
                <w:color w:val="auto"/>
              </w:rPr>
              <w:t>15,873,101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56,593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56,595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Unrealized gain on investments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2"/>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63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12,688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12,688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2"/>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(126,566)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(126,566)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2024</w:t>
            </w: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85,836,429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ind w:right="5"/>
              <w:spacing w:after="0" w:line="115" w:lineRule="exact"/>
              <w:rPr>
                <w:sz w:val="20"/>
                <w:szCs w:val="20"/>
                <w:color w:val="auto"/>
              </w:rPr>
            </w:pPr>
            <w:r>
              <w:rPr>
                <w:rFonts w:ascii="Arial" w:cs="Arial" w:eastAsia="Arial" w:hAnsi="Arial"/>
                <w:sz w:val="11"/>
                <w:szCs w:val="11"/>
                <w:b w:val="1"/>
                <w:bCs w:val="1"/>
                <w:color w:val="auto"/>
              </w:rPr>
              <w:t>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943,366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(782,337)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324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161,362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vMerge w:val="restart"/>
          </w:tcPr>
          <w:p>
            <w:pPr>
              <w:spacing w:after="0" w:line="102" w:lineRule="exact"/>
              <w:rPr>
                <w:sz w:val="20"/>
                <w:szCs w:val="20"/>
                <w:color w:val="auto"/>
              </w:rPr>
            </w:pPr>
            <w:r>
              <w:rPr>
                <w:rFonts w:ascii="Arial" w:cs="Arial" w:eastAsia="Arial" w:hAnsi="Arial"/>
                <w:sz w:val="11"/>
                <w:szCs w:val="11"/>
                <w:color w:val="auto"/>
              </w:rPr>
              <w:t>Issuance of common stock upon the exercise of stock options and</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3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640" w:type="dxa"/>
            <w:vAlign w:val="bottom"/>
            <w:gridSpan w:val="3"/>
          </w:tcPr>
          <w:p>
            <w:pPr>
              <w:spacing w:after="0"/>
              <w:rPr>
                <w:sz w:val="20"/>
                <w:szCs w:val="20"/>
                <w:color w:val="auto"/>
              </w:rPr>
            </w:pPr>
            <w:r>
              <w:rPr>
                <w:rFonts w:ascii="Arial" w:cs="Arial" w:eastAsia="Arial" w:hAnsi="Arial"/>
                <w:sz w:val="11"/>
                <w:szCs w:val="11"/>
                <w:color w:val="auto"/>
              </w:rPr>
              <w:t>2021 ESPP</w:t>
            </w:r>
          </w:p>
        </w:tc>
        <w:tc>
          <w:tcPr>
            <w:tcW w:w="720" w:type="dxa"/>
            <w:vAlign w:val="bottom"/>
          </w:tcPr>
          <w:p>
            <w:pPr>
              <w:jc w:val="right"/>
              <w:spacing w:after="0"/>
              <w:rPr>
                <w:sz w:val="20"/>
                <w:szCs w:val="20"/>
                <w:color w:val="auto"/>
              </w:rPr>
            </w:pPr>
            <w:r>
              <w:rPr>
                <w:rFonts w:ascii="Arial" w:cs="Arial" w:eastAsia="Arial" w:hAnsi="Arial"/>
                <w:sz w:val="11"/>
                <w:szCs w:val="11"/>
                <w:color w:val="auto"/>
              </w:rPr>
              <w:t>282,261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24,734</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2"/>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11,321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580,223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gridSpan w:val="2"/>
          </w:tcPr>
          <w:p>
            <w:pPr>
              <w:spacing w:after="0" w:line="109" w:lineRule="exact"/>
              <w:rPr>
                <w:sz w:val="20"/>
                <w:szCs w:val="20"/>
                <w:color w:val="auto"/>
              </w:rPr>
            </w:pPr>
            <w:r>
              <w:rPr>
                <w:rFonts w:ascii="Arial" w:cs="Arial" w:eastAsia="Arial" w:hAnsi="Arial"/>
                <w:sz w:val="11"/>
                <w:szCs w:val="11"/>
                <w:color w:val="auto"/>
              </w:rPr>
              <w:t>Issuance of common stock in connection with the acquisition of Clade</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40" w:type="dxa"/>
            <w:vAlign w:val="bottom"/>
            <w:gridSpan w:val="3"/>
          </w:tcPr>
          <w:p>
            <w:pPr>
              <w:spacing w:after="0"/>
              <w:rPr>
                <w:sz w:val="20"/>
                <w:szCs w:val="20"/>
                <w:color w:val="auto"/>
              </w:rPr>
            </w:pPr>
            <w:r>
              <w:rPr>
                <w:rFonts w:ascii="Arial" w:cs="Arial" w:eastAsia="Arial" w:hAnsi="Arial"/>
                <w:sz w:val="11"/>
                <w:szCs w:val="11"/>
                <w:color w:val="auto"/>
              </w:rPr>
              <w:t>(Note 3)</w:t>
            </w:r>
          </w:p>
        </w:tc>
        <w:tc>
          <w:tcPr>
            <w:tcW w:w="720" w:type="dxa"/>
            <w:vAlign w:val="bottom"/>
          </w:tcPr>
          <w:p>
            <w:pPr>
              <w:jc w:val="right"/>
              <w:spacing w:after="0"/>
              <w:rPr>
                <w:sz w:val="20"/>
                <w:szCs w:val="20"/>
                <w:color w:val="auto"/>
              </w:rPr>
            </w:pPr>
            <w:r>
              <w:rPr>
                <w:rFonts w:ascii="Arial" w:cs="Arial" w:eastAsia="Arial" w:hAnsi="Arial"/>
                <w:sz w:val="11"/>
                <w:szCs w:val="11"/>
                <w:color w:val="auto"/>
              </w:rPr>
              <w:t>784,128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447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(294)</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2"/>
          </w:tcPr>
          <w:p>
            <w:pPr>
              <w:spacing w:after="0" w:line="122" w:lineRule="exact"/>
              <w:rPr>
                <w:sz w:val="20"/>
                <w:szCs w:val="20"/>
                <w:color w:val="auto"/>
              </w:rPr>
            </w:pPr>
            <w:r>
              <w:rPr>
                <w:rFonts w:ascii="Arial" w:cs="Arial" w:eastAsia="Arial" w:hAnsi="Arial"/>
                <w:sz w:val="11"/>
                <w:szCs w:val="11"/>
                <w:color w:val="auto"/>
              </w:rPr>
              <w:t>Stock based compensation</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6,840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6,840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(9,580)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(9,580)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60" w:type="dxa"/>
            <w:vAlign w:val="bottom"/>
          </w:tcPr>
          <w:p>
            <w:pPr>
              <w:spacing w:after="0" w:line="115" w:lineRule="exact"/>
              <w:rPr>
                <w:sz w:val="20"/>
                <w:szCs w:val="20"/>
                <w:color w:val="auto"/>
              </w:rPr>
            </w:pPr>
            <w:r>
              <w:rPr>
                <w:rFonts w:ascii="Arial" w:cs="Arial" w:eastAsia="Arial" w:hAnsi="Arial"/>
                <w:sz w:val="11"/>
                <w:szCs w:val="11"/>
                <w:b w:val="1"/>
                <w:bCs w:val="1"/>
                <w:color w:val="auto"/>
              </w:rPr>
              <w:t>Balance, December 31, 2025</w:t>
            </w:r>
          </w:p>
        </w:tc>
        <w:tc>
          <w:tcPr>
            <w:tcW w:w="1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87,519,096</w:t>
            </w: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ind w:right="5"/>
              <w:spacing w:after="0" w:line="115" w:lineRule="exact"/>
              <w:rPr>
                <w:sz w:val="20"/>
                <w:szCs w:val="20"/>
                <w:color w:val="auto"/>
              </w:rPr>
            </w:pPr>
            <w:r>
              <w:rPr>
                <w:rFonts w:ascii="Arial" w:cs="Arial" w:eastAsia="Arial" w:hAnsi="Arial"/>
                <w:sz w:val="11"/>
                <w:szCs w:val="11"/>
                <w:b w:val="1"/>
                <w:bCs w:val="1"/>
                <w:color w:val="auto"/>
              </w:rPr>
              <w:t>9</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950,814</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(791,917)</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30</w:t>
            </w: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158,936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598360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2" w:right="1239" w:bottom="1440" w:gutter="0" w:footer="0" w:header="0"/>
        </w:sectPr>
      </w:pPr>
    </w:p>
    <w:bookmarkStart w:id="130" w:name="page131"/>
    <w:bookmarkEnd w:id="1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25"/>
          <w:szCs w:val="25"/>
          <w:b w:val="1"/>
          <w:bCs w:val="1"/>
          <w:color w:val="auto"/>
        </w:rPr>
        <w:t>(In thousands)</w:t>
      </w:r>
    </w:p>
    <w:p>
      <w:pPr>
        <w:spacing w:after="0" w:line="1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Year 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715"/>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60" w:type="dxa"/>
            <w:vAlign w:val="bottom"/>
            <w:gridSpan w:val="2"/>
            <w:vMerge w:val="restart"/>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December 31, 2025</w:t>
            </w:r>
          </w:p>
        </w:tc>
        <w:tc>
          <w:tcPr>
            <w:tcW w:w="320" w:type="dxa"/>
            <w:vAlign w:val="bottom"/>
            <w:gridSpan w:val="3"/>
            <w:vMerge w:val="restart"/>
          </w:tcPr>
          <w:p>
            <w:pPr>
              <w:jc w:val="right"/>
              <w:ind w:right="49"/>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455"/>
              <w:spacing w:after="0"/>
              <w:rPr>
                <w:sz w:val="20"/>
                <w:szCs w:val="20"/>
                <w:color w:val="auto"/>
              </w:rPr>
            </w:pP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jc w:val="right"/>
              <w:ind w:right="295"/>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4"/>
                <w:szCs w:val="14"/>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(9,580)</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(126,566)</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20" w:type="dxa"/>
            <w:vAlign w:val="bottom"/>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Adjustments to reconcile net loss to net cash used in operating</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activities: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13,101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13,304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Non-cash operating lease expense (benefit)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200"/>
              <w:spacing w:after="0"/>
              <w:rPr>
                <w:sz w:val="20"/>
                <w:szCs w:val="20"/>
                <w:color w:val="auto"/>
              </w:rPr>
            </w:pPr>
            <w:r>
              <w:rPr>
                <w:rFonts w:ascii="Arial" w:cs="Arial" w:eastAsia="Arial" w:hAnsi="Arial"/>
                <w:sz w:val="14"/>
                <w:szCs w:val="14"/>
                <w:color w:val="auto"/>
              </w:rPr>
              <w:t>Stock based compensation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6,840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12,688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Impairment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4,327</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200"/>
              <w:spacing w:after="0"/>
              <w:rPr>
                <w:sz w:val="20"/>
                <w:szCs w:val="20"/>
                <w:color w:val="auto"/>
              </w:rPr>
            </w:pPr>
            <w:r>
              <w:rPr>
                <w:rFonts w:ascii="Arial" w:cs="Arial" w:eastAsia="Arial" w:hAnsi="Arial"/>
                <w:sz w:val="14"/>
                <w:szCs w:val="14"/>
                <w:color w:val="auto"/>
              </w:rPr>
              <w:t>Accretion of investments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(2,357)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(4,812)</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fair value of contingent liabilities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200"/>
              <w:spacing w:after="0"/>
              <w:rPr>
                <w:sz w:val="20"/>
                <w:szCs w:val="20"/>
                <w:color w:val="auto"/>
              </w:rPr>
            </w:pPr>
            <w:r>
              <w:rPr>
                <w:rFonts w:ascii="Arial" w:cs="Arial" w:eastAsia="Arial" w:hAnsi="Arial"/>
                <w:sz w:val="14"/>
                <w:szCs w:val="14"/>
                <w:color w:val="auto"/>
              </w:rPr>
              <w:t>Gain on reduction in lease liability due to lease termination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(1,395)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959</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tax (benefit) expense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4"/>
                <w:szCs w:val="14"/>
                <w:b w:val="1"/>
                <w:bCs w:val="1"/>
                <w:color w:val="auto"/>
              </w:rPr>
              <w:t>Change in operating assets and liabilities: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200"/>
              <w:spacing w:after="0"/>
              <w:rPr>
                <w:sz w:val="20"/>
                <w:szCs w:val="20"/>
                <w:color w:val="auto"/>
              </w:rPr>
            </w:pPr>
            <w:r>
              <w:rPr>
                <w:rFonts w:ascii="Arial" w:cs="Arial" w:eastAsia="Arial" w:hAnsi="Arial"/>
                <w:sz w:val="14"/>
                <w:szCs w:val="14"/>
                <w:color w:val="auto"/>
              </w:rPr>
              <w:t>Operating lease liability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(4,978)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(3,365)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(109,164)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(6,589)</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1,562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(1,469)</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20" w:type="dxa"/>
            <w:vAlign w:val="bottom"/>
            <w:tcBorders>
              <w:bottom w:val="single" w:sz="8" w:color="CCEEFF"/>
            </w:tcBorders>
          </w:tcPr>
          <w:p>
            <w:pPr>
              <w:ind w:left="30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(103,876)</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(110,135)</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gridSpan w:val="3"/>
          </w:tcPr>
          <w:p>
            <w:pPr>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29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Acquisition of property and equipment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4"/>
                <w:szCs w:val="14"/>
                <w:color w:val="auto"/>
              </w:rPr>
              <w:t>Acquisition of fixed maturity securities, available for sale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(51,174)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(119,548)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Sale of fixed maturity securities, available for sale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159,523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176,792</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Acquisition of Clade Therapeutics, Inc., net of cash acquired</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(9,608)</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cash provided by investing activities</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107,501</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47,482</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29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issuance of common stock and ESPP</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4"/>
                <w:szCs w:val="14"/>
                <w:color w:val="auto"/>
              </w:rPr>
              <w:t>Proceeds from ATM, net of issuance costs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17,829</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Proceeds from PIPE, net of issuance costs</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56,593</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20" w:type="dxa"/>
            <w:vAlign w:val="bottom"/>
            <w:tcBorders>
              <w:bottom w:val="single" w:sz="8" w:color="CCEEFF"/>
            </w:tcBorders>
          </w:tcPr>
          <w:p>
            <w:pPr>
              <w:ind w:left="8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173</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74,563</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300"/>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3,798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11,910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61,213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49,303</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65,011</w:t>
            </w: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61,213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0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Reduction of ROU asset and lease liability due to non-cash lease modification</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3,892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3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Cash paid for income tax</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501</w:t>
            </w:r>
          </w:p>
        </w:tc>
        <w:tc>
          <w:tcPr>
            <w:tcW w:w="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3,892</w:t>
            </w:r>
          </w:p>
        </w:tc>
        <w:tc>
          <w:tcPr>
            <w:tcW w:w="320" w:type="dxa"/>
            <w:vAlign w:val="bottom"/>
            <w:tcBorders>
              <w:bottom w:val="single" w:sz="8" w:color="auto"/>
            </w:tcBorders>
            <w:gridSpan w:val="3"/>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501</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29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80"/>
              <w:spacing w:after="0"/>
              <w:rPr>
                <w:sz w:val="20"/>
                <w:szCs w:val="20"/>
                <w:color w:val="auto"/>
              </w:rPr>
            </w:pPr>
            <w:r>
              <w:rPr>
                <w:rFonts w:ascii="Arial" w:cs="Arial" w:eastAsia="Arial" w:hAnsi="Arial"/>
                <w:sz w:val="14"/>
                <w:szCs w:val="14"/>
                <w:color w:val="auto"/>
              </w:rPr>
              <w:t>Issuance of Equity to satisfy contingent liability</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447</w:t>
            </w: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jc w:val="right"/>
              <w:ind w:right="3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20" w:type="dxa"/>
            <w:vAlign w:val="bottom"/>
            <w:tcBorders>
              <w:top w:val="single" w:sz="8" w:color="CCEEFF"/>
              <w:bottom w:val="single" w:sz="8" w:color="CCEEFF"/>
            </w:tcBorders>
            <w:shd w:val="clear" w:color="auto" w:fill="CCEEFF"/>
          </w:tcPr>
          <w:p>
            <w:pPr>
              <w:ind w:left="80"/>
              <w:spacing w:after="0" w:line="143" w:lineRule="exact"/>
              <w:rPr>
                <w:sz w:val="20"/>
                <w:szCs w:val="20"/>
                <w:color w:val="auto"/>
              </w:rPr>
            </w:pPr>
            <w:r>
              <w:rPr>
                <w:rFonts w:ascii="Arial" w:cs="Arial" w:eastAsia="Arial" w:hAnsi="Arial"/>
                <w:sz w:val="14"/>
                <w:szCs w:val="14"/>
                <w:color w:val="auto"/>
              </w:rPr>
              <w:t>Stock issued in connection with the Acquisition</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15,154</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80"/>
              <w:spacing w:after="0"/>
              <w:rPr>
                <w:sz w:val="20"/>
                <w:szCs w:val="20"/>
                <w:color w:val="auto"/>
              </w:rPr>
            </w:pPr>
            <w:r>
              <w:rPr>
                <w:rFonts w:ascii="Arial" w:cs="Arial" w:eastAsia="Arial" w:hAnsi="Arial"/>
                <w:sz w:val="14"/>
                <w:szCs w:val="14"/>
                <w:color w:val="auto"/>
              </w:rPr>
              <w:t>Landlord paid leasehold improvements</w:t>
            </w:r>
          </w:p>
        </w:tc>
        <w:tc>
          <w:tcPr>
            <w:tcW w:w="3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934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-128905</wp:posOffset>
            </wp:positionV>
            <wp:extent cx="20828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1" w:name="page132"/>
    <w:bookmarkEnd w:id="1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CENTURY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1—Organization and description of the business</w:t>
      </w:r>
    </w:p>
    <w:p>
      <w:pPr>
        <w:spacing w:after="0" w:line="212"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Century Therapeutics, Inc. (the “Company”) is an innovative biotechnology company developing transformative allogeneic cell therapies to create products for the treatment of both solid tumor and hematological malignancies and autoimmune diseases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10"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the Company’s subsidiaries, Century Therapeutics Canada ULC (“Century Canada”), Clade Therapeutics (“Clade”) and Gadeta B.V. (“Gadeta”). All intercompany balances and transactions have been eliminated in consolidation.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1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Since inception, the Company has incurred net losses and negative cash flows from operations. During the year ended December 31, 2025, the Company incurred a net loss of $ 9.6 and used $ 103.9 of cash from operations. Cash and cash equivalents and short and long-term investments were $117.1 at December 31, 2025. As further described in Note 18, the Company raised net proceeds of $126,700 in January, 2026.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2" w:name="page133"/>
    <w:bookmarkEnd w:id="1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2—Summary of significant accounting policies and basis of presentation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10"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1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intangible assets acquired in business combinations,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December 31, 2025 and 2024, the Company has not experienced any losses on its deposits of cash and cash equivalents.</w:t>
      </w:r>
    </w:p>
    <w:p>
      <w:pPr>
        <w:spacing w:after="0" w:line="179"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76" w:lineRule="exact"/>
        <w:rPr>
          <w:sz w:val="20"/>
          <w:szCs w:val="20"/>
          <w:color w:val="auto"/>
        </w:rPr>
      </w:pPr>
    </w:p>
    <w:p>
      <w:pPr>
        <w:ind w:left="60" w:right="159"/>
        <w:spacing w:after="0" w:line="266"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1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85"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3" w:name="page134"/>
    <w:bookmarkEnd w:id="1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54"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5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Management considers all highly liquid investments of three months or less to be cash equivalents.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210"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As of December 31, 2025 and 2024, the Company had $3,158 and $2,772, respectively, in cash on deposit to secure certain lease commitments. Restricted cash is recorded separately in the Company’s consolidated balance sheets.</w:t>
      </w:r>
    </w:p>
    <w:p>
      <w:pPr>
        <w:spacing w:after="0" w:line="169"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42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December 31, 2025</w:t>
            </w:r>
          </w:p>
        </w:tc>
        <w:tc>
          <w:tcPr>
            <w:tcW w:w="14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December 31, 2024</w:t>
            </w: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7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61,853</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58,441</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2,359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2,772</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 included in prepaid and other current assets</w:t>
            </w:r>
          </w:p>
        </w:tc>
        <w:tc>
          <w:tcPr>
            <w:tcW w:w="7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420" w:type="dxa"/>
            <w:vAlign w:val="bottom"/>
          </w:tcPr>
          <w:p>
            <w:pPr>
              <w:spacing w:after="0" w:line="196" w:lineRule="exact"/>
              <w:rPr>
                <w:sz w:val="20"/>
                <w:szCs w:val="20"/>
                <w:color w:val="auto"/>
              </w:rPr>
            </w:pPr>
            <w:r>
              <w:rPr>
                <w:rFonts w:ascii="Arial" w:cs="Arial" w:eastAsia="Arial" w:hAnsi="Arial"/>
                <w:sz w:val="18"/>
                <w:szCs w:val="18"/>
                <w:color w:val="auto"/>
              </w:rPr>
              <w:t>Cash, cash equivalents, and restricted cash</w:t>
            </w:r>
          </w:p>
        </w:tc>
        <w:tc>
          <w:tcPr>
            <w:tcW w:w="74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65,011</w:t>
            </w:r>
          </w:p>
        </w:tc>
        <w:tc>
          <w:tcPr>
            <w:tcW w:w="180" w:type="dxa"/>
            <w:vAlign w:val="bottom"/>
            <w:gridSpan w:val="2"/>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61,213</w:t>
            </w:r>
          </w:p>
        </w:tc>
      </w:tr>
      <w:tr>
        <w:trPr>
          <w:trHeight w:val="20"/>
        </w:trPr>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210"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loss on the consolidated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4" w:name="page135"/>
    <w:bookmarkEnd w:id="1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9"/>
        <w:spacing w:after="0" w:line="271" w:lineRule="auto"/>
        <w:rPr>
          <w:sz w:val="20"/>
          <w:szCs w:val="20"/>
          <w:color w:val="auto"/>
        </w:rPr>
      </w:pPr>
      <w:r>
        <w:rPr>
          <w:rFonts w:ascii="Arial" w:cs="Arial" w:eastAsia="Arial" w:hAnsi="Arial"/>
          <w:sz w:val="18"/>
          <w:szCs w:val="18"/>
          <w:color w:val="auto"/>
        </w:rPr>
        <w:t>the asset’s useful life or the remaining term of the lease. Computer software and equipment includes implementation costs for cloud-based software and network equipment.</w:t>
      </w:r>
    </w:p>
    <w:p>
      <w:pPr>
        <w:spacing w:after="0" w:line="154"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Black-Scholes requires inputs based on certain subjective assumptions, including (i) the expected stock price volatility, (ii) the expected term of the award, (iii) the risk-free interest rate and (iv) expected dividends.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10" w:lineRule="exact"/>
        <w:rPr>
          <w:sz w:val="20"/>
          <w:szCs w:val="20"/>
          <w:color w:val="auto"/>
        </w:rPr>
      </w:pPr>
    </w:p>
    <w:p>
      <w:pPr>
        <w:ind w:left="60" w:right="479"/>
        <w:spacing w:after="0" w:line="247" w:lineRule="auto"/>
        <w:rPr>
          <w:sz w:val="20"/>
          <w:szCs w:val="20"/>
          <w:color w:val="auto"/>
        </w:rPr>
      </w:pPr>
      <w:r>
        <w:rPr>
          <w:rFonts w:ascii="Arial" w:cs="Arial" w:eastAsia="Arial" w:hAnsi="Arial"/>
          <w:sz w:val="18"/>
          <w:szCs w:val="18"/>
          <w:color w:val="auto"/>
        </w:rPr>
        <w:t>Warrants are accounted for in accordance with applicable accounting guidance provided in ASC Topic 815, Derivatives and Hedging—Contracts in Entity’s Own Equity, as either derivative liabilities or as equity instruments depending on the specific terms of the warrant agreement. Through December 31,2025, the Company’s warrants were issued are in connection with its long-term debt and in connection with services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5" w:name="page136"/>
    <w:bookmarkEnd w:id="1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provided by consultants, and are equity classified on the accompanying consolidated balance sheets. Equity classified warrants are accounted for at fair value on the issuance date, using Black-Scholes, with no changes in fair value recognized after the issuance date. As further described in Note 18, the Company issued warrants in connection with a Private Placement in January, 2026.</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The functional currency of Gadeta is the Euro. Assets and liabilities of Century Canada and Gadeta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83"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income (loss) within the Company’s consolidated balance sheets.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years ended December 31, 2025 and 2024.</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21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Plan (Note 14) prior to vesting and prior to its IPO.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stockholders’ equity until the awards vest. The deposits received are initially recorded in deposit liability. The liabilities are reclassified to common stock and additional paid-in-capital as the repurchase right lapses. At December 31, 2025 and 2024, there was $0 and $82, respectively, recorded in deposit liability related to shares held by employees and nonemployees that were subject to repurchase.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6" w:name="page137"/>
    <w:bookmarkEnd w:id="1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920" w:type="dxa"/>
            <w:vAlign w:val="bottom"/>
            <w:tcBorders>
              <w:top w:val="single" w:sz="8" w:color="auto"/>
            </w:tcBorders>
          </w:tcPr>
          <w:p>
            <w:pPr>
              <w:spacing w:after="0"/>
              <w:rPr>
                <w:sz w:val="15"/>
                <w:szCs w:val="15"/>
                <w:color w:val="auto"/>
              </w:rPr>
            </w:pPr>
          </w:p>
        </w:tc>
        <w:tc>
          <w:tcPr>
            <w:tcW w:w="2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231F20"/>
              </w:rPr>
              <w:t>December 31, 2025</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231F20"/>
              </w:rPr>
              <w:t>​​​ December 31, 2024</w:t>
            </w: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shares legally outstanding</w:t>
            </w:r>
          </w:p>
        </w:tc>
        <w:tc>
          <w:tcPr>
            <w:tcW w:w="1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87,519,096</w:t>
            </w:r>
          </w:p>
        </w:tc>
        <w:tc>
          <w:tcPr>
            <w:tcW w:w="1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85,872,571</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Less: unvested early exercised shares</w:t>
            </w:r>
          </w:p>
        </w:tc>
        <w:tc>
          <w:tcPr>
            <w:tcW w:w="1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231F20"/>
              </w:rPr>
              <w:t>(11,321)</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unvested restricted stock awards (Note 13)</w:t>
            </w:r>
          </w:p>
        </w:tc>
        <w:tc>
          <w:tcPr>
            <w:tcW w:w="1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231F20"/>
              </w:rPr>
              <w:t>(24,821)</w:t>
            </w:r>
          </w:p>
        </w:tc>
      </w:tr>
      <w:tr>
        <w:trPr>
          <w:trHeight w:val="196"/>
        </w:trPr>
        <w:tc>
          <w:tcPr>
            <w:tcW w:w="4920" w:type="dxa"/>
            <w:vAlign w:val="bottom"/>
          </w:tcPr>
          <w:p>
            <w:pPr>
              <w:spacing w:after="0" w:line="196" w:lineRule="exact"/>
              <w:rPr>
                <w:sz w:val="20"/>
                <w:szCs w:val="20"/>
                <w:color w:val="auto"/>
              </w:rPr>
            </w:pPr>
            <w:r>
              <w:rPr>
                <w:rFonts w:ascii="Arial" w:cs="Arial" w:eastAsia="Arial" w:hAnsi="Arial"/>
                <w:sz w:val="18"/>
                <w:szCs w:val="18"/>
                <w:color w:val="auto"/>
              </w:rPr>
              <w:t>Total shares issued and outstanding</w:t>
            </w:r>
          </w:p>
        </w:tc>
        <w:tc>
          <w:tcPr>
            <w:tcW w:w="11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87,519,096</w:t>
            </w:r>
          </w:p>
        </w:tc>
        <w:tc>
          <w:tcPr>
            <w:tcW w:w="16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85,836,429</w:t>
            </w:r>
          </w:p>
        </w:tc>
      </w:tr>
      <w:tr>
        <w:trPr>
          <w:trHeight w:val="20"/>
        </w:trPr>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1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we determine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79"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17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76"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We recognize interest and penalties related to unrecognized tax benefits on the income tax expense line in the accompanying consolidated statement of operations. As of December 31, 2025, no accrued interest or penalties are included on the related tax liability line in the consolidated balance sheet.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7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(“ASC 606”). This standard applies to all contracts with customers. When an agreement falls under the scope of other standards, such as ASC Topic 808, Collaborative Arrangements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7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w:t>
      </w:r>
    </w:p>
    <w:p>
      <w:pPr>
        <w:sectPr>
          <w:pgSz w:w="11900" w:h="16838" w:orient="portrait"/>
          <w:cols w:equalWidth="0" w:num="1">
            <w:col w:w="9019"/>
          </w:cols>
          <w:pgMar w:left="1440" w:top="512"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7" w:name="page138"/>
    <w:bookmarkEnd w:id="1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79"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17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80"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6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12529"/>
        </w:rPr>
        <w:t>Acquisition-Related Contingent Consideration</w:t>
      </w:r>
    </w:p>
    <w:p>
      <w:pPr>
        <w:spacing w:after="0" w:line="183"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Acquisition-related contingent consideration consists of our future obligation owed to shareholders of Clade and Gadeta and includes contingent milestone payments, earn-out obligation, and indemnification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8" w:name="page139"/>
    <w:bookmarkEnd w:id="1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obligations. Acquisition-related contingent consideration was recorded on the acquisition date at the estimated fair value of the obligation, in accordance with the acquisition method of accounting. The fair value measurement is based on significant inputs that are unobservable in the market and thus represents a Level 3 fair value measurement. The fair value of the acquisition-related contingent consideration is remeasured each reporting period, with changes in fair value recorded in the consolidated statements of operations and comprehensive loss within general and administrative expense.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12529"/>
        </w:rPr>
        <w:t>Business Combinations</w:t>
      </w:r>
    </w:p>
    <w:p>
      <w:pPr>
        <w:spacing w:after="0" w:line="196" w:lineRule="exact"/>
        <w:rPr>
          <w:sz w:val="20"/>
          <w:szCs w:val="20"/>
          <w:color w:val="auto"/>
        </w:rPr>
      </w:pPr>
    </w:p>
    <w:p>
      <w:pPr>
        <w:jc w:val="both"/>
        <w:ind w:left="60" w:right="79"/>
        <w:spacing w:after="0" w:line="242" w:lineRule="auto"/>
        <w:rPr>
          <w:sz w:val="20"/>
          <w:szCs w:val="20"/>
          <w:color w:val="auto"/>
        </w:rPr>
      </w:pPr>
      <w:r>
        <w:rPr>
          <w:rFonts w:ascii="Arial" w:cs="Arial" w:eastAsia="Arial" w:hAnsi="Arial"/>
          <w:sz w:val="18"/>
          <w:szCs w:val="18"/>
          <w:color w:val="212529"/>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 identifiable assets and liabilities is recorded as goodwill. Acquisition related costs are expensed as incurred. Upon acquisition, the accounts and results of operations are consolidated as of and subsequent to the acquisition date.</w:t>
      </w:r>
    </w:p>
    <w:p>
      <w:pPr>
        <w:spacing w:after="0" w:line="16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212529"/>
        </w:rPr>
        <w:t>When determining the fair values of assets acquired and liabilities assumed, management makes significant estimates and assumptions, especially with respect to intangible assets. The Company utilizes commonly accepted valuation techniques, such as the income approach in establishing the fair value of intangible assets. See “Note 3 – Business combination” for additional detail.</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12529"/>
        </w:rPr>
        <w:t>Goodwill and Intangible Assets</w:t>
      </w:r>
    </w:p>
    <w:p>
      <w:pPr>
        <w:spacing w:after="0" w:line="16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12529"/>
        </w:rPr>
        <w:t>Goodwill represents the excess of the purchase price over the net amount of identifiable assets acquired and liabilities assumed in a business combination measured at fair value. Goodwill is not amortized but is tested for impairment at least annually. The Company reviews goodwill for impairment annually in the fourth quarter and whenever events or changes in circumstances indicate that the fair value of a reporting unit may be less than its carrying amount “triggering events”. Triggering events may include a sustained period where the Company’s carrying value is in excess of its market capitalization or adverse changes in business climate. The Company first assesses qualitative factors to determine whether it is more likely than not that the fair value of its reporting unit is less than its carrying amount as a basis for determining whether it is necessary to perform the quantitative goodwill impairment test described in ASC Topic 350, Intangibles – Goodwill and Other. The more likely than not threshold is defined as having a likelihood of more than 50 percent. If, after assessing the totality of events or circumstances, the Company determines that it is not more likely than not that the fair value of a reporting unit is less than its carrying amount, then performing the quantitative goodwill impairment test is unnecessary and goodwill is considered to be unimpaired. However, if based on the qualitative assessment the Company concludes that it is more likely than not that the fair value of a reporting unit is less than its carrying amount, the Company will proceed with performing the quantitative goodwill impairment test. In performing the quantitative goodwill impairment test, the Company determines the fair value of its reporting unit and compares it to its carrying value. If the fair value of the reporting unit exceeds the carrying value of the net assets assigned to that unit, goodwill is not impaired. If the carrying value of the reporting unit exceeds its fair value, the Company records an impairment loss equal to the difference. For the year ended December 31, 2024, there was $4,327 in impairment related to goodwill.</w:t>
      </w:r>
    </w:p>
    <w:p>
      <w:pPr>
        <w:spacing w:after="0" w:line="15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12529"/>
        </w:rPr>
        <w:t>Indefinite-lived intangibles are carried at the initially recorded fair value less any recognized impairment. Indefinite-lived intangibles are tested at least annually for impairment. Impairment assessments are conducted more frequently if certain conditions exist, including a change in the competitive landscape, any internal decisions to pursue new or different technology strategies, or a significant change in the marketplace, including changes in the size of the market for the Company’s products. In performing the impairment test, the Company estimates the fair value of the indefinite-lived intangible asset and compares it to the carrying value. If the carrying value exceeds the estimated fair value, the Company records an impairment loss for the difference. For the year ended December 31, 2025, there were no impairment charges on the Company’s indefinite-lived intangible assets. For further discussion of identified intangible assets, see “Note 3 – Business Combination”.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9" w:name="page140"/>
    <w:bookmarkEnd w:id="1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 November 2024, the Financial Accounting Standards Board (“FASB”) issued Accounting Standards Update (“ASU”) 2024-03, Income Statement-Reporting Comprehensive Income-Expense Disaggregation Disclosures (Subtopic 220-40) (“ASU 2024-03”). The ASU includes enhanced disclosure requirements, which mandate transparency in financial statements by requiring detailed disclosures of specific expenses like inventory purchases, employee compensation, depreciation, and intangible asset amortization. In January 2025, the FASB issued ASU 2025-01, Income Statement – Reporting Comprehensive Income – Expense Disaggregation Disclosures (Subtopic 220-40) An Amendment of the FASB Accounting Standards Codification (“ASC”), Clarifying the Effective Date, which clarifies that public business entities are required to adopt the ASU 2024-03 guidance in annual reporting periods beginning after December 15, 2026. And interim reporting periods within annual reporting periods beginning after December 15, 2027. Early adoption is permitted. The Company is currently evaluating the impact of adopting this pronouncement on the Company’s consolidated financial statements and disclosures.</w:t>
      </w:r>
    </w:p>
    <w:p>
      <w:pPr>
        <w:spacing w:after="0" w:line="16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For entities other than PBEs, the requirements will be effective for annual periods beginning after December 15, 2025.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As of December 31, 2025, the Company retrospectively adopted this new ASU and it only impacts the Company's income tax disclosures with no impact to its operations, cash flows, or financial condition.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3—Business combination</w:t>
      </w:r>
    </w:p>
    <w:p>
      <w:pPr>
        <w:spacing w:after="0" w:line="241"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212529"/>
        </w:rPr>
        <w:t>On April 11, 2024, the Company acquired Clade, a privately held biotechnology company focused on discovering and delivering engineerable, off-the-shelf, scalable, and consistent stem cell-based medicines, with a focus on iPSC-derived αβ T cells. The acquisition expanded the Company’s pipeline by</w:t>
      </w:r>
    </w:p>
    <w:p>
      <w:pPr>
        <w:spacing w:after="0" w:line="2" w:lineRule="exact"/>
        <w:rPr>
          <w:sz w:val="20"/>
          <w:szCs w:val="20"/>
          <w:color w:val="auto"/>
        </w:rPr>
      </w:pPr>
    </w:p>
    <w:p>
      <w:pPr>
        <w:jc w:val="both"/>
        <w:ind w:left="60" w:right="239"/>
        <w:spacing w:after="0"/>
        <w:rPr>
          <w:sz w:val="20"/>
          <w:szCs w:val="20"/>
          <w:color w:val="auto"/>
        </w:rPr>
      </w:pPr>
      <w:r>
        <w:rPr>
          <w:rFonts w:ascii="Arial" w:cs="Arial" w:eastAsia="Arial" w:hAnsi="Arial"/>
          <w:sz w:val="18"/>
          <w:szCs w:val="18"/>
          <w:color w:val="212529"/>
        </w:rPr>
        <w:t>incorporating three additional preclinical-stage programs from Clade’s αβ iT platform spanning across cancer and autoimmune diseases. The results of Clade’s operations have been included in the consolidated financial statements since that date. A total of 3,741,646 common shares were issued to the Clade stockholders on the date of close, which were valued based on the closing price of common stock on that date.</w:t>
      </w:r>
    </w:p>
    <w:p>
      <w:pPr>
        <w:spacing w:after="0" w:line="15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212529"/>
        </w:rPr>
        <w:t>Contingent consideration was estimated at fair value on the date of the close and consists of both additional stock consideration (“Holdback Shares”) as well as a contingent milestone payment of $10,000 (“Clade Milestone”). The Holdback Shares totaled 784,128 shares of common stock consideration that were issued and delivered to the Clade shareholders on October 15, 2025. This contingent consideration was recorded at fair value as of the closing date, based on the closing stock price on that date, adjusted for a discount for lack of marketability, and totaled $2,600. Contingent consideration also includes the Clade Milestone, which consists of one potential clinical development milestone payment of $10,000, which may be paid in cash, shares, or a combination thereof, upon the achievement of the milestone. The fair value of this contingent consideration was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0" w:name="page141"/>
    <w:bookmarkEnd w:id="1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212529"/>
        </w:rPr>
        <w:t>estimated based on the probability of milestone achievement, and an estimated discount rate, and totaled $8,883 on the date of acquisition.</w:t>
      </w:r>
    </w:p>
    <w:p>
      <w:pPr>
        <w:spacing w:after="0" w:line="12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212529"/>
        </w:rPr>
        <w:t>The Company recognized $895 of acquisition-related costs during the year ended December 31, 2024, which were expensed as incurred in the consolidated statement of operations. No such expenses were recorded during the twelve months ended December 31, 2025.</w:t>
      </w:r>
    </w:p>
    <w:p>
      <w:pPr>
        <w:spacing w:after="0" w:line="12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212529"/>
        </w:rPr>
        <w:t>The following table summarizes the provisional fair values of the assets acquired and liabilities assumed at the date of the acquisition:</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20"/>
                <w:szCs w:val="20"/>
                <w:color w:val="auto"/>
              </w:rPr>
              <w:t>Consideration transferred:</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Cash consideration</w:t>
            </w:r>
          </w:p>
        </w:tc>
        <w:tc>
          <w:tcPr>
            <w:tcW w:w="800" w:type="dxa"/>
            <w:vAlign w:val="bottom"/>
            <w:gridSpan w:val="2"/>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14,854</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Fair value of common stock (3,741,646 at closing price of $4.05)</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15,154</w:t>
            </w:r>
          </w:p>
        </w:tc>
      </w:tr>
      <w:tr>
        <w:trPr>
          <w:trHeight w:val="216"/>
        </w:trPr>
        <w:tc>
          <w:tcPr>
            <w:tcW w:w="6740" w:type="dxa"/>
            <w:vAlign w:val="bottom"/>
            <w:tcBorders>
              <w:bottom w:val="single" w:sz="8" w:color="CCEEFF"/>
            </w:tcBorders>
          </w:tcPr>
          <w:p>
            <w:pPr>
              <w:ind w:left="100"/>
              <w:spacing w:after="0" w:line="216" w:lineRule="exact"/>
              <w:rPr>
                <w:sz w:val="20"/>
                <w:szCs w:val="20"/>
                <w:color w:val="auto"/>
              </w:rPr>
            </w:pPr>
            <w:r>
              <w:rPr>
                <w:rFonts w:ascii="Arial" w:cs="Arial" w:eastAsia="Arial" w:hAnsi="Arial"/>
                <w:sz w:val="20"/>
                <w:szCs w:val="20"/>
                <w:color w:val="auto"/>
              </w:rPr>
              <w:t>Contingent consideration</w:t>
            </w: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9,722</w:t>
            </w:r>
          </w:p>
        </w:tc>
      </w:tr>
      <w:tr>
        <w:trPr>
          <w:trHeight w:val="209"/>
        </w:trPr>
        <w:tc>
          <w:tcPr>
            <w:tcW w:w="6740" w:type="dxa"/>
            <w:vAlign w:val="bottom"/>
            <w:tcBorders>
              <w:bottom w:val="single" w:sz="8" w:color="CCEEFF"/>
            </w:tcBorders>
            <w:shd w:val="clear" w:color="auto" w:fill="CCEEFF"/>
          </w:tcPr>
          <w:p>
            <w:pPr>
              <w:ind w:left="220"/>
              <w:spacing w:after="0" w:line="209" w:lineRule="exact"/>
              <w:rPr>
                <w:sz w:val="20"/>
                <w:szCs w:val="20"/>
                <w:color w:val="auto"/>
              </w:rPr>
            </w:pPr>
            <w:r>
              <w:rPr>
                <w:rFonts w:ascii="Arial" w:cs="Arial" w:eastAsia="Arial" w:hAnsi="Arial"/>
                <w:sz w:val="20"/>
                <w:szCs w:val="20"/>
                <w:color w:val="auto"/>
              </w:rPr>
              <w:t>Total consideration transferred</w:t>
            </w: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39,730</w:t>
            </w: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Assets acquired: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Cash and restricted cash</w:t>
            </w:r>
          </w:p>
        </w:tc>
        <w:tc>
          <w:tcPr>
            <w:tcW w:w="800" w:type="dxa"/>
            <w:vAlign w:val="bottom"/>
            <w:gridSpan w:val="2"/>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5,246</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Prepaid expenses and other assets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400</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Property and equipment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2,652</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Right-of-use operating lease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8,065</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In-process research and development ("IPR&amp;D")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34,200</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Goodwill</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4,327</w:t>
            </w:r>
          </w:p>
        </w:tc>
      </w:tr>
      <w:tr>
        <w:trPr>
          <w:trHeight w:val="250"/>
        </w:trPr>
        <w:tc>
          <w:tcPr>
            <w:tcW w:w="6740" w:type="dxa"/>
            <w:vAlign w:val="bottom"/>
            <w:tcBorders>
              <w:bottom w:val="single" w:sz="8" w:color="CCEEFF"/>
            </w:tcBorders>
          </w:tcPr>
          <w:p>
            <w:pPr>
              <w:ind w:left="220"/>
              <w:spacing w:after="0" w:line="209" w:lineRule="exact"/>
              <w:rPr>
                <w:sz w:val="20"/>
                <w:szCs w:val="20"/>
                <w:color w:val="auto"/>
              </w:rPr>
            </w:pPr>
            <w:r>
              <w:rPr>
                <w:rFonts w:ascii="Arial" w:cs="Arial" w:eastAsia="Arial" w:hAnsi="Arial"/>
                <w:sz w:val="20"/>
                <w:szCs w:val="20"/>
                <w:color w:val="auto"/>
              </w:rPr>
              <w:t>Total assets acquired</w:t>
            </w:r>
          </w:p>
        </w:tc>
        <w:tc>
          <w:tcPr>
            <w:tcW w:w="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54,890</w:t>
            </w:r>
          </w:p>
        </w:tc>
      </w:tr>
      <w:tr>
        <w:trPr>
          <w:trHeight w:val="196"/>
        </w:trPr>
        <w:tc>
          <w:tcPr>
            <w:tcW w:w="6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Liabilities assumed: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Accounts payable</w:t>
            </w:r>
          </w:p>
        </w:tc>
        <w:tc>
          <w:tcPr>
            <w:tcW w:w="800" w:type="dxa"/>
            <w:vAlign w:val="bottom"/>
            <w:gridSpan w:val="2"/>
            <w:shd w:val="clear" w:color="auto" w:fill="CCEEFF"/>
          </w:tcPr>
          <w:p>
            <w:pPr>
              <w:jc w:val="right"/>
              <w:ind w:right="581"/>
              <w:spacing w:after="0" w:line="216" w:lineRule="exact"/>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868</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Accrued expenses and other current liabilities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2,352</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Lease liabilities - operating lease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8,065</w:t>
            </w:r>
          </w:p>
        </w:tc>
      </w:tr>
      <w:tr>
        <w:trPr>
          <w:trHeight w:val="216"/>
        </w:trPr>
        <w:tc>
          <w:tcPr>
            <w:tcW w:w="6740" w:type="dxa"/>
            <w:vAlign w:val="bottom"/>
          </w:tcPr>
          <w:p>
            <w:pPr>
              <w:ind w:left="100"/>
              <w:spacing w:after="0" w:line="216" w:lineRule="exact"/>
              <w:rPr>
                <w:sz w:val="20"/>
                <w:szCs w:val="20"/>
                <w:color w:val="auto"/>
              </w:rPr>
            </w:pPr>
            <w:r>
              <w:rPr>
                <w:rFonts w:ascii="Arial" w:cs="Arial" w:eastAsia="Arial" w:hAnsi="Arial"/>
                <w:sz w:val="20"/>
                <w:szCs w:val="20"/>
                <w:color w:val="auto"/>
              </w:rPr>
              <w:t>Contingent consideration</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20"/>
                <w:szCs w:val="20"/>
                <w:color w:val="auto"/>
              </w:rPr>
              <w:t>372</w:t>
            </w:r>
          </w:p>
        </w:tc>
      </w:tr>
      <w:tr>
        <w:trPr>
          <w:trHeight w:val="216"/>
        </w:trPr>
        <w:tc>
          <w:tcPr>
            <w:tcW w:w="6740" w:type="dxa"/>
            <w:vAlign w:val="bottom"/>
            <w:shd w:val="clear" w:color="auto" w:fill="CCEEFF"/>
          </w:tcPr>
          <w:p>
            <w:pPr>
              <w:ind w:left="100"/>
              <w:spacing w:after="0" w:line="216" w:lineRule="exact"/>
              <w:rPr>
                <w:sz w:val="20"/>
                <w:szCs w:val="20"/>
                <w:color w:val="auto"/>
              </w:rPr>
            </w:pPr>
            <w:r>
              <w:rPr>
                <w:rFonts w:ascii="Arial" w:cs="Arial" w:eastAsia="Arial" w:hAnsi="Arial"/>
                <w:sz w:val="20"/>
                <w:szCs w:val="20"/>
                <w:color w:val="auto"/>
              </w:rPr>
              <w:t>Deferred tax liability</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3,503</w:t>
            </w:r>
          </w:p>
        </w:tc>
      </w:tr>
      <w:tr>
        <w:trPr>
          <w:trHeight w:val="210"/>
        </w:trPr>
        <w:tc>
          <w:tcPr>
            <w:tcW w:w="6740" w:type="dxa"/>
            <w:vAlign w:val="bottom"/>
            <w:tcBorders>
              <w:bottom w:val="single" w:sz="8" w:color="CCEEFF"/>
            </w:tcBorders>
          </w:tcPr>
          <w:p>
            <w:pPr>
              <w:ind w:left="220"/>
              <w:spacing w:after="0" w:line="209" w:lineRule="exact"/>
              <w:rPr>
                <w:sz w:val="20"/>
                <w:szCs w:val="20"/>
                <w:color w:val="auto"/>
              </w:rPr>
            </w:pPr>
            <w:r>
              <w:rPr>
                <w:rFonts w:ascii="Arial" w:cs="Arial" w:eastAsia="Arial" w:hAnsi="Arial"/>
                <w:sz w:val="20"/>
                <w:szCs w:val="20"/>
                <w:color w:val="auto"/>
              </w:rPr>
              <w:t>Total liabilities assumed</w:t>
            </w: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15,160</w:t>
            </w:r>
          </w:p>
        </w:tc>
      </w:tr>
      <w:tr>
        <w:trPr>
          <w:trHeight w:val="210"/>
        </w:trPr>
        <w:tc>
          <w:tcPr>
            <w:tcW w:w="6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10"/>
        </w:trPr>
        <w:tc>
          <w:tcPr>
            <w:tcW w:w="6740" w:type="dxa"/>
            <w:vAlign w:val="bottom"/>
          </w:tcPr>
          <w:p>
            <w:pPr>
              <w:ind w:left="100"/>
              <w:spacing w:after="0" w:line="209" w:lineRule="exact"/>
              <w:rPr>
                <w:sz w:val="20"/>
                <w:szCs w:val="20"/>
                <w:color w:val="auto"/>
              </w:rPr>
            </w:pPr>
            <w:r>
              <w:rPr>
                <w:rFonts w:ascii="Arial" w:cs="Arial" w:eastAsia="Arial" w:hAnsi="Arial"/>
                <w:sz w:val="20"/>
                <w:szCs w:val="20"/>
                <w:color w:val="auto"/>
              </w:rPr>
              <w:t>Net assets acquired</w:t>
            </w: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81"/>
              <w:spacing w:after="0" w:line="209"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39,730</w:t>
            </w: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212529"/>
        </w:rPr>
        <w:t>As of December 31, 2024, the purchase price was final and changes from the preliminary purchase price were immaterial. The purchase price was allocated to the tangible assets and identifiable intangible assets acquired and liabilities assumed based on their acquisition date estimated fair values. The identifiable intangible assets consist of IPR&amp;D which were assigned fair values of $34,200. The fair value of the IPR&amp;D was estimated using the multi-period excess earnings method, which the Company estimates future cash flows attributable to the technology and applies a probability of success and a discount rate of 26.9%.</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212529"/>
        </w:rPr>
        <w:t>These nonrecurring fair value measurements are Level 3 measurements within the fair value hierarchy.</w:t>
      </w:r>
    </w:p>
    <w:p>
      <w:pPr>
        <w:spacing w:after="0" w:line="171"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212529"/>
        </w:rPr>
        <w:t>Goodwill represents the excess of the purchase price over the net identifiable tangible and intangible assets acquired. The Company believes the goodwill related to the acquisition was attributable to the expected synergies and value of the assembled workforce as well as the collective experience of the management team with regards to its operations. The goodwill is not expected to be tax deductible.</w:t>
      </w:r>
    </w:p>
    <w:p>
      <w:pPr>
        <w:spacing w:after="0" w:line="133"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212529"/>
        </w:rPr>
        <w:t>As of December 31, 2024, given the sustained decrease of the Company’s market capitalization, the carrying value of the single, entity-wide reporting unit exceeded its fair value, and accordingly, the Company recorded a goodwill impairment charge of $4,327 to write off the goodwill balance.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1" w:name="page142"/>
    <w:bookmarkEnd w:id="1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4—Financial instruments and fair value measurements</w:t>
      </w:r>
    </w:p>
    <w:p>
      <w:pPr>
        <w:spacing w:after="0" w:line="21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2025, by level within the fair value hierarchy:</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3640" w:type="dxa"/>
            <w:vAlign w:val="bottom"/>
            <w:tcBorders>
              <w:top w:val="single" w:sz="8" w:color="auto"/>
            </w:tcBorders>
          </w:tcPr>
          <w:p>
            <w:pPr>
              <w:ind w:left="3520"/>
              <w:spacing w:after="0" w:line="157"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33"/>
              <w:spacing w:after="0" w:line="157" w:lineRule="exact"/>
              <w:rPr>
                <w:sz w:val="20"/>
                <w:szCs w:val="20"/>
                <w:color w:val="auto"/>
              </w:rPr>
            </w:pPr>
            <w:r>
              <w:rPr>
                <w:rFonts w:ascii="Arial" w:cs="Arial" w:eastAsia="Arial" w:hAnsi="Arial"/>
                <w:sz w:val="14"/>
                <w:szCs w:val="14"/>
                <w:color w:val="auto"/>
              </w:rPr>
              <w:t>Level 1</w:t>
            </w:r>
          </w:p>
        </w:tc>
        <w:tc>
          <w:tcPr>
            <w:tcW w:w="460" w:type="dxa"/>
            <w:vAlign w:val="bottom"/>
            <w:tcBorders>
              <w:top w:val="single" w:sz="8" w:color="auto"/>
              <w:bottom w:val="single" w:sz="8" w:color="auto"/>
            </w:tcBorders>
            <w:gridSpan w:val="2"/>
          </w:tcPr>
          <w:p>
            <w:pPr>
              <w:jc w:val="right"/>
              <w:ind w:right="147"/>
              <w:spacing w:after="0" w:line="157"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253"/>
              <w:spacing w:after="0" w:line="157" w:lineRule="exact"/>
              <w:rPr>
                <w:sz w:val="20"/>
                <w:szCs w:val="20"/>
                <w:color w:val="auto"/>
              </w:rPr>
            </w:pPr>
            <w:r>
              <w:rPr>
                <w:rFonts w:ascii="Arial" w:cs="Arial" w:eastAsia="Arial" w:hAnsi="Arial"/>
                <w:sz w:val="14"/>
                <w:szCs w:val="14"/>
                <w:color w:val="auto"/>
              </w:rPr>
              <w:t>Level 2</w:t>
            </w:r>
          </w:p>
        </w:tc>
        <w:tc>
          <w:tcPr>
            <w:tcW w:w="460" w:type="dxa"/>
            <w:vAlign w:val="bottom"/>
            <w:tcBorders>
              <w:top w:val="single" w:sz="8" w:color="auto"/>
              <w:bottom w:val="single" w:sz="8" w:color="auto"/>
            </w:tcBorders>
            <w:gridSpan w:val="2"/>
          </w:tcPr>
          <w:p>
            <w:pPr>
              <w:jc w:val="right"/>
              <w:ind w:right="130"/>
              <w:spacing w:after="0" w:line="157"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253"/>
              <w:spacing w:after="0" w:line="157" w:lineRule="exact"/>
              <w:rPr>
                <w:sz w:val="20"/>
                <w:szCs w:val="20"/>
                <w:color w:val="auto"/>
              </w:rPr>
            </w:pPr>
            <w:r>
              <w:rPr>
                <w:rFonts w:ascii="Arial" w:cs="Arial" w:eastAsia="Arial" w:hAnsi="Arial"/>
                <w:sz w:val="14"/>
                <w:szCs w:val="14"/>
                <w:color w:val="auto"/>
              </w:rPr>
              <w:t>Level 3</w:t>
            </w:r>
          </w:p>
        </w:tc>
        <w:tc>
          <w:tcPr>
            <w:tcW w:w="500" w:type="dxa"/>
            <w:vAlign w:val="bottom"/>
            <w:tcBorders>
              <w:top w:val="single" w:sz="8" w:color="auto"/>
              <w:bottom w:val="single" w:sz="8" w:color="auto"/>
            </w:tcBorders>
            <w:gridSpan w:val="2"/>
          </w:tcPr>
          <w:p>
            <w:pPr>
              <w:jc w:val="right"/>
              <w:ind w:right="170"/>
              <w:spacing w:after="0" w:line="157"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333"/>
              <w:spacing w:after="0" w:line="157" w:lineRule="exact"/>
              <w:rPr>
                <w:sz w:val="20"/>
                <w:szCs w:val="20"/>
                <w:color w:val="auto"/>
              </w:rPr>
            </w:pPr>
            <w:r>
              <w:rPr>
                <w:rFonts w:ascii="Arial" w:cs="Arial" w:eastAsia="Arial" w:hAnsi="Arial"/>
                <w:sz w:val="14"/>
                <w:szCs w:val="14"/>
                <w:color w:val="auto"/>
              </w:rPr>
              <w:t>Total</w:t>
            </w:r>
          </w:p>
        </w:tc>
      </w:tr>
      <w:tr>
        <w:trPr>
          <w:trHeight w:val="189"/>
        </w:trPr>
        <w:tc>
          <w:tcPr>
            <w:tcW w:w="3640" w:type="dxa"/>
            <w:vAlign w:val="bottom"/>
          </w:tcPr>
          <w:p>
            <w:pPr>
              <w:spacing w:after="0" w:line="189" w:lineRule="exact"/>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58,030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58,030</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4,606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4,606</w:t>
            </w: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50,655</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50,655</w:t>
            </w:r>
          </w:p>
        </w:tc>
      </w:tr>
      <w:tr>
        <w:trPr>
          <w:trHeight w:val="236"/>
        </w:trPr>
        <w:tc>
          <w:tcPr>
            <w:tcW w:w="36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58,030</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55,261</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113,291</w:t>
            </w:r>
          </w:p>
        </w:tc>
      </w:tr>
      <w:tr>
        <w:trPr>
          <w:trHeight w:val="183"/>
        </w:trPr>
        <w:tc>
          <w:tcPr>
            <w:tcW w:w="36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3"/>
        </w:trPr>
        <w:tc>
          <w:tcPr>
            <w:tcW w:w="3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3,757</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3,757</w:t>
            </w:r>
          </w:p>
        </w:tc>
      </w:tr>
      <w:tr>
        <w:trPr>
          <w:trHeight w:val="196"/>
        </w:trPr>
        <w:tc>
          <w:tcPr>
            <w:tcW w:w="3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3,757</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3,757</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2024, by level within the fair value hierarchy:</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640" w:type="dxa"/>
            <w:vAlign w:val="bottom"/>
            <w:tcBorders>
              <w:top w:val="single" w:sz="8" w:color="auto"/>
              <w:bottom w:val="single" w:sz="8" w:color="CCEEFF"/>
            </w:tcBorders>
          </w:tcPr>
          <w:p>
            <w:pPr>
              <w:ind w:left="3520"/>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color w:val="auto"/>
              </w:rPr>
              <w:t>Level 1</w:t>
            </w:r>
          </w:p>
        </w:tc>
        <w:tc>
          <w:tcPr>
            <w:tcW w:w="40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color w:val="auto"/>
              </w:rPr>
              <w:t>Level 2</w:t>
            </w:r>
          </w:p>
        </w:tc>
        <w:tc>
          <w:tcPr>
            <w:tcW w:w="40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color w:val="auto"/>
              </w:rPr>
              <w:t>Level 3</w:t>
            </w:r>
          </w:p>
        </w:tc>
        <w:tc>
          <w:tcPr>
            <w:tcW w:w="50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color w:val="auto"/>
              </w:rPr>
              <w:t>Total</w:t>
            </w:r>
          </w:p>
        </w:tc>
      </w:tr>
      <w:tr>
        <w:trPr>
          <w:trHeight w:val="196"/>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50,884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50,884</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29,994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29,994</w:t>
            </w: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131,675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131,675</w:t>
            </w:r>
          </w:p>
        </w:tc>
      </w:tr>
      <w:tr>
        <w:trPr>
          <w:trHeight w:val="236"/>
        </w:trPr>
        <w:tc>
          <w:tcPr>
            <w:tcW w:w="36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50,884</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161,669</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212,553</w:t>
            </w:r>
          </w:p>
        </w:tc>
      </w:tr>
      <w:tr>
        <w:trPr>
          <w:trHeight w:val="183"/>
        </w:trPr>
        <w:tc>
          <w:tcPr>
            <w:tcW w:w="3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203"/>
        </w:trPr>
        <w:tc>
          <w:tcPr>
            <w:tcW w:w="3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8,738</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8,738</w:t>
            </w:r>
          </w:p>
        </w:tc>
      </w:tr>
      <w:tr>
        <w:trPr>
          <w:trHeight w:val="196"/>
        </w:trPr>
        <w:tc>
          <w:tcPr>
            <w:tcW w:w="3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8,738</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8,738</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There were no transfers between levels during the years ended December 31, 2025 and 2024. The Company uses the services of its investment manager, which uses widely accepted models for assumptions in valuing securities with inputs from major third-party data providers.</w:t>
      </w:r>
    </w:p>
    <w:p>
      <w:pPr>
        <w:spacing w:after="0" w:line="155"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40"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2025:</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color w:val="auto"/>
              </w:rPr>
              <w:t>Gross</w:t>
            </w:r>
          </w:p>
        </w:tc>
        <w:tc>
          <w:tcPr>
            <w:tcW w:w="380" w:type="dxa"/>
            <w:vAlign w:val="bottom"/>
            <w:tcBorders>
              <w:top w:val="single" w:sz="8" w:color="auto"/>
            </w:tcBorders>
            <w:gridSpan w:val="2"/>
          </w:tcPr>
          <w:p>
            <w:pPr>
              <w:jc w:val="right"/>
              <w:ind w:right="87"/>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Gross</w:t>
            </w:r>
          </w:p>
        </w:tc>
        <w:tc>
          <w:tcPr>
            <w:tcW w:w="4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Amortized Cost</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Gains</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Losses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20" w:type="dxa"/>
            <w:vAlign w:val="bottom"/>
          </w:tcPr>
          <w:p>
            <w:pPr>
              <w:spacing w:after="0"/>
              <w:rPr>
                <w:sz w:val="17"/>
                <w:szCs w:val="17"/>
                <w:color w:val="auto"/>
              </w:rPr>
            </w:pPr>
          </w:p>
        </w:tc>
        <w:tc>
          <w:tcPr>
            <w:tcW w:w="2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Treasury</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4,606</w:t>
            </w:r>
          </w:p>
        </w:tc>
      </w:tr>
      <w:tr>
        <w:trPr>
          <w:trHeight w:val="203"/>
        </w:trPr>
        <w:tc>
          <w:tcPr>
            <w:tcW w:w="20" w:type="dxa"/>
            <w:vAlign w:val="bottom"/>
          </w:tcPr>
          <w:p>
            <w:pPr>
              <w:spacing w:after="0"/>
              <w:rPr>
                <w:sz w:val="17"/>
                <w:szCs w:val="17"/>
                <w:color w:val="auto"/>
              </w:rPr>
            </w:pPr>
          </w:p>
        </w:tc>
        <w:tc>
          <w:tcPr>
            <w:tcW w:w="2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bonds</w:t>
            </w:r>
          </w:p>
        </w:tc>
        <w:tc>
          <w:tcPr>
            <w:tcW w:w="14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50,578</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50,655</w:t>
            </w:r>
          </w:p>
        </w:tc>
      </w:tr>
      <w:tr>
        <w:trPr>
          <w:trHeight w:val="196"/>
        </w:trPr>
        <w:tc>
          <w:tcPr>
            <w:tcW w:w="20" w:type="dxa"/>
            <w:vAlign w:val="bottom"/>
          </w:tcPr>
          <w:p>
            <w:pPr>
              <w:spacing w:after="0"/>
              <w:rPr>
                <w:sz w:val="17"/>
                <w:szCs w:val="17"/>
                <w:color w:val="auto"/>
              </w:rPr>
            </w:pPr>
          </w:p>
        </w:tc>
        <w:tc>
          <w:tcPr>
            <w:tcW w:w="2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55,182</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55,261</w:t>
            </w: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42" w:name="page143"/>
    <w:bookmarkEnd w:id="1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2024:</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6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color w:val="auto"/>
              </w:rPr>
              <w:t>Gross</w:t>
            </w:r>
          </w:p>
        </w:tc>
        <w:tc>
          <w:tcPr>
            <w:tcW w:w="400" w:type="dxa"/>
            <w:vAlign w:val="bottom"/>
            <w:tcBorders>
              <w:top w:val="single" w:sz="8" w:color="auto"/>
            </w:tcBorders>
            <w:gridSpan w:val="2"/>
          </w:tcPr>
          <w:p>
            <w:pPr>
              <w:jc w:val="right"/>
              <w:ind w:right="107"/>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Gross</w:t>
            </w:r>
          </w:p>
        </w:tc>
        <w:tc>
          <w:tcPr>
            <w:tcW w:w="4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spacing w:after="0"/>
              <w:rPr>
                <w:sz w:val="14"/>
                <w:szCs w:val="14"/>
                <w:color w:val="auto"/>
              </w:rPr>
            </w:pPr>
          </w:p>
        </w:tc>
      </w:tr>
      <w:tr>
        <w:trPr>
          <w:trHeight w:val="162"/>
        </w:trPr>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68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Amortized Cost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Gains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Losses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2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Treasury</w:t>
            </w:r>
          </w:p>
        </w:tc>
        <w:tc>
          <w:tcPr>
            <w:tcW w:w="1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29,898</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29,994</w:t>
            </w:r>
          </w:p>
        </w:tc>
      </w:tr>
      <w:tr>
        <w:trPr>
          <w:trHeight w:val="203"/>
        </w:trPr>
        <w:tc>
          <w:tcPr>
            <w:tcW w:w="2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bonds</w:t>
            </w:r>
          </w:p>
        </w:tc>
        <w:tc>
          <w:tcPr>
            <w:tcW w:w="1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131,395</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316</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131,675</w:t>
            </w:r>
          </w:p>
        </w:tc>
      </w:tr>
      <w:tr>
        <w:trPr>
          <w:trHeight w:val="196"/>
        </w:trPr>
        <w:tc>
          <w:tcPr>
            <w:tcW w:w="2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161,293</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161,669</w:t>
            </w:r>
          </w:p>
        </w:tc>
      </w:tr>
      <w:tr>
        <w:trPr>
          <w:trHeight w:val="20"/>
        </w:trPr>
        <w:tc>
          <w:tcPr>
            <w:tcW w:w="2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maturities of the Company’s fixed maturity available-for-sale securities: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376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​​​​December 31, 2025</w:t>
            </w:r>
          </w:p>
        </w:tc>
        <w:tc>
          <w:tcPr>
            <w:tcW w:w="14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​​​​December 31, 2024</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55,261</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130,851</w:t>
            </w:r>
          </w:p>
        </w:tc>
      </w:tr>
      <w:tr>
        <w:trPr>
          <w:trHeight w:val="203"/>
        </w:trPr>
        <w:tc>
          <w:tcPr>
            <w:tcW w:w="3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One to five years</w:t>
            </w:r>
          </w:p>
        </w:tc>
        <w:tc>
          <w:tcPr>
            <w:tcW w:w="23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30,818</w:t>
            </w:r>
          </w:p>
        </w:tc>
      </w:tr>
      <w:tr>
        <w:trPr>
          <w:trHeight w:val="196"/>
        </w:trPr>
        <w:tc>
          <w:tcPr>
            <w:tcW w:w="37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55,261</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161,669</w:t>
            </w:r>
          </w:p>
        </w:tc>
      </w:tr>
    </w:tbl>
    <w:p>
      <w:pPr>
        <w:spacing w:after="0" w:line="18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6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December 31, 2025 and December 31, 2024, the Company had 17 and 27 available-for-sale investment debt securities in an unrealized loss position without an allowance for credit losses, respectively. Unrealized losses on corporate debt have not been recognized into income because the issuers’ bonds are of high credit quality (rated BBB+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 approaches maturity.</w:t>
      </w:r>
    </w:p>
    <w:p>
      <w:pPr>
        <w:spacing w:after="0" w:line="171"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As of December 31, 2025 and December 31, 2024, accrued interest on available-for-sale investment debt securities totaling $393 and $1,254, respectively, is excluded from the estimate of credit losses and is included in prepaid expenses and other current assets.</w:t>
      </w:r>
    </w:p>
    <w:p>
      <w:pPr>
        <w:spacing w:after="0" w:line="155"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The following is a roll forward of the components of the Company’s contingent consideration as of December 31,2025 (see Note 9 – Commitments and contingencies):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vMerge w:val="restart"/>
          </w:tcPr>
          <w:p>
            <w:pPr>
              <w:jc w:val="right"/>
              <w:ind w:right="410"/>
              <w:spacing w:after="0"/>
              <w:rPr>
                <w:sz w:val="20"/>
                <w:szCs w:val="20"/>
                <w:color w:val="auto"/>
              </w:rPr>
            </w:pPr>
            <w:r>
              <w:rPr>
                <w:rFonts w:ascii="Arial" w:cs="Arial" w:eastAsia="Arial" w:hAnsi="Arial"/>
                <w:sz w:val="20"/>
                <w:szCs w:val="20"/>
                <w:color w:val="auto"/>
              </w:rPr>
              <w:t>Gadeta</w:t>
            </w:r>
          </w:p>
        </w:tc>
        <w:tc>
          <w:tcPr>
            <w:tcW w:w="1120" w:type="dxa"/>
            <w:vAlign w:val="bottom"/>
            <w:gridSpan w:val="2"/>
          </w:tcPr>
          <w:p>
            <w:pPr>
              <w:jc w:val="right"/>
              <w:ind w:right="220"/>
              <w:spacing w:after="0"/>
              <w:rPr>
                <w:sz w:val="20"/>
                <w:szCs w:val="20"/>
                <w:color w:val="auto"/>
              </w:rPr>
            </w:pPr>
            <w:r>
              <w:rPr>
                <w:rFonts w:ascii="Arial" w:cs="Arial" w:eastAsia="Arial" w:hAnsi="Arial"/>
                <w:sz w:val="20"/>
                <w:szCs w:val="20"/>
                <w:color w:val="auto"/>
              </w:rPr>
              <w:t>Holdback</w:t>
            </w:r>
          </w:p>
        </w:tc>
        <w:tc>
          <w:tcPr>
            <w:tcW w:w="180" w:type="dxa"/>
            <w:vAlign w:val="bottom"/>
          </w:tcPr>
          <w:p>
            <w:pPr>
              <w:spacing w:after="0"/>
              <w:rPr>
                <w:sz w:val="19"/>
                <w:szCs w:val="19"/>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20"/>
                <w:szCs w:val="20"/>
                <w:color w:val="auto"/>
              </w:rPr>
              <w:t>Milestone</w:t>
            </w:r>
          </w:p>
        </w:tc>
        <w:tc>
          <w:tcPr>
            <w:tcW w:w="280" w:type="dxa"/>
            <w:vAlign w:val="bottom"/>
          </w:tcPr>
          <w:p>
            <w:pPr>
              <w:spacing w:after="0"/>
              <w:rPr>
                <w:sz w:val="19"/>
                <w:szCs w:val="19"/>
                <w:color w:val="auto"/>
              </w:rPr>
            </w:pPr>
          </w:p>
        </w:tc>
        <w:tc>
          <w:tcPr>
            <w:tcW w:w="860" w:type="dxa"/>
            <w:vAlign w:val="bottom"/>
            <w:vMerge w:val="restart"/>
          </w:tcPr>
          <w:p>
            <w:pPr>
              <w:jc w:val="right"/>
              <w:ind w:right="1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auto"/>
              </w:rPr>
              <w:t>Shares</w:t>
            </w: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3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0"/>
              <w:spacing w:after="0" w:line="209" w:lineRule="exact"/>
              <w:rPr>
                <w:sz w:val="20"/>
                <w:szCs w:val="20"/>
                <w:color w:val="auto"/>
              </w:rPr>
            </w:pPr>
            <w:r>
              <w:rPr>
                <w:rFonts w:ascii="Arial" w:cs="Arial" w:eastAsia="Arial" w:hAnsi="Arial"/>
                <w:sz w:val="20"/>
                <w:szCs w:val="20"/>
                <w:color w:val="auto"/>
              </w:rPr>
              <w:t>Balance as of December 31, 2024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413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625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7,700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8,738</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line="216" w:lineRule="exact"/>
              <w:rPr>
                <w:sz w:val="20"/>
                <w:szCs w:val="20"/>
                <w:color w:val="auto"/>
              </w:rPr>
            </w:pPr>
            <w:r>
              <w:rPr>
                <w:rFonts w:ascii="Arial" w:cs="Arial" w:eastAsia="Arial" w:hAnsi="Arial"/>
                <w:sz w:val="20"/>
                <w:szCs w:val="20"/>
                <w:color w:val="auto"/>
              </w:rPr>
              <w:t>Changes in fair value</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auto"/>
              </w:rPr>
              <w:t>(413)</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auto"/>
              </w:rPr>
              <w:t>(178)</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line="216" w:lineRule="exact"/>
              <w:rPr>
                <w:sz w:val="20"/>
                <w:szCs w:val="20"/>
                <w:color w:val="auto"/>
              </w:rPr>
            </w:pPr>
            <w:r>
              <w:rPr>
                <w:rFonts w:ascii="Arial" w:cs="Arial" w:eastAsia="Arial" w:hAnsi="Arial"/>
                <w:sz w:val="20"/>
                <w:szCs w:val="20"/>
                <w:color w:val="auto"/>
              </w:rPr>
              <w:t>(3,943)</w:t>
            </w:r>
          </w:p>
        </w:tc>
        <w:tc>
          <w:tcPr>
            <w:tcW w:w="28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Arial" w:cs="Arial" w:eastAsia="Arial" w:hAnsi="Arial"/>
                <w:sz w:val="20"/>
                <w:szCs w:val="20"/>
                <w:color w:val="auto"/>
              </w:rPr>
              <w:t>(4,534)</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Issuance of common stock in connection</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with the acquisition of Clade</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(447)</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(447)</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line="209" w:lineRule="exact"/>
              <w:rPr>
                <w:sz w:val="20"/>
                <w:szCs w:val="20"/>
                <w:color w:val="auto"/>
              </w:rPr>
            </w:pPr>
            <w:r>
              <w:rPr>
                <w:rFonts w:ascii="Arial" w:cs="Arial" w:eastAsia="Arial" w:hAnsi="Arial"/>
                <w:sz w:val="20"/>
                <w:szCs w:val="20"/>
                <w:color w:val="auto"/>
              </w:rPr>
              <w:t>Balance as of December 31, 2025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3,757</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3,757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339"/>
        <w:spacing w:after="0" w:line="271" w:lineRule="auto"/>
        <w:rPr>
          <w:sz w:val="20"/>
          <w:szCs w:val="20"/>
          <w:color w:val="auto"/>
        </w:rPr>
      </w:pPr>
      <w:r>
        <w:rPr>
          <w:rFonts w:ascii="Arial" w:cs="Arial" w:eastAsia="Arial" w:hAnsi="Arial"/>
          <w:sz w:val="18"/>
          <w:szCs w:val="18"/>
          <w:color w:val="auto"/>
        </w:rPr>
        <w:t>The following is a roll forward of the components of the Company’s contingent consideration as of December 31,2024:</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20"/>
                <w:szCs w:val="20"/>
                <w:color w:val="auto"/>
              </w:rPr>
              <w:t>Gadeta</w:t>
            </w:r>
          </w:p>
        </w:tc>
        <w:tc>
          <w:tcPr>
            <w:tcW w:w="1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20"/>
                <w:szCs w:val="20"/>
                <w:color w:val="auto"/>
              </w:rPr>
              <w:t>Holdback</w:t>
            </w:r>
          </w:p>
        </w:tc>
        <w:tc>
          <w:tcPr>
            <w:tcW w:w="160" w:type="dxa"/>
            <w:vAlign w:val="bottom"/>
          </w:tcPr>
          <w:p>
            <w:pPr>
              <w:spacing w:after="0"/>
              <w:rPr>
                <w:sz w:val="19"/>
                <w:szCs w:val="1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20"/>
                <w:szCs w:val="20"/>
                <w:color w:val="auto"/>
              </w:rPr>
              <w:t>Milestone</w:t>
            </w:r>
          </w:p>
        </w:tc>
        <w:tc>
          <w:tcPr>
            <w:tcW w:w="180" w:type="dxa"/>
            <w:vAlign w:val="bottom"/>
          </w:tcPr>
          <w:p>
            <w:pPr>
              <w:spacing w:after="0"/>
              <w:rPr>
                <w:sz w:val="19"/>
                <w:szCs w:val="19"/>
                <w:color w:val="auto"/>
              </w:rPr>
            </w:pPr>
          </w:p>
        </w:tc>
        <w:tc>
          <w:tcPr>
            <w:tcW w:w="960" w:type="dxa"/>
            <w:vAlign w:val="bottom"/>
            <w:vMerge w:val="restart"/>
          </w:tcPr>
          <w:p>
            <w:pPr>
              <w:jc w:val="right"/>
              <w:ind w:right="1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auto"/>
              </w:rPr>
              <w:t>Shares</w:t>
            </w: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3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line="209" w:lineRule="exact"/>
              <w:rPr>
                <w:sz w:val="20"/>
                <w:szCs w:val="20"/>
                <w:color w:val="auto"/>
              </w:rPr>
            </w:pPr>
            <w:r>
              <w:rPr>
                <w:rFonts w:ascii="Arial" w:cs="Arial" w:eastAsia="Arial" w:hAnsi="Arial"/>
                <w:sz w:val="20"/>
                <w:szCs w:val="20"/>
                <w:color w:val="auto"/>
              </w:rPr>
              <w:t>Balance as of April 11, 2024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372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2,588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7,134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10,094</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line="216" w:lineRule="exact"/>
              <w:rPr>
                <w:sz w:val="20"/>
                <w:szCs w:val="20"/>
                <w:color w:val="auto"/>
              </w:rPr>
            </w:pPr>
            <w:r>
              <w:rPr>
                <w:rFonts w:ascii="Arial" w:cs="Arial" w:eastAsia="Arial" w:hAnsi="Arial"/>
                <w:sz w:val="20"/>
                <w:szCs w:val="20"/>
                <w:color w:val="auto"/>
              </w:rPr>
              <w:t>Changes in fair value</w:t>
            </w:r>
          </w:p>
        </w:tc>
        <w:tc>
          <w:tcPr>
            <w:tcW w:w="1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auto"/>
              </w:rPr>
              <w:t>(1,963)</w:t>
            </w:r>
          </w:p>
        </w:tc>
        <w:tc>
          <w:tcPr>
            <w:tcW w:w="16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566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(1,356)</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line="209" w:lineRule="exact"/>
              <w:rPr>
                <w:sz w:val="20"/>
                <w:szCs w:val="20"/>
                <w:color w:val="auto"/>
              </w:rPr>
            </w:pPr>
            <w:r>
              <w:rPr>
                <w:rFonts w:ascii="Arial" w:cs="Arial" w:eastAsia="Arial" w:hAnsi="Arial"/>
                <w:sz w:val="20"/>
                <w:szCs w:val="20"/>
                <w:color w:val="auto"/>
              </w:rPr>
              <w:t>Balance as of December 31, 2024</w:t>
            </w: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413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625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7,700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8,738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3" w:name="page144"/>
    <w:bookmarkEnd w:id="1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The following table includes quantitative information about the significant unobservable inputs for the components of the Company’s contingent consideration liability as of December 31, 2024 and December 31, 2025.</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gridSpan w:val="4"/>
          </w:tcPr>
          <w:p>
            <w:pPr>
              <w:ind w:left="140"/>
              <w:spacing w:after="0"/>
              <w:rPr>
                <w:sz w:val="20"/>
                <w:szCs w:val="20"/>
                <w:color w:val="auto"/>
              </w:rPr>
            </w:pPr>
            <w:r>
              <w:rPr>
                <w:rFonts w:ascii="Arial" w:cs="Arial" w:eastAsia="Arial" w:hAnsi="Arial"/>
                <w:sz w:val="20"/>
                <w:szCs w:val="20"/>
                <w:color w:val="auto"/>
              </w:rPr>
              <w:t>December 31, 2024</w:t>
            </w:r>
          </w:p>
        </w:tc>
        <w:tc>
          <w:tcPr>
            <w:tcW w:w="48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20"/>
                <w:szCs w:val="20"/>
                <w:color w:val="auto"/>
              </w:rPr>
              <w:t>December 31, 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Gadeta Earnout: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20"/>
                <w:szCs w:val="20"/>
                <w:color w:val="auto"/>
              </w:rPr>
              <w:t>Probability adjusted value of payment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160" w:type="dxa"/>
            <w:vAlign w:val="bottom"/>
          </w:tcPr>
          <w:p>
            <w:pPr>
              <w:jc w:val="center"/>
              <w:ind w:right="406"/>
              <w:spacing w:after="0" w:line="216" w:lineRule="exact"/>
              <w:rPr>
                <w:sz w:val="20"/>
                <w:szCs w:val="20"/>
                <w:color w:val="auto"/>
              </w:rPr>
            </w:pPr>
            <w:r>
              <w:rPr>
                <w:rFonts w:ascii="Arial" w:cs="Arial" w:eastAsia="Arial" w:hAnsi="Arial"/>
                <w:sz w:val="20"/>
                <w:szCs w:val="20"/>
                <w:color w:val="auto"/>
                <w:w w:val="99"/>
              </w:rPr>
              <w:t>1,060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center"/>
              <w:ind w:left="4"/>
              <w:spacing w:after="0" w:line="216" w:lineRule="exact"/>
              <w:rPr>
                <w:sz w:val="20"/>
                <w:szCs w:val="20"/>
                <w:color w:val="auto"/>
              </w:rPr>
            </w:pPr>
            <w:r>
              <w:rPr>
                <w:rFonts w:ascii="Arial" w:cs="Arial" w:eastAsia="Arial" w:hAnsi="Arial"/>
                <w:sz w:val="20"/>
                <w:szCs w:val="20"/>
                <w:color w:val="auto"/>
                <w:w w:val="8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Discount rate</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386"/>
              <w:spacing w:after="0" w:line="216" w:lineRule="exact"/>
              <w:rPr>
                <w:sz w:val="20"/>
                <w:szCs w:val="20"/>
                <w:color w:val="auto"/>
              </w:rPr>
            </w:pPr>
            <w:r>
              <w:rPr>
                <w:rFonts w:ascii="Arial" w:cs="Arial" w:eastAsia="Arial" w:hAnsi="Arial"/>
                <w:sz w:val="20"/>
                <w:szCs w:val="20"/>
                <w:color w:val="auto"/>
                <w:w w:val="98"/>
              </w:rPr>
              <w:t>12.4%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center"/>
              <w:ind w:left="4"/>
              <w:spacing w:after="0" w:line="216" w:lineRule="exact"/>
              <w:rPr>
                <w:sz w:val="20"/>
                <w:szCs w:val="20"/>
                <w:color w:val="auto"/>
              </w:rPr>
            </w:pPr>
            <w:r>
              <w:rPr>
                <w:rFonts w:ascii="Arial" w:cs="Arial" w:eastAsia="Arial" w:hAnsi="Arial"/>
                <w:sz w:val="20"/>
                <w:szCs w:val="20"/>
                <w:color w:val="auto"/>
                <w:w w:val="89"/>
              </w:rPr>
              <w:t>-</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20"/>
                <w:szCs w:val="20"/>
                <w:color w:val="auto"/>
              </w:rPr>
              <w:t>Discount period (years)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ind w:right="386"/>
              <w:spacing w:after="0" w:line="216" w:lineRule="exact"/>
              <w:rPr>
                <w:sz w:val="20"/>
                <w:szCs w:val="20"/>
                <w:color w:val="auto"/>
              </w:rPr>
            </w:pPr>
            <w:r>
              <w:rPr>
                <w:rFonts w:ascii="Arial" w:cs="Arial" w:eastAsia="Arial" w:hAnsi="Arial"/>
                <w:sz w:val="20"/>
                <w:szCs w:val="20"/>
                <w:color w:val="auto"/>
              </w:rPr>
              <w:t>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center"/>
              <w:ind w:left="4"/>
              <w:spacing w:after="0" w:line="216" w:lineRule="exact"/>
              <w:rPr>
                <w:sz w:val="20"/>
                <w:szCs w:val="20"/>
                <w:color w:val="auto"/>
              </w:rPr>
            </w:pPr>
            <w:r>
              <w:rPr>
                <w:rFonts w:ascii="Arial" w:cs="Arial" w:eastAsia="Arial" w:hAnsi="Arial"/>
                <w:sz w:val="20"/>
                <w:szCs w:val="20"/>
                <w:color w:val="auto"/>
                <w:w w:val="8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20"/>
                <w:szCs w:val="20"/>
                <w:color w:val="auto"/>
              </w:rPr>
              <w:t>Holdback Shares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Closing stock price on valuation date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406"/>
              <w:spacing w:after="0" w:line="216" w:lineRule="exact"/>
              <w:rPr>
                <w:sz w:val="20"/>
                <w:szCs w:val="20"/>
                <w:color w:val="auto"/>
              </w:rPr>
            </w:pPr>
            <w:r>
              <w:rPr>
                <w:rFonts w:ascii="Arial" w:cs="Arial" w:eastAsia="Arial" w:hAnsi="Arial"/>
                <w:sz w:val="20"/>
                <w:szCs w:val="20"/>
                <w:color w:val="auto"/>
                <w:w w:val="97"/>
              </w:rPr>
              <w:t>1.01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center"/>
              <w:ind w:left="4"/>
              <w:spacing w:after="0" w:line="216" w:lineRule="exact"/>
              <w:rPr>
                <w:sz w:val="20"/>
                <w:szCs w:val="20"/>
                <w:color w:val="auto"/>
              </w:rPr>
            </w:pPr>
            <w:r>
              <w:rPr>
                <w:rFonts w:ascii="Arial" w:cs="Arial" w:eastAsia="Arial" w:hAnsi="Arial"/>
                <w:sz w:val="20"/>
                <w:szCs w:val="20"/>
                <w:color w:val="auto"/>
                <w:w w:val="89"/>
              </w:rPr>
              <w:t>-</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20"/>
                <w:szCs w:val="20"/>
                <w:color w:val="auto"/>
              </w:rPr>
              <w:t>Discount for lack of marketability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160" w:type="dxa"/>
            <w:vAlign w:val="bottom"/>
          </w:tcPr>
          <w:p>
            <w:pPr>
              <w:jc w:val="center"/>
              <w:ind w:right="386"/>
              <w:spacing w:after="0" w:line="216" w:lineRule="exact"/>
              <w:rPr>
                <w:sz w:val="20"/>
                <w:szCs w:val="20"/>
                <w:color w:val="auto"/>
              </w:rPr>
            </w:pPr>
            <w:r>
              <w:rPr>
                <w:rFonts w:ascii="Arial" w:cs="Arial" w:eastAsia="Arial" w:hAnsi="Arial"/>
                <w:sz w:val="20"/>
                <w:szCs w:val="20"/>
                <w:color w:val="auto"/>
                <w:w w:val="99"/>
              </w:rPr>
              <w:t>(0.22)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center"/>
              <w:ind w:left="4"/>
              <w:spacing w:after="0" w:line="216" w:lineRule="exact"/>
              <w:rPr>
                <w:sz w:val="20"/>
                <w:szCs w:val="20"/>
                <w:color w:val="auto"/>
              </w:rPr>
            </w:pPr>
            <w:r>
              <w:rPr>
                <w:rFonts w:ascii="Arial" w:cs="Arial" w:eastAsia="Arial" w:hAnsi="Arial"/>
                <w:sz w:val="20"/>
                <w:szCs w:val="20"/>
                <w:color w:val="auto"/>
                <w:w w:val="89"/>
              </w:rPr>
              <w: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20"/>
                <w:szCs w:val="20"/>
                <w:color w:val="auto"/>
              </w:rPr>
              <w:t>Clade Milestone:</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Probability adjusted value of payments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406"/>
              <w:spacing w:after="0" w:line="216" w:lineRule="exact"/>
              <w:rPr>
                <w:sz w:val="20"/>
                <w:szCs w:val="20"/>
                <w:color w:val="auto"/>
              </w:rPr>
            </w:pPr>
            <w:r>
              <w:rPr>
                <w:rFonts w:ascii="Arial" w:cs="Arial" w:eastAsia="Arial" w:hAnsi="Arial"/>
                <w:sz w:val="20"/>
                <w:szCs w:val="20"/>
                <w:color w:val="auto"/>
                <w:w w:val="99"/>
              </w:rPr>
              <w:t>9,000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center"/>
              <w:ind w:left="4"/>
              <w:spacing w:after="0" w:line="216" w:lineRule="exact"/>
              <w:rPr>
                <w:sz w:val="20"/>
                <w:szCs w:val="20"/>
                <w:color w:val="auto"/>
              </w:rPr>
            </w:pPr>
            <w:r>
              <w:rPr>
                <w:rFonts w:ascii="Arial" w:cs="Arial" w:eastAsia="Arial" w:hAnsi="Arial"/>
                <w:sz w:val="20"/>
                <w:szCs w:val="20"/>
                <w:color w:val="auto"/>
                <w:w w:val="99"/>
              </w:rPr>
              <w:t>4,000</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20"/>
                <w:szCs w:val="20"/>
                <w:color w:val="auto"/>
              </w:rPr>
              <w:t>Discount rate</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ind w:right="386"/>
              <w:spacing w:after="0" w:line="216" w:lineRule="exact"/>
              <w:rPr>
                <w:sz w:val="20"/>
                <w:szCs w:val="20"/>
                <w:color w:val="auto"/>
              </w:rPr>
            </w:pPr>
            <w:r>
              <w:rPr>
                <w:rFonts w:ascii="Arial" w:cs="Arial" w:eastAsia="Arial" w:hAnsi="Arial"/>
                <w:sz w:val="20"/>
                <w:szCs w:val="20"/>
                <w:color w:val="auto"/>
                <w:w w:val="98"/>
              </w:rPr>
              <w:t>10.3%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center"/>
              <w:ind w:left="4"/>
              <w:spacing w:after="0" w:line="216" w:lineRule="exact"/>
              <w:rPr>
                <w:sz w:val="20"/>
                <w:szCs w:val="20"/>
                <w:color w:val="auto"/>
              </w:rPr>
            </w:pPr>
            <w:r>
              <w:rPr>
                <w:rFonts w:ascii="Arial" w:cs="Arial" w:eastAsia="Arial" w:hAnsi="Arial"/>
                <w:sz w:val="20"/>
                <w:szCs w:val="20"/>
                <w:color w:val="auto"/>
                <w:w w:val="95"/>
              </w:rPr>
              <w:t>11.2%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Discount period (years)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386"/>
              <w:spacing w:after="0" w:line="216" w:lineRule="exact"/>
              <w:rPr>
                <w:sz w:val="20"/>
                <w:szCs w:val="20"/>
                <w:color w:val="auto"/>
              </w:rPr>
            </w:pPr>
            <w:r>
              <w:rPr>
                <w:rFonts w:ascii="Arial" w:cs="Arial" w:eastAsia="Arial" w:hAnsi="Arial"/>
                <w:sz w:val="20"/>
                <w:szCs w:val="20"/>
                <w:color w:val="auto"/>
              </w:rPr>
              <w:t>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center"/>
              <w:ind w:left="24"/>
              <w:spacing w:after="0" w:line="216" w:lineRule="exact"/>
              <w:rPr>
                <w:sz w:val="20"/>
                <w:szCs w:val="20"/>
                <w:color w:val="auto"/>
              </w:rPr>
            </w:pPr>
            <w:r>
              <w:rPr>
                <w:rFonts w:ascii="Arial" w:cs="Arial" w:eastAsia="Arial" w:hAnsi="Arial"/>
                <w:sz w:val="20"/>
                <w:szCs w:val="20"/>
                <w:color w:val="auto"/>
              </w:rPr>
              <w:t>0.5</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5020" w:type="dxa"/>
            <w:vAlign w:val="bottom"/>
            <w:gridSpan w:val="4"/>
          </w:tcPr>
          <w:p>
            <w:pPr>
              <w:spacing w:after="0"/>
              <w:rPr>
                <w:sz w:val="20"/>
                <w:szCs w:val="20"/>
                <w:color w:val="auto"/>
              </w:rPr>
            </w:pPr>
            <w:r>
              <w:rPr>
                <w:rFonts w:ascii="Arial" w:cs="Arial" w:eastAsia="Arial" w:hAnsi="Arial"/>
                <w:sz w:val="22"/>
                <w:szCs w:val="22"/>
                <w:color w:val="auto"/>
                <w:w w:val="98"/>
              </w:rPr>
              <w:t>Note 5—Prepaid expenses and other current assets</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380" w:type="dxa"/>
            <w:vAlign w:val="bottom"/>
            <w:gridSpan w:val="7"/>
          </w:tcPr>
          <w:p>
            <w:pPr>
              <w:spacing w:after="0"/>
              <w:rPr>
                <w:sz w:val="20"/>
                <w:szCs w:val="20"/>
                <w:color w:val="auto"/>
              </w:rPr>
            </w:pPr>
            <w:r>
              <w:rPr>
                <w:rFonts w:ascii="Arial" w:cs="Arial" w:eastAsia="Arial" w:hAnsi="Arial"/>
                <w:sz w:val="18"/>
                <w:szCs w:val="18"/>
                <w:color w:val="auto"/>
              </w:rPr>
              <w:t>The following is a summary of prepaid expenses and other current assets:</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40" w:type="dxa"/>
            <w:vAlign w:val="bottom"/>
            <w:gridSpan w:val="6"/>
          </w:tcPr>
          <w:p>
            <w:pPr>
              <w:jc w:val="center"/>
              <w:ind w:left="94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December 31, 2025</w:t>
            </w: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297</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Insurance</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 licenses and other</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Prepaid clinical trial</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receivable</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Warranties</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interest receivable</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Security deposit</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308</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3,655</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22"/>
                <w:szCs w:val="22"/>
                <w:color w:val="auto"/>
              </w:rPr>
              <w:t>Note 6—Property and equipment, net</w:t>
            </w: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020" w:type="dxa"/>
            <w:vAlign w:val="bottom"/>
            <w:gridSpan w:val="4"/>
          </w:tcPr>
          <w:p>
            <w:pPr>
              <w:spacing w:after="0"/>
              <w:rPr>
                <w:sz w:val="20"/>
                <w:szCs w:val="20"/>
                <w:color w:val="auto"/>
              </w:rPr>
            </w:pPr>
            <w:r>
              <w:rPr>
                <w:rFonts w:ascii="Arial" w:cs="Arial" w:eastAsia="Arial" w:hAnsi="Arial"/>
                <w:sz w:val="18"/>
                <w:szCs w:val="18"/>
                <w:color w:val="auto"/>
              </w:rPr>
              <w:t>The following is a summary of property and equipment, net:</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80" w:type="dxa"/>
            <w:vAlign w:val="bottom"/>
            <w:gridSpan w:val="11"/>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December 31, 2025</w:t>
            </w:r>
            <w:r>
              <w:rPr>
                <w:rFonts w:ascii="Arial" w:cs="Arial" w:eastAsia="Arial" w:hAnsi="Arial"/>
                <w:sz w:val="14"/>
                <w:szCs w:val="14"/>
                <w:b w:val="1"/>
                <w:bCs w:val="1"/>
                <w:color w:val="auto"/>
              </w:rPr>
              <w:t xml:space="preserve"> ​​​</w:t>
            </w: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32,695</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61,647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61,577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98,626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98,199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(48,600)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(36,058)</w:t>
            </w:r>
          </w:p>
        </w:tc>
        <w:tc>
          <w:tcPr>
            <w:tcW w:w="0" w:type="dxa"/>
            <w:vAlign w:val="bottom"/>
          </w:tcPr>
          <w:p>
            <w:pPr>
              <w:spacing w:after="0"/>
              <w:rPr>
                <w:sz w:val="1"/>
                <w:szCs w:val="1"/>
                <w:color w:val="auto"/>
              </w:rPr>
            </w:pPr>
          </w:p>
        </w:tc>
      </w:tr>
      <w:tr>
        <w:trPr>
          <w:trHeight w:val="196"/>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50,026</w:t>
            </w:r>
          </w:p>
        </w:tc>
        <w:tc>
          <w:tcPr>
            <w:tcW w:w="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5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62,141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019"/>
        <w:spacing w:after="0" w:line="271" w:lineRule="auto"/>
        <w:rPr>
          <w:sz w:val="20"/>
          <w:szCs w:val="20"/>
          <w:color w:val="auto"/>
        </w:rPr>
      </w:pPr>
      <w:r>
        <w:rPr>
          <w:rFonts w:ascii="Arial" w:cs="Arial" w:eastAsia="Arial" w:hAnsi="Arial"/>
          <w:sz w:val="18"/>
          <w:szCs w:val="18"/>
          <w:color w:val="auto"/>
        </w:rPr>
        <w:t>Depreciation expense was $13,101 and $13,304 for the years ended December 31, 2025 and 2024,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4" w:name="page145"/>
    <w:bookmarkEnd w:id="1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7—Accrued expenses and other liabilities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6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December 31, 2025</w:t>
            </w: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Payroll and bonuses</w:t>
            </w:r>
          </w:p>
        </w:tc>
        <w:tc>
          <w:tcPr>
            <w:tcW w:w="14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4,632</w:t>
            </w:r>
          </w:p>
        </w:tc>
        <w:tc>
          <w:tcPr>
            <w:tcW w:w="580" w:type="dxa"/>
            <w:vAlign w:val="bottom"/>
            <w:gridSpan w:val="3"/>
            <w:shd w:val="clear" w:color="auto" w:fill="CCEEFF"/>
          </w:tcPr>
          <w:p>
            <w:pPr>
              <w:jc w:val="right"/>
              <w:ind w:right="207"/>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Accrued clinical trial related costs</w:t>
            </w: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legal fees</w:t>
            </w:r>
          </w:p>
        </w:tc>
        <w:tc>
          <w:tcPr>
            <w:tcW w:w="1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Operating lease liability, current</w:t>
            </w: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1420" w:type="dxa"/>
            <w:vAlign w:val="bottom"/>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11,676</w:t>
            </w:r>
          </w:p>
        </w:tc>
        <w:tc>
          <w:tcPr>
            <w:tcW w:w="220" w:type="dxa"/>
            <w:vAlign w:val="bottom"/>
            <w:gridSpan w:val="2"/>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17,461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 – Bristol-Myers Squibb Collaboration</w:t>
      </w:r>
    </w:p>
    <w:p>
      <w:pPr>
        <w:spacing w:after="0" w:line="214"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was within the scope of ASC 808, Collaborative Arrangements as both parties were active participants in the arrangement and are exposed to significant risks and rewards. While this arrangement was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68"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Pursuant to the Collaboration Agreement, the Company and Bristol-Myers Squibb collaborated on two collaboration programs focused on acute myeloid leukemia (“AML”) and multiple myeloma (“MM”) (“Collaboration Programs”), and Bristol-Myers Squibb had the option to add up to two additional Collaboration Programs for an additional fee. The Company was responsible for generating Development Candidates for each Collaboration Program, and Bristol-Myers Squibb had the option to elect to exclusively license the Development Candidates for pre-clinical development, clinical development and commercialization on a worldwide basis (“License Option”).</w:t>
      </w:r>
    </w:p>
    <w:p>
      <w:pPr>
        <w:spacing w:after="0" w:line="185"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agreed to pay an exercise fee upon the exercise of the License Option (“Licensed Program” and product candidates developed under a Licensed Program, “Licensed Products”). For each Licensed Program, Bristol-Myers Squibb agreed to pay up to $235,000 in milestone payments upon the first achievement of certain development and regulatory milestones and agreed to pay up to $500,000 per Licensed Product in net sales-based milestone payments.</w:t>
      </w:r>
    </w:p>
    <w:p>
      <w:pPr>
        <w:spacing w:after="0" w:line="17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$23,187 in the aggregate (“Equity Premium”), and the remaining $26,813 was recorded as issuance of common stock in stockholders’ equity.</w:t>
      </w:r>
    </w:p>
    <w:p>
      <w:pPr>
        <w:spacing w:after="0" w:line="185"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represented distinct performance obligations for purposes of recognizing revenue and would have recognized revenue if the Company had fulfilled such performance obligations.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5" w:name="page146"/>
    <w:bookmarkEnd w:id="1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Company determined that the upfront payment and equity premium constituted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was not within the Company’s control and was subject to certain research and development success and therefore carried significant uncertainty.</w:t>
      </w:r>
    </w:p>
    <w:p>
      <w:pPr>
        <w:spacing w:after="0" w:line="17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total transaction price of $123,187 was allocated to the performance obligations based on their estimated standalone selling price on January 7, 2022.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85" w:lineRule="exact"/>
        <w:rPr>
          <w:sz w:val="20"/>
          <w:szCs w:val="20"/>
          <w:color w:val="auto"/>
        </w:rPr>
      </w:pPr>
    </w:p>
    <w:p>
      <w:pPr>
        <w:ind w:left="720" w:right="219"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services: The Company recognized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83" w:lineRule="exact"/>
        <w:rPr>
          <w:rFonts w:ascii="Times New Roman" w:cs="Times New Roman" w:eastAsia="Times New Roman" w:hAnsi="Times New Roman"/>
          <w:sz w:val="18"/>
          <w:szCs w:val="18"/>
          <w:color w:val="auto"/>
        </w:rPr>
      </w:pPr>
    </w:p>
    <w:p>
      <w:pPr>
        <w:ind w:left="720" w:right="519" w:hanging="319"/>
        <w:spacing w:after="0" w:line="246" w:lineRule="auto"/>
        <w:tabs>
          <w:tab w:leader="none" w:pos="7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License option rights: The transaction price allocated to the license options rights, which were considered material rights to license and commercialize the underlying research and development target, were deferred until Bristol-Myers Squibb would have elected to exercise or not exercise its option or when the option to exercise expired.</w:t>
      </w:r>
    </w:p>
    <w:p>
      <w:pPr>
        <w:spacing w:after="0" w:line="17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Following an internal corporate portfolio prioritization process, Bristol-Myers Squibb notified the Company on December 12, 2024 that it would be terminating the Collaboration Agreement in its entirety without cause. The termination was effective on March 12, 2025. As a result of the notice of termination, the Company concluded that the research and development services being provided to Bristol-Myers Squibb were substantially complete as of December 31, 2024, and accordingly, the remaining transaction price allocated to that performance obligation was recorded in the fourth quarter of 2024. The remaining transaction price related to the license option rights, which represented a material right of $109,164 was recognized in the first quarter of 2025 when the option right expired upon the termination of the Collaboration Agreement. There will be no future collaboration revenues recognized under the Collaboration Agreement.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9—Commitments and contingencies</w:t>
      </w:r>
    </w:p>
    <w:p>
      <w:pPr>
        <w:spacing w:after="0" w:line="214"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21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6" w:name="page147"/>
    <w:bookmarkEnd w:id="1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The Company had $ 0 within accounts payable as of December 31, 2025 and $65 within accrued liabilities as of December 31, 2024, in its consolidated balance sheets related to the Master Service Agreement. During the year ended December 31, 2025 and 2024, there were $0 and $65 in research and development expenses, respectively.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2025 or 2024.</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Clade Therapeutics</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 connection with the acquisition of Clade Therapeutics, (Note 3 Business combination), the Company is subject to a contingent milestone payment to the shareholders of Clade. The milestone payment is $10,000 and is payable in cash, shares of Century, or a combination thereof, at the discretion of Century.</w:t>
      </w:r>
    </w:p>
    <w:p>
      <w:pPr>
        <w:spacing w:after="0" w:line="16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A total of 793,687 shares (“Holdback Shares”) representing approximately 10% of the aggregate consideration, were held back at the closing of the acquisition as recourse to satisfy certain indemnification obligations of the Clade shareholders under the Merger Agreement should they arise and, subject to any forfeiture of Holdback Shares as a result of indemnification claims made prior to the 18-month anniversary of the Closing, will be issued pursuant to the terms of the Merger Agreement following the 18-month anniversary of the Closing. A total of 784,128 Holdback Shares were issued pursuant to the terms of the Merger Agreement on October 15, 2025.</w:t>
      </w:r>
    </w:p>
    <w:p>
      <w:pPr>
        <w:spacing w:after="0" w:line="185" w:lineRule="exact"/>
        <w:rPr>
          <w:sz w:val="20"/>
          <w:szCs w:val="20"/>
          <w:color w:val="auto"/>
        </w:rPr>
      </w:pPr>
    </w:p>
    <w:p>
      <w:pPr>
        <w:ind w:left="60" w:right="719"/>
        <w:spacing w:after="0" w:line="247" w:lineRule="auto"/>
        <w:rPr>
          <w:sz w:val="20"/>
          <w:szCs w:val="20"/>
          <w:color w:val="auto"/>
        </w:rPr>
      </w:pPr>
      <w:r>
        <w:rPr>
          <w:rFonts w:ascii="Arial" w:cs="Arial" w:eastAsia="Arial" w:hAnsi="Arial"/>
          <w:sz w:val="18"/>
          <w:szCs w:val="18"/>
          <w:color w:val="auto"/>
        </w:rPr>
        <w:t>In connection with the acquisition of Clade, the Company also assumed an earn-out obligation (“Gadeta Milestone”) that is contingent on a clinical development milestone of a product that incorporates Gadeta intellectual property between the acquisition date and December 21, 2032. The total payments to the shareholders of Gadeta is upon the occurrence of such an event is $20,000.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Catalent Dusseldorf GmbH</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December 12, 2022, Clade entered into a non-exclusive license agreement with Catalent Dusseldorf GmbH, or Catalent, pursuant to which Catalent granted Clade a worldwide, non-exclusive, non-transferrable, royalty-bearing license under all rights owned or controlled by Catalent to one of its GMP-grade iPSC cell lines derived from human cord blood CD34+ cells, to develop, have developed, make, have made, use, have used, sell, offer for sale, have sold, distribute, have distributed, import, have imported and otherwise exploit or have exploited cell therapy products. The license, or the Catalent License, permits the genetic modification of the licensed cell line and the development and commercialization of resulting cell therapy products for any indication. We have a right to use the Catalent License as a result of our acquisition of Clade.</w:t>
      </w:r>
    </w:p>
    <w:p>
      <w:pPr>
        <w:spacing w:after="0" w:line="18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Under the Catalent License, we may grant sublicenses to third parties to develop, manufacture and commercialize resulting products, but we may not sublicense the original cell line itself. Catalent retains ownership of the original cell line, and we own the modified cells and resulting products that we make from the original cell line, subject to certain restrictions and limited rights granted back to Catalent.</w:t>
      </w:r>
    </w:p>
    <w:p>
      <w:pPr>
        <w:spacing w:after="0" w:line="174"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In consideration for the rights granted, Clade paid Catalent an upfront fee. We are also required to pay certain product-by-product milestone payments upon the achievement of certain development and regulatory milestones up to an aggregate of $20,430 million. We additionally agreed to pay royalties equal to a low single digit percentage of net sales of each product during a defined royalty term, after which royalty term the license automatically becomes fully paid-up, perpetual, irrevocable and royalty-free. We also agreed to pay</w:t>
      </w:r>
    </w:p>
    <w:p>
      <w:pPr>
        <w:sectPr>
          <w:pgSz w:w="11900" w:h="16838" w:orient="portrait"/>
          <w:cols w:equalWidth="0" w:num="1">
            <w:col w:w="9019"/>
          </w:cols>
          <w:pgMar w:left="1440" w:top="512"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7" w:name="page148"/>
    <w:bookmarkEnd w:id="1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annual minimum fees during a defined period, with milestone payments and royalties paid in a calendar year creditable against the annual minimum fees payable for the same calendar year.</w:t>
      </w:r>
    </w:p>
    <w:p>
      <w:pPr>
        <w:spacing w:after="0" w:line="154"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The agreement remains in effect until terminated and may be terminated by us for convenience upon prior written notice or by either party for material breach, subject to specified cure periods. Certain provisions, including payment obligations, indemnification obligations and confidentiality obligations, survive termination. During the years ended December 31, 2025 and 2024, no payments were made to Catalent.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10—Leases</w:t>
      </w:r>
    </w:p>
    <w:p>
      <w:pPr>
        <w:spacing w:after="0" w:line="21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$403 and $403 within security deposits and noncurrent assets in its consolidated balance sheets at December 31, 2025 and 2024, respectively. In September 2025, the Company executed a series of lease modifications with the same landlord that resulted in the early termination of its leases in Seattle, WA (“Seattle”) and Boston, MA (“Boston”). Concurrently, the Company entered into a new lease agreement in Watertown, MA (“Watertown”), set to begin upon the termination of the existing Boston lease. The Seattle lease is terminated on December 31, 2025, while the Boston lease is terminated on January 27, 2026, aligning with the commencement date of the new Watertown lease. As a result of the these lease modifications, the Company recorded a reduction of its right-of-use assets of $6,455 and lease liabilities totaling $7,850, which resulted in the recognition of a gain of $1,395 related to the Seattle lease which had previously been impaired.</w:t>
      </w:r>
    </w:p>
    <w:p>
      <w:pPr>
        <w:spacing w:after="0" w:line="186"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The Company’s leases have initial lease terms ranging from 5 to 16 years. Certain lease agreements contain provisions for future rent increases. Variable lease costs generally include common area maintenance and real estate taxes.</w:t>
      </w:r>
    </w:p>
    <w:p>
      <w:pPr>
        <w:spacing w:after="0" w:line="16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Following the reduction in force (“RIF”) that occurred in July 2025, the Company is planning to sublease part of its Philadelphia, PA headquarters location. The Company evaluated the right-of-use asset for impairment as a result of this change in strategy and recorded an impairment charge of $6,763 during the thirst quiarter of 2025.</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1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ind w:left="1440"/>
              <w:spacing w:after="0"/>
              <w:rPr>
                <w:sz w:val="20"/>
                <w:szCs w:val="20"/>
                <w:color w:val="auto"/>
              </w:rPr>
            </w:pPr>
            <w:r>
              <w:rPr>
                <w:rFonts w:ascii="Arial" w:cs="Arial" w:eastAsia="Arial" w:hAnsi="Arial"/>
                <w:sz w:val="14"/>
                <w:szCs w:val="14"/>
                <w:color w:val="auto"/>
              </w:rPr>
              <w:t>For the</w:t>
            </w: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ind w:left="1340"/>
              <w:spacing w:after="0"/>
              <w:rPr>
                <w:sz w:val="20"/>
                <w:szCs w:val="20"/>
                <w:color w:val="auto"/>
              </w:rPr>
            </w:pPr>
            <w:r>
              <w:rPr>
                <w:rFonts w:ascii="Arial" w:cs="Arial" w:eastAsia="Arial" w:hAnsi="Arial"/>
                <w:sz w:val="14"/>
                <w:szCs w:val="14"/>
                <w:color w:val="auto"/>
              </w:rPr>
              <w:t>For the</w:t>
            </w:r>
          </w:p>
        </w:tc>
      </w:tr>
      <w:tr>
        <w:trPr>
          <w:trHeight w:val="162"/>
        </w:trPr>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Year Ended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Year Ended</w:t>
            </w:r>
          </w:p>
        </w:tc>
      </w:tr>
      <w:tr>
        <w:trPr>
          <w:trHeight w:val="171"/>
        </w:trPr>
        <w:tc>
          <w:tcPr>
            <w:tcW w:w="31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2025</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2024</w:t>
            </w:r>
          </w:p>
        </w:tc>
      </w:tr>
      <w:tr>
        <w:trPr>
          <w:trHeight w:val="196"/>
        </w:trPr>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314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1120" w:type="dxa"/>
            <w:vAlign w:val="bottom"/>
            <w:gridSpan w:val="2"/>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940" w:type="dxa"/>
            <w:vAlign w:val="bottom"/>
          </w:tcPr>
          <w:p>
            <w:pPr>
              <w:ind w:left="1420"/>
              <w:spacing w:after="0" w:line="202" w:lineRule="exact"/>
              <w:rPr>
                <w:sz w:val="20"/>
                <w:szCs w:val="20"/>
                <w:color w:val="auto"/>
              </w:rPr>
            </w:pPr>
            <w:r>
              <w:rPr>
                <w:rFonts w:ascii="Arial" w:cs="Arial" w:eastAsia="Arial" w:hAnsi="Arial"/>
                <w:sz w:val="18"/>
                <w:szCs w:val="18"/>
                <w:color w:val="auto"/>
              </w:rPr>
              <w:t>6,743</w:t>
            </w:r>
          </w:p>
        </w:tc>
        <w:tc>
          <w:tcPr>
            <w:tcW w:w="860" w:type="dxa"/>
            <w:vAlign w:val="bottom"/>
            <w:gridSpan w:val="3"/>
          </w:tcPr>
          <w:p>
            <w:pPr>
              <w:jc w:val="right"/>
              <w:ind w:right="447"/>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ind w:left="1320"/>
              <w:spacing w:after="0" w:line="202" w:lineRule="exact"/>
              <w:rPr>
                <w:sz w:val="20"/>
                <w:szCs w:val="20"/>
                <w:color w:val="auto"/>
              </w:rPr>
            </w:pPr>
            <w:r>
              <w:rPr>
                <w:rFonts w:ascii="Arial" w:cs="Arial" w:eastAsia="Arial" w:hAnsi="Arial"/>
                <w:sz w:val="18"/>
                <w:szCs w:val="18"/>
                <w:color w:val="auto"/>
              </w:rPr>
              <w:t>6,791</w:t>
            </w:r>
          </w:p>
        </w:tc>
      </w:tr>
      <w:tr>
        <w:trPr>
          <w:trHeight w:val="203"/>
        </w:trPr>
        <w:tc>
          <w:tcPr>
            <w:tcW w:w="31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4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ind w:left="1420"/>
              <w:spacing w:after="0" w:line="202" w:lineRule="exact"/>
              <w:rPr>
                <w:sz w:val="20"/>
                <w:szCs w:val="20"/>
                <w:color w:val="auto"/>
              </w:rPr>
            </w:pPr>
            <w:r>
              <w:rPr>
                <w:rFonts w:ascii="Arial" w:cs="Arial" w:eastAsia="Arial" w:hAnsi="Arial"/>
                <w:sz w:val="18"/>
                <w:szCs w:val="18"/>
                <w:color w:val="auto"/>
              </w:rPr>
              <w:t>2,726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ind w:left="1320"/>
              <w:spacing w:after="0" w:line="202" w:lineRule="exact"/>
              <w:rPr>
                <w:sz w:val="20"/>
                <w:szCs w:val="20"/>
                <w:color w:val="auto"/>
              </w:rPr>
            </w:pPr>
            <w:r>
              <w:rPr>
                <w:rFonts w:ascii="Arial" w:cs="Arial" w:eastAsia="Arial" w:hAnsi="Arial"/>
                <w:sz w:val="18"/>
                <w:szCs w:val="18"/>
                <w:color w:val="auto"/>
              </w:rPr>
              <w:t>2,598</w:t>
            </w:r>
          </w:p>
        </w:tc>
      </w:tr>
      <w:tr>
        <w:trPr>
          <w:trHeight w:val="196"/>
        </w:trPr>
        <w:tc>
          <w:tcPr>
            <w:tcW w:w="3140" w:type="dxa"/>
            <w:vAlign w:val="bottom"/>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400" w:type="dxa"/>
            <w:vAlign w:val="bottom"/>
          </w:tcPr>
          <w:p>
            <w:pPr>
              <w:spacing w:after="0"/>
              <w:rPr>
                <w:sz w:val="17"/>
                <w:szCs w:val="17"/>
                <w:color w:val="auto"/>
              </w:rPr>
            </w:pPr>
          </w:p>
        </w:tc>
        <w:tc>
          <w:tcPr>
            <w:tcW w:w="720" w:type="dxa"/>
            <w:vAlign w:val="bottom"/>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940" w:type="dxa"/>
            <w:vAlign w:val="bottom"/>
          </w:tcPr>
          <w:p>
            <w:pPr>
              <w:ind w:left="1420"/>
              <w:spacing w:after="0" w:line="196" w:lineRule="exact"/>
              <w:rPr>
                <w:sz w:val="20"/>
                <w:szCs w:val="20"/>
                <w:color w:val="auto"/>
              </w:rPr>
            </w:pPr>
            <w:r>
              <w:rPr>
                <w:rFonts w:ascii="Arial" w:cs="Arial" w:eastAsia="Arial" w:hAnsi="Arial"/>
                <w:sz w:val="18"/>
                <w:szCs w:val="18"/>
                <w:color w:val="auto"/>
              </w:rPr>
              <w:t>9,469</w:t>
            </w:r>
          </w:p>
        </w:tc>
        <w:tc>
          <w:tcPr>
            <w:tcW w:w="260" w:type="dxa"/>
            <w:vAlign w:val="bottom"/>
            <w:gridSpan w:val="2"/>
          </w:tcPr>
          <w:p>
            <w:pPr>
              <w:spacing w:after="0"/>
              <w:rPr>
                <w:sz w:val="17"/>
                <w:szCs w:val="17"/>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840" w:type="dxa"/>
            <w:vAlign w:val="bottom"/>
          </w:tcPr>
          <w:p>
            <w:pPr>
              <w:ind w:left="1320"/>
              <w:spacing w:after="0" w:line="196" w:lineRule="exact"/>
              <w:rPr>
                <w:sz w:val="20"/>
                <w:szCs w:val="20"/>
                <w:color w:val="auto"/>
              </w:rPr>
            </w:pPr>
            <w:r>
              <w:rPr>
                <w:rFonts w:ascii="Arial" w:cs="Arial" w:eastAsia="Arial" w:hAnsi="Arial"/>
                <w:sz w:val="18"/>
                <w:szCs w:val="18"/>
                <w:color w:val="auto"/>
              </w:rPr>
              <w:t>9,389</w:t>
            </w:r>
          </w:p>
        </w:tc>
      </w:tr>
      <w:tr>
        <w:trPr>
          <w:trHeight w:val="20"/>
        </w:trPr>
        <w:tc>
          <w:tcPr>
            <w:tcW w:w="3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154940</wp:posOffset>
            </wp:positionV>
            <wp:extent cx="56489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55" w:lineRule="exact"/>
        <w:rPr>
          <w:sz w:val="20"/>
          <w:szCs w:val="20"/>
          <w:color w:val="auto"/>
        </w:rPr>
      </w:pPr>
    </w:p>
    <w:tbl>
      <w:tblPr>
        <w:tblLayout w:type="fixed"/>
        <w:tblInd w:w="3240" w:type="dxa"/>
        <w:tblCellMar>
          <w:top w:w="0" w:type="dxa"/>
          <w:left w:w="0" w:type="dxa"/>
          <w:bottom w:w="0" w:type="dxa"/>
          <w:right w:w="0" w:type="dxa"/>
        </w:tblCellMar>
      </w:tblPr>
      <w:tr>
        <w:trPr>
          <w:trHeight w:val="189"/>
        </w:trPr>
        <w:tc>
          <w:tcPr>
            <w:tcW w:w="3180" w:type="dxa"/>
            <w:vAlign w:val="bottom"/>
          </w:tcPr>
          <w:p>
            <w:pPr>
              <w:ind w:left="1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ind w:left="380"/>
              <w:spacing w:after="0"/>
              <w:rPr>
                <w:sz w:val="20"/>
                <w:szCs w:val="20"/>
                <w:color w:val="auto"/>
              </w:rPr>
            </w:pPr>
            <w:r>
              <w:rPr>
                <w:rFonts w:ascii="Arial" w:cs="Arial" w:eastAsia="Arial" w:hAnsi="Arial"/>
                <w:sz w:val="14"/>
                <w:szCs w:val="14"/>
                <w:color w:val="auto"/>
              </w:rPr>
              <w:t>As of</w:t>
            </w:r>
          </w:p>
        </w:tc>
        <w:tc>
          <w:tcPr>
            <w:tcW w:w="160" w:type="dxa"/>
            <w:vAlign w:val="bottom"/>
          </w:tcPr>
          <w:p>
            <w:pPr>
              <w:spacing w:after="0"/>
              <w:rPr>
                <w:sz w:val="16"/>
                <w:szCs w:val="16"/>
                <w:color w:val="auto"/>
              </w:rPr>
            </w:pPr>
          </w:p>
        </w:tc>
        <w:tc>
          <w:tcPr>
            <w:tcW w:w="1140" w:type="dxa"/>
            <w:vAlign w:val="bottom"/>
          </w:tcPr>
          <w:p>
            <w:pPr>
              <w:ind w:left="400"/>
              <w:spacing w:after="0"/>
              <w:rPr>
                <w:sz w:val="20"/>
                <w:szCs w:val="20"/>
                <w:color w:val="auto"/>
              </w:rPr>
            </w:pPr>
            <w:r>
              <w:rPr>
                <w:rFonts w:ascii="Arial" w:cs="Arial" w:eastAsia="Arial" w:hAnsi="Arial"/>
                <w:sz w:val="14"/>
                <w:szCs w:val="14"/>
                <w:color w:val="auto"/>
              </w:rPr>
              <w:t>As of</w:t>
            </w: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December 31,</w:t>
            </w: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December 31,</w:t>
            </w:r>
          </w:p>
        </w:tc>
      </w:tr>
      <w:tr>
        <w:trPr>
          <w:trHeight w:val="171"/>
        </w:trPr>
        <w:tc>
          <w:tcPr>
            <w:tcW w:w="3180" w:type="dxa"/>
            <w:vAlign w:val="bottom"/>
          </w:tcPr>
          <w:p>
            <w:pPr>
              <w:ind w:left="1440"/>
              <w:spacing w:after="0"/>
              <w:rPr>
                <w:sz w:val="20"/>
                <w:szCs w:val="20"/>
                <w:color w:val="auto"/>
              </w:rPr>
            </w:pPr>
            <w:r>
              <w:rPr>
                <w:rFonts w:ascii="Arial" w:cs="Arial" w:eastAsia="Arial" w:hAnsi="Arial"/>
                <w:sz w:val="14"/>
                <w:szCs w:val="14"/>
                <w:color w:val="auto"/>
              </w:rPr>
              <w:t>Location in Balance Sheet</w:t>
            </w:r>
          </w:p>
        </w:tc>
        <w:tc>
          <w:tcPr>
            <w:tcW w:w="140" w:type="dxa"/>
            <w:vAlign w:val="bottom"/>
          </w:tcPr>
          <w:p>
            <w:pPr>
              <w:spacing w:after="0"/>
              <w:rPr>
                <w:sz w:val="14"/>
                <w:szCs w:val="14"/>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4"/>
                <w:szCs w:val="14"/>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2024</w:t>
            </w:r>
          </w:p>
        </w:tc>
      </w:tr>
    </w:tbl>
    <w:p>
      <w:pPr>
        <w:spacing w:after="0" w:line="139"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16,139</w:t>
            </w:r>
          </w:p>
        </w:tc>
        <w:tc>
          <w:tcPr>
            <w:tcW w:w="160" w:type="dxa"/>
            <w:vAlign w:val="bottom"/>
          </w:tcPr>
          <w:p>
            <w:pPr>
              <w:spacing w:after="0"/>
              <w:rPr>
                <w:sz w:val="18"/>
                <w:szCs w:val="18"/>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28,706</w:t>
            </w: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3,324</w:t>
            </w:r>
          </w:p>
        </w:tc>
        <w:tc>
          <w:tcPr>
            <w:tcW w:w="160" w:type="dxa"/>
            <w:vAlign w:val="bottom"/>
          </w:tcPr>
          <w:p>
            <w:pPr>
              <w:spacing w:after="0"/>
              <w:rPr>
                <w:sz w:val="17"/>
                <w:szCs w:val="17"/>
                <w:color w:val="auto"/>
              </w:rPr>
            </w:pPr>
          </w:p>
        </w:tc>
        <w:tc>
          <w:tcPr>
            <w:tcW w:w="300" w:type="dxa"/>
            <w:vAlign w:val="bottom"/>
            <w:gridSpan w:val="2"/>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4,870</w:t>
            </w:r>
          </w:p>
        </w:tc>
      </w:tr>
      <w:tr>
        <w:trPr>
          <w:trHeight w:val="221"/>
        </w:trPr>
        <w:tc>
          <w:tcPr>
            <w:tcW w:w="318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48,960</w:t>
            </w:r>
          </w:p>
        </w:tc>
      </w:tr>
      <w:tr>
        <w:trPr>
          <w:trHeight w:val="196"/>
        </w:trPr>
        <w:tc>
          <w:tcPr>
            <w:tcW w:w="3180" w:type="dxa"/>
            <w:vAlign w:val="bottom"/>
          </w:tcPr>
          <w:p>
            <w:pPr>
              <w:ind w:left="308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43,565</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53,830</w:t>
            </w:r>
          </w:p>
        </w:tc>
      </w:tr>
      <w:tr>
        <w:trPr>
          <w:trHeight w:val="20"/>
        </w:trPr>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-548005</wp:posOffset>
            </wp:positionV>
            <wp:extent cx="564896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-290830</wp:posOffset>
            </wp:positionV>
            <wp:extent cx="5648960" cy="1282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4896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200"/>
            <w:col w:w="5699"/>
          </w:cols>
          <w:pgMar w:left="1440" w:top="512"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8" w:name="page149"/>
    <w:bookmarkEnd w:id="1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40" w:type="dxa"/>
            <w:vAlign w:val="bottom"/>
            <w:tcBorders>
              <w:top w:val="single" w:sz="8" w:color="auto"/>
            </w:tcBorders>
          </w:tcPr>
          <w:p>
            <w:pPr>
              <w:spacing w:after="0"/>
              <w:rPr>
                <w:sz w:val="15"/>
                <w:szCs w:val="15"/>
                <w:color w:val="auto"/>
              </w:rPr>
            </w:pPr>
          </w:p>
        </w:tc>
        <w:tc>
          <w:tcPr>
            <w:tcW w:w="3800" w:type="dxa"/>
            <w:vAlign w:val="bottom"/>
            <w:tcBorders>
              <w:top w:val="single" w:sz="8" w:color="auto"/>
            </w:tcBorders>
            <w:gridSpan w:val="10"/>
          </w:tcPr>
          <w:p>
            <w:pPr>
              <w:ind w:left="1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As of December 31, 2025</w:t>
            </w:r>
            <w:r>
              <w:rPr>
                <w:rFonts w:ascii="Arial" w:cs="Arial" w:eastAsia="Arial" w:hAnsi="Arial"/>
                <w:sz w:val="14"/>
                <w:szCs w:val="14"/>
                <w:b w:val="1"/>
                <w:bCs w:val="1"/>
                <w:color w:val="auto"/>
              </w:rPr>
              <w:t xml:space="preserve"> ​​​​</w:t>
            </w:r>
            <w:r>
              <w:rPr>
                <w:rFonts w:ascii="Arial" w:cs="Arial" w:eastAsia="Arial" w:hAnsi="Arial"/>
                <w:sz w:val="14"/>
                <w:szCs w:val="14"/>
                <w:color w:val="auto"/>
              </w:rPr>
              <w:t>As of December 31, 2024</w:t>
            </w:r>
          </w:p>
        </w:tc>
        <w:tc>
          <w:tcPr>
            <w:tcW w:w="160" w:type="dxa"/>
            <w:vAlign w:val="bottom"/>
            <w:gridSpan w:val="2"/>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7 Years</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7.4 Years</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10.2 %</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w w:val="99"/>
              </w:rPr>
              <w:t>10.4 %</w:t>
            </w:r>
          </w:p>
        </w:tc>
      </w:tr>
      <w:tr>
        <w:trPr>
          <w:trHeight w:val="13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gridSpan w:val="5"/>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spacing w:after="0"/>
              <w:rPr>
                <w:sz w:val="12"/>
                <w:szCs w:val="12"/>
                <w:color w:val="auto"/>
              </w:rPr>
            </w:pPr>
          </w:p>
        </w:tc>
      </w:tr>
      <w:tr>
        <w:trPr>
          <w:trHeight w:val="146"/>
        </w:trPr>
        <w:tc>
          <w:tcPr>
            <w:tcW w:w="20" w:type="dxa"/>
            <w:vAlign w:val="bottom"/>
            <w:tcBorders>
              <w:top w:val="single" w:sz="8" w:color="auto"/>
            </w:tcBorders>
          </w:tcPr>
          <w:p>
            <w:pPr>
              <w:spacing w:after="0"/>
              <w:rPr>
                <w:sz w:val="12"/>
                <w:szCs w:val="12"/>
                <w:color w:val="auto"/>
              </w:rPr>
            </w:pPr>
          </w:p>
        </w:tc>
        <w:tc>
          <w:tcPr>
            <w:tcW w:w="4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5"/>
          </w:tcPr>
          <w:p>
            <w:pPr>
              <w:ind w:left="20"/>
              <w:spacing w:after="0" w:line="147" w:lineRule="exact"/>
              <w:rPr>
                <w:sz w:val="20"/>
                <w:szCs w:val="20"/>
                <w:color w:val="auto"/>
              </w:rPr>
            </w:pPr>
            <w:r>
              <w:rPr>
                <w:rFonts w:ascii="Arial" w:cs="Arial" w:eastAsia="Arial" w:hAnsi="Arial"/>
                <w:sz w:val="14"/>
                <w:szCs w:val="14"/>
                <w:color w:val="auto"/>
              </w:rPr>
              <w:t>For the Year Ended</w:t>
            </w: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For the Year Ended</w:t>
            </w:r>
          </w:p>
        </w:tc>
        <w:tc>
          <w:tcPr>
            <w:tcW w:w="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6"/>
          </w:tcPr>
          <w:p>
            <w:pPr>
              <w:ind w:left="7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December 31, 2025</w:t>
            </w:r>
          </w:p>
        </w:tc>
        <w:tc>
          <w:tcPr>
            <w:tcW w:w="1460" w:type="dxa"/>
            <w:vAlign w:val="bottom"/>
            <w:gridSpan w:val="5"/>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December 31, 2024</w:t>
            </w:r>
          </w:p>
        </w:tc>
      </w:tr>
      <w:tr>
        <w:trPr>
          <w:trHeight w:val="196"/>
        </w:trPr>
        <w:tc>
          <w:tcPr>
            <w:tcW w:w="496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18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(4,978)</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ind w:left="520"/>
              <w:spacing w:after="0" w:line="196" w:lineRule="exact"/>
              <w:rPr>
                <w:sz w:val="20"/>
                <w:szCs w:val="20"/>
                <w:color w:val="auto"/>
              </w:rPr>
            </w:pPr>
            <w:r>
              <w:rPr>
                <w:rFonts w:ascii="Arial" w:cs="Arial" w:eastAsia="Arial" w:hAnsi="Arial"/>
                <w:sz w:val="18"/>
                <w:szCs w:val="18"/>
                <w:color w:val="auto"/>
                <w:w w:val="94"/>
              </w:rPr>
              <w:t>(3,365)</w:t>
            </w:r>
          </w:p>
        </w:tc>
        <w:tc>
          <w:tcPr>
            <w:tcW w:w="20" w:type="dxa"/>
            <w:vAlign w:val="bottom"/>
          </w:tcPr>
          <w:p>
            <w:pPr>
              <w:spacing w:after="0"/>
              <w:rPr>
                <w:sz w:val="17"/>
                <w:szCs w:val="17"/>
                <w:color w:val="auto"/>
              </w:rPr>
            </w:pPr>
          </w:p>
        </w:tc>
      </w:tr>
    </w:tbl>
    <w:p>
      <w:pPr>
        <w:spacing w:after="0" w:line="143"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The following table reflects future minimum lease payments under noncancelable leases as of December 31, 2025:</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7660" w:type="dxa"/>
            <w:vAlign w:val="bottom"/>
            <w:tcBorders>
              <w:top w:val="single" w:sz="8" w:color="auto"/>
              <w:bottom w:val="single" w:sz="8" w:color="CCEEFF"/>
            </w:tcBorders>
          </w:tcPr>
          <w:p>
            <w:pPr>
              <w:ind w:left="7500"/>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7,340</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7,377</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7,565</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7,756</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2030</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7,953</w:t>
            </w:r>
          </w:p>
        </w:tc>
      </w:tr>
      <w:tr>
        <w:trPr>
          <w:trHeight w:val="203"/>
        </w:trPr>
        <w:tc>
          <w:tcPr>
            <w:tcW w:w="7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25,955</w:t>
            </w: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63,946</w:t>
            </w:r>
          </w:p>
        </w:tc>
      </w:tr>
      <w:tr>
        <w:trPr>
          <w:trHeight w:val="203"/>
        </w:trPr>
        <w:tc>
          <w:tcPr>
            <w:tcW w:w="7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(20,381)</w:t>
            </w:r>
          </w:p>
        </w:tc>
      </w:tr>
      <w:tr>
        <w:trPr>
          <w:trHeight w:val="196"/>
        </w:trPr>
        <w:tc>
          <w:tcPr>
            <w:tcW w:w="7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43,565</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new Watertown lease commenced on January 27, 2026 and the future minimum lease payments under that arrangement are approximately $7,229.</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11—Income taxes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net income (loss) before income tax expense are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5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line="183" w:lineRule="exact"/>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5"/>
                <w:szCs w:val="15"/>
                <w:color w:val="auto"/>
              </w:rPr>
            </w:pPr>
          </w:p>
        </w:tc>
        <w:tc>
          <w:tcPr>
            <w:tcW w:w="440" w:type="dxa"/>
            <w:vAlign w:val="bottom"/>
            <w:gridSpan w:val="2"/>
          </w:tcPr>
          <w:p>
            <w:pPr>
              <w:jc w:val="right"/>
              <w:ind w:right="170"/>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311"/>
              <w:spacing w:after="0" w:line="183" w:lineRule="exact"/>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Domestic</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(9,692)</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(124,781)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Foreign</w:t>
            </w:r>
          </w:p>
        </w:tc>
        <w:tc>
          <w:tcPr>
            <w:tcW w:w="4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4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(9,648)</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(124,776)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The components of the (benefit) provision for income taxes are as follows:</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5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line="183" w:lineRule="exact"/>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5"/>
                <w:szCs w:val="15"/>
                <w:color w:val="auto"/>
              </w:rPr>
            </w:pPr>
          </w:p>
        </w:tc>
        <w:tc>
          <w:tcPr>
            <w:tcW w:w="440" w:type="dxa"/>
            <w:vAlign w:val="bottom"/>
            <w:gridSpan w:val="2"/>
          </w:tcPr>
          <w:p>
            <w:pPr>
              <w:jc w:val="right"/>
              <w:ind w:right="170"/>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311"/>
              <w:spacing w:after="0" w:line="183" w:lineRule="exact"/>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expense:</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20"/>
              <w:spacing w:after="0" w:line="202" w:lineRule="exact"/>
              <w:rPr>
                <w:sz w:val="20"/>
                <w:szCs w:val="20"/>
                <w:color w:val="auto"/>
              </w:rPr>
            </w:pPr>
            <w:r>
              <w:rPr>
                <w:rFonts w:ascii="Arial" w:cs="Arial" w:eastAsia="Arial" w:hAnsi="Arial"/>
                <w:sz w:val="18"/>
                <w:szCs w:val="18"/>
                <w:color w:val="auto"/>
              </w:rPr>
              <w:t>Federal</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40" w:type="dxa"/>
            <w:vAlign w:val="bottom"/>
            <w:gridSpan w:val="2"/>
          </w:tcPr>
          <w:p>
            <w:pPr>
              <w:jc w:val="center"/>
              <w:ind w:left="16"/>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Foreign</w:t>
            </w:r>
          </w:p>
        </w:tc>
        <w:tc>
          <w:tcPr>
            <w:tcW w:w="4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current expense:</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(benefit) expense:</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20"/>
              <w:spacing w:after="0" w:line="202" w:lineRule="exact"/>
              <w:rPr>
                <w:sz w:val="20"/>
                <w:szCs w:val="20"/>
                <w:color w:val="auto"/>
              </w:rPr>
            </w:pPr>
            <w:r>
              <w:rPr>
                <w:rFonts w:ascii="Arial" w:cs="Arial" w:eastAsia="Arial" w:hAnsi="Arial"/>
                <w:sz w:val="18"/>
                <w:szCs w:val="18"/>
                <w:color w:val="auto"/>
              </w:rPr>
              <w:t>Federal</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Foreign</w:t>
            </w:r>
          </w:p>
        </w:tc>
        <w:tc>
          <w:tcPr>
            <w:tcW w:w="4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deferred (benefit) expense:</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800" w:type="dxa"/>
            <w:vAlign w:val="bottom"/>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income tax (benefit) expense</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4320"/>
              <w:spacing w:after="0"/>
              <w:rPr>
                <w:sz w:val="20"/>
                <w:szCs w:val="20"/>
                <w:color w:val="auto"/>
              </w:rPr>
            </w:pPr>
            <w:r>
              <w:rPr>
                <w:rFonts w:ascii="Arial" w:cs="Arial" w:eastAsia="Arial" w:hAnsi="Arial"/>
                <w:sz w:val="18"/>
                <w:szCs w:val="18"/>
                <w:color w:val="auto"/>
              </w:rPr>
              <w:t>149</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6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6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49" w:name="page150"/>
    <w:bookmarkEnd w:id="1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reconciliation of the Company's statutory tax rate and effective tax rate is as follows:</w:t>
      </w:r>
    </w:p>
    <w:p>
      <w:pPr>
        <w:sectPr>
          <w:pgSz w:w="11900" w:h="16838" w:orient="portrait"/>
          <w:cols w:equalWidth="0" w:num="1">
            <w:col w:w="9019"/>
          </w:cols>
          <w:pgMar w:left="1440" w:top="512" w:right="1440" w:bottom="1440" w:gutter="0" w:footer="0" w:header="0"/>
        </w:sectPr>
      </w:pPr>
    </w:p>
    <w:p>
      <w:pPr>
        <w:spacing w:after="0" w:line="147" w:lineRule="exact"/>
        <w:rPr>
          <w:sz w:val="20"/>
          <w:szCs w:val="20"/>
          <w:color w:val="auto"/>
        </w:rPr>
      </w:pPr>
    </w:p>
    <w:p>
      <w:pPr>
        <w:jc w:val="center"/>
        <w:ind w:left="4440"/>
        <w:spacing w:after="0"/>
        <w:rPr>
          <w:sz w:val="20"/>
          <w:szCs w:val="20"/>
          <w:color w:val="auto"/>
        </w:rPr>
      </w:pPr>
      <w:r>
        <w:rPr>
          <w:rFonts w:ascii="Arial" w:cs="Arial" w:eastAsia="Arial" w:hAnsi="Arial"/>
          <w:sz w:val="16"/>
          <w:szCs w:val="16"/>
          <w:b w:val="1"/>
          <w:bCs w:val="1"/>
          <w:u w:val="single" w:color="auto"/>
          <w:color w:val="auto"/>
        </w:rPr>
        <w:t>Year Ended December 31,</w:t>
      </w:r>
    </w:p>
    <w:p>
      <w:pPr>
        <w:spacing w:after="0" w:line="35" w:lineRule="exact"/>
        <w:rPr>
          <w:sz w:val="20"/>
          <w:szCs w:val="20"/>
          <w:color w:val="auto"/>
        </w:rPr>
      </w:pPr>
    </w:p>
    <w:p>
      <w:pPr>
        <w:jc w:val="center"/>
        <w:ind w:left="4440"/>
        <w:spacing w:after="0"/>
        <w:rPr>
          <w:sz w:val="20"/>
          <w:szCs w:val="20"/>
          <w:color w:val="auto"/>
        </w:rPr>
      </w:pP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12065</wp:posOffset>
            </wp:positionV>
            <wp:extent cx="13373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2024</w:t>
      </w:r>
    </w:p>
    <w:p>
      <w:pPr>
        <w:spacing w:after="0" w:line="3" w:lineRule="exact"/>
        <w:rPr>
          <w:sz w:val="20"/>
          <w:szCs w:val="20"/>
          <w:color w:val="auto"/>
        </w:rPr>
      </w:pPr>
    </w:p>
    <w:p>
      <w:pPr>
        <w:sectPr>
          <w:pgSz w:w="11900" w:h="16838" w:orient="portrait"/>
          <w:cols w:equalWidth="0" w:num="2">
            <w:col w:w="6420" w:space="480"/>
            <w:col w:w="2119"/>
          </w:cols>
          <w:pgMar w:left="1440" w:top="512" w:right="1440" w:bottom="1440" w:gutter="0" w:footer="0" w:header="0"/>
          <w:type w:val="continuous"/>
        </w:sectPr>
      </w:pPr>
    </w:p>
    <w:tbl>
      <w:tblPr>
        <w:tblLayout w:type="fixed"/>
        <w:tblInd w:w="4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gridSpan w:val="2"/>
          </w:tcPr>
          <w:p>
            <w:pPr>
              <w:jc w:val="right"/>
              <w:ind w:right="500"/>
              <w:spacing w:after="0" w:line="196" w:lineRule="exact"/>
              <w:rPr>
                <w:sz w:val="20"/>
                <w:szCs w:val="20"/>
                <w:color w:val="auto"/>
              </w:rPr>
            </w:pPr>
            <w:r>
              <w:rPr>
                <w:rFonts w:ascii="Arial" w:cs="Arial" w:eastAsia="Arial" w:hAnsi="Arial"/>
                <w:sz w:val="18"/>
                <w:szCs w:val="18"/>
                <w:color w:val="auto"/>
                <w:w w:val="96"/>
              </w:rPr>
              <w:t>Amount</w:t>
            </w:r>
          </w:p>
        </w:tc>
        <w:tc>
          <w:tcPr>
            <w:tcW w:w="900" w:type="dxa"/>
            <w:vAlign w:val="bottom"/>
            <w:tcBorders>
              <w:top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6"/>
              </w:rPr>
              <w:t>Percent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540"/>
              <w:spacing w:after="0" w:line="196" w:lineRule="exact"/>
              <w:rPr>
                <w:sz w:val="20"/>
                <w:szCs w:val="20"/>
                <w:color w:val="auto"/>
              </w:rPr>
            </w:pPr>
            <w:r>
              <w:rPr>
                <w:rFonts w:ascii="Arial" w:cs="Arial" w:eastAsia="Arial" w:hAnsi="Arial"/>
                <w:sz w:val="18"/>
                <w:szCs w:val="18"/>
                <w:color w:val="auto"/>
                <w:w w:val="96"/>
              </w:rPr>
              <w:t>Amount</w:t>
            </w:r>
          </w:p>
        </w:tc>
        <w:tc>
          <w:tcPr>
            <w:tcW w:w="940" w:type="dxa"/>
            <w:vAlign w:val="bottom"/>
            <w:tcBorders>
              <w:top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96"/>
              </w:rPr>
              <w:t>Percent</w:t>
            </w:r>
          </w:p>
        </w:tc>
        <w:tc>
          <w:tcPr>
            <w:tcW w:w="20" w:type="dxa"/>
            <w:vAlign w:val="bottom"/>
          </w:tcPr>
          <w:p>
            <w:pPr>
              <w:spacing w:after="0"/>
              <w:rPr>
                <w:sz w:val="17"/>
                <w:szCs w:val="17"/>
                <w:color w:val="auto"/>
              </w:rPr>
            </w:pPr>
          </w:p>
        </w:tc>
      </w:tr>
      <w:tr>
        <w:trPr>
          <w:trHeight w:val="196"/>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Loss before (benefit) provision for income taxes</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(9,648)</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(124,776)</w:t>
            </w: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at US statutory rate</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(2,026)</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(26,158)</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20" w:type="dxa"/>
            <w:vAlign w:val="bottom"/>
          </w:tcPr>
          <w:p>
            <w:pPr>
              <w:spacing w:after="0"/>
              <w:rPr>
                <w:sz w:val="17"/>
                <w:szCs w:val="17"/>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State and local Income Taxes, net of federal benefit</w:t>
            </w:r>
          </w:p>
        </w:tc>
        <w:tc>
          <w:tcPr>
            <w:tcW w:w="20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1,390</w:t>
            </w: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Tax Effects: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Other foreign jurisdictions</w:t>
            </w:r>
          </w:p>
        </w:tc>
        <w:tc>
          <w:tcPr>
            <w:tcW w:w="20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(187)</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Tax Credits: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Federal R&amp;D Credits</w:t>
            </w:r>
          </w:p>
        </w:tc>
        <w:tc>
          <w:tcPr>
            <w:tcW w:w="20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(4,590)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(3,632)</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7,121</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(73.8)%</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28,129</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20" w:type="dxa"/>
            <w:vAlign w:val="bottom"/>
          </w:tcPr>
          <w:p>
            <w:pPr>
              <w:spacing w:after="0"/>
              <w:rPr>
                <w:sz w:val="17"/>
                <w:szCs w:val="17"/>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Nontaxable or Nondeductible Items: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Section 162(m) compensation limitation</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(916)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Other</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8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1,243</w:t>
            </w:r>
          </w:p>
        </w:tc>
        <w:tc>
          <w:tcPr>
            <w:tcW w:w="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adjustments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r>
      <w:tr>
        <w:trPr>
          <w:trHeight w:val="203"/>
        </w:trPr>
        <w:tc>
          <w:tcPr>
            <w:tcW w:w="4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1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(benefit) provision for income taxes</w:t>
            </w:r>
          </w:p>
        </w:tc>
        <w:tc>
          <w:tcPr>
            <w:tcW w:w="2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$1,790</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The Company's effective tax rate includes the effects of state and local income taxes, net of the federal income tax benefit, which are primarily attributable to Pennsylvania, where the Company has significant business activities. Pennsylvania has higher effective tax rates compared to other jurisdictions where the Company operates, accounts for more than half of the Company's total state tax expense.</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the Company's deferred tax assets and liabilities are as follows: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83"/>
        </w:trPr>
        <w:tc>
          <w:tcPr>
            <w:tcW w:w="3520" w:type="dxa"/>
            <w:vAlign w:val="bottom"/>
            <w:gridSpan w:val="2"/>
            <w:vMerge w:val="restart"/>
          </w:tcPr>
          <w:p>
            <w:pPr>
              <w:ind w:left="20"/>
              <w:spacing w:after="0"/>
              <w:rPr>
                <w:sz w:val="20"/>
                <w:szCs w:val="20"/>
                <w:color w:val="auto"/>
              </w:rPr>
            </w:pPr>
            <w:r>
              <w:rPr>
                <w:rFonts w:ascii="Arial" w:cs="Arial" w:eastAsia="Arial" w:hAnsi="Arial"/>
                <w:sz w:val="18"/>
                <w:szCs w:val="18"/>
                <w:color w:val="auto"/>
              </w:rPr>
              <w:t>Deferred Tax Assets</w:t>
            </w:r>
          </w:p>
        </w:tc>
        <w:tc>
          <w:tcPr>
            <w:tcW w:w="13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jc w:val="right"/>
              <w:ind w:right="571"/>
              <w:spacing w:after="0" w:line="183" w:lineRule="exact"/>
              <w:rPr>
                <w:sz w:val="20"/>
                <w:szCs w:val="20"/>
                <w:color w:val="auto"/>
              </w:rPr>
            </w:pPr>
            <w:r>
              <w:rPr>
                <w:rFonts w:ascii="Arial" w:cs="Arial" w:eastAsia="Arial" w:hAnsi="Arial"/>
                <w:sz w:val="16"/>
                <w:szCs w:val="16"/>
                <w:b w:val="1"/>
                <w:bCs w:val="1"/>
                <w:color w:val="auto"/>
              </w:rPr>
              <w:t>2025</w:t>
            </w:r>
          </w:p>
        </w:tc>
        <w:tc>
          <w:tcPr>
            <w:tcW w:w="840" w:type="dxa"/>
            <w:vAlign w:val="bottom"/>
            <w:gridSpan w:val="2"/>
          </w:tcPr>
          <w:p>
            <w:pPr>
              <w:jc w:val="right"/>
              <w:ind w:right="53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751"/>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352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Net operating loss carryforwards</w:t>
            </w:r>
          </w:p>
        </w:tc>
        <w:tc>
          <w:tcPr>
            <w:tcW w:w="164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108,835</w:t>
            </w:r>
          </w:p>
        </w:tc>
        <w:tc>
          <w:tcPr>
            <w:tcW w:w="84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Lease liability</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12,796</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15,826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 &amp; other</w:t>
            </w: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Deferred revenue</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32,298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Credits</w:t>
            </w: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23,454</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Capitalized R&amp;D expenses</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50,812</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67,475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Stock based compensation</w:t>
            </w: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8,258</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Amortization</w:t>
            </w:r>
          </w:p>
        </w:tc>
        <w:tc>
          <w:tcPr>
            <w:tcW w:w="13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4,573</w:t>
            </w:r>
          </w:p>
        </w:tc>
        <w:tc>
          <w:tcPr>
            <w:tcW w:w="3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deferred tax assets</w:t>
            </w:r>
          </w:p>
        </w:tc>
        <w:tc>
          <w:tcPr>
            <w:tcW w:w="13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208,748</w:t>
            </w:r>
          </w:p>
        </w:tc>
        <w:tc>
          <w:tcPr>
            <w:tcW w:w="3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208,724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Valuation allowance</w:t>
            </w:r>
          </w:p>
        </w:tc>
        <w:tc>
          <w:tcPr>
            <w:tcW w:w="13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(197,809)</w:t>
            </w:r>
          </w:p>
        </w:tc>
        <w:tc>
          <w:tcPr>
            <w:tcW w:w="3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(192,229)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Net deferred tax assets</w:t>
            </w:r>
          </w:p>
        </w:tc>
        <w:tc>
          <w:tcPr>
            <w:tcW w:w="13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10,939</w:t>
            </w:r>
          </w:p>
        </w:tc>
        <w:tc>
          <w:tcPr>
            <w:tcW w:w="3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Pr>
          <w:p>
            <w:pPr>
              <w:spacing w:after="0" w:line="196" w:lineRule="exact"/>
              <w:rPr>
                <w:sz w:val="20"/>
                <w:szCs w:val="20"/>
                <w:color w:val="auto"/>
              </w:rPr>
            </w:pPr>
            <w:r>
              <w:rPr>
                <w:rFonts w:ascii="Arial" w:cs="Arial" w:eastAsia="Arial" w:hAnsi="Arial"/>
                <w:sz w:val="18"/>
                <w:szCs w:val="18"/>
                <w:color w:val="auto"/>
              </w:rPr>
              <w:t>Deferred tax liability</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w:t>
            </w: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Right-of-use asset</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(4,741)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Intangible assets</w:t>
            </w: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(10,046)</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Net unrealized losses</w:t>
            </w:r>
          </w:p>
        </w:tc>
        <w:tc>
          <w:tcPr>
            <w:tcW w:w="13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3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deferred tax liabilities</w:t>
            </w:r>
          </w:p>
        </w:tc>
        <w:tc>
          <w:tcPr>
            <w:tcW w:w="13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(15,240)</w:t>
            </w:r>
          </w:p>
        </w:tc>
        <w:tc>
          <w:tcPr>
            <w:tcW w:w="3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Pr>
          <w:p>
            <w:pPr>
              <w:ind w:left="220"/>
              <w:spacing w:after="0" w:line="196" w:lineRule="exact"/>
              <w:rPr>
                <w:sz w:val="20"/>
                <w:szCs w:val="20"/>
                <w:color w:val="auto"/>
              </w:rPr>
            </w:pPr>
            <w:r>
              <w:rPr>
                <w:rFonts w:ascii="Arial" w:cs="Arial" w:eastAsia="Arial" w:hAnsi="Arial"/>
                <w:sz w:val="18"/>
                <w:szCs w:val="18"/>
                <w:color w:val="auto"/>
              </w:rPr>
              <w:t>Net deferred tax liability</w:t>
            </w:r>
          </w:p>
        </w:tc>
        <w:tc>
          <w:tcPr>
            <w:tcW w:w="13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(4,301)</w:t>
            </w:r>
          </w:p>
        </w:tc>
        <w:tc>
          <w:tcPr>
            <w:tcW w:w="38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00" w:type="dxa"/>
            <w:vAlign w:val="bottom"/>
            <w:vMerge w:val="restart"/>
          </w:tcPr>
          <w:p>
            <w:pPr>
              <w:jc w:val="right"/>
              <w:ind w:right="110"/>
              <w:spacing w:after="0"/>
              <w:rPr>
                <w:sz w:val="20"/>
                <w:szCs w:val="20"/>
                <w:color w:val="auto"/>
              </w:rPr>
            </w:pPr>
            <w:r>
              <w:rPr>
                <w:rFonts w:ascii="Arial" w:cs="Arial" w:eastAsia="Arial" w:hAnsi="Arial"/>
                <w:sz w:val="18"/>
                <w:szCs w:val="18"/>
                <w:color w:val="auto"/>
              </w:rPr>
              <w:t>150</w:t>
            </w: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type w:val="continuous"/>
        </w:sectPr>
      </w:pPr>
    </w:p>
    <w:bookmarkStart w:id="150" w:name="page151"/>
    <w:bookmarkEnd w:id="1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As of December 31, 2025, the Company had $348,768 of U.S. federal net operating loss carryforwards, which have an unlimited carryforward period. As of December 31, 2025, the Company had $ 273,398 of state net operating loss carryforwards, that begin to expire at various dates starting 2040. As of December 31, 2025, the Company had $196,623 thousand of city net operating loss carryforwards, that begin to expire at various dates starting 2042. As of December 31, 2025, the Company had $58,695 of Netherlands net operating loss carryforwards, that have an unlimited carryforward period.</w:t>
      </w:r>
    </w:p>
    <w:p>
      <w:pPr>
        <w:spacing w:after="0" w:line="179"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As of December 31, 2025, the Company had $21.9 million of U.S. federal research and development tax credits that begin to expire in 2040. As of December 31, 2025, the Company had $2.0 million of state research and development tax credits that begin to expire at various dates from 2036 through 2038.</w:t>
      </w:r>
    </w:p>
    <w:p>
      <w:pPr>
        <w:spacing w:after="0" w:line="169"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color w:val="auto"/>
        </w:rPr>
        <w:t>The future realization of the tax benefits from existing temporary differences and tax attributes ultimately depends on the existence of sufficient taxable income. The Company assesses the realizability of its deferred tax assets at each balance sheet date. In assessing the realization of its deferred tax assets, the Company considers whether it is more likely than not that some portion or all of the deferred tax assets will not be realized. The Company considers the projected future taxable income, expected reversal of existing deferred tax liabilities, and tax planning strategies in making this assessment. After consideration of all available evidence, both positive and negative, the Company determined that it is not more likely than not that its net deferred tax assets will be realized in the foreseeable future. As a result, the Company increased its valuation allowance by $5.6 million as of December 31, 2025.</w:t>
      </w:r>
    </w:p>
    <w:p>
      <w:pPr>
        <w:spacing w:after="0" w:line="18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Company does not provide for U.S. Federal, state, and applicable foreign income and withholding taxes on the financial reporting basis over the tax basis of its foreign subsidiary investment because the Company has the intentations and ability to indefinitely reinvest the undistributed earnings of its foreign subsidiaries. As a result, deferred taxes have not been recorded for the outside basis differences in its foreign subsidiary as of December 31, 2025 to the extent such differences are expected to result in future taxable income upon repatriation. The Company reviews its ability and intentions to indefinitely reinvest its foreign earnings at each balance sheet.</w:t>
      </w:r>
    </w:p>
    <w:p>
      <w:pPr>
        <w:spacing w:after="0" w:line="185"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The future realization of the Company's net operating loss carryforwards and other tax attributes may also be limited by the change in ownership rules under the U.S. Internal Revenue Code Section 382. Under Section 382, if a corporation undergoes an ownership change (as defined), the corporation’s ability to utilize its net operating loss carryforwards and other tax attributes to offset income may be limited. The Company has not completed a study to assess whether an ownership change has occurred or whether there have been multiple ownership changes.</w:t>
      </w:r>
    </w:p>
    <w:p>
      <w:pPr>
        <w:spacing w:after="0" w:line="17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 records uncertain tax positions as liabilities in accordance with ASC 740-10 and adjusts these liabilities when judgment changes as a result of the evaluation of new information not previously available. Since there is complexity in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 information is available. The calculation and assessment of the Company's income tax exposures generally involves the uncertainties in the application of complex tax laws and regulations for federal, state, and foreign jurisdictions. A tax benefit from an uncertain tax position may be recognized when it is more likely than not that the position will be sustained upon local tax examination including resolutions of any related appeals or litigation on the basis of the technical merits.</w:t>
      </w:r>
    </w:p>
    <w:p>
      <w:pPr>
        <w:spacing w:after="0" w:line="18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 files income tax returns in the US and Netherlands which are the Company's major jurisdictions where it is subject to tax examination by local tax authorities. The Company is not currently under examination for income taxes, and is not aware of any issues under review that could result in significant payments, accruals or material deviation from its tax positions. To the extent the Company has tax attribute carryforwards, the tax years in which the attribute was generated may still be adjusted upon examination by local tax authorities to the extent utilized in a future period. The statute of limitations for the Company has expired for tax years prior to 2022.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1" w:name="page152"/>
    <w:bookmarkEnd w:id="1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50"/>
        <w:spacing w:after="0" w:line="247" w:lineRule="auto"/>
        <w:rPr>
          <w:sz w:val="20"/>
          <w:szCs w:val="20"/>
          <w:color w:val="auto"/>
        </w:rPr>
      </w:pPr>
      <w:r>
        <w:rPr>
          <w:rFonts w:ascii="Arial" w:cs="Arial" w:eastAsia="Arial" w:hAnsi="Arial"/>
          <w:sz w:val="18"/>
          <w:szCs w:val="18"/>
          <w:color w:val="auto"/>
        </w:rPr>
        <w:t>As of December 31, 2025, the Company has not recorded an unrecognized tax benefit liability . As of December 31, 2025, the Company also has not recorded any accrued interest and/or penalties. The Company’s policy is to recognize interest and penalties related to uncertain tax positions in the provision for income taxes.</w:t>
      </w:r>
    </w:p>
    <w:p>
      <w:pPr>
        <w:spacing w:after="0" w:line="174"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The following summarizes the Company's income taxes paid (net of refunds received) for the years presented below:</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342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5480" w:type="dxa"/>
            <w:vAlign w:val="bottom"/>
          </w:tcPr>
          <w:p>
            <w:pPr>
              <w:spacing w:after="0"/>
              <w:rPr>
                <w:sz w:val="15"/>
                <w:szCs w:val="15"/>
                <w:color w:val="auto"/>
              </w:rPr>
            </w:pPr>
          </w:p>
        </w:tc>
        <w:tc>
          <w:tcPr>
            <w:tcW w:w="1300" w:type="dxa"/>
            <w:vAlign w:val="bottom"/>
          </w:tcPr>
          <w:p>
            <w:pPr>
              <w:jc w:val="right"/>
              <w:ind w:right="175"/>
              <w:spacing w:after="0" w:line="183" w:lineRule="exact"/>
              <w:rPr>
                <w:sz w:val="20"/>
                <w:szCs w:val="20"/>
                <w:color w:val="auto"/>
              </w:rPr>
            </w:pPr>
            <w:r>
              <w:rPr>
                <w:rFonts w:ascii="Arial" w:cs="Arial" w:eastAsia="Arial" w:hAnsi="Arial"/>
                <w:sz w:val="16"/>
                <w:szCs w:val="16"/>
                <w:b w:val="1"/>
                <w:bCs w:val="1"/>
                <w:color w:val="auto"/>
              </w:rPr>
              <w:t>2025</w:t>
            </w:r>
          </w:p>
        </w:tc>
        <w:tc>
          <w:tcPr>
            <w:tcW w:w="400" w:type="dxa"/>
            <w:vAlign w:val="bottom"/>
          </w:tcPr>
          <w:p>
            <w:pPr>
              <w:spacing w:after="0"/>
              <w:rPr>
                <w:sz w:val="15"/>
                <w:szCs w:val="15"/>
                <w:color w:val="auto"/>
              </w:rPr>
            </w:pPr>
          </w:p>
        </w:tc>
        <w:tc>
          <w:tcPr>
            <w:tcW w:w="640" w:type="dxa"/>
            <w:vAlign w:val="bottom"/>
            <w:gridSpan w:val="2"/>
          </w:tcPr>
          <w:p>
            <w:pPr>
              <w:jc w:val="right"/>
              <w:ind w:right="330"/>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72"/>
              <w:spacing w:after="0" w:line="183" w:lineRule="exact"/>
              <w:rPr>
                <w:sz w:val="20"/>
                <w:szCs w:val="20"/>
                <w:color w:val="auto"/>
              </w:rPr>
            </w:pPr>
            <w:r>
              <w:rPr>
                <w:rFonts w:ascii="Arial" w:cs="Arial" w:eastAsia="Arial" w:hAnsi="Arial"/>
                <w:sz w:val="16"/>
                <w:szCs w:val="16"/>
                <w:b w:val="1"/>
                <w:bCs w:val="1"/>
                <w:color w:val="auto"/>
              </w:rPr>
              <w:t>2024</w:t>
            </w:r>
          </w:p>
        </w:tc>
      </w:tr>
      <w:tr>
        <w:trPr>
          <w:trHeight w:val="196"/>
        </w:trPr>
        <w:tc>
          <w:tcPr>
            <w:tcW w:w="548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Federal</w:t>
            </w:r>
          </w:p>
        </w:tc>
        <w:tc>
          <w:tcPr>
            <w:tcW w:w="1300" w:type="dxa"/>
            <w:vAlign w:val="bottom"/>
            <w:shd w:val="clear" w:color="auto" w:fill="CCEEFF"/>
          </w:tcPr>
          <w:p>
            <w:pPr>
              <w:jc w:val="right"/>
              <w:ind w:right="955"/>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State</w:t>
            </w:r>
          </w:p>
        </w:tc>
        <w:tc>
          <w:tcPr>
            <w:tcW w:w="13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423</w:t>
            </w: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w:t>
            </w:r>
          </w:p>
        </w:tc>
        <w:tc>
          <w:tcPr>
            <w:tcW w:w="13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2"/>
        </w:trPr>
        <w:tc>
          <w:tcPr>
            <w:tcW w:w="5480" w:type="dxa"/>
            <w:vAlign w:val="bottom"/>
          </w:tcPr>
          <w:p>
            <w:pPr>
              <w:ind w:left="20"/>
              <w:spacing w:after="0"/>
              <w:rPr>
                <w:sz w:val="20"/>
                <w:szCs w:val="20"/>
                <w:color w:val="auto"/>
              </w:rPr>
            </w:pPr>
            <w:r>
              <w:rPr>
                <w:rFonts w:ascii="Arial" w:cs="Arial" w:eastAsia="Arial" w:hAnsi="Arial"/>
                <w:sz w:val="18"/>
                <w:szCs w:val="18"/>
                <w:color w:val="auto"/>
              </w:rPr>
              <w:t>Total income taxes paid</w:t>
            </w:r>
          </w:p>
        </w:tc>
        <w:tc>
          <w:tcPr>
            <w:tcW w:w="1300" w:type="dxa"/>
            <w:vAlign w:val="bottom"/>
          </w:tcPr>
          <w:p>
            <w:pPr>
              <w:jc w:val="right"/>
              <w:ind w:right="95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507</w:t>
            </w:r>
          </w:p>
        </w:tc>
      </w:tr>
    </w:tbl>
    <w:p>
      <w:pPr>
        <w:spacing w:after="0" w:line="147"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The following summarizes the jurisdictions that exceeded 5% of the Company's total income taxes paid (net of refunds) for the years presented below</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560" w:type="dxa"/>
            <w:vAlign w:val="bottom"/>
          </w:tcPr>
          <w:p>
            <w:pPr>
              <w:spacing w:after="0"/>
              <w:rPr>
                <w:sz w:val="19"/>
                <w:szCs w:val="19"/>
                <w:color w:val="auto"/>
              </w:rPr>
            </w:pPr>
          </w:p>
        </w:tc>
        <w:tc>
          <w:tcPr>
            <w:tcW w:w="334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Year Ended December 31,</w:t>
            </w:r>
          </w:p>
        </w:tc>
      </w:tr>
      <w:tr>
        <w:trPr>
          <w:trHeight w:val="196"/>
        </w:trPr>
        <w:tc>
          <w:tcPr>
            <w:tcW w:w="5560" w:type="dxa"/>
            <w:vAlign w:val="bottom"/>
          </w:tcPr>
          <w:p>
            <w:pPr>
              <w:spacing w:after="0"/>
              <w:rPr>
                <w:sz w:val="17"/>
                <w:szCs w:val="17"/>
                <w:color w:val="auto"/>
              </w:rPr>
            </w:pPr>
          </w:p>
        </w:tc>
        <w:tc>
          <w:tcPr>
            <w:tcW w:w="11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17"/>
                <w:szCs w:val="17"/>
                <w:color w:val="auto"/>
              </w:rPr>
            </w:pPr>
          </w:p>
        </w:tc>
        <w:tc>
          <w:tcPr>
            <w:tcW w:w="780" w:type="dxa"/>
            <w:vAlign w:val="bottom"/>
            <w:gridSpan w:val="2"/>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5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3"/>
        </w:trPr>
        <w:tc>
          <w:tcPr>
            <w:tcW w:w="5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Pennsylvania</w:t>
            </w:r>
          </w:p>
        </w:tc>
        <w:tc>
          <w:tcPr>
            <w:tcW w:w="1140" w:type="dxa"/>
            <w:vAlign w:val="bottom"/>
            <w:shd w:val="clear" w:color="auto" w:fill="CCEEFF"/>
          </w:tcPr>
          <w:p>
            <w:pPr>
              <w:jc w:val="right"/>
              <w:ind w:right="8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Pennsylvania Cities (Philadelphia)</w:t>
            </w:r>
          </w:p>
        </w:tc>
        <w:tc>
          <w:tcPr>
            <w:tcW w:w="114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203"/>
        </w:trPr>
        <w:tc>
          <w:tcPr>
            <w:tcW w:w="5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New Jersey</w:t>
            </w:r>
          </w:p>
        </w:tc>
        <w:tc>
          <w:tcPr>
            <w:tcW w:w="11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32"/>
        </w:trPr>
        <w:tc>
          <w:tcPr>
            <w:tcW w:w="5560" w:type="dxa"/>
            <w:vAlign w:val="bottom"/>
          </w:tcPr>
          <w:p>
            <w:pPr>
              <w:ind w:left="20"/>
              <w:spacing w:after="0"/>
              <w:rPr>
                <w:sz w:val="20"/>
                <w:szCs w:val="20"/>
                <w:color w:val="auto"/>
              </w:rPr>
            </w:pPr>
            <w:r>
              <w:rPr>
                <w:rFonts w:ascii="Arial" w:cs="Arial" w:eastAsia="Arial" w:hAnsi="Arial"/>
                <w:sz w:val="18"/>
                <w:szCs w:val="18"/>
                <w:color w:val="auto"/>
              </w:rPr>
              <w:t>Total state income taxes paid</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423</w:t>
            </w:r>
          </w:p>
        </w:tc>
      </w:tr>
    </w:tbl>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12—Basic and diluted net loss per common share</w:t>
      </w:r>
    </w:p>
    <w:p>
      <w:pPr>
        <w:spacing w:after="0" w:line="21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Company’s potentially dilutive securities, which include RSUs, restricted stock, warrants, early exercised stock options and stock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years ended December 31, 2025 and 2024 because including them would have had an anti-dilutive effect.</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3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Year Ended</w:t>
            </w: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Year Ended</w:t>
            </w:r>
          </w:p>
        </w:tc>
      </w:tr>
      <w:tr>
        <w:trPr>
          <w:trHeight w:val="162"/>
        </w:trPr>
        <w:tc>
          <w:tcPr>
            <w:tcW w:w="6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jc w:val="center"/>
              <w:ind w:right="36"/>
              <w:spacing w:after="0"/>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jc w:val="center"/>
              <w:ind w:right="36"/>
              <w:spacing w:after="0"/>
              <w:rPr>
                <w:sz w:val="20"/>
                <w:szCs w:val="20"/>
                <w:color w:val="auto"/>
              </w:rPr>
            </w:pPr>
            <w:r>
              <w:rPr>
                <w:rFonts w:ascii="Arial" w:cs="Arial" w:eastAsia="Arial" w:hAnsi="Arial"/>
                <w:sz w:val="14"/>
                <w:szCs w:val="14"/>
                <w:color w:val="auto"/>
              </w:rPr>
              <w:t>December 31,</w:t>
            </w:r>
          </w:p>
        </w:tc>
      </w:tr>
      <w:tr>
        <w:trPr>
          <w:trHeight w:val="171"/>
        </w:trPr>
        <w:tc>
          <w:tcPr>
            <w:tcW w:w="6380" w:type="dxa"/>
            <w:vAlign w:val="bottom"/>
            <w:gridSpan w:val="2"/>
          </w:tcPr>
          <w:p>
            <w:pPr>
              <w:ind w:left="62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2025</w:t>
            </w:r>
          </w:p>
        </w:tc>
        <w:tc>
          <w:tcPr>
            <w:tcW w:w="2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2024</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9,105,976</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5,310,229</w:t>
            </w:r>
          </w:p>
        </w:tc>
      </w:tr>
      <w:tr>
        <w:trPr>
          <w:trHeight w:val="203"/>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11,321</w:t>
            </w:r>
          </w:p>
        </w:tc>
      </w:tr>
      <w:tr>
        <w:trPr>
          <w:trHeight w:val="203"/>
        </w:trPr>
        <w:tc>
          <w:tcPr>
            <w:tcW w:w="6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awards subject to future vesting</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24,821</w:t>
            </w:r>
          </w:p>
        </w:tc>
      </w:tr>
      <w:tr>
        <w:trPr>
          <w:trHeight w:val="203"/>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5,645,957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2,852,909</w:t>
            </w:r>
          </w:p>
        </w:tc>
      </w:tr>
      <w:tr>
        <w:trPr>
          <w:trHeight w:val="203"/>
        </w:trPr>
        <w:tc>
          <w:tcPr>
            <w:tcW w:w="6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14,783,942</w:t>
            </w:r>
          </w:p>
        </w:tc>
        <w:tc>
          <w:tcPr>
            <w:tcW w:w="18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8,231,289</w:t>
            </w: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13—Defined contribution plan</w:t>
      </w:r>
    </w:p>
    <w:p>
      <w:pPr>
        <w:spacing w:after="0" w:line="214" w:lineRule="exact"/>
        <w:rPr>
          <w:sz w:val="20"/>
          <w:szCs w:val="20"/>
          <w:color w:val="auto"/>
        </w:rPr>
      </w:pPr>
    </w:p>
    <w:p>
      <w:pPr>
        <w:jc w:val="both"/>
        <w:ind w:left="60" w:right="479"/>
        <w:spacing w:after="0" w:line="253" w:lineRule="auto"/>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2" w:name="page153"/>
    <w:bookmarkEnd w:id="1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participating employee contributions and 50% of the next 2% of participating employee contributions. Contributions are made in cash. Contributions were approximately $1,006 and $1,130 for the year ended December 31, 2025 and 2024 respectively. Such contribution expense has been recognized in the consolidated statement of operations for each period.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14—Stock-based compensation</w:t>
      </w:r>
    </w:p>
    <w:p>
      <w:pPr>
        <w:spacing w:after="0" w:line="21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16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2021 Incentive Plan provides for the Company to sell or issue common stock or restricted common stock, restricted stock units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176"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2024, the 2021 Incentive Plan reserved shares were increased under clause (i) by 3,025,220 shares, effective as of January 1, 2024. As of December 31, 2024, there were 3,691,145 shares available for issuance under the 2021 Incentive Plan. For 2025, the 2021 Incentive Plan reserved shares were increased under clause (i) by 4,291,821 shares, effective as of January 1, 2025. As of December 31, 2025, there were 4,175,446 shares available for issuance under the 2021 Incentive Plan.</w:t>
      </w:r>
    </w:p>
    <w:p>
      <w:pPr>
        <w:spacing w:after="0" w:line="17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During the quarter ended September 30, 2025, the Company issued performance-based RSUs that represent a contingent right to receive one share of the Company’s common stock. The RSUs shall vest 50% on October 1, 2026, with the remaining 50% vesting upon the earlier of: (i) October 1, 2027; and (ii) satisfaction of certain performance criteria.</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recognizes the costs of the stock-based payments as the employees vest in the awards.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2025, the Company had reserved shares of common stock for issuance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560" w:type="dxa"/>
            <w:vAlign w:val="bottom"/>
            <w:gridSpan w:val="2"/>
          </w:tcPr>
          <w:p>
            <w:pPr>
              <w:ind w:left="7100"/>
              <w:spacing w:after="0"/>
              <w:rPr>
                <w:sz w:val="20"/>
                <w:szCs w:val="20"/>
                <w:color w:val="auto"/>
              </w:rPr>
            </w:pPr>
            <w:r>
              <w:rPr>
                <w:rFonts w:ascii="Arial" w:cs="Arial" w:eastAsia="Arial" w:hAnsi="Arial"/>
                <w:sz w:val="20"/>
                <w:szCs w:val="20"/>
                <w:color w:val="auto"/>
              </w:rPr>
              <w:t>​​​</w:t>
            </w:r>
          </w:p>
        </w:tc>
        <w:tc>
          <w:tcPr>
            <w:tcW w:w="1360" w:type="dxa"/>
            <w:vAlign w:val="bottom"/>
            <w:gridSpan w:val="2"/>
          </w:tcPr>
          <w:p>
            <w:pPr>
              <w:ind w:left="28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196"/>
        </w:trPr>
        <w:tc>
          <w:tcPr>
            <w:tcW w:w="7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and RSUs issued and outstanding</w:t>
            </w:r>
          </w:p>
        </w:tc>
        <w:tc>
          <w:tcPr>
            <w:tcW w:w="3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9,105,976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Shares available for future stock option and RSU grants</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4,175,446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available for employee stock purchase plan</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639,745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13,921,167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4320"/>
              <w:spacing w:after="0"/>
              <w:rPr>
                <w:sz w:val="20"/>
                <w:szCs w:val="20"/>
                <w:color w:val="auto"/>
              </w:rPr>
            </w:pPr>
            <w:r>
              <w:rPr>
                <w:rFonts w:ascii="Arial" w:cs="Arial" w:eastAsia="Arial" w:hAnsi="Arial"/>
                <w:sz w:val="18"/>
                <w:szCs w:val="18"/>
                <w:color w:val="auto"/>
              </w:rPr>
              <w:t>153</w:t>
            </w: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7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7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53" w:name="page154"/>
    <w:bookmarkEnd w:id="1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shares of Common Stock available under the 2021 Incentive Plan as of December 31, 2024 are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560" w:type="dxa"/>
            <w:vAlign w:val="bottom"/>
            <w:gridSpan w:val="2"/>
          </w:tcPr>
          <w:p>
            <w:pPr>
              <w:ind w:left="710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513"/>
              <w:spacing w:after="0"/>
              <w:rPr>
                <w:sz w:val="20"/>
                <w:szCs w:val="20"/>
                <w:color w:val="auto"/>
              </w:rPr>
            </w:pPr>
            <w:r>
              <w:rPr>
                <w:rFonts w:ascii="Arial" w:cs="Arial" w:eastAsia="Arial" w:hAnsi="Arial"/>
                <w:sz w:val="14"/>
                <w:szCs w:val="14"/>
                <w:color w:val="auto"/>
              </w:rPr>
              <w:t>Shares</w:t>
            </w:r>
          </w:p>
        </w:tc>
      </w:tr>
      <w:tr>
        <w:trPr>
          <w:trHeight w:val="196"/>
        </w:trPr>
        <w:tc>
          <w:tcPr>
            <w:tcW w:w="7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December 31, 2024</w:t>
            </w:r>
          </w:p>
        </w:tc>
        <w:tc>
          <w:tcPr>
            <w:tcW w:w="3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3,691,145</w:t>
            </w:r>
          </w:p>
        </w:tc>
      </w:tr>
      <w:tr>
        <w:trPr>
          <w:trHeight w:val="203"/>
        </w:trPr>
        <w:tc>
          <w:tcPr>
            <w:tcW w:w="7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Shares reserved for issuance</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4,291,821</w:t>
            </w:r>
          </w:p>
        </w:tc>
      </w:tr>
      <w:tr>
        <w:trPr>
          <w:trHeight w:val="203"/>
        </w:trPr>
        <w:tc>
          <w:tcPr>
            <w:tcW w:w="7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granted</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(2,048,425)</w:t>
            </w:r>
          </w:p>
        </w:tc>
      </w:tr>
      <w:tr>
        <w:trPr>
          <w:trHeight w:val="203"/>
        </w:trPr>
        <w:tc>
          <w:tcPr>
            <w:tcW w:w="7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RSU’s granted</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(5,746,540)</w:t>
            </w:r>
          </w:p>
        </w:tc>
      </w:tr>
      <w:tr>
        <w:trPr>
          <w:trHeight w:val="203"/>
        </w:trPr>
        <w:tc>
          <w:tcPr>
            <w:tcW w:w="7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and RSUs forfeited / cancelled</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3,987,445</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December 31, 2025</w:t>
            </w: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4,175,446</w:t>
            </w:r>
          </w:p>
        </w:tc>
      </w:tr>
      <w:tr>
        <w:trPr>
          <w:trHeight w:val="20"/>
        </w:trPr>
        <w:tc>
          <w:tcPr>
            <w:tcW w:w="7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year ended December 31, 2025:</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jc w:val="right"/>
              <w:ind w:right="254"/>
              <w:spacing w:after="0"/>
              <w:rPr>
                <w:sz w:val="20"/>
                <w:szCs w:val="20"/>
                <w:color w:val="auto"/>
              </w:rPr>
            </w:pPr>
            <w:r>
              <w:rPr>
                <w:rFonts w:ascii="Arial" w:cs="Arial" w:eastAsia="Arial" w:hAnsi="Arial"/>
                <w:sz w:val="14"/>
                <w:szCs w:val="14"/>
                <w:color w:val="auto"/>
              </w:rPr>
              <w:t>Weighted Average</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color w:val="auto"/>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tcPr>
          <w:p>
            <w:pPr>
              <w:jc w:val="center"/>
              <w:ind w:left="88"/>
              <w:spacing w:after="0"/>
              <w:rPr>
                <w:sz w:val="20"/>
                <w:szCs w:val="20"/>
                <w:color w:val="auto"/>
              </w:rPr>
            </w:pPr>
            <w:r>
              <w:rPr>
                <w:rFonts w:ascii="Arial" w:cs="Arial" w:eastAsia="Arial" w:hAnsi="Arial"/>
                <w:sz w:val="14"/>
                <w:szCs w:val="14"/>
                <w:color w:val="auto"/>
              </w:rPr>
              <w:t>Contractual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7"/>
              </w:rPr>
              <w:t>Term</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920" w:type="dxa"/>
            <w:vAlign w:val="bottom"/>
            <w:gridSpan w:val="2"/>
          </w:tcPr>
          <w:p>
            <w:pPr>
              <w:ind w:left="48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72"/>
              <w:spacing w:after="0"/>
              <w:rPr>
                <w:sz w:val="20"/>
                <w:szCs w:val="20"/>
                <w:color w:val="auto"/>
              </w:rPr>
            </w:pPr>
            <w:r>
              <w:rPr>
                <w:rFonts w:ascii="Arial" w:cs="Arial" w:eastAsia="Arial" w:hAnsi="Arial"/>
                <w:sz w:val="14"/>
                <w:szCs w:val="14"/>
                <w:color w:val="auto"/>
              </w:rPr>
              <w:t>Shares</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​​​Exercise Price</w:t>
            </w:r>
          </w:p>
        </w:tc>
        <w:tc>
          <w:tcPr>
            <w:tcW w:w="900" w:type="dxa"/>
            <w:vAlign w:val="bottom"/>
            <w:gridSpan w:val="2"/>
          </w:tcPr>
          <w:p>
            <w:pPr>
              <w:jc w:val="right"/>
              <w:ind w:right="54"/>
              <w:spacing w:after="0"/>
              <w:rPr>
                <w:sz w:val="20"/>
                <w:szCs w:val="20"/>
                <w:color w:val="auto"/>
              </w:rPr>
            </w:pPr>
            <w:r>
              <w:rPr>
                <w:rFonts w:ascii="Arial" w:cs="Arial" w:eastAsia="Arial" w:hAnsi="Arial"/>
                <w:sz w:val="14"/>
                <w:szCs w:val="14"/>
                <w:color w:val="auto"/>
              </w:rPr>
              <w:t>​​​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January 1, 2025</w:t>
            </w: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9,520,748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4.14</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2,048,425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0.60</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3"/>
        </w:trPr>
        <w:tc>
          <w:tcPr>
            <w:tcW w:w="4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(73,694)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9"/>
              </w:rPr>
              <w:t>(1,871,266)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3"/>
        </w:trPr>
        <w:tc>
          <w:tcPr>
            <w:tcW w:w="4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Cancelled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(518,237)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Outstanding, December 31, 2025</w:t>
            </w:r>
          </w:p>
        </w:tc>
        <w:tc>
          <w:tcPr>
            <w:tcW w:w="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9,105,976</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5.75</w:t>
            </w:r>
          </w:p>
        </w:tc>
        <w:tc>
          <w:tcPr>
            <w:tcW w:w="1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Exercisable at December 31, 2025</w:t>
            </w:r>
          </w:p>
        </w:tc>
        <w:tc>
          <w:tcPr>
            <w:tcW w:w="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6,132,756</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6.57</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4.30</w:t>
            </w:r>
          </w:p>
        </w:tc>
        <w:tc>
          <w:tcPr>
            <w:tcW w:w="1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The weighted average grant date fair value of awards for options granted during the period ended December 31, 2025 was $0.42 As of December 31, 2025, there was $3,443 of total unrecognized compensation expense related to unvested stock options with time-based vesting terms, which is expected to be recognized over a weighted average period of 2.08 years. The aggregate intrinsic value of options vested and exercisable as of December 31, 2025 and 2024 is calculated based on the difference between the exercise price and the fair value of our common stock. The intrinsic value of options exercised in 2025 and 2024 was $32 and $923, respectively.</w:t>
      </w:r>
    </w:p>
    <w:p>
      <w:pPr>
        <w:spacing w:after="0" w:line="18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Starting in June of 2023 the Company had sufficient historical information regarding stock trading history, and started to use the Company’s own stock volatility.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expected term of the option are based on the U.S. Treasury securities with a maturity date commensurate with the expected term of the associated award. The Company will account for actual forfeitures as they occur.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4" w:name="page155"/>
    <w:bookmarkEnd w:id="1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December 31, 2025</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December 31, 2024</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dividend rate</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Expected option term (years)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180" w:type="dxa"/>
            <w:vAlign w:val="bottom"/>
          </w:tcPr>
          <w:p>
            <w:pPr>
              <w:spacing w:after="0"/>
              <w:rPr>
                <w:sz w:val="17"/>
                <w:szCs w:val="17"/>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79.28 %</w:t>
            </w: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78.84 %</w:t>
            </w:r>
          </w:p>
        </w:tc>
      </w:tr>
      <w:tr>
        <w:trPr>
          <w:trHeight w:val="239"/>
        </w:trPr>
        <w:tc>
          <w:tcPr>
            <w:tcW w:w="5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3.96 %</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4.29 %</w:t>
            </w:r>
          </w:p>
        </w:tc>
      </w:tr>
    </w:tbl>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for the year ended December 31, 2025:</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520" w:type="dxa"/>
            <w:vAlign w:val="bottom"/>
          </w:tcPr>
          <w:p>
            <w:pPr>
              <w:spacing w:after="0"/>
              <w:rPr>
                <w:sz w:val="19"/>
                <w:szCs w:val="19"/>
                <w:color w:val="auto"/>
              </w:rPr>
            </w:pPr>
          </w:p>
        </w:tc>
        <w:tc>
          <w:tcPr>
            <w:tcW w:w="2820" w:type="dxa"/>
            <w:vAlign w:val="bottom"/>
            <w:gridSpan w:val="3"/>
          </w:tcPr>
          <w:p>
            <w:pPr>
              <w:jc w:val="right"/>
              <w:ind w:right="10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4"/>
                <w:szCs w:val="14"/>
                <w:color w:val="auto"/>
              </w:rPr>
              <w:t>Weighted Average</w:t>
            </w:r>
          </w:p>
        </w:tc>
      </w:tr>
      <w:tr>
        <w:trPr>
          <w:trHeight w:val="198"/>
        </w:trPr>
        <w:tc>
          <w:tcPr>
            <w:tcW w:w="4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Grant Date Fair Value</w:t>
            </w:r>
          </w:p>
        </w:tc>
      </w:tr>
      <w:tr>
        <w:trPr>
          <w:trHeight w:val="196"/>
        </w:trPr>
        <w:tc>
          <w:tcPr>
            <w:tcW w:w="45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2024</w:t>
            </w:r>
          </w:p>
        </w:tc>
        <w:tc>
          <w:tcPr>
            <w:tcW w:w="17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2,077,582</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2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5,746,540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0.57</w:t>
            </w:r>
          </w:p>
        </w:tc>
      </w:tr>
      <w:tr>
        <w:trPr>
          <w:trHeight w:val="203"/>
        </w:trPr>
        <w:tc>
          <w:tcPr>
            <w:tcW w:w="4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2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(1,597,942)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2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(580,223)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r>
      <w:tr>
        <w:trPr>
          <w:trHeight w:val="196"/>
        </w:trPr>
        <w:tc>
          <w:tcPr>
            <w:tcW w:w="45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2025</w:t>
            </w:r>
          </w:p>
        </w:tc>
        <w:tc>
          <w:tcPr>
            <w:tcW w:w="17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5,645,957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r>
      <w:tr>
        <w:trPr>
          <w:trHeight w:val="20"/>
        </w:trPr>
        <w:tc>
          <w:tcPr>
            <w:tcW w:w="4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As of December 31, 2025, there was $3,784 of total unrecognized compensation expense related to the unvested restricted stock with time-based vesting terms, which is expected to be recognized over a weighted average period of 2.23 years.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December 31, 2025:</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500" w:type="dxa"/>
            <w:vAlign w:val="bottom"/>
            <w:tcBorders>
              <w:top w:val="single" w:sz="8" w:color="auto"/>
            </w:tcBorders>
          </w:tcPr>
          <w:p>
            <w:pPr>
              <w:spacing w:after="0"/>
              <w:rPr>
                <w:sz w:val="14"/>
                <w:szCs w:val="14"/>
                <w:color w:val="auto"/>
              </w:rPr>
            </w:pPr>
          </w:p>
        </w:tc>
        <w:tc>
          <w:tcPr>
            <w:tcW w:w="2820" w:type="dxa"/>
            <w:vAlign w:val="bottom"/>
            <w:tcBorders>
              <w:top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71"/>
        </w:trPr>
        <w:tc>
          <w:tcPr>
            <w:tcW w:w="4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gridSpan w:val="2"/>
          </w:tcPr>
          <w:p>
            <w:pPr>
              <w:ind w:left="5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Grant Date Fair Value</w:t>
            </w:r>
          </w:p>
        </w:tc>
      </w:tr>
      <w:tr>
        <w:trPr>
          <w:trHeight w:val="196"/>
        </w:trPr>
        <w:tc>
          <w:tcPr>
            <w:tcW w:w="4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2024</w:t>
            </w:r>
          </w:p>
        </w:tc>
        <w:tc>
          <w:tcPr>
            <w:tcW w:w="17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24,821</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7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28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(24,821)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r>
      <w:tr>
        <w:trPr>
          <w:trHeight w:val="196"/>
        </w:trPr>
        <w:tc>
          <w:tcPr>
            <w:tcW w:w="45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2025</w:t>
            </w:r>
          </w:p>
        </w:tc>
        <w:tc>
          <w:tcPr>
            <w:tcW w:w="17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99"/>
        <w:spacing w:after="0" w:line="271" w:lineRule="auto"/>
        <w:rPr>
          <w:sz w:val="20"/>
          <w:szCs w:val="20"/>
          <w:color w:val="auto"/>
        </w:rPr>
      </w:pPr>
      <w:r>
        <w:rPr>
          <w:rFonts w:ascii="Arial" w:cs="Arial" w:eastAsia="Arial" w:hAnsi="Arial"/>
          <w:sz w:val="18"/>
          <w:szCs w:val="18"/>
          <w:color w:val="auto"/>
        </w:rPr>
        <w:t>As of December 31, 2025, there was no unrecognized compensation expense related to the unvested restricted stock with time-based vesting terms. All restricted stock vests over a four-year period.</w:t>
      </w:r>
    </w:p>
    <w:p>
      <w:pPr>
        <w:spacing w:after="0" w:line="154"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2021 Employee Stock Purchase Plan were allocated to research and development and general and administrative expense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140" w:type="dxa"/>
            <w:vAlign w:val="bottom"/>
            <w:gridSpan w:val="3"/>
          </w:tcPr>
          <w:p>
            <w:pPr>
              <w:ind w:left="120"/>
              <w:spacing w:after="0"/>
              <w:rPr>
                <w:sz w:val="20"/>
                <w:szCs w:val="20"/>
                <w:color w:val="auto"/>
              </w:rPr>
            </w:pPr>
            <w:r>
              <w:rPr>
                <w:rFonts w:ascii="Arial" w:cs="Arial" w:eastAsia="Arial" w:hAnsi="Arial"/>
                <w:sz w:val="14"/>
                <w:szCs w:val="14"/>
                <w:color w:val="auto"/>
              </w:rPr>
              <w:t>Year Ended</w:t>
            </w: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color w:val="auto"/>
              </w:rPr>
              <w:t>December 31,</w:t>
            </w:r>
          </w:p>
        </w:tc>
        <w:tc>
          <w:tcPr>
            <w:tcW w:w="1020" w:type="dxa"/>
            <w:vAlign w:val="bottom"/>
            <w:gridSpan w:val="3"/>
          </w:tcPr>
          <w:p>
            <w:pPr>
              <w:jc w:val="center"/>
              <w:ind w:right="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7"/>
        </w:trPr>
        <w:tc>
          <w:tcPr>
            <w:tcW w:w="350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2025</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Research and development</w:t>
            </w:r>
          </w:p>
        </w:tc>
        <w:tc>
          <w:tcPr>
            <w:tcW w:w="32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4,457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7,648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3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2,383</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3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6,840</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60" w:type="dxa"/>
            <w:vAlign w:val="bottom"/>
            <w:vMerge w:val="restart"/>
          </w:tcPr>
          <w:p>
            <w:pPr>
              <w:jc w:val="right"/>
              <w:ind w:right="2050"/>
              <w:spacing w:after="0"/>
              <w:rPr>
                <w:sz w:val="20"/>
                <w:szCs w:val="20"/>
                <w:color w:val="auto"/>
              </w:rPr>
            </w:pPr>
            <w:r>
              <w:rPr>
                <w:rFonts w:ascii="Arial" w:cs="Arial" w:eastAsia="Arial" w:hAnsi="Arial"/>
                <w:sz w:val="18"/>
                <w:szCs w:val="18"/>
                <w:color w:val="auto"/>
              </w:rPr>
              <w:t>155</w:t>
            </w: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5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5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55" w:name="page156"/>
    <w:bookmarkEnd w:id="1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color w:val="auto"/>
              </w:rPr>
              <w:t>Year Ended</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Year Ended</w:t>
            </w:r>
          </w:p>
        </w:tc>
      </w:tr>
      <w:tr>
        <w:trPr>
          <w:trHeight w:val="203"/>
        </w:trPr>
        <w:tc>
          <w:tcPr>
            <w:tcW w:w="676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color w:val="auto"/>
              </w:rPr>
              <w:t>December 31,</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December 31,</w:t>
            </w:r>
          </w:p>
        </w:tc>
      </w:tr>
      <w:tr>
        <w:trPr>
          <w:trHeight w:val="207"/>
        </w:trPr>
        <w:tc>
          <w:tcPr>
            <w:tcW w:w="67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color w:val="auto"/>
              </w:rPr>
              <w:t>2025</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color w:val="auto"/>
              </w:rPr>
              <w:t>2024</w:t>
            </w:r>
          </w:p>
        </w:tc>
      </w:tr>
      <w:tr>
        <w:trPr>
          <w:trHeight w:val="200"/>
        </w:trPr>
        <w:tc>
          <w:tcPr>
            <w:tcW w:w="676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4,886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8,338</w:t>
            </w: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1,826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3,953</w:t>
            </w:r>
          </w:p>
        </w:tc>
      </w:tr>
      <w:tr>
        <w:trPr>
          <w:trHeight w:val="203"/>
        </w:trPr>
        <w:tc>
          <w:tcPr>
            <w:tcW w:w="6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stock awards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r>
      <w:tr>
        <w:trPr>
          <w:trHeight w:val="203"/>
        </w:trPr>
        <w:tc>
          <w:tcPr>
            <w:tcW w:w="67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w:t>
            </w:r>
          </w:p>
        </w:tc>
      </w:tr>
      <w:tr>
        <w:trPr>
          <w:trHeight w:val="196"/>
        </w:trPr>
        <w:tc>
          <w:tcPr>
            <w:tcW w:w="67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260" w:type="dxa"/>
            <w:vAlign w:val="bottom"/>
            <w:tcBorders>
              <w:bottom w:val="single" w:sz="8" w:color="auto"/>
            </w:tcBorders>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6,840</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12,688</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21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Certain equity award holders early exercised unvested equity awards. The cash received upon early exercise of options of $0 and $82 was recorded as a deposit liability on the Company’s balance sheet as of December 31, 2025 and 2024,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 Stock Purchase Plan</w:t>
      </w:r>
    </w:p>
    <w:p>
      <w:pPr>
        <w:spacing w:after="0" w:line="21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The Employee Stock Purchase Plan was adopted by the board of directors in May 2021, a total of 564,071 shares of common stock were initially reserved for issuance under this plan, which shall be increased, upon approval of the board of directors, on January 1, 2022 and each January 1 thereafter, to the lesser of (i) on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the clause (i) by 550,055 shares, effective as of January 1, 2022. For 2023 and 2024, and 2025 the board waived the annual increase to the shares reserved under the ESPP. As of December 31, 2025, there were 639,745 shares available for issuance, under the ESPP.</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15—Related party transactions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License and Collaboration Agreements with Shareholder</w:t>
      </w:r>
    </w:p>
    <w:p>
      <w:pPr>
        <w:spacing w:after="0" w:line="212"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The Company owns licenses and other contracts with FUJIFILM Cellular Dynamics, Inc. (“FCDI”). FCDI is a shareholder of Century. The acquired licenses and other contracts with FCDI are as follows: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Agreements</w:t>
      </w:r>
    </w:p>
    <w:p>
      <w:pPr>
        <w:spacing w:after="0" w:line="210"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The Company owns a non-exclusive license agreement with FCDI. The license provides the Company with certain patents and know-how related to the reprogramming of human somatic cells to induce pluripotent stem cells (“iPSCs”) (“Reprogramming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7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Company also owns an exclusive license agreement with FCDI (“Differentiation Licenses Agreement”). The Differentiation Licenses Agreement provides the Company with patents and know-how related to human iPSC exclusively manufactured by FCDI.</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6" w:name="page157"/>
    <w:bookmarkEnd w:id="1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October 2019, the Company entered into the Collaboration Agreement with FCDI (“Collaboration Agreement”), whereby FCDI provides certain services to the Company to develop and manufacture iPSCs and immune cells derived therefrom. FCDI provides services in accordance with the approved research plan and related research budget. The initial research plan covered the period from October 2019 through March 31, 2022. In July, 2022 the Company amended the Collaboration Agreement to extend the term through September 30, 2025, and in September 2023, the Company amended the Collaboration Agreement in connection with the Autoimmune Licenses (as defined below).</w:t>
      </w:r>
    </w:p>
    <w:p>
      <w:pPr>
        <w:spacing w:after="0" w:line="18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In March 2021, the Company entered into a Manufacturing Agreement with FCDI, (“Manufacturing Agreement”), pursuant to which FCDI will provide certain agreed upon technology transfer, process development, analytical testing and cGMP manufacturing services to the Company.</w:t>
      </w:r>
    </w:p>
    <w:p>
      <w:pPr>
        <w:spacing w:after="0" w:line="169"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January 2022, the Company and FCDI entered into a letter agreement (the “Letter Agreement”), which amends the Reprogramming Licenses Agreement, Differentiation License Agreement and Manufacturing Agreement (the “FCDI Agreements”) pursuant to the Company’s Research Collaboration and License Agreement with Bristol-Myers Squibb. Pursuant to the Letter Agreement, and in consideration for amending the FCDI Agreements, the Company paid to FCDI an upfront payment of $10,000, and will pay FCDI (i) a percentage of any milestone payments received by the Company under the FCDI Collaboration Agreement in respect of achievement of development or regulatory milestones specific to Japan, and (ii) a percentage of all royalties received by the Company under the FCDI Collaboration Agreement in respect of sales of products in Japan.</w:t>
      </w:r>
    </w:p>
    <w:p>
      <w:pPr>
        <w:spacing w:after="0" w:line="18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 The Company recorded an upfront payment in the amount of $4,000 which was included as In-Process research and development. In addition, Century paid FCDI a $1,000 milestone fee pursuant to the Autoimmune License for filing of the IND for SLE for CNTY-101, which was also included in In-Process research and development in the consolidated statements of operations as of December 31, 2025.</w:t>
      </w:r>
    </w:p>
    <w:p>
      <w:pPr>
        <w:spacing w:after="0" w:line="18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During the years ended December 31, 2025 and 2024, the Company made payments of $1,954 and $5,200 and incurred research and development expenses of $886 and $0, in-process research and development expenses of $ 0 and $5,000 and legal fees of $58 and $200, respectively, related to the FCDI agreements. The legal fees are recorded within general and administrative expenses in the consolidated statements of operations and comprehensive loss.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7" w:name="page158"/>
    <w:bookmarkEnd w:id="1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21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Bayer Health, LLC (“Bayer”), a shareholder in the Company,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 – Common stock</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At-The-Market</w:t>
      </w:r>
    </w:p>
    <w:p>
      <w:pPr>
        <w:spacing w:after="0" w:line="21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 xml:space="preserve">The Company has a Sales Agreement (“Sales Agreement”), with Cowen and Company, LLC (“Cowen”) to provide for the offering, issuance and sale of up to an aggregate amount of $150,000 of common stock from time to time in “at-the-market” offerings (the “ATM Program”). Shares of common stock pursuant to the ATM program were previously made pursuant to the Company’s shelf registration statement on Form S-3 (File No. 333-265975) (the “Prior Shelf”). Upon the expiration of the Prior Shelf, the Company filed a new shelf registration statement on Form S-3 (No. 333-288616) (the “New Shelf”), which became effective in January 2026. The Company intends to file a prospectus supplement to the New Shelf for the ATM Program and cannot make any sales under the ATM Program until such filing. During the year ended </w:t>
      </w:r>
      <w:r>
        <w:rPr>
          <w:rFonts w:ascii="Arial" w:cs="Arial" w:eastAsia="Arial" w:hAnsi="Arial"/>
          <w:sz w:val="18"/>
          <w:szCs w:val="18"/>
          <w:color w:val="212529"/>
        </w:rPr>
        <w:t>December</w:t>
      </w:r>
      <w:r>
        <w:rPr>
          <w:rFonts w:ascii="Arial" w:cs="Arial" w:eastAsia="Arial" w:hAnsi="Arial"/>
          <w:sz w:val="18"/>
          <w:szCs w:val="18"/>
          <w:color w:val="auto"/>
        </w:rPr>
        <w:t xml:space="preserve"> 31, 2024, the Company sold 4,084,502 shares pursuant to the ATM Program for net proceeds of $ 17,829, after deducting commissions of $551. During the year ended December 31, 2025, the Company did not have any sales in the ATM program.</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Note 17 </w:t>
      </w:r>
      <w:r>
        <w:rPr>
          <w:rFonts w:ascii="Arial" w:cs="Arial" w:eastAsia="Arial" w:hAnsi="Arial"/>
          <w:sz w:val="17"/>
          <w:szCs w:val="17"/>
          <w:color w:val="auto"/>
        </w:rPr>
        <w:t>–</w:t>
      </w:r>
      <w:r>
        <w:rPr>
          <w:rFonts w:ascii="Arial" w:cs="Arial" w:eastAsia="Arial" w:hAnsi="Arial"/>
          <w:sz w:val="22"/>
          <w:szCs w:val="22"/>
          <w:color w:val="auto"/>
        </w:rPr>
        <w:t xml:space="preserve"> Segment Reporting</w:t>
      </w:r>
    </w:p>
    <w:p>
      <w:pPr>
        <w:spacing w:after="0" w:line="20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 maker (“CODM”) in making decisions on how to allocate resources and assess performance. The Company views its operations and manages the business as one operating segment. The Company’s CODM is its Chief Executive Officer. The CODM uses research and development expenses, general and administrative expenses, and net loss as measures of profit or loss to assess performance and allocate resources, all of which are presented on the face of the financial statements. The CODM also uses a further breakdown of research and development expenses to assess performance and allocate resources as presented below:</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4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12"/>
              <w:spacing w:after="0"/>
              <w:rPr>
                <w:sz w:val="20"/>
                <w:szCs w:val="20"/>
                <w:color w:val="auto"/>
              </w:rPr>
            </w:pPr>
            <w:r>
              <w:rPr>
                <w:rFonts w:ascii="Arial" w:cs="Arial" w:eastAsia="Arial" w:hAnsi="Arial"/>
                <w:sz w:val="14"/>
                <w:szCs w:val="14"/>
                <w:color w:val="auto"/>
              </w:rPr>
              <w:t>Year Ended</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12"/>
              <w:spacing w:after="0"/>
              <w:rPr>
                <w:sz w:val="20"/>
                <w:szCs w:val="20"/>
                <w:color w:val="auto"/>
              </w:rPr>
            </w:pPr>
            <w:r>
              <w:rPr>
                <w:rFonts w:ascii="Arial" w:cs="Arial" w:eastAsia="Arial" w:hAnsi="Arial"/>
                <w:sz w:val="14"/>
                <w:szCs w:val="14"/>
                <w:color w:val="auto"/>
              </w:rPr>
              <w:t>Year Ended</w:t>
            </w:r>
          </w:p>
        </w:tc>
      </w:tr>
      <w:tr>
        <w:trPr>
          <w:trHeight w:val="171"/>
        </w:trPr>
        <w:tc>
          <w:tcPr>
            <w:tcW w:w="444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December 31, 2025</w:t>
            </w:r>
          </w:p>
        </w:tc>
        <w:tc>
          <w:tcPr>
            <w:tcW w:w="2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December 31, 2024</w:t>
            </w:r>
          </w:p>
        </w:tc>
      </w:tr>
      <w:tr>
        <w:trPr>
          <w:trHeight w:val="196"/>
        </w:trPr>
        <w:tc>
          <w:tcPr>
            <w:tcW w:w="4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Collaboration revenue</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109,164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6,589</w:t>
            </w: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Less cost and expense:</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Personnel and related costs</w:t>
            </w:r>
          </w:p>
        </w:tc>
        <w:tc>
          <w:tcPr>
            <w:tcW w:w="188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rPr>
              <w:t>33,139</w:t>
            </w:r>
          </w:p>
        </w:tc>
        <w:tc>
          <w:tcPr>
            <w:tcW w:w="42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42,398</w:t>
            </w:r>
          </w:p>
        </w:tc>
      </w:tr>
      <w:tr>
        <w:trPr>
          <w:trHeight w:val="203"/>
        </w:trPr>
        <w:tc>
          <w:tcPr>
            <w:tcW w:w="4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Facility and other allocated costs</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22,118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22,485</w:t>
            </w: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Research and laboratory</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rPr>
              <w:t>36,371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30,655</w:t>
            </w:r>
          </w:p>
        </w:tc>
      </w:tr>
      <w:tr>
        <w:trPr>
          <w:trHeight w:val="203"/>
        </w:trPr>
        <w:tc>
          <w:tcPr>
            <w:tcW w:w="4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research and development</w:t>
            </w: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4,039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11,706</w:t>
            </w:r>
          </w:p>
        </w:tc>
      </w:tr>
      <w:tr>
        <w:trPr>
          <w:trHeight w:val="203"/>
        </w:trPr>
        <w:tc>
          <w:tcPr>
            <w:tcW w:w="444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rPr>
              <w:t>24,003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33,155</w:t>
            </w:r>
          </w:p>
        </w:tc>
      </w:tr>
      <w:tr>
        <w:trPr>
          <w:trHeight w:val="203"/>
        </w:trPr>
        <w:tc>
          <w:tcPr>
            <w:tcW w:w="4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segment expense/(income)</w:t>
            </w:r>
          </w:p>
        </w:tc>
        <w:tc>
          <w:tcPr>
            <w:tcW w:w="16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(926)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(7,244)</w:t>
            </w:r>
          </w:p>
        </w:tc>
      </w:tr>
      <w:tr>
        <w:trPr>
          <w:trHeight w:val="196"/>
        </w:trPr>
        <w:tc>
          <w:tcPr>
            <w:tcW w:w="44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8"/>
              </w:rPr>
              <w:t>(9,580)</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rPr>
              <w:t>(126,566)</w:t>
            </w:r>
          </w:p>
        </w:tc>
      </w:tr>
      <w:tr>
        <w:trPr>
          <w:trHeight w:val="20"/>
        </w:trPr>
        <w:tc>
          <w:tcPr>
            <w:tcW w:w="4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Other segment expense/(income) includes in-process research and development, impairment of long-lived assets, impairment of goodwill, interest expense, interest income, other income (expense),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8" w:name="page159"/>
    <w:bookmarkEnd w:id="1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 – Subsequent Events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Private Placement Offering</w:t>
      </w:r>
    </w:p>
    <w:p>
      <w:pPr>
        <w:spacing w:after="0" w:line="1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January 7, 2026, the Company entered into a securities purchase agreement with certain institutional accredited investors (the “Investors”), pursuant to which the Company issued and sold to the Investors in a private placement (a) (i) 92,030,595 shares (the “Shares”) of common stock, (ii) pre-funded warrants to purchase 25,360,704 shares of common stock (“Pre-Funded Warrants”) and (b) warrants to purchase 58,695,648 shares of common stock or Pre-Funded Warrants in lieu thereof (“Common Warrants”, together with the Pre-Funded Warrants, the “Warrants”) at a purchase price of $1.15 per share and accompanying Common Warrant to purchase 0.5 shares of common stock or Pre-Funded Warrant and a purchase price of $1.1499 per Pre-Funded Warrant and accompanying Common Warrant to purchase 0.5 shares of common stock or Pre-Funded Warrant (the “Private Placement”).</w:t>
      </w:r>
    </w:p>
    <w:p>
      <w:pPr>
        <w:spacing w:after="0" w:line="16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Private Placement closed on January 9, 2026. The net proceeds received by the Company was approximately $ 126,700. The Company intends to use the net proceeds from the Private Placement to fund development of its lead product candidate, CNTY-813, and for working capital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9" w:name="page160"/>
    <w:bookmarkEnd w:id="1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1"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Disclosure Controls and Procedures</w:t>
      </w:r>
    </w:p>
    <w:p>
      <w:pPr>
        <w:spacing w:after="0" w:line="23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interim Principal Financial Officer, evaluated the effectiveness of our disclosure controls and procedures as of the end of the period covered by this Annual Report on Form 10-K. Based on that evaluation, our Chief Executive Officer and our interim Principal Financial Officer concluded that our disclosure controls and procedures were effective as of December 31, 2025.</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consolidated financial statements for external purposes in accordance with GAAP.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applicable policies or procedures may deteriorate.</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Management has assessed the effectiveness of our internal control over financial reporting based on the framework set forth by the Committee of Sponsoring Organizations of the Treadway Commission in Internal Control -Integrated Framework (2013). Based on our evaluation, management has concluded that our internal control over financial reporting was effective as of December 31, 2025. Management reviewed the results of this assessment with our audit committee.</w:t>
      </w:r>
    </w:p>
    <w:p>
      <w:pPr>
        <w:spacing w:after="0" w:line="176"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internal control over financial reporting. For as long as we remain an “emerging growth company” as defined in Section 2(a) of the Securities Act, as modified by the Jumpstart Our Business Startups Act of 2012,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419"/>
        <w:spacing w:after="0" w:line="253" w:lineRule="auto"/>
        <w:rPr>
          <w:sz w:val="20"/>
          <w:szCs w:val="20"/>
          <w:color w:val="auto"/>
        </w:rPr>
      </w:pPr>
      <w:r>
        <w:rPr>
          <w:rFonts w:ascii="Arial" w:cs="Arial" w:eastAsia="Arial" w:hAnsi="Arial"/>
          <w:sz w:val="18"/>
          <w:szCs w:val="18"/>
          <w:color w:val="auto"/>
        </w:rPr>
        <w:t>There were no changes to our internal control 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0" w:name="page161"/>
    <w:bookmarkEnd w:id="1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ind w:left="780" w:hanging="37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20" w:right="659" w:hanging="319"/>
        <w:spacing w:after="0" w:line="253"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following table shows the “Rule 10b5-1 trading arrangements” or “non-Rule 10b5-1 trading arrangements” (as each term is defined in Item 408(a) of Regulation S-K) adopted, amended, or terminated by our directors and officers during the three months ended December 31, 2025:</w:t>
      </w:r>
    </w:p>
    <w:p>
      <w:pPr>
        <w:spacing w:after="0" w:line="200" w:lineRule="exact"/>
        <w:rPr>
          <w:sz w:val="20"/>
          <w:szCs w:val="20"/>
          <w:color w:val="auto"/>
        </w:rPr>
      </w:pPr>
    </w:p>
    <w:p>
      <w:pPr>
        <w:spacing w:after="0" w:line="315" w:lineRule="exact"/>
        <w:rPr>
          <w:sz w:val="20"/>
          <w:szCs w:val="20"/>
          <w:color w:val="auto"/>
        </w:rPr>
      </w:pPr>
    </w:p>
    <w:tbl>
      <w:tblPr>
        <w:tblLayout w:type="fixed"/>
        <w:tblInd w:w="7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Trading</w:t>
            </w: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1"/>
        </w:trPr>
        <w:tc>
          <w:tcPr>
            <w:tcW w:w="1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Arrangement</w:t>
            </w:r>
          </w:p>
        </w:tc>
        <w:tc>
          <w:tcPr>
            <w:tcW w:w="1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46"/>
        </w:trPr>
        <w:tc>
          <w:tcPr>
            <w:tcW w:w="14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Maximum</w:t>
            </w:r>
          </w:p>
        </w:tc>
      </w:tr>
      <w:tr>
        <w:trPr>
          <w:trHeight w:val="162"/>
        </w:trPr>
        <w:tc>
          <w:tcPr>
            <w:tcW w:w="142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Non-</w:t>
            </w:r>
          </w:p>
        </w:tc>
        <w:tc>
          <w:tcPr>
            <w:tcW w:w="162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44"/>
        </w:trPr>
        <w:tc>
          <w:tcPr>
            <w:tcW w:w="14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Rule 10b5-</w:t>
            </w:r>
          </w:p>
        </w:tc>
        <w:tc>
          <w:tcPr>
            <w:tcW w:w="7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8"/>
              </w:rPr>
              <w:t>Rule 10b5-</w:t>
            </w: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Scheduled Expiration</w:t>
            </w:r>
          </w:p>
        </w:tc>
        <w:tc>
          <w:tcPr>
            <w:tcW w:w="9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rPr>
              <w:t>Subject to</w:t>
            </w:r>
          </w:p>
        </w:tc>
      </w:tr>
      <w:tr>
        <w:trPr>
          <w:trHeight w:val="294"/>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Action</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Date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Date of Trading Plan </w:t>
            </w:r>
            <w:r>
              <w:rPr>
                <w:rFonts w:ascii="Arial" w:cs="Arial" w:eastAsia="Arial" w:hAnsi="Arial"/>
                <w:sz w:val="21"/>
                <w:szCs w:val="21"/>
                <w:b w:val="1"/>
                <w:bCs w:val="1"/>
                <w:color w:val="auto"/>
                <w:vertAlign w:val="superscript"/>
              </w:rPr>
              <w:t>(1)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Plan</w:t>
            </w:r>
          </w:p>
        </w:tc>
      </w:tr>
      <w:tr>
        <w:trPr>
          <w:trHeight w:val="110"/>
        </w:trPr>
        <w:tc>
          <w:tcPr>
            <w:tcW w:w="1420" w:type="dxa"/>
            <w:vAlign w:val="bottom"/>
            <w:tcBorders>
              <w:left w:val="single" w:sz="8" w:color="auto"/>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r>
      <w:tr>
        <w:trPr>
          <w:trHeight w:val="177"/>
        </w:trPr>
        <w:tc>
          <w:tcPr>
            <w:tcW w:w="1420" w:type="dxa"/>
            <w:vAlign w:val="bottom"/>
            <w:tcBorders>
              <w:left w:val="single" w:sz="8" w:color="auto"/>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Chief</w:t>
            </w:r>
          </w:p>
        </w:tc>
        <w:tc>
          <w:tcPr>
            <w:tcW w:w="720" w:type="dxa"/>
            <w:vAlign w:val="bottom"/>
            <w:tcBorders>
              <w:right w:val="single" w:sz="8" w:color="auto"/>
            </w:tcBorders>
            <w:shd w:val="clear" w:color="auto" w:fill="CCEEFF"/>
          </w:tcPr>
          <w:p>
            <w:pPr>
              <w:spacing w:after="0"/>
              <w:rPr>
                <w:sz w:val="15"/>
                <w:szCs w:val="15"/>
                <w:color w:val="auto"/>
              </w:rPr>
            </w:pPr>
          </w:p>
        </w:tc>
        <w:tc>
          <w:tcPr>
            <w:tcW w:w="152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162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r>
      <w:tr>
        <w:trPr>
          <w:trHeight w:val="203"/>
        </w:trPr>
        <w:tc>
          <w:tcPr>
            <w:tcW w:w="1420" w:type="dxa"/>
            <w:vAlign w:val="bottom"/>
            <w:tcBorders>
              <w:left w:val="single" w:sz="8" w:color="auto"/>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Technology</w:t>
            </w:r>
          </w:p>
        </w:tc>
        <w:tc>
          <w:tcPr>
            <w:tcW w:w="720" w:type="dxa"/>
            <w:vAlign w:val="bottom"/>
            <w:tcBorders>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62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r>
      <w:tr>
        <w:trPr>
          <w:trHeight w:val="203"/>
        </w:trPr>
        <w:tc>
          <w:tcPr>
            <w:tcW w:w="1420" w:type="dxa"/>
            <w:vAlign w:val="bottom"/>
            <w:tcBorders>
              <w:left w:val="single" w:sz="8" w:color="auto"/>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and</w:t>
            </w:r>
          </w:p>
        </w:tc>
        <w:tc>
          <w:tcPr>
            <w:tcW w:w="720" w:type="dxa"/>
            <w:vAlign w:val="bottom"/>
            <w:tcBorders>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62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r>
      <w:tr>
        <w:trPr>
          <w:trHeight w:val="203"/>
        </w:trPr>
        <w:tc>
          <w:tcPr>
            <w:tcW w:w="1420" w:type="dxa"/>
            <w:vAlign w:val="bottom"/>
            <w:tcBorders>
              <w:left w:val="single" w:sz="8" w:color="auto"/>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Manufacturing</w:t>
            </w:r>
          </w:p>
        </w:tc>
        <w:tc>
          <w:tcPr>
            <w:tcW w:w="720" w:type="dxa"/>
            <w:vAlign w:val="bottom"/>
            <w:tcBorders>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162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r>
      <w:tr>
        <w:trPr>
          <w:trHeight w:val="239"/>
        </w:trPr>
        <w:tc>
          <w:tcPr>
            <w:tcW w:w="14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Gregory Russotti</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Officer</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Adoption</w:t>
            </w:r>
          </w:p>
        </w:tc>
        <w:tc>
          <w:tcPr>
            <w:tcW w:w="15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9, 2025</w:t>
            </w:r>
          </w:p>
        </w:tc>
        <w:tc>
          <w:tcPr>
            <w:tcW w:w="7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740" w:type="dxa"/>
            <w:vAlign w:val="bottom"/>
            <w:tcBorders>
              <w:right w:val="single" w:sz="8" w:color="auto"/>
            </w:tcBorders>
            <w:shd w:val="clear" w:color="auto" w:fill="CCEEFF"/>
          </w:tcPr>
          <w:p>
            <w:pPr>
              <w:spacing w:after="0"/>
              <w:rPr>
                <w:sz w:val="20"/>
                <w:szCs w:val="20"/>
                <w:color w:val="auto"/>
              </w:rPr>
            </w:pPr>
          </w:p>
        </w:tc>
        <w:tc>
          <w:tcPr>
            <w:tcW w:w="16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31, 2026</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160,000</w:t>
            </w:r>
          </w:p>
        </w:tc>
      </w:tr>
      <w:tr>
        <w:trPr>
          <w:trHeight w:val="198"/>
        </w:trPr>
        <w:tc>
          <w:tcPr>
            <w:tcW w:w="14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spacing w:after="0"/>
              <w:rPr>
                <w:sz w:val="17"/>
                <w:szCs w:val="17"/>
                <w:color w:val="auto"/>
              </w:rPr>
            </w:pPr>
          </w:p>
        </w:tc>
        <w:tc>
          <w:tcPr>
            <w:tcW w:w="720" w:type="dxa"/>
            <w:vAlign w:val="bottom"/>
            <w:tcBorders>
              <w:bottom w:val="single" w:sz="8" w:color="auto"/>
              <w:right w:val="single" w:sz="8" w:color="auto"/>
            </w:tcBorders>
            <w:shd w:val="clear" w:color="auto" w:fill="CCEEFF"/>
          </w:tcPr>
          <w:p>
            <w:pPr>
              <w:spacing w:after="0"/>
              <w:rPr>
                <w:sz w:val="17"/>
                <w:szCs w:val="17"/>
                <w:color w:val="auto"/>
              </w:rPr>
            </w:pPr>
          </w:p>
        </w:tc>
        <w:tc>
          <w:tcPr>
            <w:tcW w:w="1520" w:type="dxa"/>
            <w:vAlign w:val="bottom"/>
            <w:tcBorders>
              <w:bottom w:val="single" w:sz="8" w:color="auto"/>
              <w:right w:val="single" w:sz="8" w:color="auto"/>
            </w:tcBorders>
            <w:shd w:val="clear" w:color="auto" w:fill="CCEEFF"/>
          </w:tcPr>
          <w:p>
            <w:pPr>
              <w:spacing w:after="0"/>
              <w:rPr>
                <w:sz w:val="17"/>
                <w:szCs w:val="17"/>
                <w:color w:val="auto"/>
              </w:rPr>
            </w:pPr>
          </w:p>
        </w:tc>
        <w:tc>
          <w:tcPr>
            <w:tcW w:w="760" w:type="dxa"/>
            <w:vAlign w:val="bottom"/>
            <w:tcBorders>
              <w:bottom w:val="single" w:sz="8" w:color="auto"/>
              <w:right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auto"/>
            </w:tcBorders>
            <w:shd w:val="clear" w:color="auto" w:fill="CCEEFF"/>
          </w:tcPr>
          <w:p>
            <w:pPr>
              <w:spacing w:after="0"/>
              <w:rPr>
                <w:sz w:val="17"/>
                <w:szCs w:val="17"/>
                <w:color w:val="auto"/>
              </w:rPr>
            </w:pPr>
          </w:p>
        </w:tc>
        <w:tc>
          <w:tcPr>
            <w:tcW w:w="1620" w:type="dxa"/>
            <w:vAlign w:val="bottom"/>
            <w:tcBorders>
              <w:bottom w:val="single" w:sz="8" w:color="auto"/>
              <w:right w:val="single" w:sz="8" w:color="auto"/>
            </w:tcBorders>
            <w:shd w:val="clear" w:color="auto" w:fill="CCEEFF"/>
          </w:tcPr>
          <w:p>
            <w:pPr>
              <w:spacing w:after="0"/>
              <w:rPr>
                <w:sz w:val="17"/>
                <w:szCs w:val="17"/>
                <w:color w:val="auto"/>
              </w:rPr>
            </w:pPr>
          </w:p>
        </w:tc>
        <w:tc>
          <w:tcPr>
            <w:tcW w:w="980" w:type="dxa"/>
            <w:vAlign w:val="bottom"/>
            <w:tcBorders>
              <w:bottom w:val="single" w:sz="8" w:color="auto"/>
              <w:right w:val="single" w:sz="8" w:color="auto"/>
            </w:tcBorders>
            <w:shd w:val="clear" w:color="auto" w:fill="CCEEFF"/>
          </w:tcPr>
          <w:p>
            <w:pPr>
              <w:spacing w:after="0"/>
              <w:rPr>
                <w:sz w:val="17"/>
                <w:szCs w:val="17"/>
                <w:color w:val="auto"/>
              </w:rPr>
            </w:pPr>
          </w:p>
        </w:tc>
      </w:tr>
    </w:tbl>
    <w:p>
      <w:pPr>
        <w:spacing w:after="0" w:line="184" w:lineRule="exact"/>
        <w:rPr>
          <w:sz w:val="20"/>
          <w:szCs w:val="20"/>
          <w:color w:val="auto"/>
        </w:rPr>
      </w:pPr>
    </w:p>
    <w:p>
      <w:pPr>
        <w:ind w:left="60" w:right="439" w:hanging="10"/>
        <w:spacing w:after="0" w:line="253" w:lineRule="auto"/>
        <w:tabs>
          <w:tab w:leader="none" w:pos="7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trading arrangement may expire on an earlier date if all contemplated transactions are completed before such trading arrangement’s expiration date, upon termination by broker or the holder of the trading arrangement, or as otherwise provided in the trading arrangement.</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1" w:name="page162"/>
    <w:bookmarkEnd w:id="1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information required by Item 11 of Form 10-K is incorporated by reference to the information contained in our definitive proxy statement for the 2026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Insider trading arrangements and policies</w:t>
      </w:r>
    </w:p>
    <w:p>
      <w:pPr>
        <w:spacing w:after="0" w:line="19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have adopted insider trading policies and procedures governing the purchase, sale, and other dispositions of securities of Century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In addition, with regard to trading in our own securities, it is our policy to comply with the federal securities laws and the applicable exchange listing requirements. The foregoing summary of our insider trading policies and procedures does not purport to be complete and is qualified by reference to our insider trading policy attached hereto as Exhibit 19.1 and incorporated herein.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information required by Item 11 of Form 10-K is incorporated by reference to the information contained in our definitive proxy statement for the 2026 annual meeting of stockholders.</w:t>
      </w:r>
    </w:p>
    <w:p>
      <w:pPr>
        <w:spacing w:after="0" w:line="140" w:lineRule="exact"/>
        <w:rPr>
          <w:sz w:val="20"/>
          <w:szCs w:val="20"/>
          <w:color w:val="auto"/>
        </w:rPr>
      </w:pPr>
    </w:p>
    <w:p>
      <w:pPr>
        <w:ind w:left="60" w:right="759"/>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6"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12 of Form 10-K is incorporated by reference to the information contained in our definitive proxy statement for the 2026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23"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13 of Form 10-K is incorporated by reference to the information contained in our definitive proxy statement for the 2026 annual meeting of stockholders.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2"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Our independent public accounting firm is Ernst &amp; Young, LLP, Philadelphia, Pennsylvania, PCAOB Auditor ID:42</w:t>
      </w:r>
    </w:p>
    <w:p>
      <w:pPr>
        <w:spacing w:after="0" w:line="14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information required by Item 14 of Form 10-K is incorporated by reference to the information contained in our definitive proxy statement for the 2026 annual meeting of stockholders.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2" w:name="page163"/>
    <w:bookmarkEnd w:id="1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(a)(1) Financial Statements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Index to the Consolidated Financial Statements on page F-1 of this Annual Report.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(a)(2) Financial Statement Schedules</w:t>
      </w:r>
    </w:p>
    <w:p>
      <w:pPr>
        <w:spacing w:after="0" w:line="212"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None, as all information required in these schedules is included in the Notes to the Consolidated Financial Statements.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(a)(3); (b) Exhibits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as part of this Annual Report on Form 10-K:</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7840" w:type="dxa"/>
            <w:vAlign w:val="bottom"/>
            <w:gridSpan w:val="25"/>
          </w:tcPr>
          <w:p>
            <w:pPr>
              <w:ind w:lef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280" w:type="dxa"/>
            <w:vAlign w:val="bottom"/>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720" w:type="dxa"/>
            <w:vAlign w:val="bottom"/>
            <w:tcBorders>
              <w:bottom w:val="single" w:sz="8" w:color="auto"/>
            </w:tcBorders>
            <w:gridSpan w:val="22"/>
          </w:tcPr>
          <w:p>
            <w:pPr>
              <w:ind w:left="20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55"/>
        </w:trPr>
        <w:tc>
          <w:tcPr>
            <w:tcW w:w="1060" w:type="dxa"/>
            <w:vAlign w:val="bottom"/>
          </w:tcPr>
          <w:p>
            <w:pPr>
              <w:jc w:val="center"/>
              <w:spacing w:after="0" w:line="156" w:lineRule="exact"/>
              <w:rPr>
                <w:sz w:val="20"/>
                <w:szCs w:val="20"/>
                <w:color w:val="auto"/>
              </w:rPr>
            </w:pPr>
            <w:r>
              <w:rPr>
                <w:rFonts w:ascii="Arial" w:cs="Arial" w:eastAsia="Arial" w:hAnsi="Arial"/>
                <w:sz w:val="12"/>
                <w:szCs w:val="12"/>
                <w:color w:val="auto"/>
              </w:rPr>
              <w:t>2.1†</w:t>
            </w:r>
            <w:r>
              <w:rPr>
                <w:rFonts w:ascii="Times New Roman" w:cs="Times New Roman" w:eastAsia="Times New Roman" w:hAnsi="Times New Roman"/>
                <w:sz w:val="17"/>
                <w:szCs w:val="17"/>
                <w:b w:val="1"/>
                <w:bCs w:val="1"/>
                <w:color w:val="auto"/>
                <w:vertAlign w:val="superscript"/>
              </w:rPr>
              <w:t>Ù</w:t>
            </w:r>
          </w:p>
        </w:tc>
        <w:tc>
          <w:tcPr>
            <w:tcW w:w="280" w:type="dxa"/>
            <w:vAlign w:val="bottom"/>
          </w:tcPr>
          <w:p>
            <w:pPr>
              <w:spacing w:after="0"/>
              <w:rPr>
                <w:sz w:val="13"/>
                <w:szCs w:val="13"/>
                <w:color w:val="auto"/>
              </w:rPr>
            </w:pPr>
          </w:p>
        </w:tc>
        <w:tc>
          <w:tcPr>
            <w:tcW w:w="7560" w:type="dxa"/>
            <w:vAlign w:val="bottom"/>
            <w:gridSpan w:val="24"/>
          </w:tcPr>
          <w:p>
            <w:pPr>
              <w:spacing w:after="0" w:line="155" w:lineRule="exact"/>
              <w:rPr>
                <w:rFonts w:ascii="Arial" w:cs="Arial" w:eastAsia="Arial" w:hAnsi="Arial"/>
                <w:sz w:val="16"/>
                <w:szCs w:val="16"/>
                <w:color w:val="0000EE"/>
              </w:rPr>
            </w:pPr>
            <w:hyperlink r:id="rId189">
              <w:r>
                <w:rPr>
                  <w:rFonts w:ascii="Arial" w:cs="Arial" w:eastAsia="Arial" w:hAnsi="Arial"/>
                  <w:sz w:val="16"/>
                  <w:szCs w:val="16"/>
                  <w:color w:val="0000EE"/>
                </w:rPr>
                <w:t>Agreement and Plan Merger, dated April 11, 2024, by and among the Company and the other parties</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6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189">
              <w:r>
                <w:rPr>
                  <w:rFonts w:ascii="Arial" w:cs="Arial" w:eastAsia="Arial" w:hAnsi="Arial"/>
                  <w:sz w:val="16"/>
                  <w:szCs w:val="16"/>
                  <w:color w:val="0000EE"/>
                </w:rPr>
                <w:t>thereto (incorporated by reference to Exhibit 2.1 of the Company’s Current Report on Form 8-K (File</w:t>
              </w:r>
            </w:hyperlink>
          </w:p>
        </w:tc>
        <w:tc>
          <w:tcPr>
            <w:tcW w:w="300" w:type="dxa"/>
            <w:vAlign w:val="bottom"/>
            <w:gridSpan w:val="8"/>
          </w:tcPr>
          <w:p>
            <w:pPr>
              <w:spacing w:after="0" w:line="169" w:lineRule="exact"/>
              <w:rPr>
                <w:rFonts w:ascii="Arial" w:cs="Arial" w:eastAsia="Arial" w:hAnsi="Arial"/>
                <w:sz w:val="16"/>
                <w:szCs w:val="16"/>
                <w:color w:val="0000EE"/>
              </w:rPr>
            </w:pPr>
            <w:hyperlink r:id="rId189">
              <w:r>
                <w:rPr>
                  <w:rFonts w:ascii="Arial" w:cs="Arial" w:eastAsia="Arial" w:hAnsi="Arial"/>
                  <w:sz w:val="16"/>
                  <w:szCs w:val="16"/>
                  <w:color w:val="0000EE"/>
                </w:rPr>
                <w:t>No.</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4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r:id="rId189">
              <w:r>
                <w:rPr>
                  <w:rFonts w:ascii="Arial" w:cs="Arial" w:eastAsia="Arial" w:hAnsi="Arial"/>
                  <w:sz w:val="16"/>
                  <w:szCs w:val="16"/>
                  <w:color w:val="0000EE"/>
                </w:rPr>
                <w:t>001-40498) filed on April 11, 2024).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280" w:type="dxa"/>
            <w:vAlign w:val="bottom"/>
          </w:tcPr>
          <w:p>
            <w:pPr>
              <w:spacing w:after="0"/>
              <w:rPr>
                <w:sz w:val="20"/>
                <w:szCs w:val="20"/>
                <w:color w:val="auto"/>
              </w:rPr>
            </w:pPr>
          </w:p>
        </w:tc>
        <w:tc>
          <w:tcPr>
            <w:tcW w:w="7560" w:type="dxa"/>
            <w:vAlign w:val="bottom"/>
            <w:gridSpan w:val="24"/>
          </w:tcPr>
          <w:p>
            <w:pPr>
              <w:spacing w:after="0"/>
              <w:rPr>
                <w:rFonts w:ascii="Arial" w:cs="Arial" w:eastAsia="Arial" w:hAnsi="Arial"/>
                <w:sz w:val="16"/>
                <w:szCs w:val="16"/>
                <w:color w:val="0000EE"/>
              </w:rPr>
            </w:pPr>
            <w:hyperlink r:id="rId190">
              <w:r>
                <w:rPr>
                  <w:rFonts w:ascii="Arial" w:cs="Arial" w:eastAsia="Arial" w:hAnsi="Arial"/>
                  <w:sz w:val="16"/>
                  <w:szCs w:val="16"/>
                  <w:color w:val="0000EE"/>
                </w:rPr>
                <w:t>Second Amended and Restated Certificate of Incorporation (incorporated by reference to Exhibit 3.1 of</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34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190">
              <w:r>
                <w:rPr>
                  <w:rFonts w:ascii="Arial" w:cs="Arial" w:eastAsia="Arial" w:hAnsi="Arial"/>
                  <w:sz w:val="16"/>
                  <w:szCs w:val="16"/>
                  <w:color w:val="0000EE"/>
                </w:rPr>
                <w:t>the Company’s Current Report on Form 8-K (File No. 001-40498) filed on June 25, 2021)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280" w:type="dxa"/>
            <w:vAlign w:val="bottom"/>
          </w:tcPr>
          <w:p>
            <w:pPr>
              <w:spacing w:after="0"/>
              <w:rPr>
                <w:sz w:val="20"/>
                <w:szCs w:val="20"/>
                <w:color w:val="auto"/>
              </w:rPr>
            </w:pPr>
          </w:p>
        </w:tc>
        <w:tc>
          <w:tcPr>
            <w:tcW w:w="7560" w:type="dxa"/>
            <w:vAlign w:val="bottom"/>
            <w:gridSpan w:val="24"/>
          </w:tcPr>
          <w:p>
            <w:pPr>
              <w:spacing w:after="0"/>
              <w:rPr>
                <w:rFonts w:ascii="Arial" w:cs="Arial" w:eastAsia="Arial" w:hAnsi="Arial"/>
                <w:sz w:val="16"/>
                <w:szCs w:val="16"/>
                <w:color w:val="0000EE"/>
              </w:rPr>
            </w:pPr>
            <w:hyperlink r:id="rId191">
              <w:r>
                <w:rPr>
                  <w:rFonts w:ascii="Arial" w:cs="Arial" w:eastAsia="Arial" w:hAnsi="Arial"/>
                  <w:sz w:val="16"/>
                  <w:szCs w:val="16"/>
                  <w:color w:val="0000EE"/>
                </w:rPr>
                <w:t>Second Amended and Restated Bylaws (incorporated by reference to Exhibit 3.2 of the Company’s</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191">
              <w:r>
                <w:rPr>
                  <w:rFonts w:ascii="Arial" w:cs="Arial" w:eastAsia="Arial" w:hAnsi="Arial"/>
                  <w:sz w:val="16"/>
                  <w:szCs w:val="16"/>
                  <w:color w:val="0000EE"/>
                </w:rPr>
                <w:t>Annual Report on Form 10-K (File No. 001-40498) filed on March 16, 2023)</w:t>
              </w:r>
            </w:hyperlink>
          </w:p>
        </w:tc>
        <w:tc>
          <w:tcPr>
            <w:tcW w:w="1680" w:type="dxa"/>
            <w:vAlign w:val="bottom"/>
            <w:tcBorders>
              <w:top w:val="single" w:sz="8" w:color="0000EE"/>
            </w:tcBorders>
            <w:gridSpan w:val="8"/>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60" w:type="dxa"/>
            <w:vAlign w:val="bottom"/>
          </w:tcPr>
          <w:p>
            <w:pPr>
              <w:jc w:val="center"/>
              <w:spacing w:after="0"/>
              <w:rPr>
                <w:sz w:val="20"/>
                <w:szCs w:val="20"/>
                <w:color w:val="auto"/>
              </w:rPr>
            </w:pPr>
            <w:r>
              <w:rPr>
                <w:rFonts w:ascii="Arial" w:cs="Arial" w:eastAsia="Arial" w:hAnsi="Arial"/>
                <w:sz w:val="16"/>
                <w:szCs w:val="16"/>
                <w:color w:val="auto"/>
                <w:w w:val="98"/>
              </w:rPr>
              <w:t>3.3</w:t>
            </w:r>
          </w:p>
        </w:tc>
        <w:tc>
          <w:tcPr>
            <w:tcW w:w="280" w:type="dxa"/>
            <w:vAlign w:val="bottom"/>
          </w:tcPr>
          <w:p>
            <w:pPr>
              <w:spacing w:after="0"/>
              <w:rPr>
                <w:sz w:val="20"/>
                <w:szCs w:val="20"/>
                <w:color w:val="auto"/>
              </w:rPr>
            </w:pPr>
          </w:p>
        </w:tc>
        <w:tc>
          <w:tcPr>
            <w:tcW w:w="518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Amendment No. 1 to Amended and Restated Certificate of Incorporation</w:t>
            </w:r>
          </w:p>
        </w:tc>
        <w:tc>
          <w:tcPr>
            <w:tcW w:w="238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280" w:type="dxa"/>
            <w:vAlign w:val="bottom"/>
          </w:tcPr>
          <w:p>
            <w:pPr>
              <w:spacing w:after="0"/>
              <w:rPr>
                <w:sz w:val="20"/>
                <w:szCs w:val="20"/>
                <w:color w:val="auto"/>
              </w:rPr>
            </w:pPr>
          </w:p>
        </w:tc>
        <w:tc>
          <w:tcPr>
            <w:tcW w:w="7560" w:type="dxa"/>
            <w:vAlign w:val="bottom"/>
            <w:gridSpan w:val="24"/>
          </w:tcPr>
          <w:p>
            <w:pPr>
              <w:spacing w:after="0"/>
              <w:rPr>
                <w:rFonts w:ascii="Arial" w:cs="Arial" w:eastAsia="Arial" w:hAnsi="Arial"/>
                <w:sz w:val="16"/>
                <w:szCs w:val="16"/>
                <w:color w:val="0000EE"/>
              </w:rPr>
            </w:pPr>
            <w:hyperlink r:id="rId192">
              <w:r>
                <w:rPr>
                  <w:rFonts w:ascii="Arial" w:cs="Arial" w:eastAsia="Arial" w:hAnsi="Arial"/>
                  <w:sz w:val="16"/>
                  <w:szCs w:val="16"/>
                  <w:color w:val="0000EE"/>
                </w:rPr>
                <w:t>Specimen Common Stock Certificate of Registrant (incorporated by reference to Exhibit 4.1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98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r:id="rId192">
              <w:r>
                <w:rPr>
                  <w:rFonts w:ascii="Arial" w:cs="Arial" w:eastAsia="Arial" w:hAnsi="Arial"/>
                  <w:sz w:val="16"/>
                  <w:szCs w:val="16"/>
                  <w:color w:val="0000EE"/>
                </w:rPr>
                <w:t>Company’s Registration Statement on Form S-1/A (File No. 333-256648), dated June 14, 2021)</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280" w:type="dxa"/>
            <w:vAlign w:val="bottom"/>
          </w:tcPr>
          <w:p>
            <w:pPr>
              <w:spacing w:after="0"/>
              <w:rPr>
                <w:sz w:val="20"/>
                <w:szCs w:val="20"/>
                <w:color w:val="auto"/>
              </w:rPr>
            </w:pPr>
          </w:p>
        </w:tc>
        <w:tc>
          <w:tcPr>
            <w:tcW w:w="7420" w:type="dxa"/>
            <w:vAlign w:val="bottom"/>
            <w:tcBorders>
              <w:bottom w:val="single" w:sz="8" w:color="0000EE"/>
            </w:tcBorders>
            <w:gridSpan w:val="19"/>
          </w:tcPr>
          <w:p>
            <w:pPr>
              <w:spacing w:after="0"/>
              <w:rPr>
                <w:rFonts w:ascii="Arial" w:cs="Arial" w:eastAsia="Arial" w:hAnsi="Arial"/>
                <w:sz w:val="16"/>
                <w:szCs w:val="16"/>
                <w:color w:val="0000EE"/>
              </w:rPr>
            </w:pPr>
            <w:hyperlink r:id="rId193">
              <w:r>
                <w:rPr>
                  <w:rFonts w:ascii="Arial" w:cs="Arial" w:eastAsia="Arial" w:hAnsi="Arial"/>
                  <w:sz w:val="16"/>
                  <w:szCs w:val="16"/>
                  <w:color w:val="0000EE"/>
                </w:rPr>
                <w:t>Description of the Registrant’s Securities Registered Pursuant to Section 12 of the Securities Exchange</w:t>
              </w:r>
            </w:hyperlink>
          </w:p>
        </w:tc>
        <w:tc>
          <w:tcPr>
            <w:tcW w:w="1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60" w:type="dxa"/>
            <w:vAlign w:val="bottom"/>
            <w:gridSpan w:val="24"/>
          </w:tcPr>
          <w:p>
            <w:pPr>
              <w:spacing w:after="0" w:line="169" w:lineRule="exact"/>
              <w:rPr>
                <w:rFonts w:ascii="Arial" w:cs="Arial" w:eastAsia="Arial" w:hAnsi="Arial"/>
                <w:sz w:val="16"/>
                <w:szCs w:val="16"/>
                <w:color w:val="0000EE"/>
              </w:rPr>
            </w:pPr>
            <w:hyperlink r:id="rId193">
              <w:r>
                <w:rPr>
                  <w:rFonts w:ascii="Arial" w:cs="Arial" w:eastAsia="Arial" w:hAnsi="Arial"/>
                  <w:sz w:val="16"/>
                  <w:szCs w:val="16"/>
                  <w:color w:val="0000EE"/>
                </w:rPr>
                <w:t>Act of 1934 (incorporated by reference to Exhibit 4.2 to the Company’s Annual Report on Form 10-K (File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2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193">
              <w:r>
                <w:rPr>
                  <w:rFonts w:ascii="Arial" w:cs="Arial" w:eastAsia="Arial" w:hAnsi="Arial"/>
                  <w:sz w:val="16"/>
                  <w:szCs w:val="16"/>
                  <w:color w:val="0000EE"/>
                </w:rPr>
                <w:t>No. 001-40498), dated March 17, 2022)</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280" w:type="dxa"/>
            <w:vAlign w:val="bottom"/>
          </w:tcPr>
          <w:p>
            <w:pPr>
              <w:spacing w:after="0"/>
              <w:rPr>
                <w:sz w:val="20"/>
                <w:szCs w:val="20"/>
                <w:color w:val="auto"/>
              </w:rPr>
            </w:pPr>
          </w:p>
        </w:tc>
        <w:tc>
          <w:tcPr>
            <w:tcW w:w="7560" w:type="dxa"/>
            <w:vAlign w:val="bottom"/>
            <w:gridSpan w:val="24"/>
          </w:tcPr>
          <w:p>
            <w:pPr>
              <w:spacing w:after="0"/>
              <w:rPr>
                <w:rFonts w:ascii="Arial" w:cs="Arial" w:eastAsia="Arial" w:hAnsi="Arial"/>
                <w:sz w:val="16"/>
                <w:szCs w:val="16"/>
                <w:color w:val="0000EE"/>
              </w:rPr>
            </w:pPr>
            <w:hyperlink r:id="rId194">
              <w:r>
                <w:rPr>
                  <w:rFonts w:ascii="Arial" w:cs="Arial" w:eastAsia="Arial" w:hAnsi="Arial"/>
                  <w:sz w:val="16"/>
                  <w:szCs w:val="16"/>
                  <w:color w:val="0000EE"/>
                </w:rPr>
                <w:t>Warrant to Purchase Units of Century Therapeutics, LLC, in favor of Hercules Technology Management</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194">
              <w:r>
                <w:rPr>
                  <w:rFonts w:ascii="Arial" w:cs="Arial" w:eastAsia="Arial" w:hAnsi="Arial"/>
                  <w:sz w:val="16"/>
                  <w:szCs w:val="16"/>
                  <w:color w:val="0000EE"/>
                </w:rPr>
                <w:t>Co II, Inc., dated September 14, 2020 (incorporated by reference to Exhibit 4.3 to the Company’s</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194">
              <w:r>
                <w:rPr>
                  <w:rFonts w:ascii="Arial" w:cs="Arial" w:eastAsia="Arial" w:hAnsi="Arial"/>
                  <w:sz w:val="16"/>
                  <w:szCs w:val="16"/>
                  <w:color w:val="0000EE"/>
                </w:rPr>
                <w:t>Registration Statement on Form S-1 (File No. 333-256648), dated May 28, 2021)</w:t>
              </w:r>
            </w:hyperlink>
          </w:p>
        </w:tc>
        <w:tc>
          <w:tcPr>
            <w:tcW w:w="1140" w:type="dxa"/>
            <w:vAlign w:val="bottom"/>
            <w:tcBorders>
              <w:top w:val="single" w:sz="8" w:color="0000EE"/>
            </w:tcBorders>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3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60" w:type="dxa"/>
            <w:vAlign w:val="bottom"/>
          </w:tcPr>
          <w:p>
            <w:pPr>
              <w:jc w:val="center"/>
              <w:spacing w:after="0"/>
              <w:rPr>
                <w:sz w:val="20"/>
                <w:szCs w:val="20"/>
                <w:color w:val="auto"/>
              </w:rPr>
            </w:pPr>
            <w:r>
              <w:rPr>
                <w:rFonts w:ascii="Arial" w:cs="Arial" w:eastAsia="Arial" w:hAnsi="Arial"/>
                <w:sz w:val="16"/>
                <w:szCs w:val="16"/>
                <w:color w:val="auto"/>
                <w:w w:val="97"/>
              </w:rPr>
              <w:t>10.1</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000" w:type="dxa"/>
            <w:vAlign w:val="bottom"/>
            <w:tcBorders>
              <w:bottom w:val="single" w:sz="8" w:color="0000EE"/>
            </w:tcBorders>
            <w:gridSpan w:val="13"/>
          </w:tcPr>
          <w:p>
            <w:pPr>
              <w:spacing w:after="0"/>
              <w:rPr>
                <w:rFonts w:ascii="Arial" w:cs="Arial" w:eastAsia="Arial" w:hAnsi="Arial"/>
                <w:sz w:val="16"/>
                <w:szCs w:val="16"/>
                <w:color w:val="0000EE"/>
              </w:rPr>
            </w:pPr>
            <w:hyperlink r:id="rId195">
              <w:r>
                <w:rPr>
                  <w:rFonts w:ascii="Arial" w:cs="Arial" w:eastAsia="Arial" w:hAnsi="Arial"/>
                  <w:sz w:val="16"/>
                  <w:szCs w:val="16"/>
                  <w:color w:val="0000EE"/>
                </w:rPr>
                <w:t>Form of Indemnification Agreement by and between the Registrant and its individual directors and</w:t>
              </w:r>
            </w:hyperlink>
          </w:p>
        </w:tc>
        <w:tc>
          <w:tcPr>
            <w:tcW w:w="56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60" w:type="dxa"/>
            <w:vAlign w:val="bottom"/>
            <w:gridSpan w:val="24"/>
          </w:tcPr>
          <w:p>
            <w:pPr>
              <w:spacing w:after="0" w:line="169" w:lineRule="exact"/>
              <w:rPr>
                <w:rFonts w:ascii="Arial" w:cs="Arial" w:eastAsia="Arial" w:hAnsi="Arial"/>
                <w:sz w:val="16"/>
                <w:szCs w:val="16"/>
                <w:color w:val="0000EE"/>
              </w:rPr>
            </w:pPr>
            <w:hyperlink r:id="rId195">
              <w:r>
                <w:rPr>
                  <w:rFonts w:ascii="Arial" w:cs="Arial" w:eastAsia="Arial" w:hAnsi="Arial"/>
                  <w:sz w:val="16"/>
                  <w:szCs w:val="16"/>
                  <w:color w:val="0000EE"/>
                </w:rPr>
                <w:t>officers (incorporated by reference to Exhibit 10.1 to the Company’s Registration Statement on Form S-1</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195">
              <w:r>
                <w:rPr>
                  <w:rFonts w:ascii="Arial" w:cs="Arial" w:eastAsia="Arial" w:hAnsi="Arial"/>
                  <w:sz w:val="16"/>
                  <w:szCs w:val="16"/>
                  <w:color w:val="0000EE"/>
                </w:rPr>
                <w:t>(File No. 333-256648), dated May 28, 2021)</w:t>
              </w:r>
            </w:hyperlink>
          </w:p>
        </w:tc>
        <w:tc>
          <w:tcPr>
            <w:tcW w:w="4320" w:type="dxa"/>
            <w:vAlign w:val="bottom"/>
            <w:tcBorders>
              <w:top w:val="single" w:sz="8" w:color="0000EE"/>
            </w:tcBorders>
            <w:gridSpan w:val="18"/>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60" w:type="dxa"/>
            <w:vAlign w:val="bottom"/>
          </w:tcPr>
          <w:p>
            <w:pPr>
              <w:jc w:val="center"/>
              <w:spacing w:after="0"/>
              <w:rPr>
                <w:sz w:val="20"/>
                <w:szCs w:val="20"/>
                <w:color w:val="auto"/>
              </w:rPr>
            </w:pPr>
            <w:r>
              <w:rPr>
                <w:rFonts w:ascii="Arial" w:cs="Arial" w:eastAsia="Arial" w:hAnsi="Arial"/>
                <w:sz w:val="16"/>
                <w:szCs w:val="16"/>
                <w:color w:val="auto"/>
                <w:w w:val="97"/>
              </w:rPr>
              <w:t>10.2</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560" w:type="dxa"/>
            <w:vAlign w:val="bottom"/>
            <w:gridSpan w:val="24"/>
          </w:tcPr>
          <w:p>
            <w:pPr>
              <w:spacing w:after="0"/>
              <w:rPr>
                <w:rFonts w:ascii="Arial" w:cs="Arial" w:eastAsia="Arial" w:hAnsi="Arial"/>
                <w:sz w:val="16"/>
                <w:szCs w:val="16"/>
                <w:color w:val="0000EE"/>
              </w:rPr>
            </w:pPr>
            <w:hyperlink r:id="rId196">
              <w:r>
                <w:rPr>
                  <w:rFonts w:ascii="Arial" w:cs="Arial" w:eastAsia="Arial" w:hAnsi="Arial"/>
                  <w:sz w:val="16"/>
                  <w:szCs w:val="16"/>
                  <w:color w:val="0000EE"/>
                </w:rPr>
                <w:t>2018 Stock Option and Grant Plan (incorporated by reference to Exhibit 10.2 to the Company’s</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196">
              <w:r>
                <w:rPr>
                  <w:rFonts w:ascii="Arial" w:cs="Arial" w:eastAsia="Arial" w:hAnsi="Arial"/>
                  <w:sz w:val="16"/>
                  <w:szCs w:val="16"/>
                  <w:color w:val="0000EE"/>
                </w:rPr>
                <w:t>Registration Statement on Form S-1 (File No. 333-256648), dated May 28, 2021)</w:t>
              </w:r>
            </w:hyperlink>
          </w:p>
        </w:tc>
        <w:tc>
          <w:tcPr>
            <w:tcW w:w="1040" w:type="dxa"/>
            <w:vAlign w:val="bottom"/>
            <w:tcBorders>
              <w:top w:val="single" w:sz="8" w:color="0000EE"/>
            </w:tcBorders>
            <w:gridSpan w:val="3"/>
          </w:tcPr>
          <w:p>
            <w:pPr>
              <w:spacing w:after="0"/>
              <w:rPr>
                <w:sz w:val="14"/>
                <w:szCs w:val="14"/>
                <w:color w:val="auto"/>
              </w:rPr>
            </w:pPr>
          </w:p>
        </w:tc>
        <w:tc>
          <w:tcPr>
            <w:tcW w:w="300" w:type="dxa"/>
            <w:vAlign w:val="bottom"/>
            <w:gridSpan w:val="5"/>
          </w:tcPr>
          <w:p>
            <w:pPr>
              <w:spacing w:after="0"/>
              <w:rPr>
                <w:sz w:val="14"/>
                <w:szCs w:val="14"/>
                <w:color w:val="auto"/>
              </w:rPr>
            </w:pPr>
          </w:p>
        </w:tc>
        <w:tc>
          <w:tcPr>
            <w:tcW w:w="320" w:type="dxa"/>
            <w:vAlign w:val="bottom"/>
            <w:gridSpan w:val="5"/>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60" w:type="dxa"/>
            <w:vAlign w:val="bottom"/>
          </w:tcPr>
          <w:p>
            <w:pPr>
              <w:jc w:val="center"/>
              <w:spacing w:after="0"/>
              <w:rPr>
                <w:sz w:val="20"/>
                <w:szCs w:val="20"/>
                <w:color w:val="auto"/>
              </w:rPr>
            </w:pPr>
            <w:r>
              <w:rPr>
                <w:rFonts w:ascii="Arial" w:cs="Arial" w:eastAsia="Arial" w:hAnsi="Arial"/>
                <w:sz w:val="16"/>
                <w:szCs w:val="16"/>
                <w:color w:val="auto"/>
                <w:w w:val="97"/>
              </w:rPr>
              <w:t>10.3</w:t>
            </w:r>
            <w:r>
              <w:rPr>
                <w:rFonts w:ascii="Times New Roman" w:cs="Times New Roman" w:eastAsia="Times New Roman" w:hAnsi="Times New Roman"/>
                <w:sz w:val="17"/>
                <w:szCs w:val="17"/>
                <w:color w:val="231F20"/>
                <w:w w:val="97"/>
              </w:rPr>
              <w:t>·</w:t>
            </w:r>
          </w:p>
        </w:tc>
        <w:tc>
          <w:tcPr>
            <w:tcW w:w="280" w:type="dxa"/>
            <w:vAlign w:val="bottom"/>
          </w:tcPr>
          <w:p>
            <w:pPr>
              <w:spacing w:after="0"/>
              <w:rPr>
                <w:sz w:val="20"/>
                <w:szCs w:val="20"/>
                <w:color w:val="auto"/>
              </w:rPr>
            </w:pPr>
          </w:p>
        </w:tc>
        <w:tc>
          <w:tcPr>
            <w:tcW w:w="7560" w:type="dxa"/>
            <w:vAlign w:val="bottom"/>
            <w:gridSpan w:val="24"/>
          </w:tcPr>
          <w:p>
            <w:pPr>
              <w:spacing w:after="0"/>
              <w:rPr>
                <w:rFonts w:ascii="Arial" w:cs="Arial" w:eastAsia="Arial" w:hAnsi="Arial"/>
                <w:sz w:val="16"/>
                <w:szCs w:val="16"/>
                <w:color w:val="0000EE"/>
              </w:rPr>
            </w:pPr>
            <w:hyperlink r:id="rId197">
              <w:r>
                <w:rPr>
                  <w:rFonts w:ascii="Arial" w:cs="Arial" w:eastAsia="Arial" w:hAnsi="Arial"/>
                  <w:sz w:val="16"/>
                  <w:szCs w:val="16"/>
                  <w:color w:val="0000EE"/>
                </w:rPr>
                <w:t>Amendment No. 1 to 2018 Stock Option and Grant Plan (incorporated by reference to Exhibit 10.3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197">
              <w:r>
                <w:rPr>
                  <w:rFonts w:ascii="Arial" w:cs="Arial" w:eastAsia="Arial" w:hAnsi="Arial"/>
                  <w:sz w:val="16"/>
                  <w:szCs w:val="16"/>
                  <w:color w:val="0000EE"/>
                </w:rPr>
                <w:t>Company’s Registration Statement on Form S-1 (File No. 333-256648), dated May 28, 2021)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10.4</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4"/>
          </w:tcPr>
          <w:p>
            <w:pPr>
              <w:spacing w:after="0"/>
              <w:rPr>
                <w:rFonts w:ascii="Arial" w:cs="Arial" w:eastAsia="Arial" w:hAnsi="Arial"/>
                <w:sz w:val="16"/>
                <w:szCs w:val="16"/>
                <w:color w:val="0000EE"/>
              </w:rPr>
            </w:pPr>
            <w:hyperlink r:id="rId198">
              <w:r>
                <w:rPr>
                  <w:rFonts w:ascii="Arial" w:cs="Arial" w:eastAsia="Arial" w:hAnsi="Arial"/>
                  <w:sz w:val="16"/>
                  <w:szCs w:val="16"/>
                  <w:color w:val="0000EE"/>
                </w:rPr>
                <w:t>Amendment No. 2 to 2018 Stock Option and Grant Plan (incorporated by reference to Exhibit 10.4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198">
              <w:r>
                <w:rPr>
                  <w:rFonts w:ascii="Arial" w:cs="Arial" w:eastAsia="Arial" w:hAnsi="Arial"/>
                  <w:sz w:val="16"/>
                  <w:szCs w:val="16"/>
                  <w:color w:val="0000EE"/>
                </w:rPr>
                <w:t>Company’s Registration Statement on Form S-1 (File No. 333-256648), dated May 28, 2021)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10.5</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4"/>
          </w:tcPr>
          <w:p>
            <w:pPr>
              <w:spacing w:after="0"/>
              <w:rPr>
                <w:rFonts w:ascii="Arial" w:cs="Arial" w:eastAsia="Arial" w:hAnsi="Arial"/>
                <w:sz w:val="16"/>
                <w:szCs w:val="16"/>
                <w:color w:val="0000EE"/>
              </w:rPr>
            </w:pPr>
            <w:hyperlink r:id="rId199">
              <w:r>
                <w:rPr>
                  <w:rFonts w:ascii="Arial" w:cs="Arial" w:eastAsia="Arial" w:hAnsi="Arial"/>
                  <w:sz w:val="16"/>
                  <w:szCs w:val="16"/>
                  <w:color w:val="0000EE"/>
                </w:rPr>
                <w:t>Amendment No. 3 to 2018 Stock Option and Grant Plan (incorporated by reference to Exhibit 10.5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199">
              <w:r>
                <w:rPr>
                  <w:rFonts w:ascii="Arial" w:cs="Arial" w:eastAsia="Arial" w:hAnsi="Arial"/>
                  <w:sz w:val="16"/>
                  <w:szCs w:val="16"/>
                  <w:color w:val="0000EE"/>
                </w:rPr>
                <w:t>Company’s Registration Statement on Form S-1 (File No. 333-256648), dated May 28, 2021)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10.6</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4"/>
          </w:tcPr>
          <w:p>
            <w:pPr>
              <w:spacing w:after="0"/>
              <w:rPr>
                <w:rFonts w:ascii="Arial" w:cs="Arial" w:eastAsia="Arial" w:hAnsi="Arial"/>
                <w:sz w:val="16"/>
                <w:szCs w:val="16"/>
                <w:color w:val="0000EE"/>
              </w:rPr>
            </w:pPr>
            <w:hyperlink r:id="rId200">
              <w:r>
                <w:rPr>
                  <w:rFonts w:ascii="Arial" w:cs="Arial" w:eastAsia="Arial" w:hAnsi="Arial"/>
                  <w:sz w:val="16"/>
                  <w:szCs w:val="16"/>
                  <w:color w:val="0000EE"/>
                </w:rPr>
                <w:t>Amendment No. 4 to 2018 Stock Option and Grant Plan (incorporated by reference to Exhibit 10.6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200">
              <w:r>
                <w:rPr>
                  <w:rFonts w:ascii="Arial" w:cs="Arial" w:eastAsia="Arial" w:hAnsi="Arial"/>
                  <w:sz w:val="16"/>
                  <w:szCs w:val="16"/>
                  <w:color w:val="0000EE"/>
                </w:rPr>
                <w:t>Company’s Registration Statement on Form S-1 (File No. 333-256648), dated May 28, 2021)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10.7</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4"/>
          </w:tcPr>
          <w:p>
            <w:pPr>
              <w:spacing w:after="0"/>
              <w:rPr>
                <w:rFonts w:ascii="Arial" w:cs="Arial" w:eastAsia="Arial" w:hAnsi="Arial"/>
                <w:sz w:val="16"/>
                <w:szCs w:val="16"/>
                <w:color w:val="0000EE"/>
              </w:rPr>
            </w:pPr>
            <w:hyperlink r:id="rId201">
              <w:r>
                <w:rPr>
                  <w:rFonts w:ascii="Arial" w:cs="Arial" w:eastAsia="Arial" w:hAnsi="Arial"/>
                  <w:sz w:val="16"/>
                  <w:szCs w:val="16"/>
                  <w:color w:val="0000EE"/>
                </w:rPr>
                <w:t>Amendment No. 5 to 2018 Stock Option and Grant Plan (incorporated by reference to Exhibit 10.7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201">
              <w:r>
                <w:rPr>
                  <w:rFonts w:ascii="Arial" w:cs="Arial" w:eastAsia="Arial" w:hAnsi="Arial"/>
                  <w:sz w:val="16"/>
                  <w:szCs w:val="16"/>
                  <w:color w:val="0000EE"/>
                </w:rPr>
                <w:t>Company’s Registration Statement on Form S-1 (File No. 333-256648), dated May 28, 2021)</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10.8</w:t>
            </w:r>
            <w:r>
              <w:rPr>
                <w:rFonts w:ascii="Times New Roman" w:cs="Times New Roman" w:eastAsia="Times New Roman" w:hAnsi="Times New Roman"/>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gridSpan w:val="24"/>
          </w:tcPr>
          <w:p>
            <w:pPr>
              <w:spacing w:after="0"/>
              <w:rPr>
                <w:rFonts w:ascii="Arial" w:cs="Arial" w:eastAsia="Arial" w:hAnsi="Arial"/>
                <w:sz w:val="16"/>
                <w:szCs w:val="16"/>
                <w:color w:val="0000EE"/>
              </w:rPr>
            </w:pPr>
            <w:hyperlink r:id="rId202">
              <w:r>
                <w:rPr>
                  <w:rFonts w:ascii="Arial" w:cs="Arial" w:eastAsia="Arial" w:hAnsi="Arial"/>
                  <w:sz w:val="16"/>
                  <w:szCs w:val="16"/>
                  <w:color w:val="0000EE"/>
                </w:rPr>
                <w:t>2021 Equity Incentive Plan (incorporated by reference to Exhibit 10.8 to the Company’s Registration</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202">
              <w:r>
                <w:rPr>
                  <w:rFonts w:ascii="Arial" w:cs="Arial" w:eastAsia="Arial" w:hAnsi="Arial"/>
                  <w:sz w:val="16"/>
                  <w:szCs w:val="16"/>
                  <w:color w:val="0000EE"/>
                </w:rPr>
                <w:t>Statement on Form S-1/A (File No. 333-256648), dated June 14, 2021)</w:t>
              </w:r>
            </w:hyperlink>
          </w:p>
        </w:tc>
        <w:tc>
          <w:tcPr>
            <w:tcW w:w="2060" w:type="dxa"/>
            <w:vAlign w:val="bottom"/>
            <w:tcBorders>
              <w:top w:val="single" w:sz="8" w:color="0000EE"/>
            </w:tcBorders>
            <w:gridSpan w:val="11"/>
          </w:tcPr>
          <w:p>
            <w:pPr>
              <w:spacing w:after="0"/>
              <w:rPr>
                <w:sz w:val="14"/>
                <w:szCs w:val="14"/>
                <w:color w:val="auto"/>
              </w:rPr>
            </w:pPr>
          </w:p>
        </w:tc>
        <w:tc>
          <w:tcPr>
            <w:tcW w:w="4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3" w:name="page164"/>
    <w:bookmarkEnd w:id="1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60" w:type="dxa"/>
            <w:vAlign w:val="bottom"/>
          </w:tcPr>
          <w:p>
            <w:pPr>
              <w:jc w:val="center"/>
              <w:ind w:right="199"/>
              <w:spacing w:after="0"/>
              <w:rPr>
                <w:sz w:val="20"/>
                <w:szCs w:val="20"/>
                <w:color w:val="auto"/>
              </w:rPr>
            </w:pPr>
            <w:r>
              <w:rPr>
                <w:rFonts w:ascii="Arial" w:cs="Arial" w:eastAsia="Arial" w:hAnsi="Arial"/>
                <w:sz w:val="16"/>
                <w:szCs w:val="16"/>
                <w:color w:val="auto"/>
                <w:w w:val="97"/>
              </w:rPr>
              <w:t>10.9</w:t>
            </w:r>
            <w:r>
              <w:rPr>
                <w:rFonts w:ascii="Times New Roman" w:cs="Times New Roman" w:eastAsia="Times New Roman" w:hAnsi="Times New Roman"/>
                <w:sz w:val="17"/>
                <w:szCs w:val="17"/>
                <w:color w:val="231F20"/>
                <w:w w:val="97"/>
              </w:rPr>
              <w:t>·</w:t>
            </w:r>
          </w:p>
        </w:tc>
        <w:tc>
          <w:tcPr>
            <w:tcW w:w="7640" w:type="dxa"/>
            <w:vAlign w:val="bottom"/>
            <w:gridSpan w:val="41"/>
          </w:tcPr>
          <w:p>
            <w:pPr>
              <w:spacing w:after="0"/>
              <w:rPr>
                <w:rFonts w:ascii="Arial" w:cs="Arial" w:eastAsia="Arial" w:hAnsi="Arial"/>
                <w:sz w:val="16"/>
                <w:szCs w:val="16"/>
                <w:color w:val="0000EE"/>
              </w:rPr>
            </w:pPr>
            <w:hyperlink r:id="rId204">
              <w:r>
                <w:rPr>
                  <w:rFonts w:ascii="Arial" w:cs="Arial" w:eastAsia="Arial" w:hAnsi="Arial"/>
                  <w:sz w:val="16"/>
                  <w:szCs w:val="16"/>
                  <w:color w:val="0000EE"/>
                </w:rPr>
                <w:t>2021 Employee Stock Purchase Plan (incorporated by reference to Exhibit 10.9 to the Company’s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00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r:id="rId204">
              <w:r>
                <w:rPr>
                  <w:rFonts w:ascii="Arial" w:cs="Arial" w:eastAsia="Arial" w:hAnsi="Arial"/>
                  <w:sz w:val="16"/>
                  <w:szCs w:val="16"/>
                  <w:color w:val="0000EE"/>
                </w:rPr>
                <w:t>Registration Statement on Form S-1/A (File No. 333-256648), dated June 14,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ind w:right="179"/>
              <w:spacing w:after="0"/>
              <w:rPr>
                <w:sz w:val="20"/>
                <w:szCs w:val="20"/>
                <w:color w:val="auto"/>
              </w:rPr>
            </w:pPr>
            <w:r>
              <w:rPr>
                <w:rFonts w:ascii="Arial" w:cs="Arial" w:eastAsia="Arial" w:hAnsi="Arial"/>
                <w:sz w:val="16"/>
                <w:szCs w:val="16"/>
                <w:color w:val="auto"/>
              </w:rPr>
              <w:t>10.10</w:t>
            </w:r>
            <w:r>
              <w:rPr>
                <w:rFonts w:ascii="Times New Roman" w:cs="Times New Roman" w:eastAsia="Times New Roman" w:hAnsi="Times New Roman"/>
                <w:sz w:val="17"/>
                <w:szCs w:val="17"/>
                <w:color w:val="231F20"/>
              </w:rPr>
              <w:t>·</w:t>
            </w:r>
          </w:p>
        </w:tc>
        <w:tc>
          <w:tcPr>
            <w:tcW w:w="1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vMerge w:val="continue"/>
          </w:tcPr>
          <w:p>
            <w:pPr>
              <w:spacing w:after="0"/>
              <w:rPr>
                <w:sz w:val="20"/>
                <w:szCs w:val="20"/>
                <w:color w:val="auto"/>
              </w:rPr>
            </w:pPr>
          </w:p>
        </w:tc>
        <w:tc>
          <w:tcPr>
            <w:tcW w:w="7640" w:type="dxa"/>
            <w:vAlign w:val="bottom"/>
            <w:gridSpan w:val="41"/>
          </w:tcPr>
          <w:p>
            <w:pPr>
              <w:spacing w:after="0"/>
              <w:rPr>
                <w:rFonts w:ascii="Arial" w:cs="Arial" w:eastAsia="Arial" w:hAnsi="Arial"/>
                <w:sz w:val="16"/>
                <w:szCs w:val="16"/>
                <w:color w:val="0000EE"/>
              </w:rPr>
            </w:pPr>
            <w:hyperlink r:id="rId205">
              <w:r>
                <w:rPr>
                  <w:rFonts w:ascii="Arial" w:cs="Arial" w:eastAsia="Arial" w:hAnsi="Arial"/>
                  <w:sz w:val="16"/>
                  <w:szCs w:val="16"/>
                  <w:color w:val="0000EE"/>
                </w:rPr>
                <w:t>Form of Restricted Stock Award Agreement, under the 2018 Stock Option and Grant Plan (incorporated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480" w:type="dxa"/>
            <w:vAlign w:val="bottom"/>
            <w:tcBorders>
              <w:top w:val="single" w:sz="8" w:color="0000EE"/>
            </w:tcBorders>
            <w:gridSpan w:val="33"/>
          </w:tcPr>
          <w:p>
            <w:pPr>
              <w:spacing w:after="0" w:line="169" w:lineRule="exact"/>
              <w:rPr>
                <w:rFonts w:ascii="Arial" w:cs="Arial" w:eastAsia="Arial" w:hAnsi="Arial"/>
                <w:sz w:val="16"/>
                <w:szCs w:val="16"/>
                <w:color w:val="0000EE"/>
              </w:rPr>
            </w:pPr>
            <w:hyperlink r:id="rId205">
              <w:r>
                <w:rPr>
                  <w:rFonts w:ascii="Arial" w:cs="Arial" w:eastAsia="Arial" w:hAnsi="Arial"/>
                  <w:sz w:val="16"/>
                  <w:szCs w:val="16"/>
                  <w:color w:val="0000EE"/>
                </w:rPr>
                <w:t>by reference to Exhibit 10.10 to the Company’s Registration Statement on Form S-1 (File No. 333-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05">
              <w:r>
                <w:rPr>
                  <w:rFonts w:ascii="Arial" w:cs="Arial" w:eastAsia="Arial" w:hAnsi="Arial"/>
                  <w:sz w:val="16"/>
                  <w:szCs w:val="16"/>
                  <w:color w:val="0000EE"/>
                </w:rPr>
                <w:t>256648)</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dated May 28, 2021)</w:t>
              </w:r>
            </w:hyperlink>
          </w:p>
        </w:tc>
        <w:tc>
          <w:tcPr>
            <w:tcW w:w="4860" w:type="dxa"/>
            <w:vAlign w:val="bottom"/>
            <w:tcBorders>
              <w:top w:val="single" w:sz="8" w:color="0000EE"/>
            </w:tcBorders>
            <w:gridSpan w:val="15"/>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99"/>
              <w:spacing w:after="0"/>
              <w:rPr>
                <w:sz w:val="20"/>
                <w:szCs w:val="20"/>
                <w:color w:val="auto"/>
              </w:rPr>
            </w:pPr>
            <w:r>
              <w:rPr>
                <w:rFonts w:ascii="Arial" w:cs="Arial" w:eastAsia="Arial" w:hAnsi="Arial"/>
                <w:sz w:val="16"/>
                <w:szCs w:val="16"/>
                <w:color w:val="auto"/>
                <w:w w:val="96"/>
              </w:rPr>
              <w:t>10.11</w:t>
            </w:r>
            <w:r>
              <w:rPr>
                <w:rFonts w:ascii="Times New Roman" w:cs="Times New Roman" w:eastAsia="Times New Roman" w:hAnsi="Times New Roman"/>
                <w:sz w:val="17"/>
                <w:szCs w:val="17"/>
                <w:color w:val="231F20"/>
                <w:w w:val="96"/>
              </w:rPr>
              <w:t>·</w:t>
            </w:r>
          </w:p>
        </w:tc>
        <w:tc>
          <w:tcPr>
            <w:tcW w:w="7640" w:type="dxa"/>
            <w:vAlign w:val="bottom"/>
            <w:gridSpan w:val="41"/>
          </w:tcPr>
          <w:p>
            <w:pPr>
              <w:spacing w:after="0"/>
              <w:rPr>
                <w:rFonts w:ascii="Arial" w:cs="Arial" w:eastAsia="Arial" w:hAnsi="Arial"/>
                <w:sz w:val="16"/>
                <w:szCs w:val="16"/>
                <w:color w:val="0000EE"/>
              </w:rPr>
            </w:pPr>
            <w:hyperlink r:id="rId206">
              <w:r>
                <w:rPr>
                  <w:rFonts w:ascii="Arial" w:cs="Arial" w:eastAsia="Arial" w:hAnsi="Arial"/>
                  <w:sz w:val="16"/>
                  <w:szCs w:val="16"/>
                  <w:color w:val="0000EE"/>
                </w:rPr>
                <w:t>Form of Non-Qualified Stock Option Agreement, under the 2018 Stock Option and Grant Plan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700" w:type="dxa"/>
            <w:vAlign w:val="bottom"/>
            <w:tcBorders>
              <w:top w:val="single" w:sz="8" w:color="0000EE"/>
            </w:tcBorders>
            <w:gridSpan w:val="10"/>
          </w:tcPr>
          <w:p>
            <w:pPr>
              <w:spacing w:after="0" w:line="169" w:lineRule="exact"/>
              <w:rPr>
                <w:rFonts w:ascii="Arial" w:cs="Arial" w:eastAsia="Arial" w:hAnsi="Arial"/>
                <w:sz w:val="16"/>
                <w:szCs w:val="16"/>
                <w:color w:val="0000EE"/>
              </w:rPr>
            </w:pPr>
            <w:hyperlink r:id="rId206">
              <w:r>
                <w:rPr>
                  <w:rFonts w:ascii="Arial" w:cs="Arial" w:eastAsia="Arial" w:hAnsi="Arial"/>
                  <w:sz w:val="16"/>
                  <w:szCs w:val="16"/>
                  <w:color w:val="0000EE"/>
                </w:rPr>
                <w:t>(incorporated by reference to Exhibit 10.11 to the Company’s Registration Statement on Form</w:t>
              </w:r>
            </w:hyperlink>
          </w:p>
        </w:tc>
        <w:tc>
          <w:tcPr>
            <w:tcW w:w="940" w:type="dxa"/>
            <w:vAlign w:val="bottom"/>
            <w:gridSpan w:val="31"/>
          </w:tcPr>
          <w:p>
            <w:pPr>
              <w:ind w:left="40"/>
              <w:spacing w:after="0" w:line="169" w:lineRule="exact"/>
              <w:rPr>
                <w:rFonts w:ascii="Arial" w:cs="Arial" w:eastAsia="Arial" w:hAnsi="Arial"/>
                <w:sz w:val="16"/>
                <w:szCs w:val="16"/>
                <w:color w:val="0000EE"/>
              </w:rPr>
            </w:pPr>
            <w:hyperlink r:id="rId206">
              <w:r>
                <w:rPr>
                  <w:rFonts w:ascii="Arial" w:cs="Arial" w:eastAsia="Arial" w:hAnsi="Arial"/>
                  <w:sz w:val="16"/>
                  <w:szCs w:val="16"/>
                  <w:color w:val="0000EE"/>
                </w:rPr>
                <w:t>S-1 (File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80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206">
              <w:r>
                <w:rPr>
                  <w:rFonts w:ascii="Arial" w:cs="Arial" w:eastAsia="Arial" w:hAnsi="Arial"/>
                  <w:sz w:val="16"/>
                  <w:szCs w:val="16"/>
                  <w:color w:val="0000EE"/>
                </w:rPr>
                <w:t>No. 333-256648), dated May 28, 2021)</w:t>
              </w:r>
            </w:hyperlink>
          </w:p>
        </w:tc>
        <w:tc>
          <w:tcPr>
            <w:tcW w:w="4560" w:type="dxa"/>
            <w:vAlign w:val="bottom"/>
            <w:tcBorders>
              <w:top w:val="single" w:sz="8" w:color="0000EE"/>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10.12</w:t>
            </w:r>
            <w:r>
              <w:rPr>
                <w:rFonts w:ascii="Times New Roman" w:cs="Times New Roman" w:eastAsia="Times New Roman" w:hAnsi="Times New Roman"/>
                <w:sz w:val="17"/>
                <w:szCs w:val="17"/>
                <w:color w:val="231F20"/>
              </w:rPr>
              <w:t>·</w:t>
            </w:r>
          </w:p>
        </w:tc>
        <w:tc>
          <w:tcPr>
            <w:tcW w:w="7640" w:type="dxa"/>
            <w:vAlign w:val="bottom"/>
            <w:gridSpan w:val="41"/>
          </w:tcPr>
          <w:p>
            <w:pPr>
              <w:spacing w:after="0"/>
              <w:rPr>
                <w:rFonts w:ascii="Arial" w:cs="Arial" w:eastAsia="Arial" w:hAnsi="Arial"/>
                <w:sz w:val="16"/>
                <w:szCs w:val="16"/>
                <w:color w:val="0000EE"/>
              </w:rPr>
            </w:pPr>
            <w:hyperlink r:id="rId207">
              <w:r>
                <w:rPr>
                  <w:rFonts w:ascii="Arial" w:cs="Arial" w:eastAsia="Arial" w:hAnsi="Arial"/>
                  <w:sz w:val="16"/>
                  <w:szCs w:val="16"/>
                  <w:color w:val="0000EE"/>
                </w:rPr>
                <w:t>Form of Incentive Stock Option Agreement, under the 2018 Stock Option and Grant Plan (incorporated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34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r:id="rId207">
              <w:r>
                <w:rPr>
                  <w:rFonts w:ascii="Arial" w:cs="Arial" w:eastAsia="Arial" w:hAnsi="Arial"/>
                  <w:sz w:val="16"/>
                  <w:szCs w:val="16"/>
                  <w:color w:val="0000EE"/>
                </w:rPr>
                <w:t>by reference to Exhibit 10.12 to the Company’s Registration Statement on Form S-1 (File No. 333-</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07">
              <w:r>
                <w:rPr>
                  <w:rFonts w:ascii="Arial" w:cs="Arial" w:eastAsia="Arial" w:hAnsi="Arial"/>
                  <w:sz w:val="16"/>
                  <w:szCs w:val="16"/>
                  <w:color w:val="0000EE"/>
                </w:rPr>
                <w:t>256648)</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dated May 28, 2021)</w:t>
              </w:r>
            </w:hyperlink>
          </w:p>
        </w:tc>
        <w:tc>
          <w:tcPr>
            <w:tcW w:w="4860" w:type="dxa"/>
            <w:vAlign w:val="bottom"/>
            <w:tcBorders>
              <w:top w:val="single" w:sz="8" w:color="0000EE"/>
            </w:tcBorders>
            <w:gridSpan w:val="15"/>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10.13</w:t>
            </w:r>
            <w:r>
              <w:rPr>
                <w:rFonts w:ascii="Times New Roman" w:cs="Times New Roman" w:eastAsia="Times New Roman" w:hAnsi="Times New Roman"/>
                <w:sz w:val="17"/>
                <w:szCs w:val="17"/>
                <w:color w:val="231F20"/>
              </w:rPr>
              <w:t>·</w:t>
            </w:r>
          </w:p>
        </w:tc>
        <w:tc>
          <w:tcPr>
            <w:tcW w:w="7640" w:type="dxa"/>
            <w:vAlign w:val="bottom"/>
            <w:gridSpan w:val="41"/>
          </w:tcPr>
          <w:p>
            <w:pPr>
              <w:spacing w:after="0"/>
              <w:rPr>
                <w:rFonts w:ascii="Arial" w:cs="Arial" w:eastAsia="Arial" w:hAnsi="Arial"/>
                <w:sz w:val="16"/>
                <w:szCs w:val="16"/>
                <w:color w:val="0000EE"/>
              </w:rPr>
            </w:pPr>
            <w:hyperlink r:id="rId208">
              <w:r>
                <w:rPr>
                  <w:rFonts w:ascii="Arial" w:cs="Arial" w:eastAsia="Arial" w:hAnsi="Arial"/>
                  <w:sz w:val="16"/>
                  <w:szCs w:val="16"/>
                  <w:color w:val="0000EE"/>
                </w:rPr>
                <w:t>Form of Stock Option Grant Notice and Award Agreement, under the 2021 Plan (incorporated by</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00" w:type="dxa"/>
            <w:vAlign w:val="bottom"/>
            <w:tcBorders>
              <w:top w:val="single" w:sz="8" w:color="0000EE"/>
              <w:bottom w:val="single" w:sz="8" w:color="0000EE"/>
            </w:tcBorders>
            <w:gridSpan w:val="11"/>
          </w:tcPr>
          <w:p>
            <w:pPr>
              <w:spacing w:after="0" w:line="169" w:lineRule="exact"/>
              <w:rPr>
                <w:rFonts w:ascii="Arial" w:cs="Arial" w:eastAsia="Arial" w:hAnsi="Arial"/>
                <w:sz w:val="16"/>
                <w:szCs w:val="16"/>
                <w:color w:val="0000EE"/>
              </w:rPr>
            </w:pPr>
            <w:hyperlink r:id="rId208">
              <w:r>
                <w:rPr>
                  <w:rFonts w:ascii="Arial" w:cs="Arial" w:eastAsia="Arial" w:hAnsi="Arial"/>
                  <w:sz w:val="16"/>
                  <w:szCs w:val="16"/>
                  <w:color w:val="0000EE"/>
                </w:rPr>
                <w:t>reference to Exhibit 10.13 to the Company’s Registration Statement on Form S-1 (File No. 333-</w:t>
              </w:r>
            </w:hyperlink>
          </w:p>
        </w:tc>
        <w:tc>
          <w:tcPr>
            <w:tcW w:w="640" w:type="dxa"/>
            <w:vAlign w:val="bottom"/>
            <w:tcBorders>
              <w:bottom w:val="single" w:sz="8" w:color="0000EE"/>
            </w:tcBorders>
            <w:gridSpan w:val="25"/>
          </w:tcPr>
          <w:p>
            <w:pPr>
              <w:jc w:val="right"/>
              <w:ind w:right="80"/>
              <w:spacing w:after="0" w:line="169" w:lineRule="exact"/>
              <w:rPr>
                <w:rFonts w:ascii="Arial" w:cs="Arial" w:eastAsia="Arial" w:hAnsi="Arial"/>
                <w:sz w:val="16"/>
                <w:szCs w:val="16"/>
                <w:color w:val="0000EE"/>
                <w:w w:val="85"/>
              </w:rPr>
            </w:pPr>
            <w:hyperlink r:id="rId208">
              <w:r>
                <w:rPr>
                  <w:rFonts w:ascii="Arial" w:cs="Arial" w:eastAsia="Arial" w:hAnsi="Arial"/>
                  <w:sz w:val="16"/>
                  <w:szCs w:val="16"/>
                  <w:color w:val="0000EE"/>
                  <w:w w:val="85"/>
                </w:rPr>
                <w:t>256648),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40" w:type="dxa"/>
            <w:vAlign w:val="bottom"/>
            <w:gridSpan w:val="36"/>
          </w:tcPr>
          <w:p>
            <w:pPr>
              <w:spacing w:after="0" w:line="169" w:lineRule="exact"/>
              <w:rPr>
                <w:rFonts w:ascii="Arial" w:cs="Arial" w:eastAsia="Arial" w:hAnsi="Arial"/>
                <w:sz w:val="16"/>
                <w:szCs w:val="16"/>
                <w:color w:val="0000EE"/>
              </w:rPr>
            </w:pPr>
            <w:hyperlink r:id="rId208">
              <w:r>
                <w:rPr>
                  <w:rFonts w:ascii="Arial" w:cs="Arial" w:eastAsia="Arial" w:hAnsi="Arial"/>
                  <w:sz w:val="16"/>
                  <w:szCs w:val="16"/>
                  <w:color w:val="0000EE"/>
                </w:rPr>
                <w:t>dated May 28,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ind w:right="179"/>
              <w:spacing w:after="0"/>
              <w:rPr>
                <w:sz w:val="20"/>
                <w:szCs w:val="20"/>
                <w:color w:val="auto"/>
              </w:rPr>
            </w:pPr>
            <w:r>
              <w:rPr>
                <w:rFonts w:ascii="Arial" w:cs="Arial" w:eastAsia="Arial" w:hAnsi="Arial"/>
                <w:sz w:val="16"/>
                <w:szCs w:val="16"/>
                <w:color w:val="auto"/>
              </w:rPr>
              <w:t>10.14</w:t>
            </w:r>
            <w:r>
              <w:rPr>
                <w:rFonts w:ascii="Times New Roman" w:cs="Times New Roman" w:eastAsia="Times New Roman" w:hAnsi="Times New Roman"/>
                <w:sz w:val="17"/>
                <w:szCs w:val="17"/>
                <w:color w:val="231F20"/>
              </w:rPr>
              <w:t>·</w:t>
            </w:r>
          </w:p>
        </w:tc>
        <w:tc>
          <w:tcPr>
            <w:tcW w:w="1480" w:type="dxa"/>
            <w:vAlign w:val="bottom"/>
            <w:shd w:val="clear" w:color="auto" w:fill="0000EE"/>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vMerge w:val="continue"/>
          </w:tcPr>
          <w:p>
            <w:pPr>
              <w:spacing w:after="0"/>
              <w:rPr>
                <w:sz w:val="20"/>
                <w:szCs w:val="20"/>
                <w:color w:val="auto"/>
              </w:rPr>
            </w:pPr>
          </w:p>
        </w:tc>
        <w:tc>
          <w:tcPr>
            <w:tcW w:w="7640" w:type="dxa"/>
            <w:vAlign w:val="bottom"/>
            <w:gridSpan w:val="41"/>
          </w:tcPr>
          <w:p>
            <w:pPr>
              <w:spacing w:after="0"/>
              <w:rPr>
                <w:rFonts w:ascii="Arial" w:cs="Arial" w:eastAsia="Arial" w:hAnsi="Arial"/>
                <w:sz w:val="16"/>
                <w:szCs w:val="16"/>
                <w:color w:val="0000EE"/>
              </w:rPr>
            </w:pPr>
            <w:hyperlink r:id="rId209">
              <w:r>
                <w:rPr>
                  <w:rFonts w:ascii="Arial" w:cs="Arial" w:eastAsia="Arial" w:hAnsi="Arial"/>
                  <w:sz w:val="16"/>
                  <w:szCs w:val="16"/>
                  <w:color w:val="0000EE"/>
                </w:rPr>
                <w:t>Form of Restricted Stock Unit Grant Notice and Award Agreement, under the 2021 Plan (incorporated by</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00" w:type="dxa"/>
            <w:vAlign w:val="bottom"/>
            <w:tcBorders>
              <w:top w:val="single" w:sz="8" w:color="0000EE"/>
            </w:tcBorders>
            <w:gridSpan w:val="39"/>
          </w:tcPr>
          <w:p>
            <w:pPr>
              <w:spacing w:after="0" w:line="169" w:lineRule="exact"/>
              <w:rPr>
                <w:rFonts w:ascii="Arial" w:cs="Arial" w:eastAsia="Arial" w:hAnsi="Arial"/>
                <w:sz w:val="16"/>
                <w:szCs w:val="16"/>
                <w:color w:val="0000EE"/>
              </w:rPr>
            </w:pPr>
            <w:hyperlink r:id="rId209">
              <w:r>
                <w:rPr>
                  <w:rFonts w:ascii="Arial" w:cs="Arial" w:eastAsia="Arial" w:hAnsi="Arial"/>
                  <w:sz w:val="16"/>
                  <w:szCs w:val="16"/>
                  <w:color w:val="0000EE"/>
                </w:rPr>
                <w:t>reference to Exhibit 10.14 to the Company’s Registration Statement on Form S-1 (File No. 333-256648),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4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209">
              <w:r>
                <w:rPr>
                  <w:rFonts w:ascii="Arial" w:cs="Arial" w:eastAsia="Arial" w:hAnsi="Arial"/>
                  <w:sz w:val="16"/>
                  <w:szCs w:val="16"/>
                  <w:color w:val="0000EE"/>
                </w:rPr>
                <w:t>dated May 28,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ind w:right="179"/>
              <w:spacing w:after="0"/>
              <w:rPr>
                <w:sz w:val="20"/>
                <w:szCs w:val="20"/>
                <w:color w:val="auto"/>
              </w:rPr>
            </w:pPr>
            <w:r>
              <w:rPr>
                <w:rFonts w:ascii="Arial" w:cs="Arial" w:eastAsia="Arial" w:hAnsi="Arial"/>
                <w:sz w:val="16"/>
                <w:szCs w:val="16"/>
                <w:color w:val="auto"/>
              </w:rPr>
              <w:t>10.15</w:t>
            </w:r>
            <w:r>
              <w:rPr>
                <w:rFonts w:ascii="Times New Roman" w:cs="Times New Roman" w:eastAsia="Times New Roman" w:hAnsi="Times New Roman"/>
                <w:sz w:val="17"/>
                <w:szCs w:val="17"/>
                <w:color w:val="231F20"/>
              </w:rPr>
              <w:t>·</w:t>
            </w:r>
          </w:p>
        </w:tc>
        <w:tc>
          <w:tcPr>
            <w:tcW w:w="1480" w:type="dxa"/>
            <w:vAlign w:val="bottom"/>
            <w:shd w:val="clear" w:color="auto" w:fill="0000EE"/>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vMerge w:val="continue"/>
          </w:tcPr>
          <w:p>
            <w:pPr>
              <w:spacing w:after="0"/>
              <w:rPr>
                <w:sz w:val="20"/>
                <w:szCs w:val="20"/>
                <w:color w:val="auto"/>
              </w:rPr>
            </w:pPr>
          </w:p>
        </w:tc>
        <w:tc>
          <w:tcPr>
            <w:tcW w:w="7640" w:type="dxa"/>
            <w:vAlign w:val="bottom"/>
            <w:gridSpan w:val="41"/>
          </w:tcPr>
          <w:p>
            <w:pPr>
              <w:spacing w:after="0"/>
              <w:rPr>
                <w:rFonts w:ascii="Arial" w:cs="Arial" w:eastAsia="Arial" w:hAnsi="Arial"/>
                <w:sz w:val="16"/>
                <w:szCs w:val="16"/>
                <w:color w:val="0000EE"/>
              </w:rPr>
            </w:pPr>
            <w:hyperlink r:id="rId210">
              <w:r>
                <w:rPr>
                  <w:rFonts w:ascii="Arial" w:cs="Arial" w:eastAsia="Arial" w:hAnsi="Arial"/>
                  <w:sz w:val="16"/>
                  <w:szCs w:val="16"/>
                  <w:color w:val="0000EE"/>
                </w:rPr>
                <w:t>Form of Performance-Based Restricted Stock Unit Grant Notice and Award Agreement, under the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80" w:type="dxa"/>
            <w:vAlign w:val="bottom"/>
            <w:tcBorders>
              <w:top w:val="single" w:sz="8" w:color="0000EE"/>
              <w:bottom w:val="single" w:sz="8" w:color="0000EE"/>
            </w:tcBorders>
            <w:gridSpan w:val="14"/>
          </w:tcPr>
          <w:p>
            <w:pPr>
              <w:spacing w:after="0" w:line="169" w:lineRule="exact"/>
              <w:rPr>
                <w:rFonts w:ascii="Arial" w:cs="Arial" w:eastAsia="Arial" w:hAnsi="Arial"/>
                <w:sz w:val="16"/>
                <w:szCs w:val="16"/>
                <w:color w:val="0000EE"/>
                <w:w w:val="99"/>
              </w:rPr>
            </w:pPr>
            <w:hyperlink r:id="rId210">
              <w:r>
                <w:rPr>
                  <w:rFonts w:ascii="Arial" w:cs="Arial" w:eastAsia="Arial" w:hAnsi="Arial"/>
                  <w:sz w:val="16"/>
                  <w:szCs w:val="16"/>
                  <w:color w:val="0000EE"/>
                  <w:w w:val="99"/>
                </w:rPr>
                <w:t>Company’s 2021 Equity Incentive Plan (incorporated by reference to Exhibit 10.3 of the Company’s</w:t>
              </w:r>
            </w:hyperlink>
          </w:p>
        </w:tc>
        <w:tc>
          <w:tcPr>
            <w:tcW w:w="40" w:type="dxa"/>
            <w:vAlign w:val="bottom"/>
            <w:tcBorders>
              <w:bottom w:val="single" w:sz="8" w:color="0000EE"/>
            </w:tcBorders>
            <w:gridSpan w:val="2"/>
          </w:tcPr>
          <w:p>
            <w:pPr>
              <w:spacing w:after="0"/>
              <w:rPr>
                <w:sz w:val="14"/>
                <w:szCs w:val="14"/>
                <w:color w:val="auto"/>
              </w:rPr>
            </w:pPr>
          </w:p>
        </w:tc>
        <w:tc>
          <w:tcPr>
            <w:tcW w:w="8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00" w:type="dxa"/>
            <w:vAlign w:val="bottom"/>
            <w:gridSpan w:val="18"/>
          </w:tcPr>
          <w:p>
            <w:pPr>
              <w:spacing w:after="0" w:line="169" w:lineRule="exact"/>
              <w:rPr>
                <w:rFonts w:ascii="Arial" w:cs="Arial" w:eastAsia="Arial" w:hAnsi="Arial"/>
                <w:sz w:val="16"/>
                <w:szCs w:val="16"/>
                <w:color w:val="0000EE"/>
              </w:rPr>
            </w:pPr>
            <w:hyperlink r:id="rId210">
              <w:r>
                <w:rPr>
                  <w:rFonts w:ascii="Arial" w:cs="Arial" w:eastAsia="Arial" w:hAnsi="Arial"/>
                  <w:sz w:val="16"/>
                  <w:szCs w:val="16"/>
                  <w:color w:val="0000EE"/>
                </w:rPr>
                <w:t>Quarterly Report on Form 10-Q (File No. 001-40498) filed on November 5,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6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10.16</w:t>
            </w:r>
            <w:r>
              <w:rPr>
                <w:rFonts w:ascii="Arial" w:cs="Arial" w:eastAsia="Arial" w:hAnsi="Arial"/>
                <w:sz w:val="16"/>
                <w:szCs w:val="16"/>
                <w:color w:val="231F20"/>
                <w:w w:val="99"/>
              </w:rPr>
              <w:t>*</w:t>
            </w:r>
          </w:p>
        </w:tc>
        <w:tc>
          <w:tcPr>
            <w:tcW w:w="7640" w:type="dxa"/>
            <w:vAlign w:val="bottom"/>
            <w:gridSpan w:val="41"/>
          </w:tcPr>
          <w:p>
            <w:pPr>
              <w:spacing w:after="0"/>
              <w:rPr>
                <w:rFonts w:ascii="Arial" w:cs="Arial" w:eastAsia="Arial" w:hAnsi="Arial"/>
                <w:sz w:val="16"/>
                <w:szCs w:val="16"/>
                <w:color w:val="0000EE"/>
              </w:rPr>
            </w:pPr>
            <w:hyperlink r:id="rId211">
              <w:r>
                <w:rPr>
                  <w:rFonts w:ascii="Arial" w:cs="Arial" w:eastAsia="Arial" w:hAnsi="Arial"/>
                  <w:sz w:val="16"/>
                  <w:szCs w:val="16"/>
                  <w:color w:val="0000EE"/>
                </w:rPr>
                <w:t>Amended and Restated Option Agreement, by and between Century Therapeutics, Inc. and Bayer</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6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41"/>
          </w:tcPr>
          <w:p>
            <w:pPr>
              <w:spacing w:after="0" w:line="169" w:lineRule="exact"/>
              <w:rPr>
                <w:rFonts w:ascii="Arial" w:cs="Arial" w:eastAsia="Arial" w:hAnsi="Arial"/>
                <w:sz w:val="16"/>
                <w:szCs w:val="16"/>
                <w:color w:val="0000EE"/>
              </w:rPr>
            </w:pPr>
            <w:hyperlink r:id="rId211">
              <w:r>
                <w:rPr>
                  <w:rFonts w:ascii="Arial" w:cs="Arial" w:eastAsia="Arial" w:hAnsi="Arial"/>
                  <w:sz w:val="16"/>
                  <w:szCs w:val="16"/>
                  <w:color w:val="0000EE"/>
                </w:rPr>
                <w:t>HealthCare LLC, dated February 25, 2021 (incorporated by reference to Exhibit 10.15 to the Company’s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211">
              <w:r>
                <w:rPr>
                  <w:rFonts w:ascii="Arial" w:cs="Arial" w:eastAsia="Arial" w:hAnsi="Arial"/>
                  <w:sz w:val="16"/>
                  <w:szCs w:val="16"/>
                  <w:color w:val="0000EE"/>
                </w:rPr>
                <w:t>Registration Statement on Form S-1 (File No. 333-256648), dated May 28, 2021)</w:t>
              </w:r>
            </w:hyperlink>
          </w:p>
        </w:tc>
        <w:tc>
          <w:tcPr>
            <w:tcW w:w="1720" w:type="dxa"/>
            <w:vAlign w:val="bottom"/>
            <w:tcBorders>
              <w:top w:val="single" w:sz="8" w:color="0000EE"/>
            </w:tcBorders>
            <w:gridSpan w:val="2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10.17*</w:t>
            </w:r>
          </w:p>
        </w:tc>
        <w:tc>
          <w:tcPr>
            <w:tcW w:w="7640" w:type="dxa"/>
            <w:vAlign w:val="bottom"/>
            <w:gridSpan w:val="41"/>
          </w:tcPr>
          <w:p>
            <w:pPr>
              <w:spacing w:after="0"/>
              <w:rPr>
                <w:rFonts w:ascii="Arial" w:cs="Arial" w:eastAsia="Arial" w:hAnsi="Arial"/>
                <w:sz w:val="16"/>
                <w:szCs w:val="16"/>
                <w:color w:val="0000EE"/>
              </w:rPr>
            </w:pPr>
            <w:hyperlink r:id="rId212">
              <w:r>
                <w:rPr>
                  <w:rFonts w:ascii="Arial" w:cs="Arial" w:eastAsia="Arial" w:hAnsi="Arial"/>
                  <w:sz w:val="16"/>
                  <w:szCs w:val="16"/>
                  <w:color w:val="0000EE"/>
                </w:rPr>
                <w:t>Master Collaboration Agreement, by and between Century Therapeutics, Inc. and FUJIFILM Cellular</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80" w:type="dxa"/>
            <w:vAlign w:val="bottom"/>
            <w:tcBorders>
              <w:top w:val="single" w:sz="8" w:color="0000EE"/>
              <w:bottom w:val="single" w:sz="8" w:color="0000EE"/>
            </w:tcBorders>
            <w:gridSpan w:val="21"/>
          </w:tcPr>
          <w:p>
            <w:pPr>
              <w:spacing w:after="0" w:line="169" w:lineRule="exact"/>
              <w:rPr>
                <w:rFonts w:ascii="Arial" w:cs="Arial" w:eastAsia="Arial" w:hAnsi="Arial"/>
                <w:sz w:val="16"/>
                <w:szCs w:val="16"/>
                <w:color w:val="0000EE"/>
                <w:w w:val="99"/>
              </w:rPr>
            </w:pPr>
            <w:hyperlink r:id="rId212">
              <w:r>
                <w:rPr>
                  <w:rFonts w:ascii="Arial" w:cs="Arial" w:eastAsia="Arial" w:hAnsi="Arial"/>
                  <w:sz w:val="16"/>
                  <w:szCs w:val="16"/>
                  <w:color w:val="0000EE"/>
                  <w:w w:val="99"/>
                </w:rPr>
                <w:t>Dynamics, Inc., dated October 21, 2019 (incorporated by reference to Exhibit 10.16 to the Company’s</w:t>
              </w:r>
            </w:hyperlink>
          </w:p>
        </w:tc>
        <w:tc>
          <w:tcPr>
            <w:tcW w:w="4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212">
              <w:r>
                <w:rPr>
                  <w:rFonts w:ascii="Arial" w:cs="Arial" w:eastAsia="Arial" w:hAnsi="Arial"/>
                  <w:sz w:val="16"/>
                  <w:szCs w:val="16"/>
                  <w:color w:val="0000EE"/>
                </w:rPr>
                <w:t>Registration Statement on Form S-1 (File No. 333-256648), dated May 28, 2021)</w:t>
              </w:r>
            </w:hyperlink>
          </w:p>
        </w:tc>
        <w:tc>
          <w:tcPr>
            <w:tcW w:w="1480" w:type="dxa"/>
            <w:vAlign w:val="bottom"/>
            <w:gridSpan w:val="18"/>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10.18</w:t>
            </w:r>
          </w:p>
        </w:tc>
        <w:tc>
          <w:tcPr>
            <w:tcW w:w="7380" w:type="dxa"/>
            <w:vAlign w:val="bottom"/>
            <w:tcBorders>
              <w:bottom w:val="single" w:sz="8" w:color="0000EE"/>
            </w:tcBorders>
            <w:gridSpan w:val="28"/>
          </w:tcPr>
          <w:p>
            <w:pPr>
              <w:spacing w:after="0"/>
              <w:rPr>
                <w:rFonts w:ascii="Arial" w:cs="Arial" w:eastAsia="Arial" w:hAnsi="Arial"/>
                <w:sz w:val="16"/>
                <w:szCs w:val="16"/>
                <w:color w:val="0000EE"/>
              </w:rPr>
            </w:pPr>
            <w:hyperlink r:id="rId213">
              <w:r>
                <w:rPr>
                  <w:rFonts w:ascii="Arial" w:cs="Arial" w:eastAsia="Arial" w:hAnsi="Arial"/>
                  <w:sz w:val="16"/>
                  <w:szCs w:val="16"/>
                  <w:color w:val="0000EE"/>
                </w:rPr>
                <w:t>Amendment No. 1 to Master Collaboration Agreement, by and between Century Therapeutics, Inc. and</w:t>
              </w:r>
            </w:hyperlink>
          </w:p>
        </w:tc>
        <w:tc>
          <w:tcPr>
            <w:tcW w:w="2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41"/>
          </w:tcPr>
          <w:p>
            <w:pPr>
              <w:spacing w:after="0" w:line="169" w:lineRule="exact"/>
              <w:rPr>
                <w:rFonts w:ascii="Arial" w:cs="Arial" w:eastAsia="Arial" w:hAnsi="Arial"/>
                <w:sz w:val="16"/>
                <w:szCs w:val="16"/>
                <w:color w:val="0000EE"/>
              </w:rPr>
            </w:pPr>
            <w:hyperlink r:id="rId213">
              <w:r>
                <w:rPr>
                  <w:rFonts w:ascii="Arial" w:cs="Arial" w:eastAsia="Arial" w:hAnsi="Arial"/>
                  <w:sz w:val="16"/>
                  <w:szCs w:val="16"/>
                  <w:color w:val="0000EE"/>
                </w:rPr>
                <w:t>FUJIFILM Cellular Dynamics, Inc., dated July 17, 2020 (incorporated by reference to Exhibit 10.17 to the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60" w:type="dxa"/>
            <w:vAlign w:val="bottom"/>
            <w:tcBorders>
              <w:top w:val="single" w:sz="8" w:color="0000EE"/>
            </w:tcBorders>
            <w:gridSpan w:val="37"/>
          </w:tcPr>
          <w:p>
            <w:pPr>
              <w:spacing w:after="0" w:line="169" w:lineRule="exact"/>
              <w:rPr>
                <w:rFonts w:ascii="Arial" w:cs="Arial" w:eastAsia="Arial" w:hAnsi="Arial"/>
                <w:sz w:val="16"/>
                <w:szCs w:val="16"/>
                <w:color w:val="0000EE"/>
              </w:rPr>
            </w:pPr>
            <w:hyperlink r:id="rId213">
              <w:r>
                <w:rPr>
                  <w:rFonts w:ascii="Arial" w:cs="Arial" w:eastAsia="Arial" w:hAnsi="Arial"/>
                  <w:sz w:val="16"/>
                  <w:szCs w:val="16"/>
                  <w:color w:val="0000EE"/>
                </w:rPr>
                <w:t>Company’s Registration Statement on Form S-1 (File No. 333-256648), dated May 28,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620" w:type="dxa"/>
            <w:vAlign w:val="bottom"/>
            <w:gridSpan w:val="4"/>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10.19*</w:t>
            </w:r>
          </w:p>
        </w:tc>
        <w:tc>
          <w:tcPr>
            <w:tcW w:w="7320" w:type="dxa"/>
            <w:vAlign w:val="bottom"/>
            <w:tcBorders>
              <w:bottom w:val="single" w:sz="8" w:color="0000EE"/>
            </w:tcBorders>
            <w:gridSpan w:val="25"/>
          </w:tcPr>
          <w:p>
            <w:pPr>
              <w:spacing w:after="0"/>
              <w:rPr>
                <w:rFonts w:ascii="Arial" w:cs="Arial" w:eastAsia="Arial" w:hAnsi="Arial"/>
                <w:sz w:val="16"/>
                <w:szCs w:val="16"/>
                <w:color w:val="0000EE"/>
              </w:rPr>
            </w:pPr>
            <w:hyperlink r:id="rId214">
              <w:r>
                <w:rPr>
                  <w:rFonts w:ascii="Arial" w:cs="Arial" w:eastAsia="Arial" w:hAnsi="Arial"/>
                  <w:sz w:val="16"/>
                  <w:szCs w:val="16"/>
                  <w:color w:val="0000EE"/>
                </w:rPr>
                <w:t>Amendment No. 2 to Master Collaboration Agreement by and between Century Therapeutics, Inc. and</w:t>
              </w:r>
            </w:hyperlink>
          </w:p>
        </w:tc>
        <w:tc>
          <w:tcPr>
            <w:tcW w:w="3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41"/>
          </w:tcPr>
          <w:p>
            <w:pPr>
              <w:spacing w:after="0" w:line="169" w:lineRule="exact"/>
              <w:rPr>
                <w:rFonts w:ascii="Arial" w:cs="Arial" w:eastAsia="Arial" w:hAnsi="Arial"/>
                <w:sz w:val="16"/>
                <w:szCs w:val="16"/>
                <w:color w:val="0000EE"/>
              </w:rPr>
            </w:pPr>
            <w:hyperlink r:id="rId214">
              <w:r>
                <w:rPr>
                  <w:rFonts w:ascii="Arial" w:cs="Arial" w:eastAsia="Arial" w:hAnsi="Arial"/>
                  <w:sz w:val="16"/>
                  <w:szCs w:val="16"/>
                  <w:color w:val="0000EE"/>
                </w:rPr>
                <w:t>FUJIFILM Cellular Dynamics, Inc., dated March 23, 2021 (incorporated by reference to Exhibit 10.18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12"/>
          </w:tcPr>
          <w:p>
            <w:pPr>
              <w:spacing w:after="0" w:line="169" w:lineRule="exact"/>
              <w:rPr>
                <w:rFonts w:ascii="Arial" w:cs="Arial" w:eastAsia="Arial" w:hAnsi="Arial"/>
                <w:sz w:val="16"/>
                <w:szCs w:val="16"/>
                <w:color w:val="0000EE"/>
              </w:rPr>
            </w:pPr>
            <w:hyperlink r:id="rId214">
              <w:r>
                <w:rPr>
                  <w:rFonts w:ascii="Arial" w:cs="Arial" w:eastAsia="Arial" w:hAnsi="Arial"/>
                  <w:sz w:val="16"/>
                  <w:szCs w:val="16"/>
                  <w:color w:val="0000EE"/>
                </w:rPr>
                <w:t>the Company’s Registration Statement on Form S-1 (File No. 333-256648), dated May 28, 2021)</w:t>
              </w:r>
            </w:hyperlink>
          </w:p>
        </w:tc>
        <w:tc>
          <w:tcPr>
            <w:tcW w:w="48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10.20</w:t>
            </w:r>
          </w:p>
        </w:tc>
        <w:tc>
          <w:tcPr>
            <w:tcW w:w="7320" w:type="dxa"/>
            <w:vAlign w:val="bottom"/>
            <w:tcBorders>
              <w:bottom w:val="single" w:sz="8" w:color="0000EE"/>
            </w:tcBorders>
            <w:gridSpan w:val="25"/>
          </w:tcPr>
          <w:p>
            <w:pPr>
              <w:spacing w:after="0"/>
              <w:rPr>
                <w:rFonts w:ascii="Arial" w:cs="Arial" w:eastAsia="Arial" w:hAnsi="Arial"/>
                <w:sz w:val="16"/>
                <w:szCs w:val="16"/>
                <w:color w:val="0000EE"/>
              </w:rPr>
            </w:pPr>
            <w:hyperlink r:id="rId215">
              <w:r>
                <w:rPr>
                  <w:rFonts w:ascii="Arial" w:cs="Arial" w:eastAsia="Arial" w:hAnsi="Arial"/>
                  <w:sz w:val="16"/>
                  <w:szCs w:val="16"/>
                  <w:color w:val="0000EE"/>
                </w:rPr>
                <w:t>Amendment No. 3 to Master Collaboration Agreement by and between Century Therapeutics, Inc. and</w:t>
              </w:r>
            </w:hyperlink>
          </w:p>
        </w:tc>
        <w:tc>
          <w:tcPr>
            <w:tcW w:w="3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41"/>
          </w:tcPr>
          <w:p>
            <w:pPr>
              <w:spacing w:after="0" w:line="169" w:lineRule="exact"/>
              <w:rPr>
                <w:rFonts w:ascii="Arial" w:cs="Arial" w:eastAsia="Arial" w:hAnsi="Arial"/>
                <w:sz w:val="16"/>
                <w:szCs w:val="16"/>
                <w:color w:val="0000EE"/>
              </w:rPr>
            </w:pPr>
            <w:hyperlink r:id="rId215">
              <w:r>
                <w:rPr>
                  <w:rFonts w:ascii="Arial" w:cs="Arial" w:eastAsia="Arial" w:hAnsi="Arial"/>
                  <w:sz w:val="16"/>
                  <w:szCs w:val="16"/>
                  <w:color w:val="0000EE"/>
                </w:rPr>
                <w:t>FUJIFILM Cellular Dynamics, Inc., dated March 29, 2021 (incorporated by reference to Exhibit 10.19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12"/>
          </w:tcPr>
          <w:p>
            <w:pPr>
              <w:spacing w:after="0" w:line="169" w:lineRule="exact"/>
              <w:rPr>
                <w:rFonts w:ascii="Arial" w:cs="Arial" w:eastAsia="Arial" w:hAnsi="Arial"/>
                <w:sz w:val="16"/>
                <w:szCs w:val="16"/>
                <w:color w:val="0000EE"/>
              </w:rPr>
            </w:pPr>
            <w:hyperlink r:id="rId215">
              <w:r>
                <w:rPr>
                  <w:rFonts w:ascii="Arial" w:cs="Arial" w:eastAsia="Arial" w:hAnsi="Arial"/>
                  <w:sz w:val="16"/>
                  <w:szCs w:val="16"/>
                  <w:color w:val="0000EE"/>
                </w:rPr>
                <w:t>the Company’s Registration Statement on Form S-1 (File No. 333-256648), dated May 28, 2021)</w:t>
              </w:r>
            </w:hyperlink>
          </w:p>
        </w:tc>
        <w:tc>
          <w:tcPr>
            <w:tcW w:w="48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10.21*</w:t>
            </w:r>
          </w:p>
        </w:tc>
        <w:tc>
          <w:tcPr>
            <w:tcW w:w="7640" w:type="dxa"/>
            <w:vAlign w:val="bottom"/>
            <w:gridSpan w:val="41"/>
          </w:tcPr>
          <w:p>
            <w:pPr>
              <w:spacing w:after="0"/>
              <w:rPr>
                <w:rFonts w:ascii="Arial" w:cs="Arial" w:eastAsia="Arial" w:hAnsi="Arial"/>
                <w:sz w:val="16"/>
                <w:szCs w:val="16"/>
                <w:color w:val="0000EE"/>
              </w:rPr>
            </w:pPr>
            <w:hyperlink r:id="rId216">
              <w:r>
                <w:rPr>
                  <w:rFonts w:ascii="Arial" w:cs="Arial" w:eastAsia="Arial" w:hAnsi="Arial"/>
                  <w:sz w:val="16"/>
                  <w:szCs w:val="16"/>
                  <w:color w:val="0000EE"/>
                </w:rPr>
                <w:t>Amendment No. 4 to Master Collaboration Agreement, by and between Century Therapeutics, Inc. and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380" w:type="dxa"/>
            <w:vAlign w:val="bottom"/>
            <w:tcBorders>
              <w:top w:val="single" w:sz="8" w:color="0000EE"/>
              <w:bottom w:val="single" w:sz="8" w:color="0000EE"/>
            </w:tcBorders>
            <w:gridSpan w:val="28"/>
          </w:tcPr>
          <w:p>
            <w:pPr>
              <w:spacing w:after="0" w:line="169" w:lineRule="exact"/>
              <w:rPr>
                <w:rFonts w:ascii="Arial" w:cs="Arial" w:eastAsia="Arial" w:hAnsi="Arial"/>
                <w:sz w:val="16"/>
                <w:szCs w:val="16"/>
                <w:color w:val="0000EE"/>
              </w:rPr>
            </w:pPr>
            <w:hyperlink r:id="rId216">
              <w:r>
                <w:rPr>
                  <w:rFonts w:ascii="Arial" w:cs="Arial" w:eastAsia="Arial" w:hAnsi="Arial"/>
                  <w:sz w:val="16"/>
                  <w:szCs w:val="16"/>
                  <w:color w:val="0000EE"/>
                </w:rPr>
                <w:t>FUJIFILM Cellular Dynamics, Inc., dated July 29, 2022 (incorporated by reference to Exhibit 10.1 to the</w:t>
              </w:r>
            </w:hyperlink>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66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r:id="rId216">
              <w:r>
                <w:rPr>
                  <w:rFonts w:ascii="Arial" w:cs="Arial" w:eastAsia="Arial" w:hAnsi="Arial"/>
                  <w:sz w:val="16"/>
                  <w:szCs w:val="16"/>
                  <w:color w:val="0000EE"/>
                </w:rPr>
                <w:t>Company’s Quarterly Report on Form 10-Q (File No. 001-40498), dated November 10, 2022)</w:t>
              </w:r>
            </w:hyperlink>
          </w:p>
        </w:tc>
        <w:tc>
          <w:tcPr>
            <w:tcW w:w="760" w:type="dxa"/>
            <w:vAlign w:val="bottom"/>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rPr>
              <w:t>10.22</w:t>
            </w:r>
          </w:p>
        </w:tc>
        <w:tc>
          <w:tcPr>
            <w:tcW w:w="7140" w:type="dxa"/>
            <w:vAlign w:val="bottom"/>
            <w:tcBorders>
              <w:bottom w:val="single" w:sz="8" w:color="0000EE"/>
            </w:tcBorders>
            <w:gridSpan w:val="20"/>
          </w:tcPr>
          <w:p>
            <w:pPr>
              <w:spacing w:after="0"/>
              <w:rPr>
                <w:rFonts w:ascii="Arial" w:cs="Arial" w:eastAsia="Arial" w:hAnsi="Arial"/>
                <w:sz w:val="16"/>
                <w:szCs w:val="16"/>
                <w:color w:val="0000EE"/>
              </w:rPr>
            </w:pPr>
            <w:hyperlink r:id="rId217">
              <w:r>
                <w:rPr>
                  <w:rFonts w:ascii="Arial" w:cs="Arial" w:eastAsia="Arial" w:hAnsi="Arial"/>
                  <w:sz w:val="16"/>
                  <w:szCs w:val="16"/>
                  <w:color w:val="0000EE"/>
                </w:rPr>
                <w:t>Letter Agreement, by and among Century Therapeutics, Inc., FUJIFILM Cellular Dynamics, Inc. and</w:t>
              </w:r>
            </w:hyperlink>
          </w:p>
        </w:tc>
        <w:tc>
          <w:tcPr>
            <w:tcW w:w="50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41"/>
          </w:tcPr>
          <w:p>
            <w:pPr>
              <w:spacing w:after="0" w:line="169" w:lineRule="exact"/>
              <w:rPr>
                <w:rFonts w:ascii="Arial" w:cs="Arial" w:eastAsia="Arial" w:hAnsi="Arial"/>
                <w:sz w:val="16"/>
                <w:szCs w:val="16"/>
                <w:color w:val="0000EE"/>
              </w:rPr>
            </w:pPr>
            <w:hyperlink r:id="rId217">
              <w:r>
                <w:rPr>
                  <w:rFonts w:ascii="Arial" w:cs="Arial" w:eastAsia="Arial" w:hAnsi="Arial"/>
                  <w:sz w:val="16"/>
                  <w:szCs w:val="16"/>
                  <w:color w:val="0000EE"/>
                </w:rPr>
                <w:t>Wisconsin Alumni Research Foundation, dated July 2, 2019 (incorporated by reference to Exhibit 10.20</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20" w:type="dxa"/>
            <w:vAlign w:val="bottom"/>
            <w:tcBorders>
              <w:top w:val="single" w:sz="8" w:color="0000EE"/>
              <w:bottom w:val="single" w:sz="8" w:color="0000EE"/>
            </w:tcBorders>
            <w:gridSpan w:val="19"/>
          </w:tcPr>
          <w:p>
            <w:pPr>
              <w:spacing w:after="0" w:line="169" w:lineRule="exact"/>
              <w:rPr>
                <w:rFonts w:ascii="Arial" w:cs="Arial" w:eastAsia="Arial" w:hAnsi="Arial"/>
                <w:sz w:val="16"/>
                <w:szCs w:val="16"/>
                <w:color w:val="0000EE"/>
              </w:rPr>
            </w:pPr>
            <w:hyperlink r:id="rId217">
              <w:r>
                <w:rPr>
                  <w:rFonts w:ascii="Arial" w:cs="Arial" w:eastAsia="Arial" w:hAnsi="Arial"/>
                  <w:sz w:val="16"/>
                  <w:szCs w:val="16"/>
                  <w:color w:val="0000EE"/>
                </w:rPr>
                <w:t>to the Company’s Registration Statement on Form S-1 (File No. 333-256648), dated May 28, 2021)</w:t>
              </w:r>
            </w:hyperlink>
          </w:p>
        </w:tc>
        <w:tc>
          <w:tcPr>
            <w:tcW w:w="340" w:type="dxa"/>
            <w:vAlign w:val="bottom"/>
            <w:tcBorders>
              <w:top w:val="single" w:sz="8" w:color="0000EE"/>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10.23*</w:t>
            </w:r>
          </w:p>
        </w:tc>
        <w:tc>
          <w:tcPr>
            <w:tcW w:w="7640" w:type="dxa"/>
            <w:vAlign w:val="bottom"/>
            <w:gridSpan w:val="41"/>
          </w:tcPr>
          <w:p>
            <w:pPr>
              <w:spacing w:after="0"/>
              <w:rPr>
                <w:rFonts w:ascii="Arial" w:cs="Arial" w:eastAsia="Arial" w:hAnsi="Arial"/>
                <w:sz w:val="16"/>
                <w:szCs w:val="16"/>
                <w:color w:val="0000EE"/>
              </w:rPr>
            </w:pPr>
            <w:hyperlink r:id="rId218">
              <w:r>
                <w:rPr>
                  <w:rFonts w:ascii="Arial" w:cs="Arial" w:eastAsia="Arial" w:hAnsi="Arial"/>
                  <w:sz w:val="16"/>
                  <w:szCs w:val="16"/>
                  <w:color w:val="0000EE"/>
                </w:rPr>
                <w:t>License Agreement (Differentiation), by and between Century Therapeutics, Inc. and FUJIFILM Cellular</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440" w:type="dxa"/>
            <w:vAlign w:val="bottom"/>
            <w:tcBorders>
              <w:top w:val="single" w:sz="8" w:color="0000EE"/>
              <w:bottom w:val="single" w:sz="8" w:color="0000EE"/>
            </w:tcBorders>
            <w:gridSpan w:val="31"/>
          </w:tcPr>
          <w:p>
            <w:pPr>
              <w:spacing w:after="0" w:line="169" w:lineRule="exact"/>
              <w:rPr>
                <w:rFonts w:ascii="Arial" w:cs="Arial" w:eastAsia="Arial" w:hAnsi="Arial"/>
                <w:sz w:val="16"/>
                <w:szCs w:val="16"/>
                <w:color w:val="0000EE"/>
              </w:rPr>
            </w:pPr>
            <w:hyperlink r:id="rId218">
              <w:r>
                <w:rPr>
                  <w:rFonts w:ascii="Arial" w:cs="Arial" w:eastAsia="Arial" w:hAnsi="Arial"/>
                  <w:sz w:val="16"/>
                  <w:szCs w:val="16"/>
                  <w:color w:val="0000EE"/>
                </w:rPr>
                <w:t>Dynamics, Inc., dated September 18, 2018 (incorporated by reference to Exhibit 10.21 to the Company’s</w:t>
              </w:r>
            </w:hyperlink>
          </w:p>
        </w:tc>
        <w:tc>
          <w:tcPr>
            <w:tcW w:w="60" w:type="dxa"/>
            <w:vAlign w:val="bottom"/>
            <w:tcBorders>
              <w:bottom w:val="single" w:sz="8" w:color="0000EE"/>
            </w:tcBorders>
            <w:gridSpan w:val="3"/>
          </w:tcPr>
          <w:p>
            <w:pPr>
              <w:spacing w:after="0"/>
              <w:rPr>
                <w:sz w:val="14"/>
                <w:szCs w:val="14"/>
                <w:color w:val="auto"/>
              </w:rPr>
            </w:pPr>
          </w:p>
        </w:tc>
        <w:tc>
          <w:tcPr>
            <w:tcW w:w="80" w:type="dxa"/>
            <w:vAlign w:val="bottom"/>
            <w:tcBorders>
              <w:bottom w:val="single" w:sz="8" w:color="0000EE"/>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80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218">
              <w:r>
                <w:rPr>
                  <w:rFonts w:ascii="Arial" w:cs="Arial" w:eastAsia="Arial" w:hAnsi="Arial"/>
                  <w:sz w:val="16"/>
                  <w:szCs w:val="16"/>
                  <w:color w:val="0000EE"/>
                </w:rPr>
                <w:t>Registration Statement on Form S-1 (File No. 333-256648), dated May 28, 2021)</w:t>
              </w:r>
            </w:hyperlink>
          </w:p>
        </w:tc>
        <w:tc>
          <w:tcPr>
            <w:tcW w:w="1780" w:type="dxa"/>
            <w:vAlign w:val="bottom"/>
            <w:gridSpan w:val="3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10.24*</w:t>
            </w:r>
          </w:p>
        </w:tc>
        <w:tc>
          <w:tcPr>
            <w:tcW w:w="7260" w:type="dxa"/>
            <w:vAlign w:val="bottom"/>
            <w:tcBorders>
              <w:bottom w:val="single" w:sz="8" w:color="0000EE"/>
            </w:tcBorders>
            <w:gridSpan w:val="23"/>
          </w:tcPr>
          <w:p>
            <w:pPr>
              <w:spacing w:after="0"/>
              <w:rPr>
                <w:rFonts w:ascii="Arial" w:cs="Arial" w:eastAsia="Arial" w:hAnsi="Arial"/>
                <w:sz w:val="16"/>
                <w:szCs w:val="16"/>
                <w:color w:val="0000EE"/>
              </w:rPr>
            </w:pPr>
            <w:hyperlink r:id="rId219">
              <w:r>
                <w:rPr>
                  <w:rFonts w:ascii="Arial" w:cs="Arial" w:eastAsia="Arial" w:hAnsi="Arial"/>
                  <w:sz w:val="16"/>
                  <w:szCs w:val="16"/>
                  <w:color w:val="0000EE"/>
                </w:rPr>
                <w:t>Amendment No. 1 to License Agreement (Differentiation), by and between Century Therapeutics, Inc.</w:t>
              </w:r>
            </w:hyperlink>
          </w:p>
        </w:tc>
        <w:tc>
          <w:tcPr>
            <w:tcW w:w="38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640" w:type="dxa"/>
            <w:vAlign w:val="bottom"/>
            <w:gridSpan w:val="41"/>
          </w:tcPr>
          <w:p>
            <w:pPr>
              <w:spacing w:after="0" w:line="169" w:lineRule="exact"/>
              <w:rPr>
                <w:rFonts w:ascii="Arial" w:cs="Arial" w:eastAsia="Arial" w:hAnsi="Arial"/>
                <w:sz w:val="16"/>
                <w:szCs w:val="16"/>
                <w:color w:val="0000EE"/>
              </w:rPr>
            </w:pPr>
            <w:hyperlink r:id="rId219">
              <w:r>
                <w:rPr>
                  <w:rFonts w:ascii="Arial" w:cs="Arial" w:eastAsia="Arial" w:hAnsi="Arial"/>
                  <w:sz w:val="16"/>
                  <w:szCs w:val="16"/>
                  <w:color w:val="0000EE"/>
                </w:rPr>
                <w:t>and FUJIFILM Cellular Dynamics, Inc., dated March 23, 2021 (incorporated by reference to Exhibit 10.22</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120" w:type="dxa"/>
            <w:vAlign w:val="bottom"/>
            <w:tcBorders>
              <w:top w:val="single" w:sz="8" w:color="0000EE"/>
              <w:bottom w:val="single" w:sz="8" w:color="0000EE"/>
            </w:tcBorders>
            <w:gridSpan w:val="19"/>
          </w:tcPr>
          <w:p>
            <w:pPr>
              <w:spacing w:after="0" w:line="169" w:lineRule="exact"/>
              <w:rPr>
                <w:rFonts w:ascii="Arial" w:cs="Arial" w:eastAsia="Arial" w:hAnsi="Arial"/>
                <w:sz w:val="16"/>
                <w:szCs w:val="16"/>
                <w:color w:val="0000EE"/>
              </w:rPr>
            </w:pPr>
            <w:hyperlink r:id="rId219">
              <w:r>
                <w:rPr>
                  <w:rFonts w:ascii="Arial" w:cs="Arial" w:eastAsia="Arial" w:hAnsi="Arial"/>
                  <w:sz w:val="16"/>
                  <w:szCs w:val="16"/>
                  <w:color w:val="0000EE"/>
                </w:rPr>
                <w:t>to the Company’s Registration Statement on Form S-1 (File No. 333-256648), dated May 28, 2021)</w:t>
              </w:r>
            </w:hyperlink>
          </w:p>
        </w:tc>
        <w:tc>
          <w:tcPr>
            <w:tcW w:w="500" w:type="dxa"/>
            <w:vAlign w:val="bottom"/>
            <w:tcBorders>
              <w:top w:val="single" w:sz="8" w:color="0000EE"/>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10.25*</w:t>
            </w:r>
          </w:p>
        </w:tc>
        <w:tc>
          <w:tcPr>
            <w:tcW w:w="7640" w:type="dxa"/>
            <w:vAlign w:val="bottom"/>
            <w:gridSpan w:val="41"/>
          </w:tcPr>
          <w:p>
            <w:pPr>
              <w:spacing w:after="0"/>
              <w:rPr>
                <w:rFonts w:ascii="Arial" w:cs="Arial" w:eastAsia="Arial" w:hAnsi="Arial"/>
                <w:sz w:val="16"/>
                <w:szCs w:val="16"/>
                <w:color w:val="0000EE"/>
              </w:rPr>
            </w:pPr>
            <w:hyperlink r:id="rId220">
              <w:r>
                <w:rPr>
                  <w:rFonts w:ascii="Arial" w:cs="Arial" w:eastAsia="Arial" w:hAnsi="Arial"/>
                  <w:sz w:val="16"/>
                  <w:szCs w:val="16"/>
                  <w:color w:val="0000EE"/>
                </w:rPr>
                <w:t>License Agreement (Reprogramming), by and between Century Therapeutics, Inc. and FUJIFILM</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960" w:type="dxa"/>
            <w:vAlign w:val="bottom"/>
            <w:tcBorders>
              <w:top w:val="single" w:sz="8" w:color="0000EE"/>
            </w:tcBorders>
            <w:gridSpan w:val="13"/>
          </w:tcPr>
          <w:p>
            <w:pPr>
              <w:spacing w:after="0" w:line="169" w:lineRule="exact"/>
              <w:rPr>
                <w:rFonts w:ascii="Arial" w:cs="Arial" w:eastAsia="Arial" w:hAnsi="Arial"/>
                <w:sz w:val="16"/>
                <w:szCs w:val="16"/>
                <w:color w:val="0000EE"/>
              </w:rPr>
            </w:pPr>
            <w:hyperlink r:id="rId220">
              <w:r>
                <w:rPr>
                  <w:rFonts w:ascii="Arial" w:cs="Arial" w:eastAsia="Arial" w:hAnsi="Arial"/>
                  <w:sz w:val="16"/>
                  <w:szCs w:val="16"/>
                  <w:color w:val="0000EE"/>
                </w:rPr>
                <w:t>Cellular Dynamics, Inc., dated September 18, 2018 (incorporated by reference to Exhibit 10.23 to</w:t>
              </w:r>
            </w:hyperlink>
          </w:p>
        </w:tc>
        <w:tc>
          <w:tcPr>
            <w:tcW w:w="680" w:type="dxa"/>
            <w:vAlign w:val="bottom"/>
            <w:gridSpan w:val="28"/>
          </w:tcPr>
          <w:p>
            <w:pPr>
              <w:ind w:left="40"/>
              <w:spacing w:after="0" w:line="169" w:lineRule="exact"/>
              <w:rPr>
                <w:rFonts w:ascii="Arial" w:cs="Arial" w:eastAsia="Arial" w:hAnsi="Arial"/>
                <w:sz w:val="16"/>
                <w:szCs w:val="16"/>
                <w:color w:val="0000EE"/>
              </w:rPr>
            </w:pPr>
            <w:hyperlink r:id="rId220">
              <w:r>
                <w:rPr>
                  <w:rFonts w:ascii="Arial" w:cs="Arial" w:eastAsia="Arial" w:hAnsi="Arial"/>
                  <w:sz w:val="16"/>
                  <w:szCs w:val="16"/>
                  <w:color w:val="0000EE"/>
                </w:rPr>
                <w:t>the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22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220">
              <w:r>
                <w:rPr>
                  <w:rFonts w:ascii="Arial" w:cs="Arial" w:eastAsia="Arial" w:hAnsi="Arial"/>
                  <w:sz w:val="16"/>
                  <w:szCs w:val="16"/>
                  <w:color w:val="0000EE"/>
                </w:rPr>
                <w:t>Company’s Registration Statement on Form S-1 (File No. 333-256648), dated May 28, 2021)</w:t>
              </w:r>
            </w:hyperlink>
          </w:p>
        </w:tc>
        <w:tc>
          <w:tcPr>
            <w:tcW w:w="280" w:type="dxa"/>
            <w:vAlign w:val="bottom"/>
            <w:gridSpan w:val="12"/>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620" w:type="dxa"/>
            <w:vAlign w:val="bottom"/>
            <w:gridSpan w:val="4"/>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860" w:type="dxa"/>
            <w:vAlign w:val="bottom"/>
            <w:gridSpan w:val="2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jc w:val="center"/>
              <w:ind w:right="179"/>
              <w:spacing w:after="0"/>
              <w:rPr>
                <w:sz w:val="20"/>
                <w:szCs w:val="20"/>
                <w:color w:val="auto"/>
              </w:rPr>
            </w:pPr>
            <w:r>
              <w:rPr>
                <w:rFonts w:ascii="Arial" w:cs="Arial" w:eastAsia="Arial" w:hAnsi="Arial"/>
                <w:sz w:val="16"/>
                <w:szCs w:val="16"/>
                <w:color w:val="auto"/>
                <w:w w:val="99"/>
              </w:rPr>
              <w:t>10.26*</w:t>
            </w:r>
          </w:p>
        </w:tc>
        <w:tc>
          <w:tcPr>
            <w:tcW w:w="7640" w:type="dxa"/>
            <w:vAlign w:val="bottom"/>
            <w:gridSpan w:val="41"/>
          </w:tcPr>
          <w:p>
            <w:pPr>
              <w:spacing w:after="0"/>
              <w:rPr>
                <w:rFonts w:ascii="Arial" w:cs="Arial" w:eastAsia="Arial" w:hAnsi="Arial"/>
                <w:sz w:val="16"/>
                <w:szCs w:val="16"/>
                <w:color w:val="0000EE"/>
              </w:rPr>
            </w:pPr>
            <w:hyperlink r:id="rId221">
              <w:r>
                <w:rPr>
                  <w:rFonts w:ascii="Arial" w:cs="Arial" w:eastAsia="Arial" w:hAnsi="Arial"/>
                  <w:sz w:val="16"/>
                  <w:szCs w:val="16"/>
                  <w:color w:val="0000EE"/>
                </w:rPr>
                <w:t>Amendment No. 1 to License Agreement (Reprogramming), by and between Century Therapeutics, Inc.</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750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r:id="rId221">
              <w:r>
                <w:rPr>
                  <w:rFonts w:ascii="Arial" w:cs="Arial" w:eastAsia="Arial" w:hAnsi="Arial"/>
                  <w:sz w:val="16"/>
                  <w:szCs w:val="16"/>
                  <w:color w:val="0000EE"/>
                </w:rPr>
                <w:t>and FUJIFILM Cellular Dynamics, Inc., dated March 23, 2021 (incorporated by</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726"/>
        </w:trPr>
        <w:tc>
          <w:tcPr>
            <w:tcW w:w="1360" w:type="dxa"/>
            <w:vAlign w:val="bottom"/>
          </w:tcPr>
          <w:p>
            <w:pPr>
              <w:spacing w:after="0"/>
              <w:rPr>
                <w:sz w:val="24"/>
                <w:szCs w:val="24"/>
                <w:color w:val="auto"/>
              </w:rPr>
            </w:pPr>
          </w:p>
        </w:tc>
        <w:tc>
          <w:tcPr>
            <w:tcW w:w="5620" w:type="dxa"/>
            <w:vAlign w:val="bottom"/>
            <w:tcBorders>
              <w:top w:val="single" w:sz="8" w:color="0000EE"/>
            </w:tcBorders>
            <w:gridSpan w:val="4"/>
          </w:tcPr>
          <w:p>
            <w:pPr>
              <w:ind w:left="296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1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64" w:name="page165"/>
    <w:bookmarkEnd w:id="1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7500" w:type="dxa"/>
            <w:vAlign w:val="bottom"/>
            <w:gridSpan w:val="23"/>
          </w:tcPr>
          <w:p>
            <w:pPr>
              <w:spacing w:after="0"/>
              <w:rPr>
                <w:rFonts w:ascii="Arial" w:cs="Arial" w:eastAsia="Arial" w:hAnsi="Arial"/>
                <w:sz w:val="16"/>
                <w:szCs w:val="16"/>
                <w:color w:val="0000EE"/>
              </w:rPr>
            </w:pPr>
            <w:hyperlink r:id="rId221">
              <w:r>
                <w:rPr>
                  <w:rFonts w:ascii="Arial" w:cs="Arial" w:eastAsia="Arial" w:hAnsi="Arial"/>
                  <w:sz w:val="16"/>
                  <w:szCs w:val="16"/>
                  <w:color w:val="0000EE"/>
                </w:rPr>
                <w:t>reference to Exhibit 10.24 to the Company’s Registration Statement on Form S-1 (File No. 333-256648),</w:t>
              </w:r>
            </w:hyperlink>
          </w:p>
        </w:tc>
      </w:tr>
      <w:tr>
        <w:trPr>
          <w:trHeight w:val="169"/>
        </w:trPr>
        <w:tc>
          <w:tcPr>
            <w:tcW w:w="1040" w:type="dxa"/>
            <w:vAlign w:val="bottom"/>
          </w:tcPr>
          <w:p>
            <w:pPr>
              <w:spacing w:after="0"/>
              <w:rPr>
                <w:sz w:val="14"/>
                <w:szCs w:val="14"/>
                <w:color w:val="auto"/>
              </w:rPr>
            </w:pPr>
          </w:p>
        </w:tc>
        <w:tc>
          <w:tcPr>
            <w:tcW w:w="746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221">
              <w:r>
                <w:rPr>
                  <w:rFonts w:ascii="Arial" w:cs="Arial" w:eastAsia="Arial" w:hAnsi="Arial"/>
                  <w:sz w:val="16"/>
                  <w:szCs w:val="16"/>
                  <w:color w:val="0000EE"/>
                </w:rPr>
                <w:t>dated May 28, 2021)</w:t>
              </w:r>
            </w:hyperlink>
          </w:p>
        </w:tc>
        <w:tc>
          <w:tcPr>
            <w:tcW w:w="4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10.27*</w:t>
            </w:r>
          </w:p>
        </w:tc>
        <w:tc>
          <w:tcPr>
            <w:tcW w:w="7220" w:type="dxa"/>
            <w:vAlign w:val="bottom"/>
            <w:tcBorders>
              <w:bottom w:val="single" w:sz="8" w:color="0000EE"/>
            </w:tcBorders>
            <w:gridSpan w:val="14"/>
          </w:tcPr>
          <w:p>
            <w:pPr>
              <w:spacing w:after="0"/>
              <w:rPr>
                <w:rFonts w:ascii="Arial" w:cs="Arial" w:eastAsia="Arial" w:hAnsi="Arial"/>
                <w:sz w:val="16"/>
                <w:szCs w:val="16"/>
                <w:color w:val="0000EE"/>
              </w:rPr>
            </w:pPr>
            <w:hyperlink r:id="rId222">
              <w:r>
                <w:rPr>
                  <w:rFonts w:ascii="Arial" w:cs="Arial" w:eastAsia="Arial" w:hAnsi="Arial"/>
                  <w:sz w:val="16"/>
                  <w:szCs w:val="16"/>
                  <w:color w:val="0000EE"/>
                </w:rPr>
                <w:t>Letter Agreement by and between Century Therapeutics, Inc. and FUJIFILM Cellular Dynamics, Inc.,</w:t>
              </w:r>
            </w:hyperlink>
          </w:p>
        </w:tc>
        <w:tc>
          <w:tcPr>
            <w:tcW w:w="280" w:type="dxa"/>
            <w:vAlign w:val="bottom"/>
            <w:gridSpan w:val="9"/>
          </w:tcPr>
          <w:p>
            <w:pPr>
              <w:spacing w:after="0"/>
              <w:rPr>
                <w:sz w:val="20"/>
                <w:szCs w:val="20"/>
                <w:color w:val="auto"/>
              </w:rPr>
            </w:pPr>
          </w:p>
        </w:tc>
      </w:tr>
      <w:tr>
        <w:trPr>
          <w:trHeight w:val="169"/>
        </w:trPr>
        <w:tc>
          <w:tcPr>
            <w:tcW w:w="1040" w:type="dxa"/>
            <w:vAlign w:val="bottom"/>
          </w:tcPr>
          <w:p>
            <w:pPr>
              <w:spacing w:after="0"/>
              <w:rPr>
                <w:sz w:val="14"/>
                <w:szCs w:val="14"/>
                <w:color w:val="auto"/>
              </w:rPr>
            </w:pPr>
          </w:p>
        </w:tc>
        <w:tc>
          <w:tcPr>
            <w:tcW w:w="7500" w:type="dxa"/>
            <w:vAlign w:val="bottom"/>
            <w:gridSpan w:val="23"/>
          </w:tcPr>
          <w:p>
            <w:pPr>
              <w:spacing w:after="0" w:line="169" w:lineRule="exact"/>
              <w:rPr>
                <w:rFonts w:ascii="Arial" w:cs="Arial" w:eastAsia="Arial" w:hAnsi="Arial"/>
                <w:sz w:val="16"/>
                <w:szCs w:val="16"/>
                <w:color w:val="0000EE"/>
              </w:rPr>
            </w:pPr>
            <w:hyperlink r:id="rId222">
              <w:r>
                <w:rPr>
                  <w:rFonts w:ascii="Arial" w:cs="Arial" w:eastAsia="Arial" w:hAnsi="Arial"/>
                  <w:sz w:val="16"/>
                  <w:szCs w:val="16"/>
                  <w:color w:val="0000EE"/>
                </w:rPr>
                <w:t>dated January 7, 2022 (incorporated by reference to Exhibit 10.25 to the Company’s Annual Report on</w:t>
              </w:r>
            </w:hyperlink>
          </w:p>
        </w:tc>
      </w:tr>
      <w:tr>
        <w:trPr>
          <w:trHeight w:val="169"/>
        </w:trPr>
        <w:tc>
          <w:tcPr>
            <w:tcW w:w="1040" w:type="dxa"/>
            <w:vAlign w:val="bottom"/>
          </w:tcPr>
          <w:p>
            <w:pPr>
              <w:spacing w:after="0"/>
              <w:rPr>
                <w:sz w:val="14"/>
                <w:szCs w:val="14"/>
                <w:color w:val="auto"/>
              </w:rPr>
            </w:pPr>
          </w:p>
        </w:tc>
        <w:tc>
          <w:tcPr>
            <w:tcW w:w="402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222">
              <w:r>
                <w:rPr>
                  <w:rFonts w:ascii="Arial" w:cs="Arial" w:eastAsia="Arial" w:hAnsi="Arial"/>
                  <w:sz w:val="16"/>
                  <w:szCs w:val="16"/>
                  <w:color w:val="0000EE"/>
                </w:rPr>
                <w:t>Form 10-K (File No. 001-40498), dated March 17, 2022)</w:t>
              </w:r>
            </w:hyperlink>
          </w:p>
        </w:tc>
        <w:tc>
          <w:tcPr>
            <w:tcW w:w="3320" w:type="dxa"/>
            <w:vAlign w:val="bottom"/>
            <w:tcBorders>
              <w:top w:val="single" w:sz="8" w:color="0000EE"/>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10.28*</w:t>
            </w:r>
          </w:p>
        </w:tc>
        <w:tc>
          <w:tcPr>
            <w:tcW w:w="7500" w:type="dxa"/>
            <w:vAlign w:val="bottom"/>
            <w:gridSpan w:val="23"/>
          </w:tcPr>
          <w:p>
            <w:pPr>
              <w:spacing w:after="0"/>
              <w:rPr>
                <w:rFonts w:ascii="Arial" w:cs="Arial" w:eastAsia="Arial" w:hAnsi="Arial"/>
                <w:sz w:val="16"/>
                <w:szCs w:val="16"/>
                <w:color w:val="0000EE"/>
              </w:rPr>
            </w:pPr>
            <w:hyperlink r:id="rId223">
              <w:r>
                <w:rPr>
                  <w:rFonts w:ascii="Arial" w:cs="Arial" w:eastAsia="Arial" w:hAnsi="Arial"/>
                  <w:sz w:val="16"/>
                  <w:szCs w:val="16"/>
                  <w:color w:val="0000EE"/>
                </w:rPr>
                <w:t>Manufacturing Agreement, by and between Century Therapeutics, Inc. and FUJIFILM Cellular</w:t>
              </w:r>
            </w:hyperlink>
          </w:p>
        </w:tc>
      </w:tr>
      <w:tr>
        <w:trPr>
          <w:trHeight w:val="20"/>
        </w:trPr>
        <w:tc>
          <w:tcPr>
            <w:tcW w:w="104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7500" w:type="dxa"/>
            <w:vAlign w:val="bottom"/>
            <w:gridSpan w:val="23"/>
          </w:tcPr>
          <w:p>
            <w:pPr>
              <w:spacing w:after="0" w:line="169" w:lineRule="exact"/>
              <w:rPr>
                <w:rFonts w:ascii="Arial" w:cs="Arial" w:eastAsia="Arial" w:hAnsi="Arial"/>
                <w:sz w:val="16"/>
                <w:szCs w:val="16"/>
                <w:color w:val="0000EE"/>
              </w:rPr>
            </w:pPr>
            <w:hyperlink r:id="rId223">
              <w:r>
                <w:rPr>
                  <w:rFonts w:ascii="Arial" w:cs="Arial" w:eastAsia="Arial" w:hAnsi="Arial"/>
                  <w:sz w:val="16"/>
                  <w:szCs w:val="16"/>
                  <w:color w:val="0000EE"/>
                </w:rPr>
                <w:t>Dynamics, Inc., dated March 23, 2021 (incorporated by reference to Exhibit 10.25 to the Company’s</w:t>
              </w:r>
            </w:hyperlink>
          </w:p>
        </w:tc>
      </w:tr>
      <w:tr>
        <w:trPr>
          <w:trHeight w:val="169"/>
        </w:trPr>
        <w:tc>
          <w:tcPr>
            <w:tcW w:w="1040" w:type="dxa"/>
            <w:vAlign w:val="bottom"/>
          </w:tcPr>
          <w:p>
            <w:pPr>
              <w:spacing w:after="0"/>
              <w:rPr>
                <w:sz w:val="14"/>
                <w:szCs w:val="14"/>
                <w:color w:val="auto"/>
              </w:rPr>
            </w:pPr>
          </w:p>
        </w:tc>
        <w:tc>
          <w:tcPr>
            <w:tcW w:w="574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r:id="rId223">
              <w:r>
                <w:rPr>
                  <w:rFonts w:ascii="Arial" w:cs="Arial" w:eastAsia="Arial" w:hAnsi="Arial"/>
                  <w:sz w:val="16"/>
                  <w:szCs w:val="16"/>
                  <w:color w:val="0000EE"/>
                </w:rPr>
                <w:t>Registration Statement on Form S-1 (File No. 333-256648), dated May 28, 2021</w:t>
              </w:r>
            </w:hyperlink>
          </w:p>
        </w:tc>
        <w:tc>
          <w:tcPr>
            <w:tcW w:w="1400" w:type="dxa"/>
            <w:vAlign w:val="bottom"/>
            <w:tcBorders>
              <w:top w:val="single" w:sz="8" w:color="0000EE"/>
            </w:tcBorders>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10.29*</w:t>
            </w:r>
          </w:p>
        </w:tc>
        <w:tc>
          <w:tcPr>
            <w:tcW w:w="7500" w:type="dxa"/>
            <w:vAlign w:val="bottom"/>
            <w:gridSpan w:val="23"/>
          </w:tcPr>
          <w:p>
            <w:pPr>
              <w:spacing w:after="0"/>
              <w:rPr>
                <w:rFonts w:ascii="Arial" w:cs="Arial" w:eastAsia="Arial" w:hAnsi="Arial"/>
                <w:sz w:val="16"/>
                <w:szCs w:val="16"/>
                <w:color w:val="0000EE"/>
              </w:rPr>
            </w:pPr>
            <w:hyperlink r:id="rId224">
              <w:r>
                <w:rPr>
                  <w:rFonts w:ascii="Arial" w:cs="Arial" w:eastAsia="Arial" w:hAnsi="Arial"/>
                  <w:sz w:val="16"/>
                  <w:szCs w:val="16"/>
                  <w:color w:val="0000EE"/>
                </w:rPr>
                <w:t>Sublicense Agreement, by and between iCELL Inc. and Century Therapeutics, Inc., dated March 20,</w:t>
              </w:r>
            </w:hyperlink>
          </w:p>
        </w:tc>
      </w:tr>
      <w:tr>
        <w:trPr>
          <w:trHeight w:val="169"/>
        </w:trPr>
        <w:tc>
          <w:tcPr>
            <w:tcW w:w="1040" w:type="dxa"/>
            <w:vAlign w:val="bottom"/>
          </w:tcPr>
          <w:p>
            <w:pPr>
              <w:spacing w:after="0"/>
              <w:rPr>
                <w:sz w:val="14"/>
                <w:szCs w:val="14"/>
                <w:color w:val="auto"/>
              </w:rPr>
            </w:pPr>
          </w:p>
        </w:tc>
        <w:tc>
          <w:tcPr>
            <w:tcW w:w="718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r:id="rId224">
              <w:r>
                <w:rPr>
                  <w:rFonts w:ascii="Arial" w:cs="Arial" w:eastAsia="Arial" w:hAnsi="Arial"/>
                  <w:sz w:val="16"/>
                  <w:szCs w:val="16"/>
                  <w:color w:val="0000EE"/>
                </w:rPr>
                <w:t>2020 (incorporated by reference to Exhibit 10.27 to the Company’s Registration Statement on Form</w:t>
              </w:r>
            </w:hyperlink>
          </w:p>
        </w:tc>
        <w:tc>
          <w:tcPr>
            <w:tcW w:w="320" w:type="dxa"/>
            <w:vAlign w:val="bottom"/>
            <w:gridSpan w:val="11"/>
          </w:tcPr>
          <w:p>
            <w:pPr>
              <w:spacing w:after="0" w:line="169" w:lineRule="exact"/>
              <w:rPr>
                <w:rFonts w:ascii="Arial" w:cs="Arial" w:eastAsia="Arial" w:hAnsi="Arial"/>
                <w:sz w:val="16"/>
                <w:szCs w:val="16"/>
                <w:color w:val="0000EE"/>
              </w:rPr>
            </w:pPr>
            <w:hyperlink r:id="rId224">
              <w:r>
                <w:rPr>
                  <w:rFonts w:ascii="Arial" w:cs="Arial" w:eastAsia="Arial" w:hAnsi="Arial"/>
                  <w:sz w:val="16"/>
                  <w:szCs w:val="16"/>
                  <w:color w:val="0000EE"/>
                </w:rPr>
                <w:t>S-1</w:t>
              </w:r>
            </w:hyperlink>
          </w:p>
        </w:tc>
      </w:tr>
      <w:tr>
        <w:trPr>
          <w:trHeight w:val="169"/>
        </w:trPr>
        <w:tc>
          <w:tcPr>
            <w:tcW w:w="104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24">
              <w:r>
                <w:rPr>
                  <w:rFonts w:ascii="Arial" w:cs="Arial" w:eastAsia="Arial" w:hAnsi="Arial"/>
                  <w:sz w:val="16"/>
                  <w:szCs w:val="16"/>
                  <w:color w:val="0000EE"/>
                </w:rPr>
                <w:t>(File No. 333-256648), dated May 28, 2021)</w:t>
              </w:r>
            </w:hyperlink>
          </w:p>
        </w:tc>
        <w:tc>
          <w:tcPr>
            <w:tcW w:w="426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10.30</w:t>
            </w:r>
          </w:p>
        </w:tc>
        <w:tc>
          <w:tcPr>
            <w:tcW w:w="7220" w:type="dxa"/>
            <w:vAlign w:val="bottom"/>
            <w:tcBorders>
              <w:bottom w:val="single" w:sz="8" w:color="0000EE"/>
            </w:tcBorders>
            <w:gridSpan w:val="14"/>
          </w:tcPr>
          <w:p>
            <w:pPr>
              <w:spacing w:after="0"/>
              <w:rPr>
                <w:rFonts w:ascii="Arial" w:cs="Arial" w:eastAsia="Arial" w:hAnsi="Arial"/>
                <w:sz w:val="16"/>
                <w:szCs w:val="16"/>
                <w:color w:val="0000EE"/>
              </w:rPr>
            </w:pPr>
            <w:hyperlink r:id="rId225">
              <w:r>
                <w:rPr>
                  <w:rFonts w:ascii="Arial" w:cs="Arial" w:eastAsia="Arial" w:hAnsi="Arial"/>
                  <w:sz w:val="16"/>
                  <w:szCs w:val="16"/>
                  <w:color w:val="0000EE"/>
                </w:rPr>
                <w:t>License Agreement, by and between Inscripta, Inc. and Century Therapeutics, Inc., dated January 1,</w:t>
              </w:r>
            </w:hyperlink>
          </w:p>
        </w:tc>
        <w:tc>
          <w:tcPr>
            <w:tcW w:w="280" w:type="dxa"/>
            <w:vAlign w:val="bottom"/>
            <w:gridSpan w:val="9"/>
          </w:tcPr>
          <w:p>
            <w:pPr>
              <w:spacing w:after="0"/>
              <w:rPr>
                <w:sz w:val="20"/>
                <w:szCs w:val="20"/>
                <w:color w:val="auto"/>
              </w:rPr>
            </w:pPr>
          </w:p>
        </w:tc>
      </w:tr>
      <w:tr>
        <w:trPr>
          <w:trHeight w:val="169"/>
        </w:trPr>
        <w:tc>
          <w:tcPr>
            <w:tcW w:w="1040" w:type="dxa"/>
            <w:vAlign w:val="bottom"/>
          </w:tcPr>
          <w:p>
            <w:pPr>
              <w:spacing w:after="0"/>
              <w:rPr>
                <w:sz w:val="14"/>
                <w:szCs w:val="14"/>
                <w:color w:val="auto"/>
              </w:rPr>
            </w:pPr>
          </w:p>
        </w:tc>
        <w:tc>
          <w:tcPr>
            <w:tcW w:w="7500" w:type="dxa"/>
            <w:vAlign w:val="bottom"/>
            <w:gridSpan w:val="23"/>
          </w:tcPr>
          <w:p>
            <w:pPr>
              <w:spacing w:after="0" w:line="169" w:lineRule="exact"/>
              <w:rPr>
                <w:rFonts w:ascii="Arial" w:cs="Arial" w:eastAsia="Arial" w:hAnsi="Arial"/>
                <w:sz w:val="16"/>
                <w:szCs w:val="16"/>
                <w:color w:val="0000EE"/>
              </w:rPr>
            </w:pPr>
            <w:hyperlink r:id="rId225">
              <w:r>
                <w:rPr>
                  <w:rFonts w:ascii="Arial" w:cs="Arial" w:eastAsia="Arial" w:hAnsi="Arial"/>
                  <w:sz w:val="16"/>
                  <w:szCs w:val="16"/>
                  <w:color w:val="0000EE"/>
                </w:rPr>
                <w:t>2019 (incorporated by reference to Exhibit 10.29 to the Company’s Registration Statement on Form S-1</w:t>
              </w:r>
            </w:hyperlink>
          </w:p>
        </w:tc>
      </w:tr>
      <w:tr>
        <w:trPr>
          <w:trHeight w:val="169"/>
        </w:trPr>
        <w:tc>
          <w:tcPr>
            <w:tcW w:w="104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225">
              <w:r>
                <w:rPr>
                  <w:rFonts w:ascii="Arial" w:cs="Arial" w:eastAsia="Arial" w:hAnsi="Arial"/>
                  <w:sz w:val="16"/>
                  <w:szCs w:val="16"/>
                  <w:color w:val="0000EE"/>
                </w:rPr>
                <w:t>(File No. 333-256648), dated May 28, 2021)</w:t>
              </w:r>
            </w:hyperlink>
          </w:p>
        </w:tc>
        <w:tc>
          <w:tcPr>
            <w:tcW w:w="426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10.31*</w:t>
            </w:r>
          </w:p>
        </w:tc>
        <w:tc>
          <w:tcPr>
            <w:tcW w:w="7500" w:type="dxa"/>
            <w:vAlign w:val="bottom"/>
            <w:tcBorders>
              <w:bottom w:val="single" w:sz="8" w:color="0000EE"/>
            </w:tcBorders>
            <w:gridSpan w:val="23"/>
          </w:tcPr>
          <w:p>
            <w:pPr>
              <w:spacing w:after="0"/>
              <w:rPr>
                <w:rFonts w:ascii="Arial" w:cs="Arial" w:eastAsia="Arial" w:hAnsi="Arial"/>
                <w:sz w:val="16"/>
                <w:szCs w:val="16"/>
                <w:color w:val="0000EE"/>
              </w:rPr>
            </w:pPr>
            <w:hyperlink r:id="rId226">
              <w:r>
                <w:rPr>
                  <w:rFonts w:ascii="Arial" w:cs="Arial" w:eastAsia="Arial" w:hAnsi="Arial"/>
                  <w:sz w:val="16"/>
                  <w:szCs w:val="16"/>
                  <w:color w:val="0000EE"/>
                </w:rPr>
                <w:t>Research Collaboration and License Agreement, by and between Century Therapeutics, Inc. and Bristol-</w:t>
              </w:r>
            </w:hyperlink>
          </w:p>
        </w:tc>
      </w:tr>
      <w:tr>
        <w:trPr>
          <w:trHeight w:val="169"/>
        </w:trPr>
        <w:tc>
          <w:tcPr>
            <w:tcW w:w="1040" w:type="dxa"/>
            <w:vAlign w:val="bottom"/>
          </w:tcPr>
          <w:p>
            <w:pPr>
              <w:spacing w:after="0"/>
              <w:rPr>
                <w:sz w:val="14"/>
                <w:szCs w:val="14"/>
                <w:color w:val="auto"/>
              </w:rPr>
            </w:pPr>
          </w:p>
        </w:tc>
        <w:tc>
          <w:tcPr>
            <w:tcW w:w="7500" w:type="dxa"/>
            <w:vAlign w:val="bottom"/>
            <w:gridSpan w:val="23"/>
          </w:tcPr>
          <w:p>
            <w:pPr>
              <w:spacing w:after="0" w:line="169" w:lineRule="exact"/>
              <w:rPr>
                <w:rFonts w:ascii="Arial" w:cs="Arial" w:eastAsia="Arial" w:hAnsi="Arial"/>
                <w:sz w:val="16"/>
                <w:szCs w:val="16"/>
                <w:color w:val="0000EE"/>
              </w:rPr>
            </w:pPr>
            <w:hyperlink r:id="rId226">
              <w:r>
                <w:rPr>
                  <w:rFonts w:ascii="Arial" w:cs="Arial" w:eastAsia="Arial" w:hAnsi="Arial"/>
                  <w:sz w:val="16"/>
                  <w:szCs w:val="16"/>
                  <w:color w:val="0000EE"/>
                </w:rPr>
                <w:t>Myers Squibb Company, dated January 7, 2022 (incorporated by reference to Exhibit 10.31 to the</w:t>
              </w:r>
            </w:hyperlink>
          </w:p>
        </w:tc>
      </w:tr>
      <w:tr>
        <w:trPr>
          <w:trHeight w:val="169"/>
        </w:trPr>
        <w:tc>
          <w:tcPr>
            <w:tcW w:w="1040" w:type="dxa"/>
            <w:vAlign w:val="bottom"/>
          </w:tcPr>
          <w:p>
            <w:pPr>
              <w:spacing w:after="0"/>
              <w:rPr>
                <w:sz w:val="14"/>
                <w:szCs w:val="14"/>
                <w:color w:val="auto"/>
              </w:rPr>
            </w:pPr>
          </w:p>
        </w:tc>
        <w:tc>
          <w:tcPr>
            <w:tcW w:w="618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r:id="rId226">
              <w:r>
                <w:rPr>
                  <w:rFonts w:ascii="Arial" w:cs="Arial" w:eastAsia="Arial" w:hAnsi="Arial"/>
                  <w:sz w:val="16"/>
                  <w:szCs w:val="16"/>
                  <w:color w:val="0000EE"/>
                </w:rPr>
                <w:t>Company’s Annual Report on Form 10-K (File No. 001-40498), dated March 17, 2022)</w:t>
              </w:r>
            </w:hyperlink>
          </w:p>
        </w:tc>
        <w:tc>
          <w:tcPr>
            <w:tcW w:w="800" w:type="dxa"/>
            <w:vAlign w:val="bottom"/>
            <w:tcBorders>
              <w:top w:val="single" w:sz="8" w:color="0000EE"/>
            </w:tcBorders>
            <w:gridSpan w:val="2"/>
          </w:tcPr>
          <w:p>
            <w:pPr>
              <w:spacing w:after="0"/>
              <w:rPr>
                <w:sz w:val="14"/>
                <w:szCs w:val="14"/>
                <w:color w:val="auto"/>
              </w:rPr>
            </w:pPr>
          </w:p>
        </w:tc>
        <w:tc>
          <w:tcPr>
            <w:tcW w:w="2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10.32</w:t>
            </w:r>
            <w:r>
              <w:rPr>
                <w:rFonts w:ascii="Times New Roman" w:cs="Times New Roman" w:eastAsia="Times New Roman" w:hAnsi="Times New Roman"/>
                <w:sz w:val="17"/>
                <w:szCs w:val="17"/>
                <w:color w:val="231F20"/>
              </w:rPr>
              <w:t>·</w:t>
            </w:r>
          </w:p>
        </w:tc>
        <w:tc>
          <w:tcPr>
            <w:tcW w:w="7200" w:type="dxa"/>
            <w:vAlign w:val="bottom"/>
            <w:tcBorders>
              <w:bottom w:val="single" w:sz="8" w:color="0000EE"/>
            </w:tcBorders>
            <w:gridSpan w:val="13"/>
          </w:tcPr>
          <w:p>
            <w:pPr>
              <w:spacing w:after="0"/>
              <w:rPr>
                <w:rFonts w:ascii="Arial" w:cs="Arial" w:eastAsia="Arial" w:hAnsi="Arial"/>
                <w:sz w:val="16"/>
                <w:szCs w:val="16"/>
                <w:color w:val="0000EE"/>
              </w:rPr>
            </w:pPr>
            <w:hyperlink r:id="rId227">
              <w:r>
                <w:rPr>
                  <w:rFonts w:ascii="Arial" w:cs="Arial" w:eastAsia="Arial" w:hAnsi="Arial"/>
                  <w:sz w:val="16"/>
                  <w:szCs w:val="16"/>
                  <w:color w:val="0000EE"/>
                </w:rPr>
                <w:t>Executive Employment Agreement, by and between the Registrant and Adrienne Farid, Ph.D., dated</w:t>
              </w:r>
            </w:hyperlink>
          </w:p>
        </w:tc>
        <w:tc>
          <w:tcPr>
            <w:tcW w:w="300" w:type="dxa"/>
            <w:vAlign w:val="bottom"/>
            <w:gridSpan w:val="10"/>
          </w:tcPr>
          <w:p>
            <w:pPr>
              <w:spacing w:after="0"/>
              <w:rPr>
                <w:sz w:val="20"/>
                <w:szCs w:val="20"/>
                <w:color w:val="auto"/>
              </w:rPr>
            </w:pPr>
          </w:p>
        </w:tc>
      </w:tr>
      <w:tr>
        <w:trPr>
          <w:trHeight w:val="169"/>
        </w:trPr>
        <w:tc>
          <w:tcPr>
            <w:tcW w:w="1040" w:type="dxa"/>
            <w:vAlign w:val="bottom"/>
          </w:tcPr>
          <w:p>
            <w:pPr>
              <w:spacing w:after="0"/>
              <w:rPr>
                <w:sz w:val="14"/>
                <w:szCs w:val="14"/>
                <w:color w:val="auto"/>
              </w:rPr>
            </w:pPr>
          </w:p>
        </w:tc>
        <w:tc>
          <w:tcPr>
            <w:tcW w:w="7500" w:type="dxa"/>
            <w:vAlign w:val="bottom"/>
            <w:gridSpan w:val="23"/>
          </w:tcPr>
          <w:p>
            <w:pPr>
              <w:spacing w:after="0" w:line="169" w:lineRule="exact"/>
              <w:rPr>
                <w:rFonts w:ascii="Arial" w:cs="Arial" w:eastAsia="Arial" w:hAnsi="Arial"/>
                <w:sz w:val="16"/>
                <w:szCs w:val="16"/>
                <w:color w:val="0000EE"/>
              </w:rPr>
            </w:pPr>
            <w:hyperlink r:id="rId227">
              <w:r>
                <w:rPr>
                  <w:rFonts w:ascii="Arial" w:cs="Arial" w:eastAsia="Arial" w:hAnsi="Arial"/>
                  <w:sz w:val="16"/>
                  <w:szCs w:val="16"/>
                  <w:color w:val="0000EE"/>
                </w:rPr>
                <w:t>May 26, 2021 (incorporated by reference to Exhibit 10.34 to the Company’s Registration Statement on</w:t>
              </w:r>
            </w:hyperlink>
          </w:p>
        </w:tc>
      </w:tr>
      <w:tr>
        <w:trPr>
          <w:trHeight w:val="169"/>
        </w:trPr>
        <w:tc>
          <w:tcPr>
            <w:tcW w:w="104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227">
              <w:r>
                <w:rPr>
                  <w:rFonts w:ascii="Arial" w:cs="Arial" w:eastAsia="Arial" w:hAnsi="Arial"/>
                  <w:sz w:val="16"/>
                  <w:szCs w:val="16"/>
                  <w:color w:val="0000EE"/>
                </w:rPr>
                <w:t>Form S-1/A (File No. 333-256648), dated June 14, 2021)</w:t>
              </w:r>
            </w:hyperlink>
          </w:p>
        </w:tc>
        <w:tc>
          <w:tcPr>
            <w:tcW w:w="3240" w:type="dxa"/>
            <w:vAlign w:val="bottom"/>
            <w:tcBorders>
              <w:top w:val="single" w:sz="8" w:color="0000EE"/>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10.33</w:t>
            </w:r>
            <w:r>
              <w:rPr>
                <w:rFonts w:ascii="Times New Roman" w:cs="Times New Roman" w:eastAsia="Times New Roman" w:hAnsi="Times New Roman"/>
                <w:sz w:val="17"/>
                <w:szCs w:val="17"/>
                <w:color w:val="231F20"/>
              </w:rPr>
              <w:t>·</w:t>
            </w:r>
          </w:p>
        </w:tc>
        <w:tc>
          <w:tcPr>
            <w:tcW w:w="7500" w:type="dxa"/>
            <w:vAlign w:val="bottom"/>
            <w:gridSpan w:val="23"/>
          </w:tcPr>
          <w:p>
            <w:pPr>
              <w:spacing w:after="0"/>
              <w:rPr>
                <w:rFonts w:ascii="Arial" w:cs="Arial" w:eastAsia="Arial" w:hAnsi="Arial"/>
                <w:sz w:val="16"/>
                <w:szCs w:val="16"/>
                <w:color w:val="0000EE"/>
              </w:rPr>
            </w:pPr>
            <w:hyperlink r:id="rId228">
              <w:r>
                <w:rPr>
                  <w:rFonts w:ascii="Arial" w:cs="Arial" w:eastAsia="Arial" w:hAnsi="Arial"/>
                  <w:sz w:val="16"/>
                  <w:szCs w:val="16"/>
                  <w:color w:val="0000EE"/>
                </w:rPr>
                <w:t>Executive Employment Agreement, by and between the Registrant and Gregory Russotti, Ph.D., dated</w:t>
              </w:r>
            </w:hyperlink>
          </w:p>
        </w:tc>
      </w:tr>
      <w:tr>
        <w:trPr>
          <w:trHeight w:val="169"/>
        </w:trPr>
        <w:tc>
          <w:tcPr>
            <w:tcW w:w="1040" w:type="dxa"/>
            <w:vAlign w:val="bottom"/>
          </w:tcPr>
          <w:p>
            <w:pPr>
              <w:spacing w:after="0"/>
              <w:rPr>
                <w:sz w:val="14"/>
                <w:szCs w:val="14"/>
                <w:color w:val="auto"/>
              </w:rPr>
            </w:pPr>
          </w:p>
        </w:tc>
        <w:tc>
          <w:tcPr>
            <w:tcW w:w="736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228">
              <w:r>
                <w:rPr>
                  <w:rFonts w:ascii="Arial" w:cs="Arial" w:eastAsia="Arial" w:hAnsi="Arial"/>
                  <w:sz w:val="16"/>
                  <w:szCs w:val="16"/>
                  <w:color w:val="0000EE"/>
                </w:rPr>
                <w:t>May 26, 2021 (incorporated by reference to Exhibit 10.35 to the Company’s Registration Statement on</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228">
              <w:r>
                <w:rPr>
                  <w:rFonts w:ascii="Arial" w:cs="Arial" w:eastAsia="Arial" w:hAnsi="Arial"/>
                  <w:sz w:val="16"/>
                  <w:szCs w:val="16"/>
                  <w:color w:val="0000EE"/>
                </w:rPr>
                <w:t>Form S-1/A (File No. 333-256648), dated June 14, 2021)</w:t>
              </w:r>
            </w:hyperlink>
          </w:p>
        </w:tc>
        <w:tc>
          <w:tcPr>
            <w:tcW w:w="3240" w:type="dxa"/>
            <w:vAlign w:val="bottom"/>
            <w:tcBorders>
              <w:top w:val="single" w:sz="8" w:color="0000EE"/>
            </w:tcBorders>
            <w:gridSpan w:val="11"/>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37"/>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10.34</w:t>
            </w:r>
          </w:p>
        </w:tc>
        <w:tc>
          <w:tcPr>
            <w:tcW w:w="7500" w:type="dxa"/>
            <w:vAlign w:val="bottom"/>
            <w:gridSpan w:val="23"/>
          </w:tcPr>
          <w:p>
            <w:pPr>
              <w:spacing w:after="0"/>
              <w:rPr>
                <w:rFonts w:ascii="Arial" w:cs="Arial" w:eastAsia="Arial" w:hAnsi="Arial"/>
                <w:sz w:val="16"/>
                <w:szCs w:val="16"/>
                <w:color w:val="0000EE"/>
              </w:rPr>
            </w:pPr>
            <w:hyperlink r:id="rId229">
              <w:r>
                <w:rPr>
                  <w:rFonts w:ascii="Arial" w:cs="Arial" w:eastAsia="Arial" w:hAnsi="Arial"/>
                  <w:sz w:val="16"/>
                  <w:szCs w:val="16"/>
                  <w:color w:val="0000EE"/>
                </w:rPr>
                <w:t>Sales Agreement, dated as of July 1, 2022, by and between Century Therapeutics, Inc. and Cowen and</w:t>
              </w:r>
            </w:hyperlink>
          </w:p>
        </w:tc>
      </w:tr>
      <w:tr>
        <w:trPr>
          <w:trHeight w:val="169"/>
        </w:trPr>
        <w:tc>
          <w:tcPr>
            <w:tcW w:w="1040" w:type="dxa"/>
            <w:vAlign w:val="bottom"/>
          </w:tcPr>
          <w:p>
            <w:pPr>
              <w:spacing w:after="0"/>
              <w:rPr>
                <w:sz w:val="14"/>
                <w:szCs w:val="14"/>
                <w:color w:val="auto"/>
              </w:rPr>
            </w:pPr>
          </w:p>
        </w:tc>
        <w:tc>
          <w:tcPr>
            <w:tcW w:w="744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229">
              <w:r>
                <w:rPr>
                  <w:rFonts w:ascii="Arial" w:cs="Arial" w:eastAsia="Arial" w:hAnsi="Arial"/>
                  <w:sz w:val="16"/>
                  <w:szCs w:val="16"/>
                  <w:color w:val="0000EE"/>
                </w:rPr>
                <w:t>Company, LLC (incorporated by reference to Exhibit 1.2 to the Company’s Registration Statement on</w:t>
              </w:r>
            </w:hyperlink>
          </w:p>
        </w:tc>
        <w:tc>
          <w:tcPr>
            <w:tcW w:w="60" w:type="dxa"/>
            <w:vAlign w:val="bottom"/>
            <w:gridSpan w:val="2"/>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38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229">
              <w:r>
                <w:rPr>
                  <w:rFonts w:ascii="Arial" w:cs="Arial" w:eastAsia="Arial" w:hAnsi="Arial"/>
                  <w:sz w:val="16"/>
                  <w:szCs w:val="16"/>
                  <w:color w:val="0000EE"/>
                </w:rPr>
                <w:t>Form S-3 (File No. 333-265975), dated July 13, 2022)</w:t>
              </w:r>
            </w:hyperlink>
          </w:p>
        </w:tc>
        <w:tc>
          <w:tcPr>
            <w:tcW w:w="336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10.35</w:t>
            </w:r>
            <w:r>
              <w:rPr>
                <w:rFonts w:ascii="Times New Roman" w:cs="Times New Roman" w:eastAsia="Times New Roman" w:hAnsi="Times New Roman"/>
                <w:sz w:val="17"/>
                <w:szCs w:val="17"/>
                <w:color w:val="231F20"/>
              </w:rPr>
              <w:t>·</w:t>
            </w:r>
          </w:p>
        </w:tc>
        <w:tc>
          <w:tcPr>
            <w:tcW w:w="7400" w:type="dxa"/>
            <w:vAlign w:val="bottom"/>
            <w:tcBorders>
              <w:bottom w:val="single" w:sz="8" w:color="0000EE"/>
            </w:tcBorders>
            <w:gridSpan w:val="19"/>
          </w:tcPr>
          <w:p>
            <w:pPr>
              <w:spacing w:after="0"/>
              <w:rPr>
                <w:rFonts w:ascii="Arial" w:cs="Arial" w:eastAsia="Arial" w:hAnsi="Arial"/>
                <w:sz w:val="16"/>
                <w:szCs w:val="16"/>
                <w:color w:val="0000EE"/>
              </w:rPr>
            </w:pPr>
            <w:hyperlink r:id="rId230">
              <w:r>
                <w:rPr>
                  <w:rFonts w:ascii="Arial" w:cs="Arial" w:eastAsia="Arial" w:hAnsi="Arial"/>
                  <w:sz w:val="16"/>
                  <w:szCs w:val="16"/>
                  <w:color w:val="0000EE"/>
                </w:rPr>
                <w:t>Executive Employment Agreement, by and between the Registrant and Brent Pfeiffenberger, Pharm.D.,</w:t>
              </w:r>
            </w:hyperlink>
          </w:p>
        </w:tc>
        <w:tc>
          <w:tcPr>
            <w:tcW w:w="100" w:type="dxa"/>
            <w:vAlign w:val="bottom"/>
            <w:gridSpan w:val="4"/>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7500" w:type="dxa"/>
            <w:vAlign w:val="bottom"/>
            <w:gridSpan w:val="23"/>
          </w:tcPr>
          <w:p>
            <w:pPr>
              <w:spacing w:after="0" w:line="183" w:lineRule="exact"/>
              <w:rPr>
                <w:rFonts w:ascii="Arial" w:cs="Arial" w:eastAsia="Arial" w:hAnsi="Arial"/>
                <w:sz w:val="16"/>
                <w:szCs w:val="16"/>
                <w:color w:val="0000EE"/>
              </w:rPr>
            </w:pPr>
            <w:hyperlink r:id="rId230">
              <w:r>
                <w:rPr>
                  <w:rFonts w:ascii="Arial" w:cs="Arial" w:eastAsia="Arial" w:hAnsi="Arial"/>
                  <w:sz w:val="16"/>
                  <w:szCs w:val="16"/>
                  <w:color w:val="0000EE"/>
                </w:rPr>
                <w:t>MBA, dated November 7, 2023 (incorporated by reference to Exhibit 10.35 of the Company’s Annual</w:t>
              </w:r>
            </w:hyperlink>
          </w:p>
        </w:tc>
      </w:tr>
      <w:tr>
        <w:trPr>
          <w:trHeight w:val="169"/>
        </w:trPr>
        <w:tc>
          <w:tcPr>
            <w:tcW w:w="1040" w:type="dxa"/>
            <w:vAlign w:val="bottom"/>
          </w:tcPr>
          <w:p>
            <w:pPr>
              <w:spacing w:after="0"/>
              <w:rPr>
                <w:sz w:val="14"/>
                <w:szCs w:val="14"/>
                <w:color w:val="auto"/>
              </w:rPr>
            </w:pPr>
          </w:p>
        </w:tc>
        <w:tc>
          <w:tcPr>
            <w:tcW w:w="49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230">
              <w:r>
                <w:rPr>
                  <w:rFonts w:ascii="Arial" w:cs="Arial" w:eastAsia="Arial" w:hAnsi="Arial"/>
                  <w:sz w:val="16"/>
                  <w:szCs w:val="16"/>
                  <w:color w:val="0000EE"/>
                </w:rPr>
                <w:t>Report on Form 10-K (File No. 001-40498) filed on March 14, 2024)</w:t>
              </w:r>
            </w:hyperlink>
          </w:p>
        </w:tc>
        <w:tc>
          <w:tcPr>
            <w:tcW w:w="2340" w:type="dxa"/>
            <w:vAlign w:val="bottom"/>
            <w:tcBorders>
              <w:top w:val="single" w:sz="8" w:color="0000EE"/>
            </w:tcBorders>
            <w:gridSpan w:val="9"/>
          </w:tcPr>
          <w:p>
            <w:pPr>
              <w:spacing w:after="0"/>
              <w:rPr>
                <w:sz w:val="14"/>
                <w:szCs w:val="14"/>
                <w:color w:val="auto"/>
              </w:rPr>
            </w:pPr>
          </w:p>
        </w:tc>
        <w:tc>
          <w:tcPr>
            <w:tcW w:w="260" w:type="dxa"/>
            <w:vAlign w:val="bottom"/>
            <w:gridSpan w:val="8"/>
          </w:tcPr>
          <w:p>
            <w:pPr>
              <w:spacing w:after="0"/>
              <w:rPr>
                <w:sz w:val="14"/>
                <w:szCs w:val="14"/>
                <w:color w:val="auto"/>
              </w:rPr>
            </w:pPr>
          </w:p>
        </w:tc>
      </w:tr>
    </w:tbl>
    <w:p>
      <w:pPr>
        <w:spacing w:after="0" w:line="63" w:lineRule="exact"/>
        <w:rPr>
          <w:sz w:val="20"/>
          <w:szCs w:val="20"/>
          <w:color w:val="auto"/>
        </w:rPr>
      </w:pPr>
    </w:p>
    <w:p>
      <w:pPr>
        <w:ind w:left="1400" w:right="139" w:hanging="1036"/>
        <w:spacing w:after="0" w:line="255" w:lineRule="auto"/>
        <w:tabs>
          <w:tab w:leader="none" w:pos="1380" w:val="left"/>
        </w:tabs>
        <w:rPr>
          <w:rFonts w:ascii="Arial" w:cs="Arial" w:eastAsia="Arial" w:hAnsi="Arial"/>
          <w:sz w:val="16"/>
          <w:szCs w:val="16"/>
          <w:u w:val="single" w:color="auto"/>
          <w:color w:val="0000EE"/>
        </w:rPr>
      </w:pPr>
      <w:r>
        <w:rPr>
          <w:rFonts w:ascii="Arial" w:cs="Arial" w:eastAsia="Arial" w:hAnsi="Arial"/>
          <w:sz w:val="16"/>
          <w:szCs w:val="16"/>
          <w:color w:val="auto"/>
        </w:rPr>
        <w:t>10.36</w:t>
      </w:r>
      <w:r>
        <w:rPr>
          <w:rFonts w:ascii="Times New Roman" w:cs="Times New Roman" w:eastAsia="Times New Roman" w:hAnsi="Times New Roman"/>
          <w:sz w:val="17"/>
          <w:szCs w:val="17"/>
          <w:color w:val="231F20"/>
        </w:rPr>
        <w:t>·</w:t>
      </w:r>
      <w:r>
        <w:rPr>
          <w:sz w:val="20"/>
          <w:szCs w:val="20"/>
          <w:color w:val="auto"/>
        </w:rPr>
        <w:tab/>
      </w:r>
      <w:hyperlink r:id="rId231">
        <w:r>
          <w:rPr>
            <w:rFonts w:ascii="Arial" w:cs="Arial" w:eastAsia="Arial" w:hAnsi="Arial"/>
            <w:sz w:val="16"/>
            <w:szCs w:val="16"/>
            <w:u w:val="single" w:color="auto"/>
            <w:color w:val="0000EE"/>
          </w:rPr>
          <w:t>Executive Employment Agreement, by and between the Registrant and Hyam Levitsky, M.D., dated April</w:t>
        </w:r>
      </w:hyperlink>
      <w:r>
        <w:rPr>
          <w:rFonts w:ascii="Arial" w:cs="Arial" w:eastAsia="Arial" w:hAnsi="Arial"/>
          <w:sz w:val="16"/>
          <w:szCs w:val="16"/>
          <w:u w:val="single" w:color="auto"/>
          <w:color w:val="0000EE"/>
        </w:rPr>
        <w:t xml:space="preserve"> </w:t>
      </w:r>
      <w:hyperlink r:id="rId231">
        <w:r>
          <w:rPr>
            <w:rFonts w:ascii="Arial" w:cs="Arial" w:eastAsia="Arial" w:hAnsi="Arial"/>
            <w:sz w:val="16"/>
            <w:szCs w:val="16"/>
            <w:u w:val="single" w:color="auto"/>
            <w:color w:val="0000EE"/>
          </w:rPr>
          <w:t>15, 2023 (incorporated by reference to Exhibit 10.1 to the Company’s Quarterly Report on Form 10-Q</w:t>
        </w:r>
      </w:hyperlink>
      <w:r>
        <w:rPr>
          <w:rFonts w:ascii="Arial" w:cs="Arial" w:eastAsia="Arial" w:hAnsi="Arial"/>
          <w:sz w:val="16"/>
          <w:szCs w:val="16"/>
          <w:u w:val="single" w:color="auto"/>
          <w:color w:val="0000EE"/>
        </w:rPr>
        <w:t xml:space="preserve"> </w:t>
      </w:r>
      <w:hyperlink r:id="rId231">
        <w:r>
          <w:rPr>
            <w:rFonts w:ascii="Arial" w:cs="Arial" w:eastAsia="Arial" w:hAnsi="Arial"/>
            <w:sz w:val="16"/>
            <w:szCs w:val="16"/>
            <w:u w:val="single" w:color="auto"/>
            <w:color w:val="0000EE"/>
          </w:rPr>
          <w:t>(File No. 001-40498), dated May 11, 2023)</w:t>
        </w:r>
      </w:hyperlink>
    </w:p>
    <w:p>
      <w:pPr>
        <w:spacing w:after="0" w:line="1" w:lineRule="exact"/>
        <w:rPr>
          <w:rFonts w:ascii="Arial" w:cs="Arial" w:eastAsia="Arial" w:hAnsi="Arial"/>
          <w:sz w:val="16"/>
          <w:szCs w:val="16"/>
          <w:u w:val="single" w:color="auto"/>
          <w:color w:val="0000EE"/>
        </w:rPr>
      </w:pPr>
    </w:p>
    <w:p>
      <w:pPr>
        <w:ind w:left="1400" w:right="139" w:hanging="1036"/>
        <w:spacing w:after="0" w:line="246" w:lineRule="auto"/>
        <w:tabs>
          <w:tab w:leader="none" w:pos="1380" w:val="left"/>
        </w:tabs>
        <w:rPr>
          <w:rFonts w:ascii="Arial" w:cs="Arial" w:eastAsia="Arial" w:hAnsi="Arial"/>
          <w:sz w:val="16"/>
          <w:szCs w:val="16"/>
          <w:u w:val="single" w:color="auto"/>
          <w:color w:val="0000EE"/>
        </w:rPr>
      </w:pPr>
      <w:r>
        <w:rPr>
          <w:rFonts w:ascii="Arial" w:cs="Arial" w:eastAsia="Arial" w:hAnsi="Arial"/>
          <w:sz w:val="16"/>
          <w:szCs w:val="16"/>
          <w:color w:val="auto"/>
        </w:rPr>
        <w:t>10.37</w:t>
      </w:r>
      <w:r>
        <w:rPr>
          <w:rFonts w:ascii="Times New Roman" w:cs="Times New Roman" w:eastAsia="Times New Roman" w:hAnsi="Times New Roman"/>
          <w:sz w:val="17"/>
          <w:szCs w:val="17"/>
          <w:color w:val="auto"/>
        </w:rPr>
        <w:t>·</w:t>
      </w:r>
      <w:r>
        <w:rPr>
          <w:sz w:val="20"/>
          <w:szCs w:val="20"/>
          <w:color w:val="auto"/>
        </w:rPr>
        <w:tab/>
      </w:r>
      <w:hyperlink r:id="rId232">
        <w:r>
          <w:rPr>
            <w:rFonts w:ascii="Arial" w:cs="Arial" w:eastAsia="Arial" w:hAnsi="Arial"/>
            <w:sz w:val="16"/>
            <w:szCs w:val="16"/>
            <w:u w:val="single" w:color="auto"/>
            <w:color w:val="0000EE"/>
          </w:rPr>
          <w:t>Executive Employment Agreement, dated September 20, 2024, by and between the Company and</w:t>
        </w:r>
      </w:hyperlink>
      <w:r>
        <w:rPr>
          <w:rFonts w:ascii="Arial" w:cs="Arial" w:eastAsia="Arial" w:hAnsi="Arial"/>
          <w:sz w:val="16"/>
          <w:szCs w:val="16"/>
          <w:u w:val="single" w:color="auto"/>
          <w:color w:val="0000EE"/>
        </w:rPr>
        <w:t xml:space="preserve"> </w:t>
      </w:r>
      <w:hyperlink r:id="rId232">
        <w:r>
          <w:rPr>
            <w:rFonts w:ascii="Arial" w:cs="Arial" w:eastAsia="Arial" w:hAnsi="Arial"/>
            <w:sz w:val="16"/>
            <w:szCs w:val="16"/>
            <w:u w:val="single" w:color="auto"/>
            <w:color w:val="0000EE"/>
          </w:rPr>
          <w:t>Morgan Conn (incorporated by reference to Exhibit 10.1 of the Company’s Quarterly Report on Form 10-</w:t>
        </w:r>
      </w:hyperlink>
      <w:hyperlink r:id="rId232">
        <w:r>
          <w:rPr>
            <w:rFonts w:ascii="Arial" w:cs="Arial" w:eastAsia="Arial" w:hAnsi="Arial"/>
            <w:sz w:val="16"/>
            <w:szCs w:val="16"/>
            <w:u w:val="single" w:color="auto"/>
            <w:color w:val="0000EE"/>
          </w:rPr>
          <w:t>Q (File No. 001-40498) filed on November 5, 2024)</w:t>
        </w:r>
      </w:hyperlink>
    </w:p>
    <w:p>
      <w:pPr>
        <w:spacing w:after="0" w:line="1" w:lineRule="exact"/>
        <w:rPr>
          <w:rFonts w:ascii="Arial" w:cs="Arial" w:eastAsia="Arial" w:hAnsi="Arial"/>
          <w:sz w:val="16"/>
          <w:szCs w:val="16"/>
          <w:u w:val="single" w:color="auto"/>
          <w:color w:val="0000EE"/>
        </w:rPr>
      </w:pPr>
    </w:p>
    <w:p>
      <w:pPr>
        <w:jc w:val="right"/>
        <w:ind w:left="1400" w:right="139" w:hanging="1059"/>
        <w:spacing w:after="0" w:line="244" w:lineRule="auto"/>
        <w:tabs>
          <w:tab w:leader="none" w:pos="610" w:val="left"/>
        </w:tabs>
        <w:numPr>
          <w:ilvl w:val="0"/>
          <w:numId w:val="66"/>
        </w:numPr>
        <w:rPr>
          <w:rFonts w:ascii="Arial" w:cs="Arial" w:eastAsia="Arial" w:hAnsi="Arial"/>
          <w:sz w:val="16"/>
          <w:szCs w:val="16"/>
          <w:u w:val="single" w:color="auto"/>
          <w:color w:val="0000EE"/>
        </w:rPr>
      </w:pPr>
      <w:r>
        <w:rPr>
          <w:rFonts w:ascii="Arial" w:cs="Arial" w:eastAsia="Arial" w:hAnsi="Arial"/>
          <w:sz w:val="16"/>
          <w:szCs w:val="16"/>
          <w:color w:val="auto"/>
        </w:rPr>
        <w:t>38</w:t>
      </w:r>
      <w:r>
        <w:rPr>
          <w:rFonts w:ascii="Times New Roman" w:cs="Times New Roman" w:eastAsia="Times New Roman" w:hAnsi="Times New Roman"/>
          <w:sz w:val="17"/>
          <w:szCs w:val="17"/>
          <w:color w:val="231F20"/>
        </w:rPr>
        <w:t>·</w:t>
      </w:r>
      <w:hyperlink r:id="rId233">
        <w:r>
          <w:rPr>
            <w:rFonts w:ascii="Arial" w:cs="Arial" w:eastAsia="Arial" w:hAnsi="Arial"/>
            <w:sz w:val="16"/>
            <w:szCs w:val="16"/>
            <w:u w:val="single" w:color="auto"/>
            <w:color w:val="0000EE"/>
          </w:rPr>
          <w:t>Executive Employment Agreement, dated September 13, 2024, by and between the Company and Chad</w:t>
        </w:r>
      </w:hyperlink>
      <w:r>
        <w:rPr>
          <w:rFonts w:ascii="Arial" w:cs="Arial" w:eastAsia="Arial" w:hAnsi="Arial"/>
          <w:sz w:val="16"/>
          <w:szCs w:val="16"/>
          <w:u w:val="single" w:color="auto"/>
          <w:color w:val="0000EE"/>
        </w:rPr>
        <w:t xml:space="preserve"> </w:t>
      </w:r>
      <w:hyperlink r:id="rId233">
        <w:r>
          <w:rPr>
            <w:rFonts w:ascii="Arial" w:cs="Arial" w:eastAsia="Arial" w:hAnsi="Arial"/>
            <w:sz w:val="16"/>
            <w:szCs w:val="16"/>
            <w:u w:val="single" w:color="auto"/>
            <w:color w:val="0000EE"/>
          </w:rPr>
          <w:t>Cowan (incorporated by reference to Exhibit 10.2 of the Company’s Quarterly Report on Form 10-Q (File</w:t>
        </w:r>
      </w:hyperlink>
    </w:p>
    <w:p>
      <w:pPr>
        <w:spacing w:after="0" w:line="1" w:lineRule="exact"/>
        <w:rPr>
          <w:rFonts w:ascii="Arial" w:cs="Arial" w:eastAsia="Arial" w:hAnsi="Arial"/>
          <w:sz w:val="16"/>
          <w:szCs w:val="16"/>
          <w:color w:val="auto"/>
        </w:rPr>
      </w:pPr>
    </w:p>
    <w:p>
      <w:pPr>
        <w:ind w:left="1400"/>
        <w:spacing w:after="0"/>
        <w:rPr>
          <w:rFonts w:ascii="Arial" w:cs="Arial" w:eastAsia="Arial" w:hAnsi="Arial"/>
          <w:sz w:val="16"/>
          <w:szCs w:val="16"/>
          <w:color w:val="0000EE"/>
        </w:rPr>
      </w:pPr>
      <w:hyperlink r:id="rId233">
        <w:r>
          <w:rPr>
            <w:rFonts w:ascii="Arial" w:cs="Arial" w:eastAsia="Arial" w:hAnsi="Arial"/>
            <w:sz w:val="16"/>
            <w:szCs w:val="16"/>
            <w:u w:val="single" w:color="auto"/>
            <w:color w:val="0000EE"/>
          </w:rPr>
          <w:t>No. 001-40498) filed on November 5, 2024</w:t>
        </w:r>
        <w:r>
          <w:rPr>
            <w:rFonts w:ascii="Arial" w:cs="Arial" w:eastAsia="Arial" w:hAnsi="Arial"/>
            <w:sz w:val="17"/>
            <w:szCs w:val="17"/>
            <w:color w:val="000000"/>
          </w:rPr>
          <w:t>)</w:t>
        </w:r>
      </w:hyperlink>
    </w:p>
    <w:p>
      <w:pPr>
        <w:spacing w:after="0" w:line="10" w:lineRule="exact"/>
        <w:rPr>
          <w:rFonts w:ascii="Arial" w:cs="Arial" w:eastAsia="Arial" w:hAnsi="Arial"/>
          <w:sz w:val="16"/>
          <w:szCs w:val="16"/>
          <w:color w:val="auto"/>
        </w:rPr>
      </w:pPr>
    </w:p>
    <w:p>
      <w:pPr>
        <w:ind w:left="1400" w:right="79" w:hanging="1045"/>
        <w:spacing w:after="0" w:line="249" w:lineRule="auto"/>
        <w:tabs>
          <w:tab w:leader="none" w:pos="1380" w:val="left"/>
        </w:tabs>
        <w:rPr>
          <w:rFonts w:ascii="Arial" w:cs="Arial" w:eastAsia="Arial" w:hAnsi="Arial"/>
          <w:sz w:val="16"/>
          <w:szCs w:val="16"/>
          <w:u w:val="single" w:color="auto"/>
          <w:color w:val="0000EE"/>
        </w:rPr>
      </w:pPr>
      <w:r>
        <w:rPr>
          <w:rFonts w:ascii="Arial" w:cs="Arial" w:eastAsia="Arial" w:hAnsi="Arial"/>
          <w:sz w:val="16"/>
          <w:szCs w:val="16"/>
          <w:color w:val="auto"/>
        </w:rPr>
        <w:t>10.39*</w:t>
      </w:r>
      <w:r>
        <w:rPr>
          <w:sz w:val="20"/>
          <w:szCs w:val="20"/>
          <w:color w:val="auto"/>
        </w:rPr>
        <w:tab/>
      </w:r>
      <w:hyperlink r:id="rId234">
        <w:r>
          <w:rPr>
            <w:rFonts w:ascii="Arial" w:cs="Arial" w:eastAsia="Arial" w:hAnsi="Arial"/>
            <w:sz w:val="16"/>
            <w:szCs w:val="16"/>
            <w:u w:val="single" w:color="auto"/>
            <w:color w:val="0000EE"/>
          </w:rPr>
          <w:t>Second Amendment to License Agreement (Reprogramming), by and between Century Therapeutics,</w:t>
        </w:r>
      </w:hyperlink>
      <w:r>
        <w:rPr>
          <w:rFonts w:ascii="Arial" w:cs="Arial" w:eastAsia="Arial" w:hAnsi="Arial"/>
          <w:sz w:val="16"/>
          <w:szCs w:val="16"/>
          <w:u w:val="single" w:color="auto"/>
          <w:color w:val="0000EE"/>
        </w:rPr>
        <w:t xml:space="preserve"> </w:t>
      </w:r>
      <w:hyperlink r:id="rId234">
        <w:r>
          <w:rPr>
            <w:rFonts w:ascii="Arial" w:cs="Arial" w:eastAsia="Arial" w:hAnsi="Arial"/>
            <w:sz w:val="16"/>
            <w:szCs w:val="16"/>
            <w:u w:val="single" w:color="auto"/>
            <w:color w:val="0000EE"/>
          </w:rPr>
          <w:t>Inc. and FUJIFILM Cellular Dynamics Inc., dated September 22, 2023 (incorporated by reference to</w:t>
        </w:r>
      </w:hyperlink>
      <w:r>
        <w:rPr>
          <w:rFonts w:ascii="Arial" w:cs="Arial" w:eastAsia="Arial" w:hAnsi="Arial"/>
          <w:sz w:val="16"/>
          <w:szCs w:val="16"/>
          <w:u w:val="single" w:color="auto"/>
          <w:color w:val="0000EE"/>
        </w:rPr>
        <w:t xml:space="preserve"> </w:t>
      </w:r>
      <w:hyperlink r:id="rId234">
        <w:r>
          <w:rPr>
            <w:rFonts w:ascii="Arial" w:cs="Arial" w:eastAsia="Arial" w:hAnsi="Arial"/>
            <w:sz w:val="16"/>
            <w:szCs w:val="16"/>
            <w:u w:val="single" w:color="auto"/>
            <w:color w:val="0000EE"/>
          </w:rPr>
          <w:t>Exhibit 10.1 to the Company’s Quarterly Report on Form 10-Q (File No. 001-404098), dated November 9,</w:t>
        </w:r>
      </w:hyperlink>
      <w:r>
        <w:rPr>
          <w:rFonts w:ascii="Arial" w:cs="Arial" w:eastAsia="Arial" w:hAnsi="Arial"/>
          <w:sz w:val="16"/>
          <w:szCs w:val="16"/>
          <w:u w:val="single" w:color="auto"/>
          <w:color w:val="0000EE"/>
        </w:rPr>
        <w:t xml:space="preserve"> </w:t>
      </w:r>
      <w:hyperlink r:id="rId234">
        <w:r>
          <w:rPr>
            <w:rFonts w:ascii="Arial" w:cs="Arial" w:eastAsia="Arial" w:hAnsi="Arial"/>
            <w:sz w:val="16"/>
            <w:szCs w:val="16"/>
            <w:u w:val="single" w:color="auto"/>
            <w:color w:val="0000EE"/>
          </w:rPr>
          <w:t>2023)</w:t>
        </w:r>
      </w:hyperlink>
    </w:p>
    <w:p>
      <w:pPr>
        <w:spacing w:after="0" w:line="183" w:lineRule="exact"/>
        <w:rPr>
          <w:rFonts w:ascii="Arial" w:cs="Arial" w:eastAsia="Arial" w:hAnsi="Arial"/>
          <w:sz w:val="16"/>
          <w:szCs w:val="16"/>
          <w:u w:val="single" w:color="auto"/>
          <w:color w:val="0000EE"/>
        </w:rPr>
      </w:pPr>
    </w:p>
    <w:p>
      <w:pPr>
        <w:jc w:val="both"/>
        <w:ind w:left="1400" w:right="219" w:hanging="1014"/>
        <w:spacing w:after="0" w:line="256" w:lineRule="auto"/>
        <w:tabs>
          <w:tab w:leader="none" w:pos="1380" w:val="left"/>
        </w:tabs>
        <w:rPr>
          <w:rFonts w:ascii="Arial" w:cs="Arial" w:eastAsia="Arial" w:hAnsi="Arial"/>
          <w:sz w:val="16"/>
          <w:szCs w:val="16"/>
          <w:u w:val="single" w:color="auto"/>
          <w:color w:val="0000EE"/>
        </w:rPr>
      </w:pPr>
      <w:r>
        <w:rPr>
          <w:rFonts w:ascii="Arial" w:cs="Arial" w:eastAsia="Arial" w:hAnsi="Arial"/>
          <w:sz w:val="16"/>
          <w:szCs w:val="16"/>
          <w:color w:val="auto"/>
        </w:rPr>
        <w:t>10.40</w:t>
      </w:r>
      <w:r>
        <w:rPr>
          <w:sz w:val="20"/>
          <w:szCs w:val="20"/>
          <w:color w:val="auto"/>
        </w:rPr>
        <w:tab/>
      </w:r>
      <w:hyperlink r:id="rId235">
        <w:r>
          <w:rPr>
            <w:rFonts w:ascii="Arial" w:cs="Arial" w:eastAsia="Arial" w:hAnsi="Arial"/>
            <w:sz w:val="16"/>
            <w:szCs w:val="16"/>
            <w:u w:val="single" w:color="auto"/>
            <w:color w:val="0000EE"/>
          </w:rPr>
          <w:t>Amendment No. 5 to Master Collaboration Agreement, by and between Century Therapeutics, Inc. and</w:t>
        </w:r>
      </w:hyperlink>
      <w:r>
        <w:rPr>
          <w:rFonts w:ascii="Arial" w:cs="Arial" w:eastAsia="Arial" w:hAnsi="Arial"/>
          <w:sz w:val="16"/>
          <w:szCs w:val="16"/>
          <w:u w:val="single" w:color="auto"/>
          <w:color w:val="0000EE"/>
        </w:rPr>
        <w:t xml:space="preserve"> </w:t>
      </w:r>
      <w:hyperlink r:id="rId235">
        <w:r>
          <w:rPr>
            <w:rFonts w:ascii="Arial" w:cs="Arial" w:eastAsia="Arial" w:hAnsi="Arial"/>
            <w:sz w:val="16"/>
            <w:szCs w:val="16"/>
            <w:u w:val="single" w:color="auto"/>
            <w:color w:val="0000EE"/>
          </w:rPr>
          <w:t>FUJIFILM Cellular Dynamics Inc., dated September 22, 2023 (incorporated by reference to Exhibit 10.2</w:t>
        </w:r>
      </w:hyperlink>
      <w:r>
        <w:rPr>
          <w:rFonts w:ascii="Arial" w:cs="Arial" w:eastAsia="Arial" w:hAnsi="Arial"/>
          <w:sz w:val="16"/>
          <w:szCs w:val="16"/>
          <w:u w:val="single" w:color="auto"/>
          <w:color w:val="0000EE"/>
        </w:rPr>
        <w:t xml:space="preserve"> </w:t>
      </w:r>
      <w:hyperlink r:id="rId235">
        <w:r>
          <w:rPr>
            <w:rFonts w:ascii="Arial" w:cs="Arial" w:eastAsia="Arial" w:hAnsi="Arial"/>
            <w:sz w:val="16"/>
            <w:szCs w:val="16"/>
            <w:u w:val="single" w:color="auto"/>
            <w:color w:val="0000EE"/>
          </w:rPr>
          <w:t>to the Company’s Quarterly Report on Form 10-Q (File No. 001-404098), dated November 9, 2023)</w:t>
        </w:r>
      </w:hyperlink>
    </w:p>
    <w:p>
      <w:pPr>
        <w:spacing w:after="0" w:line="22" w:lineRule="exact"/>
        <w:rPr>
          <w:rFonts w:ascii="Arial" w:cs="Arial" w:eastAsia="Arial" w:hAnsi="Arial"/>
          <w:sz w:val="16"/>
          <w:szCs w:val="16"/>
          <w:u w:val="single" w:color="auto"/>
          <w:color w:val="0000EE"/>
        </w:rPr>
      </w:pPr>
    </w:p>
    <w:tbl>
      <w:tblPr>
        <w:tblLayout w:type="fixed"/>
        <w:tblInd w:w="360" w:type="dxa"/>
        <w:tblCellMar>
          <w:top w:w="0" w:type="dxa"/>
          <w:left w:w="0" w:type="dxa"/>
          <w:bottom w:w="0" w:type="dxa"/>
          <w:right w:w="0" w:type="dxa"/>
        </w:tblCellMar>
      </w:tblPr>
      <w:tr>
        <w:trPr>
          <w:trHeight w:val="184"/>
        </w:trPr>
        <w:tc>
          <w:tcPr>
            <w:tcW w:w="1040" w:type="dxa"/>
            <w:vAlign w:val="bottom"/>
          </w:tcPr>
          <w:p>
            <w:pPr>
              <w:jc w:val="center"/>
              <w:ind w:right="499"/>
              <w:spacing w:after="0"/>
              <w:rPr>
                <w:sz w:val="20"/>
                <w:szCs w:val="20"/>
                <w:color w:val="auto"/>
              </w:rPr>
            </w:pPr>
            <w:r>
              <w:rPr>
                <w:rFonts w:ascii="Arial" w:cs="Arial" w:eastAsia="Arial" w:hAnsi="Arial"/>
                <w:sz w:val="16"/>
                <w:szCs w:val="16"/>
                <w:color w:val="auto"/>
              </w:rPr>
              <w:t>10.41</w:t>
            </w:r>
          </w:p>
        </w:tc>
        <w:tc>
          <w:tcPr>
            <w:tcW w:w="7480" w:type="dxa"/>
            <w:vAlign w:val="bottom"/>
            <w:gridSpan w:val="8"/>
          </w:tcPr>
          <w:p>
            <w:pPr>
              <w:spacing w:after="0"/>
              <w:rPr>
                <w:rFonts w:ascii="Arial" w:cs="Arial" w:eastAsia="Arial" w:hAnsi="Arial"/>
                <w:sz w:val="16"/>
                <w:szCs w:val="16"/>
                <w:color w:val="0000EE"/>
              </w:rPr>
            </w:pPr>
            <w:hyperlink r:id="rId236">
              <w:r>
                <w:rPr>
                  <w:rFonts w:ascii="Arial" w:cs="Arial" w:eastAsia="Arial" w:hAnsi="Arial"/>
                  <w:sz w:val="16"/>
                  <w:szCs w:val="16"/>
                  <w:color w:val="0000EE"/>
                </w:rPr>
                <w:t>Second Amendment to License Agreement (Differentiation), by and between Century Therapeutics, Inc.</w:t>
              </w:r>
            </w:hyperlink>
          </w:p>
        </w:tc>
      </w:tr>
      <w:tr>
        <w:trPr>
          <w:trHeight w:val="169"/>
        </w:trPr>
        <w:tc>
          <w:tcPr>
            <w:tcW w:w="1040" w:type="dxa"/>
            <w:vAlign w:val="bottom"/>
          </w:tcPr>
          <w:p>
            <w:pPr>
              <w:spacing w:after="0"/>
              <w:rPr>
                <w:sz w:val="14"/>
                <w:szCs w:val="14"/>
                <w:color w:val="auto"/>
              </w:rPr>
            </w:pPr>
          </w:p>
        </w:tc>
        <w:tc>
          <w:tcPr>
            <w:tcW w:w="736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236">
              <w:r>
                <w:rPr>
                  <w:rFonts w:ascii="Arial" w:cs="Arial" w:eastAsia="Arial" w:hAnsi="Arial"/>
                  <w:sz w:val="16"/>
                  <w:szCs w:val="16"/>
                  <w:color w:val="0000EE"/>
                </w:rPr>
                <w:t>and FUJIFILM Cellular Dynamics Inc., dated September 22, 2023 (incorporated by reference to Exhibit</w:t>
              </w:r>
            </w:hyperlink>
          </w:p>
        </w:tc>
        <w:tc>
          <w:tcPr>
            <w:tcW w:w="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7480" w:type="dxa"/>
            <w:vAlign w:val="bottom"/>
            <w:tcBorders>
              <w:bottom w:val="single" w:sz="8" w:color="0000EE"/>
            </w:tcBorders>
            <w:gridSpan w:val="8"/>
          </w:tcPr>
          <w:p>
            <w:pPr>
              <w:spacing w:after="0" w:line="169" w:lineRule="exact"/>
              <w:rPr>
                <w:rFonts w:ascii="Arial" w:cs="Arial" w:eastAsia="Arial" w:hAnsi="Arial"/>
                <w:sz w:val="16"/>
                <w:szCs w:val="16"/>
                <w:color w:val="0000EE"/>
              </w:rPr>
            </w:pPr>
            <w:hyperlink r:id="rId236">
              <w:r>
                <w:rPr>
                  <w:rFonts w:ascii="Arial" w:cs="Arial" w:eastAsia="Arial" w:hAnsi="Arial"/>
                  <w:sz w:val="16"/>
                  <w:szCs w:val="16"/>
                  <w:color w:val="0000EE"/>
                </w:rPr>
                <w:t>10.</w:t>
              </w:r>
              <w:r>
                <w:rPr>
                  <w:rFonts w:ascii="Arial" w:cs="Arial" w:eastAsia="Arial" w:hAnsi="Arial"/>
                  <w:sz w:val="16"/>
                  <w:szCs w:val="16"/>
                  <w:u w:val="single" w:color="auto"/>
                  <w:color w:val="0000EE"/>
                </w:rPr>
                <w:t>3</w:t>
              </w:r>
              <w:r>
                <w:rPr>
                  <w:rFonts w:ascii="Arial" w:cs="Arial" w:eastAsia="Arial" w:hAnsi="Arial"/>
                  <w:sz w:val="16"/>
                  <w:szCs w:val="16"/>
                  <w:color w:val="0000EE"/>
                </w:rPr>
                <w:t xml:space="preserve"> to the Company’s Quarterly Report on Form 10-Q (File No. 001-404098), dated November 9, 2023)</w:t>
              </w:r>
            </w:hyperlink>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10.42*</w:t>
            </w:r>
          </w:p>
        </w:tc>
        <w:tc>
          <w:tcPr>
            <w:tcW w:w="7480" w:type="dxa"/>
            <w:vAlign w:val="bottom"/>
            <w:gridSpan w:val="8"/>
          </w:tcPr>
          <w:p>
            <w:pPr>
              <w:spacing w:after="0"/>
              <w:rPr>
                <w:rFonts w:ascii="Arial" w:cs="Arial" w:eastAsia="Arial" w:hAnsi="Arial"/>
                <w:sz w:val="16"/>
                <w:szCs w:val="16"/>
                <w:color w:val="0000EE"/>
              </w:rPr>
            </w:pPr>
            <w:hyperlink r:id="rId237">
              <w:r>
                <w:rPr>
                  <w:rFonts w:ascii="Arial" w:cs="Arial" w:eastAsia="Arial" w:hAnsi="Arial"/>
                  <w:sz w:val="16"/>
                  <w:szCs w:val="16"/>
                  <w:color w:val="0000EE"/>
                </w:rPr>
                <w:t>License Agreement by and between Century Therapeutics, Inc. and FUJIFILM Cellular Dynamics, Inc.,</w:t>
              </w:r>
            </w:hyperlink>
          </w:p>
        </w:tc>
      </w:tr>
      <w:tr>
        <w:trPr>
          <w:trHeight w:val="20"/>
        </w:trPr>
        <w:tc>
          <w:tcPr>
            <w:tcW w:w="104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7480" w:type="dxa"/>
            <w:vAlign w:val="bottom"/>
            <w:gridSpan w:val="8"/>
          </w:tcPr>
          <w:p>
            <w:pPr>
              <w:spacing w:after="0" w:line="183" w:lineRule="exact"/>
              <w:rPr>
                <w:rFonts w:ascii="Arial" w:cs="Arial" w:eastAsia="Arial" w:hAnsi="Arial"/>
                <w:sz w:val="16"/>
                <w:szCs w:val="16"/>
                <w:color w:val="0000EE"/>
              </w:rPr>
            </w:pPr>
            <w:hyperlink r:id="rId237">
              <w:r>
                <w:rPr>
                  <w:rFonts w:ascii="Arial" w:cs="Arial" w:eastAsia="Arial" w:hAnsi="Arial"/>
                  <w:sz w:val="16"/>
                  <w:szCs w:val="16"/>
                  <w:color w:val="0000EE"/>
                </w:rPr>
                <w:t>dated September 22, 2023 (incorporated by reference to Exhibit 10.40 to the Company’s Annual Report</w:t>
              </w:r>
            </w:hyperlink>
          </w:p>
        </w:tc>
      </w:tr>
      <w:tr>
        <w:trPr>
          <w:trHeight w:val="169"/>
        </w:trPr>
        <w:tc>
          <w:tcPr>
            <w:tcW w:w="1040" w:type="dxa"/>
            <w:vAlign w:val="bottom"/>
          </w:tcPr>
          <w:p>
            <w:pPr>
              <w:spacing w:after="0"/>
              <w:rPr>
                <w:sz w:val="14"/>
                <w:szCs w:val="14"/>
                <w:color w:val="auto"/>
              </w:rPr>
            </w:pPr>
          </w:p>
        </w:tc>
        <w:tc>
          <w:tcPr>
            <w:tcW w:w="7460" w:type="dxa"/>
            <w:vAlign w:val="bottom"/>
            <w:tcBorders>
              <w:top w:val="single" w:sz="8" w:color="0000EE"/>
            </w:tcBorders>
            <w:gridSpan w:val="7"/>
          </w:tcPr>
          <w:p>
            <w:pPr>
              <w:spacing w:after="0" w:line="169" w:lineRule="exact"/>
              <w:rPr>
                <w:rFonts w:ascii="Arial" w:cs="Arial" w:eastAsia="Arial" w:hAnsi="Arial"/>
                <w:sz w:val="16"/>
                <w:szCs w:val="16"/>
                <w:color w:val="0000EE"/>
              </w:rPr>
            </w:pPr>
            <w:hyperlink r:id="rId237">
              <w:r>
                <w:rPr>
                  <w:rFonts w:ascii="Arial" w:cs="Arial" w:eastAsia="Arial" w:hAnsi="Arial"/>
                  <w:sz w:val="16"/>
                  <w:szCs w:val="16"/>
                  <w:color w:val="0000EE"/>
                </w:rPr>
                <w:t>on Form 10-K (File No. 001-40498), dated March 14, 2024)</w:t>
              </w:r>
            </w:hyperlink>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r>
      <w:tr>
        <w:trPr>
          <w:trHeight w:val="236"/>
        </w:trPr>
        <w:tc>
          <w:tcPr>
            <w:tcW w:w="1040" w:type="dxa"/>
            <w:vAlign w:val="bottom"/>
          </w:tcPr>
          <w:p>
            <w:pPr>
              <w:jc w:val="center"/>
              <w:ind w:right="499"/>
              <w:spacing w:after="0"/>
              <w:rPr>
                <w:sz w:val="20"/>
                <w:szCs w:val="20"/>
                <w:color w:val="auto"/>
              </w:rPr>
            </w:pPr>
            <w:r>
              <w:rPr>
                <w:rFonts w:ascii="Arial" w:cs="Arial" w:eastAsia="Arial" w:hAnsi="Arial"/>
                <w:sz w:val="16"/>
                <w:szCs w:val="16"/>
                <w:color w:val="auto"/>
                <w:w w:val="99"/>
              </w:rPr>
              <w:t>10.43*</w:t>
            </w:r>
          </w:p>
        </w:tc>
        <w:tc>
          <w:tcPr>
            <w:tcW w:w="7480" w:type="dxa"/>
            <w:vAlign w:val="bottom"/>
            <w:gridSpan w:val="8"/>
          </w:tcPr>
          <w:p>
            <w:pPr>
              <w:spacing w:after="0"/>
              <w:rPr>
                <w:sz w:val="20"/>
                <w:szCs w:val="20"/>
                <w:color w:val="auto"/>
              </w:rPr>
            </w:pPr>
            <w:r>
              <w:rPr>
                <w:rFonts w:ascii="Arial" w:cs="Arial" w:eastAsia="Arial" w:hAnsi="Arial"/>
                <w:sz w:val="16"/>
                <w:szCs w:val="16"/>
                <w:color w:val="0000EE"/>
              </w:rPr>
              <w:t>License Agreement by and between Catalent Düsseldorf GmbH and Clade Therapeutics, Inc. (as</w:t>
            </w:r>
          </w:p>
        </w:tc>
      </w:tr>
      <w:tr>
        <w:trPr>
          <w:trHeight w:val="169"/>
        </w:trPr>
        <w:tc>
          <w:tcPr>
            <w:tcW w:w="1040" w:type="dxa"/>
            <w:vAlign w:val="bottom"/>
          </w:tcPr>
          <w:p>
            <w:pPr>
              <w:spacing w:after="0"/>
              <w:rPr>
                <w:sz w:val="14"/>
                <w:szCs w:val="14"/>
                <w:color w:val="auto"/>
              </w:rPr>
            </w:pPr>
          </w:p>
        </w:tc>
        <w:tc>
          <w:tcPr>
            <w:tcW w:w="544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rPr>
              <w:t>predecessor to Century Therapeutics, Inc.), dated as of December 12, 2022</w:t>
            </w:r>
          </w:p>
        </w:tc>
        <w:tc>
          <w:tcPr>
            <w:tcW w:w="1520" w:type="dxa"/>
            <w:vAlign w:val="bottom"/>
            <w:tcBorders>
              <w:top w:val="single" w:sz="8" w:color="0000EE"/>
            </w:tcBorders>
          </w:tcPr>
          <w:p>
            <w:pPr>
              <w:spacing w:after="0"/>
              <w:rPr>
                <w:sz w:val="14"/>
                <w:szCs w:val="14"/>
                <w:color w:val="auto"/>
              </w:rPr>
            </w:pPr>
          </w:p>
        </w:tc>
        <w:tc>
          <w:tcPr>
            <w:tcW w:w="520" w:type="dxa"/>
            <w:vAlign w:val="bottom"/>
            <w:gridSpan w:val="5"/>
          </w:tcPr>
          <w:p>
            <w:pPr>
              <w:spacing w:after="0"/>
              <w:rPr>
                <w:sz w:val="14"/>
                <w:szCs w:val="14"/>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5" w:name="page166"/>
    <w:bookmarkEnd w:id="1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19.1</w:t>
            </w:r>
          </w:p>
        </w:tc>
        <w:tc>
          <w:tcPr>
            <w:tcW w:w="35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Century Therapeutics, Inc. Insider Trading Policy</w:t>
            </w:r>
          </w:p>
        </w:tc>
        <w:tc>
          <w:tcPr>
            <w:tcW w:w="3940" w:type="dxa"/>
            <w:vAlign w:val="bottom"/>
            <w:gridSpan w:val="9"/>
          </w:tcPr>
          <w:p>
            <w:pPr>
              <w:spacing w:after="0"/>
              <w:rPr>
                <w:sz w:val="16"/>
                <w:szCs w:val="16"/>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21.1</w:t>
            </w:r>
          </w:p>
        </w:tc>
        <w:tc>
          <w:tcPr>
            <w:tcW w:w="212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rPr>
              <w:t>Subsidiaries of the Registrant</w:t>
            </w:r>
          </w:p>
        </w:tc>
        <w:tc>
          <w:tcPr>
            <w:tcW w:w="5320" w:type="dxa"/>
            <w:vAlign w:val="bottom"/>
            <w:gridSpan w:val="10"/>
          </w:tcPr>
          <w:p>
            <w:pPr>
              <w:spacing w:after="0"/>
              <w:rPr>
                <w:sz w:val="20"/>
                <w:szCs w:val="20"/>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23.1</w:t>
            </w:r>
          </w:p>
        </w:tc>
        <w:tc>
          <w:tcPr>
            <w:tcW w:w="59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Consent of Ernst &amp; Young LLP, an Independent Registered Public Accounting Firm</w:t>
            </w:r>
          </w:p>
        </w:tc>
        <w:tc>
          <w:tcPr>
            <w:tcW w:w="1520" w:type="dxa"/>
            <w:vAlign w:val="bottom"/>
            <w:gridSpan w:val="4"/>
          </w:tcPr>
          <w:p>
            <w:pPr>
              <w:spacing w:after="0"/>
              <w:rPr>
                <w:sz w:val="20"/>
                <w:szCs w:val="20"/>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31.1</w:t>
            </w:r>
          </w:p>
        </w:tc>
        <w:tc>
          <w:tcPr>
            <w:tcW w:w="7440" w:type="dxa"/>
            <w:vAlign w:val="bottom"/>
            <w:gridSpan w:val="11"/>
          </w:tcPr>
          <w:p>
            <w:pPr>
              <w:spacing w:after="0"/>
              <w:rPr>
                <w:sz w:val="20"/>
                <w:szCs w:val="20"/>
                <w:color w:val="auto"/>
              </w:rPr>
            </w:pPr>
            <w:r>
              <w:rPr>
                <w:rFonts w:ascii="Arial" w:cs="Arial" w:eastAsia="Arial" w:hAnsi="Arial"/>
                <w:sz w:val="16"/>
                <w:szCs w:val="16"/>
                <w:color w:val="0000EE"/>
              </w:rPr>
              <w:t>Rule 13a-14(a)/15d-14(a) certification of Principal Executive Officer</w:t>
            </w: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31.2</w:t>
            </w:r>
          </w:p>
        </w:tc>
        <w:tc>
          <w:tcPr>
            <w:tcW w:w="47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0000EE"/>
              </w:rPr>
              <w:t>Rule 13a-14(a)/15d-14(a) certification of Principal Financial Officer</w:t>
            </w:r>
          </w:p>
        </w:tc>
        <w:tc>
          <w:tcPr>
            <w:tcW w:w="40" w:type="dxa"/>
            <w:vAlign w:val="bottom"/>
            <w:tcBorders>
              <w:top w:val="single" w:sz="8" w:color="0000EE"/>
            </w:tcBorders>
          </w:tcPr>
          <w:p>
            <w:pPr>
              <w:spacing w:after="0"/>
              <w:rPr>
                <w:sz w:val="20"/>
                <w:szCs w:val="20"/>
                <w:color w:val="auto"/>
              </w:rPr>
            </w:pPr>
          </w:p>
        </w:tc>
        <w:tc>
          <w:tcPr>
            <w:tcW w:w="2640" w:type="dxa"/>
            <w:vAlign w:val="bottom"/>
            <w:gridSpan w:val="5"/>
          </w:tcPr>
          <w:p>
            <w:pPr>
              <w:spacing w:after="0"/>
              <w:rPr>
                <w:sz w:val="20"/>
                <w:szCs w:val="20"/>
                <w:color w:val="auto"/>
              </w:rPr>
            </w:pPr>
          </w:p>
        </w:tc>
      </w:tr>
      <w:tr>
        <w:trPr>
          <w:trHeight w:val="236"/>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32.1</w:t>
            </w:r>
          </w:p>
        </w:tc>
        <w:tc>
          <w:tcPr>
            <w:tcW w:w="7440" w:type="dxa"/>
            <w:vAlign w:val="bottom"/>
            <w:gridSpan w:val="11"/>
          </w:tcPr>
          <w:p>
            <w:pPr>
              <w:spacing w:after="0"/>
              <w:rPr>
                <w:sz w:val="20"/>
                <w:szCs w:val="20"/>
                <w:color w:val="auto"/>
              </w:rPr>
            </w:pPr>
            <w:r>
              <w:rPr>
                <w:rFonts w:ascii="Arial" w:cs="Arial" w:eastAsia="Arial" w:hAnsi="Arial"/>
                <w:sz w:val="16"/>
                <w:szCs w:val="16"/>
                <w:color w:val="0000EE"/>
              </w:rPr>
              <w:t>Certification of Chief Executive Officer pursuant to 18 U.S.C. Section 1350 certification, as adopted</w:t>
            </w:r>
          </w:p>
        </w:tc>
      </w:tr>
      <w:tr>
        <w:trPr>
          <w:trHeight w:val="169"/>
        </w:trPr>
        <w:tc>
          <w:tcPr>
            <w:tcW w:w="1140" w:type="dxa"/>
            <w:vAlign w:val="bottom"/>
          </w:tcPr>
          <w:p>
            <w:pPr>
              <w:spacing w:after="0"/>
              <w:rPr>
                <w:sz w:val="14"/>
                <w:szCs w:val="14"/>
                <w:color w:val="auto"/>
              </w:rPr>
            </w:pPr>
          </w:p>
        </w:tc>
        <w:tc>
          <w:tcPr>
            <w:tcW w:w="426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6"/>
                <w:szCs w:val="16"/>
                <w:color w:val="0000EE"/>
              </w:rPr>
              <w:t>pursuant to Section 906 of the Sarbanes-Oxley Act of 2002</w:t>
            </w:r>
          </w:p>
        </w:tc>
        <w:tc>
          <w:tcPr>
            <w:tcW w:w="2820" w:type="dxa"/>
            <w:vAlign w:val="bottom"/>
            <w:tcBorders>
              <w:top w:val="single" w:sz="8" w:color="0000EE"/>
            </w:tcBorders>
            <w:gridSpan w:val="5"/>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32.2</w:t>
            </w:r>
          </w:p>
        </w:tc>
        <w:tc>
          <w:tcPr>
            <w:tcW w:w="7440" w:type="dxa"/>
            <w:vAlign w:val="bottom"/>
            <w:gridSpan w:val="11"/>
          </w:tcPr>
          <w:p>
            <w:pPr>
              <w:spacing w:after="0"/>
              <w:rPr>
                <w:sz w:val="20"/>
                <w:szCs w:val="20"/>
                <w:color w:val="auto"/>
              </w:rPr>
            </w:pPr>
            <w:r>
              <w:rPr>
                <w:rFonts w:ascii="Arial" w:cs="Arial" w:eastAsia="Arial" w:hAnsi="Arial"/>
                <w:sz w:val="16"/>
                <w:szCs w:val="16"/>
                <w:color w:val="0000EE"/>
              </w:rPr>
              <w:t>Certification of Principal Financial Officer pursuant to 18 U.S.C. Section 1350 certification, as adopted</w:t>
            </w:r>
          </w:p>
        </w:tc>
      </w:tr>
      <w:tr>
        <w:trPr>
          <w:trHeight w:val="169"/>
        </w:trPr>
        <w:tc>
          <w:tcPr>
            <w:tcW w:w="1140" w:type="dxa"/>
            <w:vAlign w:val="bottom"/>
          </w:tcPr>
          <w:p>
            <w:pPr>
              <w:spacing w:after="0"/>
              <w:rPr>
                <w:sz w:val="14"/>
                <w:szCs w:val="14"/>
                <w:color w:val="auto"/>
              </w:rPr>
            </w:pPr>
          </w:p>
        </w:tc>
        <w:tc>
          <w:tcPr>
            <w:tcW w:w="424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rPr>
              <w:t>pursuant to Section 906 of the Sarbanes-Oxley Act of 2002</w:t>
            </w:r>
          </w:p>
        </w:tc>
        <w:tc>
          <w:tcPr>
            <w:tcW w:w="3020" w:type="dxa"/>
            <w:vAlign w:val="bottom"/>
            <w:tcBorders>
              <w:top w:val="single" w:sz="8" w:color="0000EE"/>
            </w:tcBorders>
            <w:gridSpan w:val="7"/>
          </w:tcPr>
          <w:p>
            <w:pPr>
              <w:spacing w:after="0"/>
              <w:rPr>
                <w:sz w:val="14"/>
                <w:szCs w:val="14"/>
                <w:color w:val="auto"/>
              </w:rPr>
            </w:pPr>
          </w:p>
        </w:tc>
        <w:tc>
          <w:tcPr>
            <w:tcW w:w="180" w:type="dxa"/>
            <w:vAlign w:val="bottom"/>
          </w:tcPr>
          <w:p>
            <w:pPr>
              <w:spacing w:after="0"/>
              <w:rPr>
                <w:sz w:val="14"/>
                <w:szCs w:val="14"/>
                <w:color w:val="auto"/>
              </w:rPr>
            </w:pPr>
          </w:p>
        </w:tc>
      </w:tr>
      <w:tr>
        <w:trPr>
          <w:trHeight w:val="250"/>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6"/>
              </w:rPr>
              <w:t>97.1</w:t>
            </w:r>
          </w:p>
        </w:tc>
        <w:tc>
          <w:tcPr>
            <w:tcW w:w="7440" w:type="dxa"/>
            <w:vAlign w:val="bottom"/>
            <w:tcBorders>
              <w:bottom w:val="single" w:sz="8" w:color="0000EE"/>
            </w:tcBorders>
            <w:gridSpan w:val="11"/>
          </w:tcPr>
          <w:p>
            <w:pPr>
              <w:spacing w:after="0"/>
              <w:rPr>
                <w:rFonts w:ascii="Arial" w:cs="Arial" w:eastAsia="Arial" w:hAnsi="Arial"/>
                <w:sz w:val="16"/>
                <w:szCs w:val="16"/>
                <w:color w:val="0000EE"/>
              </w:rPr>
            </w:pPr>
            <w:hyperlink r:id="rId239">
              <w:r>
                <w:rPr>
                  <w:rFonts w:ascii="Arial" w:cs="Arial" w:eastAsia="Arial" w:hAnsi="Arial"/>
                  <w:sz w:val="16"/>
                  <w:szCs w:val="16"/>
                  <w:color w:val="0000EE"/>
                </w:rPr>
                <w:t>Century Therapeutics, Inc. Compensation Recovery Policy (incorporated by reference to Exhibit 97.1 to</w:t>
              </w:r>
            </w:hyperlink>
          </w:p>
        </w:tc>
      </w:tr>
      <w:tr>
        <w:trPr>
          <w:trHeight w:val="169"/>
        </w:trPr>
        <w:tc>
          <w:tcPr>
            <w:tcW w:w="1140" w:type="dxa"/>
            <w:vAlign w:val="bottom"/>
          </w:tcPr>
          <w:p>
            <w:pPr>
              <w:spacing w:after="0"/>
              <w:rPr>
                <w:sz w:val="14"/>
                <w:szCs w:val="14"/>
                <w:color w:val="auto"/>
              </w:rPr>
            </w:pPr>
          </w:p>
        </w:tc>
        <w:tc>
          <w:tcPr>
            <w:tcW w:w="6540" w:type="dxa"/>
            <w:vAlign w:val="bottom"/>
            <w:tcBorders>
              <w:bottom w:val="single" w:sz="8" w:color="0000EE"/>
            </w:tcBorders>
            <w:gridSpan w:val="8"/>
          </w:tcPr>
          <w:p>
            <w:pPr>
              <w:spacing w:after="0" w:line="169" w:lineRule="exact"/>
              <w:rPr>
                <w:rFonts w:ascii="Arial" w:cs="Arial" w:eastAsia="Arial" w:hAnsi="Arial"/>
                <w:sz w:val="16"/>
                <w:szCs w:val="16"/>
                <w:color w:val="0000EE"/>
              </w:rPr>
            </w:pPr>
            <w:hyperlink r:id="rId239">
              <w:r>
                <w:rPr>
                  <w:rFonts w:ascii="Arial" w:cs="Arial" w:eastAsia="Arial" w:hAnsi="Arial"/>
                  <w:sz w:val="16"/>
                  <w:szCs w:val="16"/>
                  <w:color w:val="0000EE"/>
                </w:rPr>
                <w:t>the Company’s Annual Report on Form 10-K (File No. 001-40498), dated March 14, 2024).</w:t>
              </w:r>
            </w:hyperlink>
          </w:p>
        </w:tc>
        <w:tc>
          <w:tcPr>
            <w:tcW w:w="900" w:type="dxa"/>
            <w:vAlign w:val="bottom"/>
            <w:gridSpan w:val="3"/>
          </w:tcPr>
          <w:p>
            <w:pPr>
              <w:spacing w:after="0"/>
              <w:rPr>
                <w:sz w:val="14"/>
                <w:szCs w:val="14"/>
                <w:color w:val="auto"/>
              </w:rPr>
            </w:pPr>
          </w:p>
        </w:tc>
      </w:tr>
      <w:tr>
        <w:trPr>
          <w:trHeight w:val="275"/>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INS</w:t>
            </w:r>
          </w:p>
        </w:tc>
        <w:tc>
          <w:tcPr>
            <w:tcW w:w="7440" w:type="dxa"/>
            <w:vAlign w:val="bottom"/>
            <w:gridSpan w:val="11"/>
          </w:tcPr>
          <w:p>
            <w:pPr>
              <w:spacing w:after="0"/>
              <w:rPr>
                <w:sz w:val="20"/>
                <w:szCs w:val="20"/>
                <w:color w:val="auto"/>
              </w:rPr>
            </w:pPr>
            <w:r>
              <w:rPr>
                <w:rFonts w:ascii="Arial" w:cs="Arial" w:eastAsia="Arial" w:hAnsi="Arial"/>
                <w:sz w:val="16"/>
                <w:szCs w:val="16"/>
                <w:color w:val="auto"/>
              </w:rPr>
              <w:t>Inline XBRL Instance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SCH</w:t>
            </w:r>
          </w:p>
        </w:tc>
        <w:tc>
          <w:tcPr>
            <w:tcW w:w="744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w w:val="99"/>
              </w:rPr>
              <w:t>101 CAL</w:t>
            </w:r>
          </w:p>
        </w:tc>
        <w:tc>
          <w:tcPr>
            <w:tcW w:w="744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56"/>
        </w:trPr>
        <w:tc>
          <w:tcPr>
            <w:tcW w:w="1140" w:type="dxa"/>
            <w:vAlign w:val="bottom"/>
          </w:tcPr>
          <w:p>
            <w:pPr>
              <w:jc w:val="center"/>
              <w:ind w:right="419"/>
              <w:spacing w:after="0"/>
              <w:rPr>
                <w:sz w:val="20"/>
                <w:szCs w:val="20"/>
                <w:color w:val="auto"/>
              </w:rPr>
            </w:pPr>
            <w:r>
              <w:rPr>
                <w:rFonts w:ascii="Arial" w:cs="Arial" w:eastAsia="Arial" w:hAnsi="Arial"/>
                <w:sz w:val="16"/>
                <w:szCs w:val="16"/>
                <w:color w:val="auto"/>
              </w:rPr>
              <w:t>101 DEF</w:t>
            </w:r>
          </w:p>
        </w:tc>
        <w:tc>
          <w:tcPr>
            <w:tcW w:w="744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LAB</w:t>
            </w:r>
          </w:p>
        </w:tc>
        <w:tc>
          <w:tcPr>
            <w:tcW w:w="744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57"/>
        </w:trPr>
        <w:tc>
          <w:tcPr>
            <w:tcW w:w="1140" w:type="dxa"/>
            <w:vAlign w:val="bottom"/>
          </w:tcPr>
          <w:p>
            <w:pPr>
              <w:jc w:val="center"/>
              <w:ind w:right="399"/>
              <w:spacing w:after="0"/>
              <w:rPr>
                <w:sz w:val="20"/>
                <w:szCs w:val="20"/>
                <w:color w:val="auto"/>
              </w:rPr>
            </w:pPr>
            <w:r>
              <w:rPr>
                <w:rFonts w:ascii="Arial" w:cs="Arial" w:eastAsia="Arial" w:hAnsi="Arial"/>
                <w:sz w:val="16"/>
                <w:szCs w:val="16"/>
                <w:color w:val="auto"/>
              </w:rPr>
              <w:t>101 PRE</w:t>
            </w:r>
          </w:p>
        </w:tc>
        <w:tc>
          <w:tcPr>
            <w:tcW w:w="744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42" w:lineRule="exact"/>
        <w:rPr>
          <w:sz w:val="20"/>
          <w:szCs w:val="20"/>
          <w:color w:val="auto"/>
        </w:rPr>
      </w:pPr>
    </w:p>
    <w:p>
      <w:pPr>
        <w:ind w:left="1400" w:hanging="946"/>
        <w:spacing w:after="0"/>
        <w:tabs>
          <w:tab w:leader="none" w:pos="14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88" w:lineRule="exact"/>
        <w:rPr>
          <w:rFonts w:ascii="Arial" w:cs="Arial" w:eastAsia="Arial" w:hAnsi="Arial"/>
          <w:sz w:val="16"/>
          <w:szCs w:val="16"/>
          <w:color w:val="auto"/>
        </w:rPr>
      </w:pPr>
    </w:p>
    <w:p>
      <w:pPr>
        <w:ind w:left="380" w:hanging="330"/>
        <w:spacing w:after="0"/>
        <w:tabs>
          <w:tab w:leader="none" w:pos="380" w:val="left"/>
        </w:tabs>
        <w:numPr>
          <w:ilvl w:val="0"/>
          <w:numId w:val="67"/>
        </w:numPr>
        <w:rPr>
          <w:rFonts w:ascii="Times New Roman" w:cs="Times New Roman" w:eastAsia="Times New Roman" w:hAnsi="Times New Roman"/>
          <w:sz w:val="16"/>
          <w:szCs w:val="16"/>
          <w:color w:val="231F20"/>
        </w:rPr>
      </w:pPr>
      <w:r>
        <w:rPr>
          <w:rFonts w:ascii="Arial" w:cs="Arial" w:eastAsia="Arial" w:hAnsi="Arial"/>
          <w:sz w:val="16"/>
          <w:szCs w:val="16"/>
          <w:color w:val="231F20"/>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-176530</wp:posOffset>
            </wp:positionV>
            <wp:extent cx="141414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9" w:lineRule="exact"/>
        <w:rPr>
          <w:sz w:val="20"/>
          <w:szCs w:val="20"/>
          <w:color w:val="auto"/>
        </w:rPr>
      </w:pPr>
    </w:p>
    <w:p>
      <w:pPr>
        <w:ind w:left="60" w:right="119" w:hanging="10"/>
        <w:spacing w:after="0" w:line="271"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Certain identified information in the exhibit has been omitted because it is the type of information that (i) the Company customarily and actually treats as private and confidential, and (ii) is not material.</w:t>
      </w:r>
    </w:p>
    <w:p>
      <w:pPr>
        <w:spacing w:after="0" w:line="140" w:lineRule="exact"/>
        <w:rPr>
          <w:sz w:val="20"/>
          <w:szCs w:val="20"/>
          <w:color w:val="auto"/>
        </w:rPr>
      </w:pPr>
    </w:p>
    <w:p>
      <w:pPr>
        <w:ind w:left="60" w:right="239" w:hanging="10"/>
        <w:spacing w:after="0" w:line="271" w:lineRule="auto"/>
        <w:tabs>
          <w:tab w:leader="none" w:pos="2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schedules, annexes or exhibits have been omitted pursuant to Item 601(a)(5) of Regulation S-K, but will be furnished supplementally to the SEC upon request.</w:t>
      </w:r>
    </w:p>
    <w:p>
      <w:pPr>
        <w:spacing w:after="0" w:line="140" w:lineRule="exact"/>
        <w:rPr>
          <w:sz w:val="20"/>
          <w:szCs w:val="20"/>
          <w:color w:val="auto"/>
        </w:rPr>
      </w:pPr>
    </w:p>
    <w:p>
      <w:pPr>
        <w:ind w:left="60" w:right="419" w:hanging="10"/>
        <w:spacing w:after="0" w:line="203" w:lineRule="auto"/>
        <w:tabs>
          <w:tab w:leader="none" w:pos="217" w:val="left"/>
        </w:tabs>
        <w:numPr>
          <w:ilvl w:val="0"/>
          <w:numId w:val="70"/>
        </w:numPr>
        <w:rPr>
          <w:rFonts w:ascii="Times New Roman" w:cs="Times New Roman" w:eastAsia="Times New Roman" w:hAnsi="Times New Roman"/>
          <w:sz w:val="30"/>
          <w:szCs w:val="30"/>
          <w:b w:val="1"/>
          <w:bCs w:val="1"/>
          <w:color w:val="auto"/>
          <w:vertAlign w:val="superscript"/>
        </w:rPr>
      </w:pPr>
      <w:r>
        <w:rPr>
          <w:rFonts w:ascii="Arial" w:cs="Arial" w:eastAsia="Arial" w:hAnsi="Arial"/>
          <w:sz w:val="18"/>
          <w:szCs w:val="18"/>
          <w:color w:val="auto"/>
        </w:rPr>
        <w:t>Certain portions of this Exhibit have been redacted pursuant to Item 601(b)(10)(iv) of Regulation S-K. The Company hereby agrees to furnish supplementally an unredacted copy of the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6" w:name="page167"/>
    <w:bookmarkEnd w:id="1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CENTURY THERAPEUTICS, INC.</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26149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Brent Pfeiffenberger, PharmD, MBA</w:t>
      </w:r>
    </w:p>
    <w:p>
      <w:pPr>
        <w:ind w:left="4840"/>
        <w:spacing w:after="0"/>
        <w:rPr>
          <w:sz w:val="20"/>
          <w:szCs w:val="20"/>
          <w:color w:val="auto"/>
        </w:rPr>
      </w:pPr>
      <w:r>
        <w:rPr>
          <w:rFonts w:ascii="Arial" w:cs="Arial" w:eastAsia="Arial" w:hAnsi="Arial"/>
          <w:sz w:val="18"/>
          <w:szCs w:val="18"/>
          <w:i w:val="1"/>
          <w:iCs w:val="1"/>
          <w:color w:val="auto"/>
        </w:rPr>
        <w:t>Chief Executive Officer</w:t>
      </w:r>
    </w:p>
    <w:p>
      <w:pPr>
        <w:spacing w:after="0" w:line="180"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2" w:right="1440" w:bottom="1440" w:gutter="0" w:footer="0" w:header="0"/>
        </w:sectPr>
      </w:pP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Brent Pfeiffenberger, PharmD,</w:t>
      </w:r>
    </w:p>
    <w:p>
      <w:pPr>
        <w:jc w:val="center"/>
        <w:ind w:left="100"/>
        <w:spacing w:after="0"/>
        <w:rPr>
          <w:sz w:val="20"/>
          <w:szCs w:val="20"/>
          <w:color w:val="auto"/>
        </w:rPr>
      </w:pPr>
      <w:r>
        <w:rPr>
          <w:rFonts w:ascii="Arial" w:cs="Arial" w:eastAsia="Arial" w:hAnsi="Arial"/>
          <w:sz w:val="18"/>
          <w:szCs w:val="18"/>
          <w:color w:val="auto"/>
        </w:rPr>
        <w:t>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8688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jc w:val="center"/>
        <w:ind w:left="100"/>
        <w:spacing w:after="0"/>
        <w:rPr>
          <w:sz w:val="20"/>
          <w:szCs w:val="20"/>
          <w:color w:val="auto"/>
        </w:rPr>
      </w:pPr>
      <w:r>
        <w:rPr>
          <w:rFonts w:ascii="Arial" w:cs="Arial" w:eastAsia="Arial" w:hAnsi="Arial"/>
          <w:sz w:val="17"/>
          <w:szCs w:val="17"/>
          <w:u w:val="single" w:color="auto"/>
          <w:color w:val="auto"/>
        </w:rPr>
        <w:t>Brent Pfeiffenberger, PharmD, MBA</w:t>
      </w:r>
    </w:p>
    <w:p>
      <w:pPr>
        <w:spacing w:after="0" w:line="219" w:lineRule="exact"/>
        <w:rPr>
          <w:sz w:val="20"/>
          <w:szCs w:val="20"/>
          <w:color w:val="auto"/>
        </w:rPr>
      </w:pPr>
    </w:p>
    <w:p>
      <w:pPr>
        <w:jc w:val="center"/>
        <w:ind w:left="100"/>
        <w:spacing w:after="0"/>
        <w:rPr>
          <w:sz w:val="20"/>
          <w:szCs w:val="20"/>
          <w:color w:val="auto"/>
        </w:rPr>
      </w:pPr>
      <w:r>
        <w:rPr>
          <w:rFonts w:ascii="Arial" w:cs="Arial" w:eastAsia="Arial" w:hAnsi="Arial"/>
          <w:sz w:val="18"/>
          <w:szCs w:val="18"/>
          <w:u w:val="single" w:color="auto"/>
          <w:color w:val="auto"/>
        </w:rPr>
        <w:t>/s/ Douglas Carr, CPA</w:t>
      </w:r>
    </w:p>
    <w:p>
      <w:pPr>
        <w:spacing w:after="0" w:line="2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Douglas Carr, CPA</w:t>
      </w:r>
    </w:p>
    <w:p>
      <w:pPr>
        <w:spacing w:after="0" w:line="20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Kimberly Blackwell,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Kimberly Blackwell, M.D.</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Han Lee,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Han Lee, Ph.D</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Martin Murphy,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Martin Murphy, Ph.D.</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Alessandro Riva,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Alessandro Riva, M.D.</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Timothy Walbert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Timothy Walbert</w:t>
      </w:r>
    </w:p>
    <w:p>
      <w:pPr>
        <w:spacing w:after="0" w:line="180"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 Daphne Quimi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8688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Daphne Quimi</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rPr>
              <w:t>Title</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393"/>
        </w:trPr>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Chief Executive Officer and Chairman of the</w:t>
            </w: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9"/>
              </w:rPr>
              <w:t>Board (principal executive officer)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140" w:type="dxa"/>
            <w:vAlign w:val="bottom"/>
          </w:tcPr>
          <w:p>
            <w:pPr>
              <w:spacing w:after="0"/>
              <w:rPr>
                <w:sz w:val="24"/>
                <w:szCs w:val="24"/>
                <w:color w:val="auto"/>
              </w:rPr>
            </w:pP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rPr>
              <w:t>Senior Vice President, Finance &amp; Operations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9"/>
              </w:rPr>
              <w:t>(principal financial and accounting officer)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621"/>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621"/>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621"/>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621"/>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621"/>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bl>
    <w:p>
      <w:pPr>
        <w:spacing w:after="0" w:line="294" w:lineRule="exact"/>
        <w:rPr>
          <w:sz w:val="20"/>
          <w:szCs w:val="20"/>
          <w:color w:val="auto"/>
        </w:rPr>
      </w:pPr>
    </w:p>
    <w:p>
      <w:pPr>
        <w:sectPr>
          <w:pgSz w:w="11900" w:h="16838" w:orient="portrait"/>
          <w:cols w:equalWidth="0" w:num="2">
            <w:col w:w="2960" w:space="140"/>
            <w:col w:w="5919"/>
          </w:cols>
          <w:pgMar w:left="14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jc w:val="center"/>
        <w:spacing w:after="0" w:line="234" w:lineRule="auto"/>
        <w:rPr>
          <w:sz w:val="20"/>
          <w:szCs w:val="20"/>
          <w:color w:val="auto"/>
        </w:rPr>
      </w:pPr>
      <w:r>
        <w:rPr>
          <w:rFonts w:ascii="Arial" w:cs="Arial" w:eastAsia="Arial" w:hAnsi="Arial"/>
          <w:sz w:val="18"/>
          <w:szCs w:val="18"/>
          <w:b w:val="1"/>
          <w:bCs w:val="1"/>
          <w:color w:val="auto"/>
        </w:rPr>
        <w:t>CERTIFICATE OF INCORPORATION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Century Therapeutics, Inc. (the “Corporation”), a corporation organized and existing under the provisions of the General Corporation Law of the State of Delaware (the “DGCL”), hereby certifies that:</w:t>
      </w:r>
    </w:p>
    <w:p>
      <w:pPr>
        <w:spacing w:after="0" w:line="140" w:lineRule="exact"/>
        <w:rPr>
          <w:sz w:val="20"/>
          <w:szCs w:val="20"/>
          <w:color w:val="auto"/>
        </w:rPr>
      </w:pPr>
    </w:p>
    <w:p>
      <w:pPr>
        <w:jc w:val="both"/>
        <w:ind w:firstLine="8"/>
        <w:spacing w:after="0" w:line="247" w:lineRule="auto"/>
        <w:tabs>
          <w:tab w:leader="none" w:pos="2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name of this corporation is Century Therapeutics, Inc. The Corporation’s original Certificate of Incorporation was filed with the Secretary of State of the State of Delaware on February 25, 2021. Pursuant to Section 242 of the DGCL, this Certificate of Amendment (this “Amendment”) amends certain provisions of the Company’s Second Amended and Restated Certificate of Incorporation (the “Charter”).</w:t>
      </w:r>
    </w:p>
    <w:p>
      <w:pPr>
        <w:spacing w:after="0" w:line="160" w:lineRule="exact"/>
        <w:rPr>
          <w:rFonts w:ascii="Arial" w:cs="Arial" w:eastAsia="Arial" w:hAnsi="Arial"/>
          <w:sz w:val="18"/>
          <w:szCs w:val="18"/>
          <w:color w:val="auto"/>
        </w:rPr>
      </w:pPr>
    </w:p>
    <w:p>
      <w:pPr>
        <w:ind w:right="20" w:firstLine="8"/>
        <w:spacing w:after="0" w:line="271" w:lineRule="auto"/>
        <w:tabs>
          <w:tab w:leader="none" w:pos="3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Amendment has been approved and duly adopted by the Corporation’s Board of Directors and stockholders in accordance with the provisions of Section 242 of the DGCL.</w:t>
      </w:r>
    </w:p>
    <w:p>
      <w:pPr>
        <w:spacing w:after="0" w:line="140" w:lineRule="exact"/>
        <w:rPr>
          <w:rFonts w:ascii="Arial" w:cs="Arial" w:eastAsia="Arial" w:hAnsi="Arial"/>
          <w:sz w:val="18"/>
          <w:szCs w:val="18"/>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Charter is hereby amended by adding a new Article XI, which would state: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Limitation of Liability</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spacing w:after="0" w:line="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4. All other provisions of the Charter shall remain in full force and effect.</w:t>
      </w:r>
    </w:p>
    <w:p>
      <w:pPr>
        <w:spacing w:after="0" w:line="19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68" w:name="page169"/>
    <w:bookmarkEnd w:id="168"/>
    <w:p>
      <w:pPr>
        <w:spacing w:after="0" w:line="287" w:lineRule="auto"/>
        <w:rPr>
          <w:sz w:val="20"/>
          <w:szCs w:val="20"/>
          <w:color w:val="auto"/>
        </w:rPr>
      </w:pPr>
      <w:r>
        <w:rPr>
          <w:rFonts w:ascii="Arial" w:cs="Arial" w:eastAsia="Arial" w:hAnsi="Arial"/>
          <w:sz w:val="18"/>
          <w:szCs w:val="18"/>
          <w:color w:val="auto"/>
        </w:rPr>
        <w:t>IN WITNESS WHEREOF, this Certificate of Amendment to the Certificate of Incorporation has been executed by a duly authorized officer of this Corporation on this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June, 2024.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CENTURY THERAPEUTICS, INC.</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By:/s/ Brent Pfeiffenberger, Pharm.D.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Brent Pfeiffenberger,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-127635</wp:posOffset>
            </wp:positionV>
            <wp:extent cx="29743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10.43</w:t>
      </w:r>
    </w:p>
    <w:p>
      <w:pPr>
        <w:spacing w:after="0" w:line="359" w:lineRule="exact"/>
        <w:rPr>
          <w:sz w:val="20"/>
          <w:szCs w:val="20"/>
          <w:color w:val="auto"/>
        </w:rPr>
      </w:pPr>
    </w:p>
    <w:p>
      <w:pPr>
        <w:jc w:val="center"/>
        <w:ind w:right="60"/>
        <w:spacing w:after="0" w:line="250"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312"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LICENSE AGREEMENT</w:t>
      </w:r>
    </w:p>
    <w:p>
      <w:pPr>
        <w:spacing w:after="0" w:line="10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 USE OF CATALENT IPSC LINES</w:t>
      </w:r>
    </w:p>
    <w:p>
      <w:pPr>
        <w:spacing w:after="0" w:line="10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IN PRE-CLINICAL AND CLINICAL DEVELOPMENT, AND COMMERCIALISATION OF CELL</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THERAPIES</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This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effective as of December 12, 2022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Catalent Düsseldorf GmbH</w:t>
      </w:r>
      <w:r>
        <w:rPr>
          <w:rFonts w:ascii="Arial" w:cs="Arial" w:eastAsia="Arial" w:hAnsi="Arial"/>
          <w:sz w:val="18"/>
          <w:szCs w:val="18"/>
          <w:color w:val="auto"/>
        </w:rPr>
        <w:t>, [***]</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Catalent</w:t>
      </w:r>
      <w:r>
        <w:rPr>
          <w:rFonts w:ascii="Arial" w:cs="Arial" w:eastAsia="Arial" w:hAnsi="Arial"/>
          <w:sz w:val="18"/>
          <w:szCs w:val="18"/>
          <w:color w:val="auto"/>
        </w:rPr>
        <w:t>”)</w:t>
      </w:r>
    </w:p>
    <w:p>
      <w:pPr>
        <w:spacing w:after="0" w:line="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And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Clade Therapeutics, Inc.</w:t>
      </w:r>
      <w:r>
        <w:rPr>
          <w:rFonts w:ascii="Arial" w:cs="Arial" w:eastAsia="Arial" w:hAnsi="Arial"/>
          <w:sz w:val="18"/>
          <w:szCs w:val="18"/>
          <w:color w:val="auto"/>
        </w:rPr>
        <w:t>, [***], USA</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(Catalent and Customer hereinafter jointly the “</w:t>
      </w:r>
      <w:r>
        <w:rPr>
          <w:rFonts w:ascii="Arial" w:cs="Arial" w:eastAsia="Arial" w:hAnsi="Arial"/>
          <w:sz w:val="18"/>
          <w:szCs w:val="18"/>
          <w:b w:val="1"/>
          <w:bCs w:val="1"/>
          <w:color w:val="auto"/>
        </w:rPr>
        <w:t>Parties</w:t>
      </w:r>
      <w:r>
        <w:rPr>
          <w:rFonts w:ascii="Arial" w:cs="Arial" w:eastAsia="Arial" w:hAnsi="Arial"/>
          <w:sz w:val="18"/>
          <w:szCs w:val="18"/>
          <w:color w:val="auto"/>
        </w:rPr>
        <w:t>” or each being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Preamble</w:t>
      </w:r>
    </w:p>
    <w:p>
      <w:pPr>
        <w:spacing w:after="0" w:line="104"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Catalent and Customer intend to cooperate in the field of Advanced Therapy Medical Products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development focusing on cell therapy based on iPSC (as defined below);</w:t>
      </w:r>
    </w:p>
    <w:p>
      <w:pPr>
        <w:spacing w:after="0" w:line="73"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Customer has evaluated certain of Catalent’s iPSC and related Materials Information provided by Catalent to</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under the terms of the Material Transfer Agreement – Material for Evaluation (“</w:t>
      </w:r>
      <w:r>
        <w:rPr>
          <w:rFonts w:ascii="Arial" w:cs="Arial" w:eastAsia="Arial" w:hAnsi="Arial"/>
          <w:sz w:val="18"/>
          <w:szCs w:val="18"/>
          <w:b w:val="1"/>
          <w:bCs w:val="1"/>
          <w:color w:val="auto"/>
        </w:rPr>
        <w:t>Material Transfer Agreement</w:t>
      </w:r>
      <w:r>
        <w:rPr>
          <w:rFonts w:ascii="Arial" w:cs="Arial" w:eastAsia="Arial" w:hAnsi="Arial"/>
          <w:sz w:val="18"/>
          <w:szCs w:val="18"/>
          <w:color w:val="auto"/>
        </w:rPr>
        <w:t>”) entered into on August 25, 2021 (“</w:t>
      </w:r>
      <w:r>
        <w:rPr>
          <w:rFonts w:ascii="Arial" w:cs="Arial" w:eastAsia="Arial" w:hAnsi="Arial"/>
          <w:sz w:val="18"/>
          <w:szCs w:val="18"/>
          <w:b w:val="1"/>
          <w:bCs w:val="1"/>
          <w:color w:val="auto"/>
        </w:rPr>
        <w:t>MTA Effective Date</w:t>
      </w:r>
      <w:r>
        <w:rPr>
          <w:rFonts w:ascii="Arial" w:cs="Arial" w:eastAsia="Arial" w:hAnsi="Arial"/>
          <w:sz w:val="18"/>
          <w:szCs w:val="18"/>
          <w:color w:val="auto"/>
        </w:rPr>
        <w:t>”);</w:t>
      </w:r>
    </w:p>
    <w:p>
      <w:pPr>
        <w:spacing w:after="0" w:line="91"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Catalent produces iPSC (as defined below) derived from human cord blood CD34+ cells under GMP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conditions and is prepared to license those cells to Customer under the terms of this Agreement;</w:t>
      </w:r>
    </w:p>
    <w:p>
      <w:pPr>
        <w:spacing w:after="0" w:line="8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Customer is developing new medical therapies in the field of cell therapy and intends to use the GMP iPSC</w:t>
      </w:r>
      <w:r>
        <w:rPr>
          <w:rFonts w:ascii="Arial" w:cs="Arial" w:eastAsia="Arial" w:hAnsi="Arial"/>
          <w:sz w:val="18"/>
          <w:szCs w:val="18"/>
          <w:b w:val="1"/>
          <w:bCs w:val="1"/>
          <w:color w:val="auto"/>
        </w:rPr>
        <w:t xml:space="preserve"> </w:t>
      </w:r>
      <w:r>
        <w:rPr>
          <w:rFonts w:ascii="Arial" w:cs="Arial" w:eastAsia="Arial" w:hAnsi="Arial"/>
          <w:sz w:val="18"/>
          <w:szCs w:val="18"/>
          <w:color w:val="auto"/>
        </w:rPr>
        <w:t>line to perform pre-clinical research and clinical trial(s), and file applications for Regulatory Approval with regard to developing iPSC derived cell therapies and wishes to obtain a license for Catalent’s iPSC [***];</w:t>
      </w:r>
    </w:p>
    <w:p>
      <w:pPr>
        <w:spacing w:after="0" w:line="8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Catalent’s manufacturing process of iPSC and/or their use are covered by patents and/or patent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 and</w:t>
      </w:r>
    </w:p>
    <w:p>
      <w:pPr>
        <w:spacing w:after="0" w:line="8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Donors (as defined below) have given their informed consent for the use of their cells for ATMP-associated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clinical and commercial application.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 therefore, for and in consideration of the foregoing, the Parties agree as follows:</w:t>
      </w:r>
    </w:p>
    <w:p>
      <w:pPr>
        <w:spacing w:after="0" w:line="131" w:lineRule="exact"/>
        <w:rPr>
          <w:sz w:val="20"/>
          <w:szCs w:val="20"/>
          <w:color w:val="auto"/>
        </w:rPr>
      </w:pPr>
    </w:p>
    <w:p>
      <w:pPr>
        <w:ind w:left="480" w:hanging="478"/>
        <w:spacing w:after="0"/>
        <w:tabs>
          <w:tab w:leader="none" w:pos="4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0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this Agreement the following terms shall have the following meaning:</w:t>
      </w:r>
    </w:p>
    <w:p>
      <w:pPr>
        <w:spacing w:after="0" w:line="144" w:lineRule="exact"/>
        <w:rPr>
          <w:sz w:val="20"/>
          <w:szCs w:val="20"/>
          <w:color w:val="auto"/>
        </w:rPr>
      </w:pPr>
    </w:p>
    <w:p>
      <w:pPr>
        <w:jc w:val="both"/>
        <w:ind w:left="480" w:hanging="472"/>
        <w:spacing w:after="0" w:line="253" w:lineRule="auto"/>
        <w:tabs>
          <w:tab w:leader="none" w:pos="460" w:val="left"/>
        </w:tabs>
        <w:rPr>
          <w:sz w:val="20"/>
          <w:szCs w:val="20"/>
          <w:color w:val="auto"/>
        </w:rPr>
      </w:pPr>
      <w:r>
        <w:rPr>
          <w:rFonts w:ascii="Arial" w:cs="Arial" w:eastAsia="Arial" w:hAnsi="Arial"/>
          <w:sz w:val="18"/>
          <w:szCs w:val="18"/>
          <w:color w:val="auto"/>
        </w:rPr>
        <w:t>1.1.</w:t>
        <w:tab/>
        <w:t>“Advanced Therapy Medical Products” or “ATMP” means any biological product for the prevention, treatment, or cure of a disease or condition of humans, which product is based on genes, tissue or cells, including cell therapy, transplantations and regenerative medicine.</w:t>
      </w:r>
    </w:p>
    <w:p>
      <w:pPr>
        <w:spacing w:after="0" w:line="101" w:lineRule="exact"/>
        <w:rPr>
          <w:sz w:val="20"/>
          <w:szCs w:val="20"/>
          <w:color w:val="auto"/>
        </w:rPr>
      </w:pPr>
    </w:p>
    <w:p>
      <w:pPr>
        <w:jc w:val="both"/>
        <w:ind w:left="480" w:hanging="472"/>
        <w:spacing w:after="0"/>
        <w:tabs>
          <w:tab w:leader="none" w:pos="460" w:val="left"/>
        </w:tabs>
        <w:rPr>
          <w:sz w:val="20"/>
          <w:szCs w:val="20"/>
          <w:color w:val="auto"/>
        </w:rPr>
      </w:pPr>
      <w:r>
        <w:rPr>
          <w:rFonts w:ascii="Arial" w:cs="Arial" w:eastAsia="Arial" w:hAnsi="Arial"/>
          <w:sz w:val="18"/>
          <w:szCs w:val="18"/>
          <w:color w:val="auto"/>
        </w:rPr>
        <w:t>1.2.</w:t>
        <w:tab/>
        <w:t>“Affiliate(s)” means, with respect to any individual or corporation, partnership, limited liability company, partnership, association, trust, unincorporated entity, or other legal entity, including any governmental unit or agency thereof (each, a “</w:t>
      </w:r>
      <w:r>
        <w:rPr>
          <w:rFonts w:ascii="Arial" w:cs="Arial" w:eastAsia="Arial" w:hAnsi="Arial"/>
          <w:sz w:val="18"/>
          <w:szCs w:val="18"/>
          <w:b w:val="1"/>
          <w:bCs w:val="1"/>
          <w:color w:val="auto"/>
        </w:rPr>
        <w:t>Person</w:t>
      </w:r>
      <w:r>
        <w:rPr>
          <w:rFonts w:ascii="Arial" w:cs="Arial" w:eastAsia="Arial" w:hAnsi="Arial"/>
          <w:sz w:val="18"/>
          <w:szCs w:val="18"/>
          <w:color w:val="auto"/>
        </w:rPr>
        <w:t>”), any other Person that directly or indirectly through one or more intermediaries, controls, is controlled by, or is under common control with such Person. For the purposes of this definition, “</w:t>
      </w:r>
      <w:r>
        <w:rPr>
          <w:rFonts w:ascii="Arial" w:cs="Arial" w:eastAsia="Arial" w:hAnsi="Arial"/>
          <w:sz w:val="18"/>
          <w:szCs w:val="18"/>
          <w:b w:val="1"/>
          <w:bCs w:val="1"/>
          <w:color w:val="auto"/>
        </w:rPr>
        <w:t>control</w:t>
      </w:r>
      <w:r>
        <w:rPr>
          <w:rFonts w:ascii="Arial" w:cs="Arial" w:eastAsia="Arial" w:hAnsi="Arial"/>
          <w:sz w:val="18"/>
          <w:szCs w:val="18"/>
          <w:color w:val="auto"/>
        </w:rPr>
        <w:t>” (including, with correlative meanings,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shall mean possession, directly or indirectly, of the power to direct the management and policies of a Person, whether through the ownership of 50% or more of the voting interests of such Person, through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343535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40" w:top="122" w:right="999" w:bottom="1440" w:gutter="0" w:footer="0" w:header="0"/>
        </w:sectPr>
      </w:pPr>
    </w:p>
    <w:bookmarkStart w:id="170" w:name="page171"/>
    <w:bookmarkEnd w:id="170"/>
    <w:p>
      <w:pPr>
        <w:jc w:val="both"/>
        <w:ind w:left="480" w:hanging="472"/>
        <w:spacing w:after="0" w:line="252" w:lineRule="auto"/>
        <w:tabs>
          <w:tab w:leader="none" w:pos="460" w:val="left"/>
        </w:tabs>
        <w:rPr>
          <w:sz w:val="20"/>
          <w:szCs w:val="20"/>
          <w:color w:val="auto"/>
        </w:rPr>
      </w:pPr>
      <w:r>
        <w:rPr>
          <w:rFonts w:ascii="Arial" w:cs="Arial" w:eastAsia="Arial" w:hAnsi="Arial"/>
          <w:sz w:val="18"/>
          <w:szCs w:val="18"/>
          <w:color w:val="auto"/>
        </w:rPr>
        <w:t>1.3.</w:t>
        <w:tab/>
        <w:t>“Applicable Laws” means with respect to a Party, all laws, ordinances, rules, and regulations currently in effect or enacted or promulgated during the Term, and as amended from time to time, of each jurisdiction in which such Party performs the applicable activities under this Agreement.</w:t>
      </w:r>
    </w:p>
    <w:p>
      <w:pPr>
        <w:spacing w:after="0" w:line="13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“Audit Report” has the meaning set forth in Section 2.2.</w:t>
      </w:r>
    </w:p>
    <w:p>
      <w:pPr>
        <w:spacing w:after="0" w:line="171" w:lineRule="exact"/>
        <w:rPr>
          <w:sz w:val="20"/>
          <w:szCs w:val="20"/>
          <w:color w:val="auto"/>
        </w:rPr>
      </w:pPr>
    </w:p>
    <w:p>
      <w:pPr>
        <w:jc w:val="both"/>
        <w:ind w:left="480" w:hanging="472"/>
        <w:spacing w:after="0"/>
        <w:tabs>
          <w:tab w:leader="none" w:pos="460" w:val="left"/>
        </w:tabs>
        <w:rPr>
          <w:sz w:val="20"/>
          <w:szCs w:val="20"/>
          <w:color w:val="auto"/>
        </w:rPr>
      </w:pPr>
      <w:r>
        <w:rPr>
          <w:rFonts w:ascii="Arial" w:cs="Arial" w:eastAsia="Arial" w:hAnsi="Arial"/>
          <w:sz w:val="18"/>
          <w:szCs w:val="18"/>
          <w:color w:val="auto"/>
        </w:rPr>
        <w:t>1.5.</w:t>
        <w:tab/>
        <w:t>“Background Knowledge” means all intellectual property rights (whether or not registered or registerable), including without limitation any and all patents, utility models, inventions, improvements or discoveries, know-how, trade secrets, copyrights, design rights, database and software rights, and any application or right to apply for registration of any such rights, and all other proprietary or Confidential Information, in each case, owned or controlled by a Party, (a) prior to the MTA Effective Date or (b) during the Term but conceived, reduced to practice or generated by or on behalf of such Party outside the scope of the MTA or this Agreement. [***]. For clarity, Catalent will not disclose to Customer any of its Background Knowledge related to differentiation of iPSC under this Agreement.</w:t>
      </w:r>
    </w:p>
    <w:p>
      <w:pPr>
        <w:spacing w:after="0" w:line="144" w:lineRule="exact"/>
        <w:rPr>
          <w:sz w:val="20"/>
          <w:szCs w:val="20"/>
          <w:color w:val="auto"/>
        </w:rPr>
      </w:pPr>
    </w:p>
    <w:p>
      <w:pPr>
        <w:jc w:val="both"/>
        <w:ind w:left="480" w:hanging="472"/>
        <w:spacing w:after="0" w:line="244" w:lineRule="auto"/>
        <w:tabs>
          <w:tab w:leader="none" w:pos="460" w:val="left"/>
        </w:tabs>
        <w:rPr>
          <w:sz w:val="20"/>
          <w:szCs w:val="20"/>
          <w:color w:val="auto"/>
        </w:rPr>
      </w:pPr>
      <w:r>
        <w:rPr>
          <w:rFonts w:ascii="Arial" w:cs="Arial" w:eastAsia="Arial" w:hAnsi="Arial"/>
          <w:sz w:val="18"/>
          <w:szCs w:val="18"/>
          <w:color w:val="auto"/>
        </w:rPr>
        <w:t>1.6.</w:t>
        <w:tab/>
        <w:t>“Clinical Trial” means, with respect to Product, a human clinical trial of such Product (a) with the endpoint of determining initial tolerance, toxicity, safety or pharmacokinetic information that complies with the requirements of [***] or foreign equivalent regulations (such human clinical trial a “</w:t>
      </w:r>
      <w:r>
        <w:rPr>
          <w:rFonts w:ascii="Arial" w:cs="Arial" w:eastAsia="Arial" w:hAnsi="Arial"/>
          <w:sz w:val="18"/>
          <w:szCs w:val="18"/>
          <w:b w:val="1"/>
          <w:bCs w:val="1"/>
          <w:color w:val="auto"/>
        </w:rPr>
        <w:t>Phase 1 Clinical Trial</w:t>
      </w:r>
      <w:r>
        <w:rPr>
          <w:rFonts w:ascii="Arial" w:cs="Arial" w:eastAsia="Arial" w:hAnsi="Arial"/>
          <w:sz w:val="18"/>
          <w:szCs w:val="18"/>
          <w:color w:val="auto"/>
        </w:rPr>
        <w:t>”), (b) that is a preliminary efficacy and safety or dose ranging trial in the target patient population that complies with the requirements of [***] or foreign equivalent regulations (such human clinical trial a “</w:t>
      </w:r>
      <w:r>
        <w:rPr>
          <w:rFonts w:ascii="Arial" w:cs="Arial" w:eastAsia="Arial" w:hAnsi="Arial"/>
          <w:sz w:val="18"/>
          <w:szCs w:val="18"/>
          <w:b w:val="1"/>
          <w:bCs w:val="1"/>
          <w:color w:val="auto"/>
        </w:rPr>
        <w:t>Phase 2 Clinical Trial</w:t>
      </w:r>
      <w:r>
        <w:rPr>
          <w:rFonts w:ascii="Arial" w:cs="Arial" w:eastAsia="Arial" w:hAnsi="Arial"/>
          <w:sz w:val="18"/>
          <w:szCs w:val="18"/>
          <w:color w:val="auto"/>
        </w:rPr>
        <w:t>”) or (c) that complies with the requirements of [***] or foreign equivalent regulations (such human clinical trial a “</w:t>
      </w:r>
      <w:r>
        <w:rPr>
          <w:rFonts w:ascii="Arial" w:cs="Arial" w:eastAsia="Arial" w:hAnsi="Arial"/>
          <w:sz w:val="18"/>
          <w:szCs w:val="18"/>
          <w:b w:val="1"/>
          <w:bCs w:val="1"/>
          <w:color w:val="auto"/>
        </w:rPr>
        <w:t>Phase 3 Clinical Trial</w:t>
      </w:r>
      <w:r>
        <w:rPr>
          <w:rFonts w:ascii="Arial" w:cs="Arial" w:eastAsia="Arial" w:hAnsi="Arial"/>
          <w:sz w:val="18"/>
          <w:szCs w:val="18"/>
          <w:color w:val="auto"/>
        </w:rPr>
        <w:t>”).</w:t>
      </w:r>
    </w:p>
    <w:p>
      <w:pPr>
        <w:spacing w:after="0" w:line="12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“Disclosing Party” has the meaning set forth in Section 7.1.</w:t>
      </w:r>
    </w:p>
    <w:p>
      <w:pPr>
        <w:spacing w:after="0" w:line="17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“Donor” means a person who has donated cord blood from which any iPSC was derived.</w:t>
      </w:r>
    </w:p>
    <w:p>
      <w:pPr>
        <w:spacing w:after="0" w:line="171" w:lineRule="exact"/>
        <w:rPr>
          <w:sz w:val="20"/>
          <w:szCs w:val="20"/>
          <w:color w:val="auto"/>
        </w:rPr>
      </w:pPr>
    </w:p>
    <w:p>
      <w:pPr>
        <w:jc w:val="both"/>
        <w:ind w:left="480" w:hanging="472"/>
        <w:spacing w:after="0" w:line="244" w:lineRule="auto"/>
        <w:tabs>
          <w:tab w:leader="none" w:pos="460" w:val="left"/>
        </w:tabs>
        <w:rPr>
          <w:sz w:val="20"/>
          <w:szCs w:val="20"/>
          <w:color w:val="auto"/>
        </w:rPr>
      </w:pPr>
      <w:r>
        <w:rPr>
          <w:rFonts w:ascii="Arial" w:cs="Arial" w:eastAsia="Arial" w:hAnsi="Arial"/>
          <w:sz w:val="18"/>
          <w:szCs w:val="18"/>
          <w:color w:val="auto"/>
        </w:rPr>
        <w:t>1.9.</w:t>
        <w:tab/>
        <w:t>“First Commercial Sale” means, with regard to any Product in any country, the first sale of such Product by Customer, any Affiliate of Customer or Permitted Recipient for compensation and use or consumption by the general public after Marketing Authorization for such Product has been obtained in such country. For avoidance of doubt, sales prior to receipt of a Marketing Authorization necessary to commence regular commercial sales, such as so-called “treatment IND sales”, “named patient sales” and “compassionate use sales,” shall not be construed as a First Commercial Sale.</w:t>
      </w:r>
    </w:p>
    <w:p>
      <w:pPr>
        <w:spacing w:after="0" w:line="136" w:lineRule="exact"/>
        <w:rPr>
          <w:sz w:val="20"/>
          <w:szCs w:val="20"/>
          <w:color w:val="auto"/>
        </w:rPr>
      </w:pPr>
    </w:p>
    <w:p>
      <w:pPr>
        <w:jc w:val="both"/>
        <w:ind w:left="480" w:hanging="472"/>
        <w:spacing w:after="0" w:line="261" w:lineRule="auto"/>
        <w:rPr>
          <w:sz w:val="20"/>
          <w:szCs w:val="20"/>
          <w:color w:val="auto"/>
        </w:rPr>
      </w:pPr>
      <w:r>
        <w:rPr>
          <w:rFonts w:ascii="Arial" w:cs="Arial" w:eastAsia="Arial" w:hAnsi="Arial"/>
          <w:sz w:val="17"/>
          <w:szCs w:val="17"/>
          <w:color w:val="auto"/>
        </w:rPr>
        <w:t>1.10. “GMP” means current Good Manufacturing Practices promulgated by the Regulatory Authorities in the jurisdictions included in Applicable Laws (as applicable to Customer and Catalent, respectively), if and as implemented in the relevant constituent country, such as methods to be used in, and the facilities or controls to be used for, the manufacture, processing, testing, packaging, labelling, handling or storage of Product to assure that it is safe, and has the identity and strength and meets the quality and purity characteristics that it purports, or is represented, to possess.</w:t>
      </w:r>
    </w:p>
    <w:p>
      <w:pPr>
        <w:spacing w:after="0" w:line="125" w:lineRule="exact"/>
        <w:rPr>
          <w:sz w:val="20"/>
          <w:szCs w:val="20"/>
          <w:color w:val="auto"/>
        </w:rPr>
      </w:pPr>
    </w:p>
    <w:p>
      <w:pPr>
        <w:jc w:val="both"/>
        <w:ind w:left="480" w:right="20" w:hanging="472"/>
        <w:spacing w:after="0" w:line="271" w:lineRule="auto"/>
        <w:rPr>
          <w:sz w:val="20"/>
          <w:szCs w:val="20"/>
          <w:color w:val="auto"/>
        </w:rPr>
      </w:pPr>
      <w:r>
        <w:rPr>
          <w:rFonts w:ascii="Arial" w:cs="Arial" w:eastAsia="Arial" w:hAnsi="Arial"/>
          <w:sz w:val="18"/>
          <w:szCs w:val="18"/>
          <w:color w:val="auto"/>
        </w:rPr>
        <w:t>1.11. “IND” means an Investigational New Drug Application for the Product filed with the United States Food and Drug Administration or any comparable filing made with a Regulatory Authority in another country.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1.12. “Indemnified Matter” has the meaning set forth in Section 12.4.</w:t>
      </w:r>
    </w:p>
    <w:p>
      <w:pPr>
        <w:spacing w:after="0" w:line="171" w:lineRule="exact"/>
        <w:rPr>
          <w:sz w:val="20"/>
          <w:szCs w:val="20"/>
          <w:color w:val="auto"/>
        </w:rPr>
      </w:pPr>
    </w:p>
    <w:p>
      <w:pPr>
        <w:jc w:val="both"/>
        <w:ind w:left="480" w:hanging="472"/>
        <w:spacing w:after="0" w:line="271" w:lineRule="auto"/>
        <w:rPr>
          <w:sz w:val="20"/>
          <w:szCs w:val="20"/>
          <w:color w:val="auto"/>
        </w:rPr>
      </w:pPr>
      <w:r>
        <w:rPr>
          <w:rFonts w:ascii="Arial" w:cs="Arial" w:eastAsia="Arial" w:hAnsi="Arial"/>
          <w:sz w:val="18"/>
          <w:szCs w:val="18"/>
          <w:color w:val="auto"/>
        </w:rPr>
        <w:t>1.13. “Indication” means any human disease or condition, including the cure, mitigation, treatment, or prevention of any such disease or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1.14. [***].</w:t>
      </w:r>
    </w:p>
    <w:p>
      <w:pPr>
        <w:spacing w:after="0" w:line="171" w:lineRule="exact"/>
        <w:rPr>
          <w:sz w:val="20"/>
          <w:szCs w:val="20"/>
          <w:color w:val="auto"/>
        </w:rPr>
      </w:pPr>
    </w:p>
    <w:p>
      <w:pPr>
        <w:jc w:val="both"/>
        <w:ind w:left="480" w:hanging="472"/>
        <w:spacing w:after="0" w:line="247" w:lineRule="auto"/>
        <w:rPr>
          <w:sz w:val="20"/>
          <w:szCs w:val="20"/>
          <w:color w:val="auto"/>
        </w:rPr>
      </w:pPr>
      <w:r>
        <w:rPr>
          <w:rFonts w:ascii="Arial" w:cs="Arial" w:eastAsia="Arial" w:hAnsi="Arial"/>
          <w:sz w:val="18"/>
          <w:szCs w:val="18"/>
          <w:color w:val="auto"/>
        </w:rPr>
        <w:t>1.15. “iPSC” means human induced pluripotent stem cells that are provided by Catalent to Customer under this Agreement as described in Section 3.1. For clarity, the iPSC provided under this Agreement are [***] cell line and such cell line is identical to the cell line provided by Catalent to Customer under the Material Transfer Agreement, except for the number of passages for expansion.</w:t>
      </w:r>
    </w:p>
    <w:p>
      <w:pPr>
        <w:spacing w:after="0" w:line="133" w:lineRule="exact"/>
        <w:rPr>
          <w:sz w:val="20"/>
          <w:szCs w:val="20"/>
          <w:color w:val="auto"/>
        </w:rPr>
      </w:pPr>
    </w:p>
    <w:p>
      <w:pPr>
        <w:jc w:val="both"/>
        <w:ind w:left="480" w:hanging="472"/>
        <w:spacing w:after="0" w:line="253" w:lineRule="auto"/>
        <w:rPr>
          <w:sz w:val="20"/>
          <w:szCs w:val="20"/>
          <w:color w:val="auto"/>
        </w:rPr>
      </w:pPr>
      <w:r>
        <w:rPr>
          <w:rFonts w:ascii="Arial" w:cs="Arial" w:eastAsia="Arial" w:hAnsi="Arial"/>
          <w:sz w:val="18"/>
          <w:szCs w:val="18"/>
          <w:color w:val="auto"/>
        </w:rPr>
        <w:t>1.16. “Marketing Authorization” means, with respect to a Product, an approval by a Regulatory Authority permitting the regular commercial sale of such Product in the applicable market in a country, region or other jurisdiction in the Territory.</w:t>
      </w:r>
    </w:p>
    <w:p>
      <w:pPr>
        <w:spacing w:after="0" w:line="128" w:lineRule="exact"/>
        <w:rPr>
          <w:sz w:val="20"/>
          <w:szCs w:val="20"/>
          <w:color w:val="auto"/>
        </w:rPr>
      </w:pPr>
    </w:p>
    <w:p>
      <w:pPr>
        <w:jc w:val="both"/>
        <w:ind w:left="480" w:hanging="472"/>
        <w:spacing w:after="0" w:line="253" w:lineRule="auto"/>
        <w:rPr>
          <w:sz w:val="20"/>
          <w:szCs w:val="20"/>
          <w:color w:val="auto"/>
        </w:rPr>
      </w:pPr>
      <w:r>
        <w:rPr>
          <w:rFonts w:ascii="Arial" w:cs="Arial" w:eastAsia="Arial" w:hAnsi="Arial"/>
          <w:sz w:val="18"/>
          <w:szCs w:val="18"/>
          <w:color w:val="auto"/>
        </w:rPr>
        <w:t>1.17. “Material Breach” means a breach (including an anticipatory breach) of this Agreement which is not minimal or trivial in its consequences to the non-breaching Party. In deciding whether any breach is material, no regard shall be had to whether it occurs by some accident, mishap, mistake or misunderstanding.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1.18. “Materials” means (i) iPSC, (ii) Progeny, and (iii)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480695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1040" w:top="122" w:right="999" w:bottom="1440" w:gutter="0" w:footer="0" w:header="0"/>
        </w:sectPr>
      </w:pPr>
    </w:p>
    <w:bookmarkStart w:id="171" w:name="page172"/>
    <w:bookmarkEnd w:id="171"/>
    <w:p>
      <w:pPr>
        <w:jc w:val="both"/>
        <w:ind w:left="480" w:hanging="472"/>
        <w:spacing w:after="0"/>
        <w:rPr>
          <w:sz w:val="20"/>
          <w:szCs w:val="20"/>
          <w:color w:val="auto"/>
        </w:rPr>
      </w:pPr>
      <w:r>
        <w:rPr>
          <w:rFonts w:ascii="Arial" w:cs="Arial" w:eastAsia="Arial" w:hAnsi="Arial"/>
          <w:sz w:val="18"/>
          <w:szCs w:val="18"/>
          <w:color w:val="auto"/>
        </w:rPr>
        <w:t>1.19. “Materials Information” means standard documentation, in each case provided by Catalent to Customer, including, but not limited to donor infectious disease marker testing (both the testing on donor at the time of donation and tests that were repeated on later stage materials (</w:t>
      </w:r>
      <w:r>
        <w:rPr>
          <w:rFonts w:ascii="Arial" w:cs="Arial" w:eastAsia="Arial" w:hAnsi="Arial"/>
          <w:sz w:val="18"/>
          <w:szCs w:val="18"/>
          <w:i w:val="1"/>
          <w:iCs w:val="1"/>
          <w:color w:val="auto"/>
        </w:rPr>
        <w:t>e.g.</w:t>
      </w:r>
      <w:r>
        <w:rPr>
          <w:rFonts w:ascii="Arial" w:cs="Arial" w:eastAsia="Arial" w:hAnsi="Arial"/>
          <w:sz w:val="18"/>
          <w:szCs w:val="18"/>
          <w:color w:val="auto"/>
        </w:rPr>
        <w:t>, MCB)), information on tests and kits used, blank or un-executed versions of informed consent document (translated in English language) and donor history questionnaires (translated in English language) and information related to the iPSC, including but not limited to the certificate of analysis of iPSC, specifications of iPSC, guidelines for handling, including, but not limited to, storage, transportation, and destruction, but not including Donor identity or other legally impermissible information.</w:t>
      </w:r>
    </w:p>
    <w:p>
      <w:pPr>
        <w:spacing w:after="0" w:line="143" w:lineRule="exact"/>
        <w:rPr>
          <w:sz w:val="20"/>
          <w:szCs w:val="20"/>
          <w:color w:val="auto"/>
        </w:rPr>
      </w:pPr>
    </w:p>
    <w:p>
      <w:pPr>
        <w:jc w:val="both"/>
        <w:ind w:left="480" w:hanging="472"/>
        <w:spacing w:after="0" w:line="271" w:lineRule="auto"/>
        <w:rPr>
          <w:sz w:val="20"/>
          <w:szCs w:val="20"/>
          <w:color w:val="auto"/>
        </w:rPr>
      </w:pPr>
      <w:r>
        <w:rPr>
          <w:rFonts w:ascii="Arial" w:cs="Arial" w:eastAsia="Arial" w:hAnsi="Arial"/>
          <w:sz w:val="18"/>
          <w:szCs w:val="18"/>
          <w:color w:val="auto"/>
        </w:rPr>
        <w:t>1.20. “Modifications” means cells which are created by or on behalf of Customer, any of its Affiliates, and its and their Subcontractors or Permitted Recipients through the use of iPSC or Progeny,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1.21. “Net Sales” means,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1.22. “Notice of Corrective Action” has the meaning set forth in Section 2.2.</w:t>
      </w:r>
    </w:p>
    <w:p>
      <w:pPr>
        <w:spacing w:after="0" w:line="171" w:lineRule="exact"/>
        <w:rPr>
          <w:sz w:val="20"/>
          <w:szCs w:val="20"/>
          <w:color w:val="auto"/>
        </w:rPr>
      </w:pPr>
    </w:p>
    <w:p>
      <w:pPr>
        <w:jc w:val="both"/>
        <w:ind w:left="480" w:hanging="485"/>
        <w:spacing w:after="0" w:line="244" w:lineRule="auto"/>
        <w:rPr>
          <w:sz w:val="20"/>
          <w:szCs w:val="20"/>
          <w:color w:val="auto"/>
        </w:rPr>
      </w:pPr>
      <w:r>
        <w:rPr>
          <w:rFonts w:ascii="Arial" w:cs="Arial" w:eastAsia="Arial" w:hAnsi="Arial"/>
          <w:sz w:val="18"/>
          <w:szCs w:val="18"/>
          <w:color w:val="auto"/>
        </w:rPr>
        <w:t>1.23. “Permitted Recipients” means any Third Party to whom Customer or any of its Affiliates has, directly or indirectly, granted a right to market and commercialize (subject to royalties payable by Customer to Catalent in accordance with the terms and conditions of this Agreement) whether or not in connection with the right to develop or manufacture, one or more of the Products or Modifications, under a sublicense or any other definitive agreement between such parties.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1.24. “Product” or “Products” means [***]. Each Product [***] shall trigger payments as per Section 10 of this Agreement.</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pacing w:after="0" w:line="153" w:lineRule="exact"/>
        <w:rPr>
          <w:sz w:val="20"/>
          <w:szCs w:val="20"/>
          <w:color w:val="auto"/>
        </w:rPr>
      </w:pPr>
    </w:p>
    <w:p>
      <w:pPr>
        <w:jc w:val="both"/>
        <w:ind w:left="480" w:right="20" w:hanging="485"/>
        <w:spacing w:after="0" w:line="271" w:lineRule="auto"/>
        <w:rPr>
          <w:sz w:val="20"/>
          <w:szCs w:val="20"/>
          <w:color w:val="auto"/>
        </w:rPr>
      </w:pPr>
      <w:r>
        <w:rPr>
          <w:rFonts w:ascii="Arial" w:cs="Arial" w:eastAsia="Arial" w:hAnsi="Arial"/>
          <w:sz w:val="18"/>
          <w:szCs w:val="18"/>
          <w:color w:val="auto"/>
        </w:rPr>
        <w:t>1.25. “Progeny” means [***]. In Progeny, a distinction is made according to [***]. “Progeny 1” means [***]. “Progeny 2” means [***]. In this Agreement, the term “Progeny” shall mean both Progeny 1 and Progeny 2.</w:t>
      </w:r>
    </w:p>
    <w:p>
      <w:pPr>
        <w:spacing w:after="0" w:line="113" w:lineRule="exact"/>
        <w:rPr>
          <w:sz w:val="20"/>
          <w:szCs w:val="20"/>
          <w:color w:val="auto"/>
        </w:rPr>
      </w:pPr>
    </w:p>
    <w:p>
      <w:pPr>
        <w:jc w:val="both"/>
        <w:ind w:left="480" w:hanging="485"/>
        <w:spacing w:after="0" w:line="244" w:lineRule="auto"/>
        <w:rPr>
          <w:sz w:val="20"/>
          <w:szCs w:val="20"/>
          <w:color w:val="auto"/>
        </w:rPr>
      </w:pPr>
      <w:r>
        <w:rPr>
          <w:rFonts w:ascii="Arial" w:cs="Arial" w:eastAsia="Arial" w:hAnsi="Arial"/>
          <w:sz w:val="18"/>
          <w:szCs w:val="18"/>
          <w:color w:val="auto"/>
        </w:rPr>
        <w:t>1.26. “Purpose” means the development, manufacture and commercialization by or on behalf of Customer, Subcontractor or a Permitted Recipient of Modifications or Products that qualify or are developed for the purposes of qualifying as an ATMP, including clinical applications, efficacy testing and applications for Regulatory Approval and Marketing Authorization in the Territory, all aforesaid with regard to any Indication. The Purpose excludes any use for diagnostic purposes, candidate drug screening or fundamental scientific research.</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1.27. “Receiving Party” has the meaning set forth in Section 7.1.</w:t>
      </w:r>
    </w:p>
    <w:p>
      <w:pPr>
        <w:spacing w:after="0" w:line="171" w:lineRule="exact"/>
        <w:rPr>
          <w:sz w:val="20"/>
          <w:szCs w:val="20"/>
          <w:color w:val="auto"/>
        </w:rPr>
      </w:pPr>
    </w:p>
    <w:p>
      <w:pPr>
        <w:jc w:val="both"/>
        <w:ind w:left="480" w:hanging="485"/>
        <w:spacing w:after="0" w:line="242" w:lineRule="auto"/>
        <w:rPr>
          <w:sz w:val="20"/>
          <w:szCs w:val="20"/>
          <w:color w:val="auto"/>
        </w:rPr>
      </w:pPr>
      <w:r>
        <w:rPr>
          <w:rFonts w:ascii="Arial" w:cs="Arial" w:eastAsia="Arial" w:hAnsi="Arial"/>
          <w:sz w:val="18"/>
          <w:szCs w:val="18"/>
          <w:color w:val="auto"/>
        </w:rPr>
        <w:t>1.28. “Regulatory Approval” means any approvals, product and/or establishment licenses, registrations or authorizations, including approvals pursuant to an IND application, Biologics License Application, New Drug Application, Abbreviated New Drug Application and Emergency Use Authorization or similar concept, as applicable (or equivalent non-U.S. filings, such as European marketing authorization applications) of any Regulatory Authority that are necessary for the development, manufacture, use, storage, exportation, importation, transport, promotion, marketing, distribution or sale of Product anywhere in the world, including pricing and reimbursement approval if required.</w:t>
      </w:r>
    </w:p>
    <w:p>
      <w:pPr>
        <w:spacing w:after="0" w:line="138" w:lineRule="exact"/>
        <w:rPr>
          <w:sz w:val="20"/>
          <w:szCs w:val="20"/>
          <w:color w:val="auto"/>
        </w:rPr>
      </w:pPr>
    </w:p>
    <w:p>
      <w:pPr>
        <w:jc w:val="both"/>
        <w:ind w:left="480" w:hanging="485"/>
        <w:spacing w:after="0" w:line="244" w:lineRule="auto"/>
        <w:rPr>
          <w:sz w:val="20"/>
          <w:szCs w:val="20"/>
          <w:color w:val="auto"/>
        </w:rPr>
      </w:pPr>
      <w:r>
        <w:rPr>
          <w:rFonts w:ascii="Arial" w:cs="Arial" w:eastAsia="Arial" w:hAnsi="Arial"/>
          <w:sz w:val="18"/>
          <w:szCs w:val="18"/>
          <w:color w:val="auto"/>
        </w:rPr>
        <w:t>1.29. “Regulatory Authority” means a multinational, national, state, local, or other governmental or regulatory body, agency, department, bureau, authority, court, or other entity that is responsible for (A) the regulation (including pricing) of any aspect of pharmaceutical or medicinal products intended for human use or (B) health, safety, or environmental matters generally. In the United States, this includes the United States Food and Drug Administration; and, in the European Union, this includes the European Medicines Agency.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1.30. “Representatives” has the meaning set forth in Section 7.2.</w:t>
      </w:r>
    </w:p>
    <w:p>
      <w:pPr>
        <w:spacing w:after="0" w:line="171" w:lineRule="exact"/>
        <w:rPr>
          <w:sz w:val="20"/>
          <w:szCs w:val="20"/>
          <w:color w:val="auto"/>
        </w:rPr>
      </w:pPr>
    </w:p>
    <w:p>
      <w:pPr>
        <w:jc w:val="both"/>
        <w:ind w:left="480" w:right="20" w:hanging="472"/>
        <w:spacing w:after="0" w:line="247" w:lineRule="auto"/>
        <w:rPr>
          <w:sz w:val="20"/>
          <w:szCs w:val="20"/>
          <w:color w:val="auto"/>
        </w:rPr>
      </w:pPr>
      <w:r>
        <w:rPr>
          <w:rFonts w:ascii="Arial" w:cs="Arial" w:eastAsia="Arial" w:hAnsi="Arial"/>
          <w:sz w:val="18"/>
          <w:szCs w:val="18"/>
          <w:color w:val="auto"/>
        </w:rPr>
        <w:t>1.31. “Results” shall mean any results, patentable or not patentable, obtained by Customer from and during the use of Material, regardless of their nature or medium (including but not limited to raw data obtained during experiments, products, materials, graphs, statistical analysis and intermediary or final study report). For sake of clarity: Catalent’s Background Knowledge and Customer’s Background Knowledge are not part of the Results.</w:t>
      </w:r>
    </w:p>
    <w:p>
      <w:pPr>
        <w:spacing w:after="0" w:line="133" w:lineRule="exact"/>
        <w:rPr>
          <w:sz w:val="20"/>
          <w:szCs w:val="20"/>
          <w:color w:val="auto"/>
        </w:rPr>
      </w:pPr>
    </w:p>
    <w:p>
      <w:pPr>
        <w:jc w:val="both"/>
        <w:ind w:left="480" w:hanging="472"/>
        <w:spacing w:after="0"/>
        <w:rPr>
          <w:sz w:val="20"/>
          <w:szCs w:val="20"/>
          <w:color w:val="auto"/>
        </w:rPr>
      </w:pPr>
      <w:r>
        <w:rPr>
          <w:rFonts w:ascii="Arial" w:cs="Arial" w:eastAsia="Arial" w:hAnsi="Arial"/>
          <w:sz w:val="18"/>
          <w:szCs w:val="18"/>
          <w:color w:val="auto"/>
        </w:rPr>
        <w:t>1.32. “Subcontractor” means, with respect to Customer, its Affiliates or Permitted Recipients, any entity, including but not limited to a contractor, subcontractor, vendor or advisor that provides development or manufacturing services in connection with the Products or Modifications, for consideration, with whom Customer, its Affiliate or Permitted Recipient, as applicable, has entered into a written agreement for the provision of such services. Customer is obliged to ensure that its Affiliates, Subcontractors, Permitted Recipients or its Affiliates’ or its Permitted Recipients’ Subcontractors comply with the applicable terms of this Agreement and are bound by an agreement which protects Confidential Information of Catalent, Customer, its Affiliate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574675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40" w:top="122" w:right="999" w:bottom="1440" w:gutter="0" w:footer="0" w:header="0"/>
        </w:sectPr>
      </w:pPr>
    </w:p>
    <w:bookmarkStart w:id="172" w:name="page173"/>
    <w:bookmarkEnd w:id="172"/>
    <w:p>
      <w:pPr>
        <w:ind w:left="500"/>
        <w:spacing w:after="0"/>
        <w:rPr>
          <w:sz w:val="20"/>
          <w:szCs w:val="20"/>
          <w:color w:val="auto"/>
        </w:rPr>
      </w:pPr>
      <w:r>
        <w:rPr>
          <w:rFonts w:ascii="Arial" w:cs="Arial" w:eastAsia="Arial" w:hAnsi="Arial"/>
          <w:sz w:val="18"/>
          <w:szCs w:val="18"/>
          <w:color w:val="auto"/>
        </w:rPr>
        <w:t>Permitted Recipient in a manner consistent with this Agreement. [***].</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1.33. “Term” has the meaning set forth in Section 13.1.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1.34. “Territory” means worldwide.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1.35. “Third Party” means any person or entity that is not a Party and/or its Affiliates.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1.36. “Upfront Fee” has the meaning set forth in Section 10.2.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1.37. “User Notice” has the meaning set forth in Section 4.1.</w:t>
      </w:r>
    </w:p>
    <w:p>
      <w:pPr>
        <w:spacing w:after="0" w:line="158" w:lineRule="exact"/>
        <w:rPr>
          <w:sz w:val="20"/>
          <w:szCs w:val="20"/>
          <w:color w:val="auto"/>
        </w:rPr>
      </w:pPr>
    </w:p>
    <w:p>
      <w:pPr>
        <w:ind w:left="480" w:hanging="478"/>
        <w:spacing w:after="0"/>
        <w:tabs>
          <w:tab w:leader="none" w:pos="4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GMP audit</w:t>
      </w:r>
    </w:p>
    <w:p>
      <w:pPr>
        <w:spacing w:after="0" w:line="158" w:lineRule="exact"/>
        <w:rPr>
          <w:sz w:val="20"/>
          <w:szCs w:val="20"/>
          <w:color w:val="auto"/>
        </w:rPr>
      </w:pPr>
    </w:p>
    <w:p>
      <w:pPr>
        <w:jc w:val="both"/>
        <w:ind w:left="520" w:hanging="526"/>
        <w:spacing w:after="0"/>
        <w:tabs>
          <w:tab w:leader="none" w:pos="500" w:val="left"/>
        </w:tabs>
        <w:rPr>
          <w:sz w:val="20"/>
          <w:szCs w:val="20"/>
          <w:color w:val="auto"/>
        </w:rPr>
      </w:pPr>
      <w:r>
        <w:rPr>
          <w:rFonts w:ascii="Arial" w:cs="Arial" w:eastAsia="Arial" w:hAnsi="Arial"/>
          <w:sz w:val="18"/>
          <w:szCs w:val="18"/>
          <w:color w:val="auto"/>
        </w:rPr>
        <w:t>2.1.</w:t>
        <w:tab/>
        <w:t>Within [***] of the Effective Date, Catalent shall grant Customer access to Catalent’s [***] facility on a mutually agreeable date and at a mutually agreeable time during regular business hours for up to [***] to perform an audit to confirm the GMP compliance of the manufacturing process of the iPSC line. No more than [***] of Customer’s Representatives will be permitted into Catalent’s facility at a time and such Representatives shall abide by all reasonable Catalent safety rules and other applicable visitor and employee policies and procedures. Customer shall be responsible for the compliance of its Representatives. Customer’s Representatives who are not employees of Customer shall be required to sign Catalent’s standard visitor confidentiality agreement and agree to comply with all reasonable health and safety instructions Catalent may provide prior to being allowed access to the facility.</w:t>
      </w:r>
    </w:p>
    <w:p>
      <w:pPr>
        <w:spacing w:after="0" w:line="126" w:lineRule="exact"/>
        <w:rPr>
          <w:sz w:val="20"/>
          <w:szCs w:val="20"/>
          <w:color w:val="auto"/>
        </w:rPr>
      </w:pPr>
    </w:p>
    <w:p>
      <w:pPr>
        <w:jc w:val="both"/>
        <w:ind w:left="520" w:hanging="526"/>
        <w:spacing w:after="0" w:line="239" w:lineRule="auto"/>
        <w:tabs>
          <w:tab w:leader="none" w:pos="500" w:val="left"/>
        </w:tabs>
        <w:rPr>
          <w:sz w:val="20"/>
          <w:szCs w:val="20"/>
          <w:color w:val="auto"/>
        </w:rPr>
      </w:pPr>
      <w:r>
        <w:rPr>
          <w:rFonts w:ascii="Arial" w:cs="Arial" w:eastAsia="Arial" w:hAnsi="Arial"/>
          <w:sz w:val="18"/>
          <w:szCs w:val="18"/>
          <w:color w:val="auto"/>
        </w:rPr>
        <w:t>2.2.</w:t>
        <w:tab/>
        <w:t>No later than [***] following the GMP audit set forth in Section 2.1, Customer shall provide to Catalent a copy of the audit report (“</w:t>
      </w:r>
      <w:r>
        <w:rPr>
          <w:rFonts w:ascii="Arial" w:cs="Arial" w:eastAsia="Arial" w:hAnsi="Arial"/>
          <w:sz w:val="18"/>
          <w:szCs w:val="18"/>
          <w:b w:val="1"/>
          <w:bCs w:val="1"/>
          <w:color w:val="auto"/>
        </w:rPr>
        <w:t>Audit Report</w:t>
      </w:r>
      <w:r>
        <w:rPr>
          <w:rFonts w:ascii="Arial" w:cs="Arial" w:eastAsia="Arial" w:hAnsi="Arial"/>
          <w:sz w:val="18"/>
          <w:szCs w:val="18"/>
          <w:color w:val="auto"/>
        </w:rPr>
        <w:t>”). If any deficiencies are mentioned in the Audit Report, Catalent will, use commercially reasonable efforts to implement corrective actions as required by Applicable Laws. Corrective action may be requested by Customer only with regard to the Materials Information and documentation related to the manufacturing of the iPSC or analyses, not to the quality of the iPSC line to the extent corrective action regarding the quality of the iPSC line is not practicable. Catalent will notify promptly Customer after implementation of any corrective actions (“</w:t>
      </w:r>
      <w:r>
        <w:rPr>
          <w:rFonts w:ascii="Arial" w:cs="Arial" w:eastAsia="Arial" w:hAnsi="Arial"/>
          <w:sz w:val="18"/>
          <w:szCs w:val="18"/>
          <w:b w:val="1"/>
          <w:bCs w:val="1"/>
          <w:color w:val="auto"/>
        </w:rPr>
        <w:t>Notice of Corrective Actions</w:t>
      </w:r>
      <w:r>
        <w:rPr>
          <w:rFonts w:ascii="Arial" w:cs="Arial" w:eastAsia="Arial" w:hAnsi="Arial"/>
          <w:sz w:val="18"/>
          <w:szCs w:val="18"/>
          <w:color w:val="auto"/>
        </w:rPr>
        <w:t>”). Customer shall finalize the GMP audit, and to the extent necessary perform a subsequent audit in accordance with the procedures set forth in this Section 2.2, and notify Catalent of successful or deficient correction of deficiencies within a [***] after receipt of the Notice of Corrective Actions.</w:t>
      </w:r>
    </w:p>
    <w:p>
      <w:pPr>
        <w:spacing w:after="0" w:line="129" w:lineRule="exact"/>
        <w:rPr>
          <w:sz w:val="20"/>
          <w:szCs w:val="20"/>
          <w:color w:val="auto"/>
        </w:rPr>
      </w:pPr>
    </w:p>
    <w:p>
      <w:pPr>
        <w:ind w:left="480" w:hanging="478"/>
        <w:spacing w:after="0"/>
        <w:tabs>
          <w:tab w:leader="none" w:pos="4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License, Delivery of iPSC and Materials Information</w:t>
      </w:r>
    </w:p>
    <w:p>
      <w:pPr>
        <w:spacing w:after="0" w:line="158" w:lineRule="exact"/>
        <w:rPr>
          <w:sz w:val="20"/>
          <w:szCs w:val="20"/>
          <w:color w:val="auto"/>
        </w:rPr>
      </w:pPr>
    </w:p>
    <w:p>
      <w:pPr>
        <w:ind w:left="520" w:hanging="485"/>
        <w:spacing w:after="0" w:line="271" w:lineRule="auto"/>
        <w:tabs>
          <w:tab w:leader="none" w:pos="500" w:val="left"/>
        </w:tabs>
        <w:rPr>
          <w:sz w:val="20"/>
          <w:szCs w:val="20"/>
          <w:color w:val="auto"/>
        </w:rPr>
      </w:pPr>
      <w:r>
        <w:rPr>
          <w:rFonts w:ascii="Arial" w:cs="Arial" w:eastAsia="Arial" w:hAnsi="Arial"/>
          <w:sz w:val="18"/>
          <w:szCs w:val="18"/>
          <w:color w:val="auto"/>
        </w:rPr>
        <w:t>3.1.</w:t>
        <w:tab/>
        <w:t>Within [*** after receipt of the Upfront Fee, Catalent shall, at Customer’s sole cost and expense, initiate the shipment process to Customer’s designated location of the following:</w:t>
      </w:r>
    </w:p>
    <w:p>
      <w:pPr>
        <w:spacing w:after="0" w:line="100" w:lineRule="exact"/>
        <w:rPr>
          <w:sz w:val="20"/>
          <w:szCs w:val="20"/>
          <w:color w:val="auto"/>
        </w:rPr>
      </w:pPr>
    </w:p>
    <w:p>
      <w:pPr>
        <w:ind w:left="1200" w:hanging="712"/>
        <w:spacing w:after="0"/>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cell line, [***].</w:t>
      </w:r>
    </w:p>
    <w:p>
      <w:pPr>
        <w:spacing w:after="0" w:line="157" w:lineRule="exact"/>
        <w:rPr>
          <w:rFonts w:ascii="Arial" w:cs="Arial" w:eastAsia="Arial" w:hAnsi="Arial"/>
          <w:sz w:val="18"/>
          <w:szCs w:val="18"/>
          <w:color w:val="auto"/>
        </w:rPr>
      </w:pPr>
    </w:p>
    <w:p>
      <w:pPr>
        <w:ind w:left="1200" w:hanging="712"/>
        <w:spacing w:after="0"/>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then-existing Materials Information.</w:t>
      </w:r>
    </w:p>
    <w:p>
      <w:pPr>
        <w:spacing w:after="0" w:line="158" w:lineRule="exact"/>
        <w:rPr>
          <w:sz w:val="20"/>
          <w:szCs w:val="20"/>
          <w:color w:val="auto"/>
        </w:rPr>
      </w:pPr>
    </w:p>
    <w:p>
      <w:pPr>
        <w:jc w:val="both"/>
        <w:ind w:left="500"/>
        <w:spacing w:after="0" w:line="238" w:lineRule="auto"/>
        <w:rPr>
          <w:sz w:val="20"/>
          <w:szCs w:val="20"/>
          <w:color w:val="auto"/>
        </w:rPr>
      </w:pPr>
      <w:r>
        <w:rPr>
          <w:rFonts w:ascii="Arial" w:cs="Arial" w:eastAsia="Arial" w:hAnsi="Arial"/>
          <w:sz w:val="18"/>
          <w:szCs w:val="18"/>
          <w:color w:val="auto"/>
        </w:rPr>
        <w:t>Unless agreed upon otherwise in writing, Catalent shall make the iPSC available at Catalent’s facility for shipping by Customer’s carrier of choice to Customer’s facility, at Customer’s sole cost and expense plus a [***] administrative charge. Shipment costs shall be pre-approved by Customer, such approval not to be unreasonably withheld or delayed. Risk of loss of the iPSC shall pass to Customer when released by Catalent at the Catalent site to Customer’s designated common carrier. Catalent shall not be responsible for iPSC in transit, and Customer shall be responsible for procuring any insurance and the cost thereof, any transport fee for iPSC, and any risk associated with transit or customs delay, storage, or handling, provided that Catalent shall be responsible for packaging the transferred cell line in accordance with specifications agreed by the Parties and any loss or damage resulting from Catalent’s failure to comply with such specifications shall be borne by Catalent. Customer shall provide in writing to Catalent its designated location for the shipment. After the receipt of the Upfront Fee, Catalent shall provide to Customer all currently-available Materials Information as described above, and shall thereafter provide any new Materials Information to Customer promptly after it becomes available to Catalent.</w:t>
      </w:r>
    </w:p>
    <w:p>
      <w:pPr>
        <w:spacing w:after="0" w:line="129" w:lineRule="exact"/>
        <w:rPr>
          <w:sz w:val="20"/>
          <w:szCs w:val="20"/>
          <w:color w:val="auto"/>
        </w:rPr>
      </w:pPr>
    </w:p>
    <w:p>
      <w:pPr>
        <w:jc w:val="right"/>
        <w:ind w:right="89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ind w:right="8980"/>
        <w:spacing w:after="0"/>
        <w:tabs>
          <w:tab w:leader="none" w:pos="9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w:t>
      </w:r>
    </w:p>
    <w:p>
      <w:pPr>
        <w:spacing w:after="0" w:line="158" w:lineRule="exact"/>
        <w:rPr>
          <w:sz w:val="20"/>
          <w:szCs w:val="20"/>
          <w:color w:val="auto"/>
        </w:rPr>
      </w:pPr>
    </w:p>
    <w:p>
      <w:pPr>
        <w:ind w:left="480" w:hanging="478"/>
        <w:spacing w:after="0"/>
        <w:tabs>
          <w:tab w:leader="none" w:pos="4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Limited Use of Materials and Materials Information</w:t>
      </w:r>
    </w:p>
    <w:p>
      <w:pPr>
        <w:spacing w:after="0" w:line="158" w:lineRule="exact"/>
        <w:rPr>
          <w:sz w:val="20"/>
          <w:szCs w:val="20"/>
          <w:color w:val="auto"/>
        </w:rPr>
      </w:pPr>
    </w:p>
    <w:p>
      <w:pPr>
        <w:jc w:val="both"/>
        <w:ind w:left="480" w:right="20" w:hanging="472"/>
        <w:spacing w:after="0" w:line="247" w:lineRule="auto"/>
        <w:tabs>
          <w:tab w:leader="none" w:pos="460" w:val="left"/>
        </w:tabs>
        <w:rPr>
          <w:sz w:val="20"/>
          <w:szCs w:val="20"/>
          <w:color w:val="auto"/>
        </w:rPr>
      </w:pPr>
      <w:r>
        <w:rPr>
          <w:rFonts w:ascii="Arial" w:cs="Arial" w:eastAsia="Arial" w:hAnsi="Arial"/>
          <w:sz w:val="18"/>
          <w:szCs w:val="18"/>
          <w:color w:val="auto"/>
        </w:rPr>
        <w:t>4.1.</w:t>
        <w:tab/>
        <w:t>Customer and its Affiliates shall use Materials and Materials Information solely during the Term in the Territory for the Purpose (including the manufacture, use and commercialization of Modifications for the Purpose and the exploitation of Products). Customer acknowledges and commits to respect on its behalf and its Affiliates’ behalf, the User Notice attached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456565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40" w:top="122" w:right="999" w:bottom="1440" w:gutter="0" w:footer="0" w:header="0"/>
        </w:sectPr>
      </w:pPr>
    </w:p>
    <w:bookmarkStart w:id="173" w:name="page174"/>
    <w:bookmarkEnd w:id="173"/>
    <w:p>
      <w:pPr>
        <w:ind w:left="500"/>
        <w:spacing w:after="0"/>
        <w:rPr>
          <w:sz w:val="20"/>
          <w:szCs w:val="20"/>
          <w:color w:val="auto"/>
        </w:rPr>
      </w:pPr>
      <w:r>
        <w:rPr>
          <w:rFonts w:ascii="Arial" w:cs="Arial" w:eastAsia="Arial" w:hAnsi="Arial"/>
          <w:sz w:val="18"/>
          <w:szCs w:val="18"/>
          <w:color w:val="auto"/>
        </w:rPr>
        <w:t>Agreement as Annex I and incorporated herein by reference (“</w:t>
      </w:r>
      <w:r>
        <w:rPr>
          <w:rFonts w:ascii="Arial" w:cs="Arial" w:eastAsia="Arial" w:hAnsi="Arial"/>
          <w:sz w:val="18"/>
          <w:szCs w:val="18"/>
          <w:b w:val="1"/>
          <w:bCs w:val="1"/>
          <w:color w:val="auto"/>
        </w:rPr>
        <w:t>User Notice</w:t>
      </w:r>
      <w:r>
        <w:rPr>
          <w:rFonts w:ascii="Arial" w:cs="Arial" w:eastAsia="Arial" w:hAnsi="Arial"/>
          <w:sz w:val="18"/>
          <w:szCs w:val="18"/>
          <w:color w:val="auto"/>
        </w:rPr>
        <w:t>”).</w:t>
      </w:r>
    </w:p>
    <w:p>
      <w:pPr>
        <w:spacing w:after="0" w:line="143" w:lineRule="exact"/>
        <w:rPr>
          <w:sz w:val="20"/>
          <w:szCs w:val="20"/>
          <w:color w:val="auto"/>
        </w:rPr>
      </w:pPr>
    </w:p>
    <w:p>
      <w:pPr>
        <w:jc w:val="right"/>
        <w:spacing w:after="0" w:line="245" w:lineRule="auto"/>
        <w:rPr>
          <w:sz w:val="20"/>
          <w:szCs w:val="20"/>
          <w:color w:val="auto"/>
        </w:rPr>
      </w:pPr>
      <w:r>
        <w:rPr>
          <w:rFonts w:ascii="Arial" w:cs="Arial" w:eastAsia="Arial" w:hAnsi="Arial"/>
          <w:sz w:val="18"/>
          <w:szCs w:val="18"/>
          <w:color w:val="auto"/>
        </w:rPr>
        <w:t>4.2.  Customer shall maintain control of the iPSC and Progeny in its or its Affiliates’ possession. Customer and/or its Affiliates, as may be applicable, shall have the right to transfer the iPSC or Progeny to any Third Party provided that</w:t>
      </w:r>
    </w:p>
    <w:p>
      <w:pPr>
        <w:ind w:left="760" w:hanging="285"/>
        <w:spacing w:after="0" w:line="235"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Customer provides written notice of such proposed transfer to Catalent at least [***] in advance of such transfer,</w:t>
      </w:r>
    </w:p>
    <w:p>
      <w:pPr>
        <w:jc w:val="both"/>
        <w:ind w:left="480" w:hanging="5"/>
        <w:spacing w:after="0" w:line="237" w:lineRule="auto"/>
        <w:tabs>
          <w:tab w:leader="none" w:pos="7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Third Party agrees in writing to restrictions on the use and transfer of iPSC or Progeny that are consistent with the terms of this Agreement, and (c) Customer shall not transfer to any Third Party any Progeny unless such transfer is to a Subcontractor or Permitted Recipient for development and manufacturing purposes. To the extent applicable, Customer shall notify the Third Party of the User Notice and provide to the Third Party a copy of the User Notice amended for clarity as indicated in the footnotes of the said User Notice and shall receive written confirmation from such Third Party that it shall use the Materials only for the Purpose and in compliance with the User Notice and the applicable terms of this Agreement.</w:t>
      </w:r>
    </w:p>
    <w:p>
      <w:pPr>
        <w:spacing w:after="0" w:line="13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Customer acknowledges and agrees:</w:t>
      </w:r>
    </w:p>
    <w:p>
      <w:pPr>
        <w:spacing w:after="0" w:line="158" w:lineRule="exact"/>
        <w:rPr>
          <w:sz w:val="20"/>
          <w:szCs w:val="20"/>
          <w:color w:val="auto"/>
        </w:rPr>
      </w:pPr>
    </w:p>
    <w:p>
      <w:pPr>
        <w:ind w:left="960" w:hanging="47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iPSC and Progeny as well as their use [***];</w:t>
      </w:r>
    </w:p>
    <w:p>
      <w:pPr>
        <w:spacing w:after="0" w:line="157" w:lineRule="exact"/>
        <w:rPr>
          <w:rFonts w:ascii="Arial" w:cs="Arial" w:eastAsia="Arial" w:hAnsi="Arial"/>
          <w:sz w:val="18"/>
          <w:szCs w:val="18"/>
          <w:color w:val="auto"/>
        </w:rPr>
      </w:pPr>
    </w:p>
    <w:p>
      <w:pPr>
        <w:ind w:left="960" w:hanging="472"/>
        <w:spacing w:after="0" w:line="271"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Customer will use the iPSC or Progeny only in compliance with the terms of this Agreement and acknowledges the restrictions in the User Notice attached to this Agreement as Annex I;</w:t>
      </w:r>
    </w:p>
    <w:p>
      <w:pPr>
        <w:spacing w:after="0" w:line="99" w:lineRule="exact"/>
        <w:rPr>
          <w:rFonts w:ascii="Arial" w:cs="Arial" w:eastAsia="Arial" w:hAnsi="Arial"/>
          <w:sz w:val="18"/>
          <w:szCs w:val="18"/>
          <w:color w:val="auto"/>
        </w:rPr>
      </w:pPr>
    </w:p>
    <w:p>
      <w:pPr>
        <w:jc w:val="both"/>
        <w:ind w:left="960" w:hanging="472"/>
        <w:spacing w:after="0" w:line="24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this Agreement does not grant to Customer any right or license to use, develop or otherwise exploit (i) the iPSC and Progeny [***], except for internal research within the scope of the Purpose and, (ii) until the condition set forth in Section 4.3(d) is fulfilled, Modifications [***], except for internal research within the scope of the Purpose;</w:t>
      </w:r>
    </w:p>
    <w:p>
      <w:pPr>
        <w:spacing w:after="0" w:line="119" w:lineRule="exact"/>
        <w:rPr>
          <w:rFonts w:ascii="Arial" w:cs="Arial" w:eastAsia="Arial" w:hAnsi="Arial"/>
          <w:sz w:val="18"/>
          <w:szCs w:val="18"/>
          <w:color w:val="auto"/>
        </w:rPr>
      </w:pPr>
    </w:p>
    <w:p>
      <w:pPr>
        <w:ind w:left="960" w:hanging="472"/>
        <w:spacing w:after="0" w:line="271"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at the latest upon initiation of a clinical study – besides this Agreement with Catalent – Customer is required to [***];</w:t>
      </w:r>
    </w:p>
    <w:p>
      <w:pPr>
        <w:spacing w:after="0" w:line="99" w:lineRule="exact"/>
        <w:rPr>
          <w:rFonts w:ascii="Arial" w:cs="Arial" w:eastAsia="Arial" w:hAnsi="Arial"/>
          <w:sz w:val="18"/>
          <w:szCs w:val="18"/>
          <w:color w:val="auto"/>
        </w:rPr>
      </w:pPr>
    </w:p>
    <w:p>
      <w:pPr>
        <w:ind w:left="960" w:hanging="47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purposes of the foregoing, [***]</w:t>
      </w:r>
    </w:p>
    <w:p>
      <w:pPr>
        <w:spacing w:after="0" w:line="15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Upon request by Catalent, Customer will provide an update on the status of [***].</w:t>
      </w:r>
    </w:p>
    <w:p>
      <w:pPr>
        <w:spacing w:after="0" w:line="158" w:lineRule="exact"/>
        <w:rPr>
          <w:sz w:val="20"/>
          <w:szCs w:val="20"/>
          <w:color w:val="auto"/>
        </w:rPr>
      </w:pPr>
    </w:p>
    <w:p>
      <w:pPr>
        <w:ind w:left="480" w:hanging="478"/>
        <w:spacing w:after="0"/>
        <w:tabs>
          <w:tab w:leader="none" w:pos="4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Handling of Materials</w:t>
      </w:r>
    </w:p>
    <w:p>
      <w:pPr>
        <w:spacing w:after="0" w:line="158" w:lineRule="exact"/>
        <w:rPr>
          <w:sz w:val="20"/>
          <w:szCs w:val="20"/>
          <w:color w:val="auto"/>
        </w:rPr>
      </w:pPr>
    </w:p>
    <w:p>
      <w:pPr>
        <w:jc w:val="both"/>
        <w:ind w:left="480" w:right="20" w:hanging="472"/>
        <w:spacing w:after="0" w:line="253" w:lineRule="auto"/>
        <w:tabs>
          <w:tab w:leader="none" w:pos="460" w:val="left"/>
        </w:tabs>
        <w:rPr>
          <w:sz w:val="20"/>
          <w:szCs w:val="20"/>
          <w:color w:val="auto"/>
        </w:rPr>
      </w:pPr>
      <w:r>
        <w:rPr>
          <w:rFonts w:ascii="Arial" w:cs="Arial" w:eastAsia="Arial" w:hAnsi="Arial"/>
          <w:sz w:val="18"/>
          <w:szCs w:val="18"/>
          <w:color w:val="auto"/>
        </w:rPr>
        <w:t>5.1.</w:t>
        <w:tab/>
        <w:t>Customer acknowledges that Materials are experimental in nature and may have unknown biohazardous characteristics; Customer shall use prudence and reasonable care in the handling, including, but not limited to the storage, transportation, containment and destruction of Materials.</w:t>
      </w:r>
    </w:p>
    <w:p>
      <w:pPr>
        <w:spacing w:after="0" w:line="115" w:lineRule="exact"/>
        <w:rPr>
          <w:sz w:val="20"/>
          <w:szCs w:val="20"/>
          <w:color w:val="auto"/>
        </w:rPr>
      </w:pPr>
    </w:p>
    <w:p>
      <w:pPr>
        <w:jc w:val="both"/>
        <w:ind w:left="480" w:right="20" w:hanging="472"/>
        <w:spacing w:after="0" w:line="271" w:lineRule="auto"/>
        <w:tabs>
          <w:tab w:leader="none" w:pos="460" w:val="left"/>
        </w:tabs>
        <w:rPr>
          <w:sz w:val="20"/>
          <w:szCs w:val="20"/>
          <w:color w:val="auto"/>
        </w:rPr>
      </w:pPr>
      <w:r>
        <w:rPr>
          <w:rFonts w:ascii="Arial" w:cs="Arial" w:eastAsia="Arial" w:hAnsi="Arial"/>
          <w:sz w:val="18"/>
          <w:szCs w:val="18"/>
          <w:color w:val="auto"/>
        </w:rPr>
        <w:t>5.2.</w:t>
        <w:tab/>
        <w:t>Each Party shall promptly give written notice to the other Party of any containment or quality issues relating to Materials.</w:t>
      </w:r>
    </w:p>
    <w:p>
      <w:pPr>
        <w:spacing w:after="0" w:line="10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Each Party shall comply with Applicable Laws relating to Materials.</w:t>
      </w:r>
    </w:p>
    <w:p>
      <w:pPr>
        <w:spacing w:after="0" w:line="158" w:lineRule="exact"/>
        <w:rPr>
          <w:sz w:val="20"/>
          <w:szCs w:val="20"/>
          <w:color w:val="auto"/>
        </w:rPr>
      </w:pPr>
    </w:p>
    <w:p>
      <w:pPr>
        <w:ind w:left="480" w:hanging="478"/>
        <w:spacing w:after="0"/>
        <w:tabs>
          <w:tab w:leader="none" w:pos="4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Return or Destruction of Materials</w:t>
      </w:r>
    </w:p>
    <w:p>
      <w:pPr>
        <w:spacing w:after="0" w:line="158" w:lineRule="exact"/>
        <w:rPr>
          <w:sz w:val="20"/>
          <w:szCs w:val="20"/>
          <w:color w:val="auto"/>
        </w:rPr>
      </w:pPr>
    </w:p>
    <w:p>
      <w:pPr>
        <w:jc w:val="both"/>
        <w:ind w:left="520" w:hanging="512"/>
        <w:spacing w:after="0" w:line="236" w:lineRule="auto"/>
        <w:tabs>
          <w:tab w:leader="none" w:pos="500" w:val="left"/>
        </w:tabs>
        <w:rPr>
          <w:sz w:val="20"/>
          <w:szCs w:val="20"/>
          <w:color w:val="auto"/>
        </w:rPr>
      </w:pPr>
      <w:r>
        <w:rPr>
          <w:rFonts w:ascii="Arial" w:cs="Arial" w:eastAsia="Arial" w:hAnsi="Arial"/>
          <w:sz w:val="18"/>
          <w:szCs w:val="18"/>
          <w:color w:val="auto"/>
        </w:rPr>
        <w:t>6.1.</w:t>
        <w:tab/>
        <w:t>Upon termination of this Agreement and except to the extent retention is required under Applicable Laws, including for any regulatory purposes or bridging studies and for other post-trial or commercial investigations, Customer shall (and shall cause any Affiliate or Third Party in possession of any Materials) either, at Catalent’s sole option, (a) return to Catalent without delay, but in no event more than [***] from the receipt of written notice from Catalent, any remaining iPSC and Progeny 1, Materials Information (subject to any Applicable Laws) as well as any other of Catalent’s Confidential Information in tangible form received from Catalent and in Customer’s possession, at Customer’s sole cost and expense and diligently destroy Progeny 2 and Modifications generated under this Agreement (subject to any Applicable Laws and subject to Section 13.2) in Customer’s possession and confirm such destruction in writing to Catalent; or (b) diligently destroy all remaining Materials, Materials Information as well as any other of Catalent’s Confidential Information (subject to any Applicable Laws) in tangible form received from Catalent and in Customer’s possession and confirm such destruction in writing to Catalent, provided that Catalent shall within</w:t>
      </w:r>
    </w:p>
    <w:p>
      <w:pPr>
        <w:spacing w:after="0" w:line="7" w:lineRule="exact"/>
        <w:rPr>
          <w:sz w:val="20"/>
          <w:szCs w:val="20"/>
          <w:color w:val="auto"/>
        </w:rPr>
      </w:pPr>
    </w:p>
    <w:p>
      <w:pPr>
        <w:jc w:val="both"/>
        <w:ind w:left="520" w:hanging="5"/>
        <w:spacing w:after="0" w:line="242" w:lineRule="auto"/>
        <w:tabs>
          <w:tab w:leader="none" w:pos="888"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 the effective date of termination provide written notice to Customer of its option. In the case of subsection (a) or (b), Customer shall confirm the applicable destruction to Catalent by means of a written statement signed by a senior executive of Customer, which statement shall be issued within [***] following the destruction.</w:t>
      </w:r>
    </w:p>
    <w:p>
      <w:pPr>
        <w:spacing w:after="0" w:line="125" w:lineRule="exact"/>
        <w:rPr>
          <w:sz w:val="20"/>
          <w:szCs w:val="20"/>
          <w:color w:val="auto"/>
        </w:rPr>
      </w:pPr>
    </w:p>
    <w:p>
      <w:pPr>
        <w:jc w:val="both"/>
        <w:ind w:left="520" w:hanging="512"/>
        <w:spacing w:after="0" w:line="247" w:lineRule="auto"/>
        <w:tabs>
          <w:tab w:leader="none" w:pos="500" w:val="left"/>
        </w:tabs>
        <w:rPr>
          <w:sz w:val="20"/>
          <w:szCs w:val="20"/>
          <w:color w:val="auto"/>
        </w:rPr>
      </w:pPr>
      <w:r>
        <w:rPr>
          <w:rFonts w:ascii="Arial" w:cs="Arial" w:eastAsia="Arial" w:hAnsi="Arial"/>
          <w:sz w:val="18"/>
          <w:szCs w:val="18"/>
          <w:color w:val="auto"/>
        </w:rPr>
        <w:t>6.2.</w:t>
        <w:tab/>
        <w:t>If Catalent does not request return or destruction, as applicable, of Materials and Materials Information in writing in accordance with 6.1 (a) or 6.1 (b) within [***] of the end of the date of termination, then Customer may, at its option, promptly return or destroy such iPSC and Progeny 1 and Materials Information and destroy such Progeny 2 and Modifications in accordance with subsection (a) and (b) of Section 6.1.</w:t>
      </w:r>
    </w:p>
    <w:p>
      <w:pPr>
        <w:spacing w:after="0" w:line="120" w:lineRule="exact"/>
        <w:rPr>
          <w:sz w:val="20"/>
          <w:szCs w:val="20"/>
          <w:color w:val="auto"/>
        </w:rPr>
      </w:pPr>
    </w:p>
    <w:p>
      <w:pPr>
        <w:ind w:left="480" w:hanging="478"/>
        <w:spacing w:after="0"/>
        <w:tabs>
          <w:tab w:leader="none" w:pos="4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360680</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1040" w:top="122" w:right="999" w:bottom="1440" w:gutter="0" w:footer="0" w:header="0"/>
        </w:sectPr>
      </w:pPr>
    </w:p>
    <w:bookmarkStart w:id="174" w:name="page175"/>
    <w:bookmarkEnd w:id="174"/>
    <w:p>
      <w:pPr>
        <w:jc w:val="both"/>
        <w:ind w:left="520" w:hanging="526"/>
        <w:spacing w:after="0" w:line="237" w:lineRule="auto"/>
        <w:tabs>
          <w:tab w:leader="none" w:pos="500" w:val="left"/>
        </w:tabs>
        <w:rPr>
          <w:sz w:val="20"/>
          <w:szCs w:val="20"/>
          <w:color w:val="auto"/>
        </w:rPr>
      </w:pPr>
      <w:r>
        <w:rPr>
          <w:rFonts w:ascii="Arial" w:cs="Arial" w:eastAsia="Arial" w:hAnsi="Arial"/>
          <w:sz w:val="18"/>
          <w:szCs w:val="18"/>
          <w:color w:val="auto"/>
        </w:rPr>
        <w:t>7.1.</w:t>
        <w:tab/>
        <w:t>“Confidential Information” means all confidential and proprietary information furnished by or on behalf of a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to the other Party ( “</w:t>
      </w:r>
      <w:r>
        <w:rPr>
          <w:rFonts w:ascii="Arial" w:cs="Arial" w:eastAsia="Arial" w:hAnsi="Arial"/>
          <w:sz w:val="18"/>
          <w:szCs w:val="18"/>
          <w:b w:val="1"/>
          <w:bCs w:val="1"/>
          <w:color w:val="auto"/>
        </w:rPr>
        <w:t>Receiving Party</w:t>
      </w:r>
      <w:r>
        <w:rPr>
          <w:rFonts w:ascii="Arial" w:cs="Arial" w:eastAsia="Arial" w:hAnsi="Arial"/>
          <w:sz w:val="18"/>
          <w:szCs w:val="18"/>
          <w:color w:val="auto"/>
        </w:rPr>
        <w:t>”) its Affiliates or any of its Representatives, in connection with this Agreement, whether furnished before, on, or after the Effective Date and regardless of the form in which furnished, including written, verbal, visual, electronic, or in any other media or manner and information acquired by observation or otherwise during any site visit at the Disclosing Party’s facility. Confidential Information of Disclosing Party may include, but is not limited to, Materials, information disclosed in non-public patent applications, gene sequences, nucleic acid sequences, amino acid sequences, vector sequences, samples, chemical compounds, biological materials, techniques, sketches, works of authorship, models, inventions, proprietary technologies, trade secrets, discoveries, know-how, analyses, compilations, business or technical information and other proprietary materials prepared by such Disclosing Party, its Affiliates, or any of its or their respective Representatives, and processes related to the current, future, and proposed products or services of the Disclosing Party, including without limitation its respective information concerning research, experimental work, development, design details and specifications, engineering, financing, procurement requirements, purchasing, manufacturing, customers, investors, employees, business and contractual relationships, business forecasts, analyst reports, sales and merchandising and marketing plans. The existence of this Agreement and the fact that Confidential Information is being disclosed is the Confidential Information of both Parties.</w:t>
      </w:r>
    </w:p>
    <w:p>
      <w:pPr>
        <w:spacing w:after="0" w:line="14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7.2.</w:t>
        <w:tab/>
        <w:t>During the Term and for a period of [***] thereafter, Receiving Party agrees to, and to cause its Affiliates and its</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Representatives:</w:t>
      </w:r>
    </w:p>
    <w:p>
      <w:pPr>
        <w:spacing w:after="0" w:line="153" w:lineRule="exact"/>
        <w:rPr>
          <w:sz w:val="20"/>
          <w:szCs w:val="20"/>
          <w:color w:val="auto"/>
        </w:rPr>
      </w:pPr>
    </w:p>
    <w:p>
      <w:pPr>
        <w:ind w:left="1100" w:hanging="612"/>
        <w:spacing w:after="0" w:line="271" w:lineRule="auto"/>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use the Disclosing Party’s Confidential Information solely for the performance of its obligations or exercise of its rights under this Agreement and for no other reason;</w:t>
      </w:r>
    </w:p>
    <w:p>
      <w:pPr>
        <w:spacing w:after="0" w:line="113" w:lineRule="exact"/>
        <w:rPr>
          <w:rFonts w:ascii="Arial" w:cs="Arial" w:eastAsia="Arial" w:hAnsi="Arial"/>
          <w:sz w:val="18"/>
          <w:szCs w:val="18"/>
          <w:color w:val="auto"/>
        </w:rPr>
      </w:pPr>
    </w:p>
    <w:p>
      <w:pPr>
        <w:jc w:val="both"/>
        <w:ind w:left="1100" w:hanging="612"/>
        <w:spacing w:after="0" w:line="253" w:lineRule="auto"/>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take reasonable and adequate measures to protect the confidentiality of the Disclosing Party’s Confidential Information, such measures shall be at least the equivalent of measures which the Receiving Party uses to protect the Receiving Party’s own proprietary information;</w:t>
      </w:r>
    </w:p>
    <w:p>
      <w:pPr>
        <w:spacing w:after="0" w:line="128" w:lineRule="exact"/>
        <w:rPr>
          <w:rFonts w:ascii="Arial" w:cs="Arial" w:eastAsia="Arial" w:hAnsi="Arial"/>
          <w:sz w:val="18"/>
          <w:szCs w:val="18"/>
          <w:color w:val="auto"/>
        </w:rPr>
      </w:pPr>
    </w:p>
    <w:p>
      <w:pPr>
        <w:ind w:left="1100" w:hanging="612"/>
        <w:spacing w:after="0" w:line="271" w:lineRule="auto"/>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disclose or make available, directly or indirectly, any of the Disclosing Party’s Confidential Information only to such Receiving Party’s:</w:t>
      </w:r>
    </w:p>
    <w:p>
      <w:pPr>
        <w:spacing w:after="0" w:line="113" w:lineRule="exact"/>
        <w:rPr>
          <w:rFonts w:ascii="Arial" w:cs="Arial" w:eastAsia="Arial" w:hAnsi="Arial"/>
          <w:sz w:val="18"/>
          <w:szCs w:val="18"/>
          <w:color w:val="auto"/>
        </w:rPr>
      </w:pPr>
    </w:p>
    <w:p>
      <w:pPr>
        <w:ind w:left="1800" w:hanging="596"/>
        <w:spacing w:after="0"/>
        <w:tabs>
          <w:tab w:leader="none" w:pos="18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Affiliates and their respective employees, consultants, agents and directors,</w:t>
      </w:r>
    </w:p>
    <w:p>
      <w:pPr>
        <w:spacing w:after="0" w:line="171" w:lineRule="exact"/>
        <w:rPr>
          <w:rFonts w:ascii="Arial" w:cs="Arial" w:eastAsia="Arial" w:hAnsi="Arial"/>
          <w:sz w:val="18"/>
          <w:szCs w:val="18"/>
          <w:color w:val="auto"/>
        </w:rPr>
      </w:pPr>
    </w:p>
    <w:p>
      <w:pPr>
        <w:ind w:left="1800" w:hanging="596"/>
        <w:spacing w:after="0"/>
        <w:tabs>
          <w:tab w:leader="none" w:pos="18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professional advisers (e.g., lawyers and accountants), and</w:t>
      </w:r>
    </w:p>
    <w:p>
      <w:pPr>
        <w:spacing w:after="0" w:line="171" w:lineRule="exact"/>
        <w:rPr>
          <w:rFonts w:ascii="Arial" w:cs="Arial" w:eastAsia="Arial" w:hAnsi="Arial"/>
          <w:sz w:val="18"/>
          <w:szCs w:val="18"/>
          <w:color w:val="auto"/>
        </w:rPr>
      </w:pPr>
    </w:p>
    <w:p>
      <w:pPr>
        <w:ind w:left="1800" w:right="160" w:hanging="596"/>
        <w:spacing w:after="0" w:line="253" w:lineRule="auto"/>
        <w:tabs>
          <w:tab w:leader="none" w:pos="18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other authorized individuals or Third Parties approved in advance in writing by the Disclosing Party who in each case have a “need to know” the information for the purpose of this Agreement and who are notified that the disclosure is made in confidence,</w:t>
      </w:r>
    </w:p>
    <w:p>
      <w:pPr>
        <w:spacing w:after="0" w:line="128" w:lineRule="exact"/>
        <w:rPr>
          <w:sz w:val="20"/>
          <w:szCs w:val="20"/>
          <w:color w:val="auto"/>
        </w:rPr>
      </w:pPr>
    </w:p>
    <w:p>
      <w:pPr>
        <w:ind w:left="1220" w:right="120" w:hanging="7"/>
        <w:spacing w:after="0" w:line="271" w:lineRule="auto"/>
        <w:tabs>
          <w:tab w:leader="none" w:pos="143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(iii) collectively, (“</w:t>
      </w:r>
      <w:r>
        <w:rPr>
          <w:rFonts w:ascii="Arial" w:cs="Arial" w:eastAsia="Arial" w:hAnsi="Arial"/>
          <w:sz w:val="18"/>
          <w:szCs w:val="18"/>
          <w:b w:val="1"/>
          <w:bCs w:val="1"/>
          <w:color w:val="auto"/>
        </w:rPr>
        <w:t>Representatives</w:t>
      </w:r>
      <w:r>
        <w:rPr>
          <w:rFonts w:ascii="Arial" w:cs="Arial" w:eastAsia="Arial" w:hAnsi="Arial"/>
          <w:sz w:val="18"/>
          <w:szCs w:val="18"/>
          <w:color w:val="auto"/>
        </w:rPr>
        <w:t>”) who in each case have a “need to know” the information for a permitted purpose under this Agreement.</w:t>
      </w:r>
    </w:p>
    <w:p>
      <w:pPr>
        <w:spacing w:after="0" w:line="113" w:lineRule="exact"/>
        <w:rPr>
          <w:sz w:val="20"/>
          <w:szCs w:val="20"/>
          <w:color w:val="auto"/>
        </w:rPr>
      </w:pPr>
    </w:p>
    <w:p>
      <w:pPr>
        <w:jc w:val="both"/>
        <w:ind w:left="1220"/>
        <w:spacing w:after="0"/>
        <w:rPr>
          <w:sz w:val="20"/>
          <w:szCs w:val="20"/>
          <w:color w:val="auto"/>
        </w:rPr>
      </w:pPr>
      <w:r>
        <w:rPr>
          <w:rFonts w:ascii="Arial" w:cs="Arial" w:eastAsia="Arial" w:hAnsi="Arial"/>
          <w:sz w:val="18"/>
          <w:szCs w:val="18"/>
          <w:color w:val="auto"/>
        </w:rPr>
        <w:t>All Representatives of Receiving Party who are provided with access to the Disclosing Party’s Confidential Information must be advised of the content of this Section 7 and must be bound by confidentiality and non-use obligations at least as restrictive as those contained herein. Customer may disclose Catalent’s Confidential Information to the extent necessary, to its existing or bona fide potential acquirers, merger partners, investors, Subcontractors, Permitted Recipients, Affiliates and funding sources or to professional advisors (</w:t>
      </w:r>
      <w:r>
        <w:rPr>
          <w:rFonts w:ascii="Arial" w:cs="Arial" w:eastAsia="Arial" w:hAnsi="Arial"/>
          <w:sz w:val="18"/>
          <w:szCs w:val="18"/>
          <w:i w:val="1"/>
          <w:iCs w:val="1"/>
          <w:color w:val="auto"/>
        </w:rPr>
        <w:t>e.g.</w:t>
      </w:r>
      <w:r>
        <w:rPr>
          <w:rFonts w:ascii="Arial" w:cs="Arial" w:eastAsia="Arial" w:hAnsi="Arial"/>
          <w:sz w:val="18"/>
          <w:szCs w:val="18"/>
          <w:color w:val="auto"/>
        </w:rPr>
        <w:t>, attorneys, accountants and prospective investment bankers) provided that such entities are bound by reasonable confidentiality and non-use obligations.</w:t>
      </w:r>
    </w:p>
    <w:p>
      <w:pPr>
        <w:spacing w:after="0" w:line="158" w:lineRule="exact"/>
        <w:rPr>
          <w:sz w:val="20"/>
          <w:szCs w:val="20"/>
          <w:color w:val="auto"/>
        </w:rPr>
      </w:pPr>
    </w:p>
    <w:p>
      <w:pPr>
        <w:jc w:val="both"/>
        <w:ind w:left="520" w:hanging="526"/>
        <w:spacing w:after="0" w:line="253" w:lineRule="auto"/>
        <w:tabs>
          <w:tab w:leader="none" w:pos="500" w:val="left"/>
        </w:tabs>
        <w:rPr>
          <w:sz w:val="20"/>
          <w:szCs w:val="20"/>
          <w:color w:val="auto"/>
        </w:rPr>
      </w:pPr>
      <w:r>
        <w:rPr>
          <w:rFonts w:ascii="Arial" w:cs="Arial" w:eastAsia="Arial" w:hAnsi="Arial"/>
          <w:sz w:val="18"/>
          <w:szCs w:val="18"/>
          <w:color w:val="auto"/>
        </w:rPr>
        <w:t>7.3.</w:t>
        <w:tab/>
        <w:t>Notwithstanding Section 7.2, with respect to Confidential Information of Disclosing Party that constitutes trade secrets, the obligations of this Section 7 shall survive for as long as such Confidential Information remains a “Trade Secret” as defined by the Uniform Trade Secrets Act (UTSA) or its successor.</w:t>
      </w:r>
    </w:p>
    <w:p>
      <w:pPr>
        <w:spacing w:after="0" w:line="128" w:lineRule="exact"/>
        <w:rPr>
          <w:sz w:val="20"/>
          <w:szCs w:val="20"/>
          <w:color w:val="auto"/>
        </w:rPr>
      </w:pPr>
    </w:p>
    <w:p>
      <w:pPr>
        <w:jc w:val="both"/>
        <w:ind w:left="520" w:hanging="526"/>
        <w:spacing w:after="0" w:line="247" w:lineRule="auto"/>
        <w:tabs>
          <w:tab w:leader="none" w:pos="500" w:val="left"/>
        </w:tabs>
        <w:rPr>
          <w:sz w:val="20"/>
          <w:szCs w:val="20"/>
          <w:color w:val="auto"/>
        </w:rPr>
      </w:pPr>
      <w:r>
        <w:rPr>
          <w:rFonts w:ascii="Arial" w:cs="Arial" w:eastAsia="Arial" w:hAnsi="Arial"/>
          <w:sz w:val="18"/>
          <w:szCs w:val="18"/>
          <w:color w:val="auto"/>
        </w:rPr>
        <w:t>7.4.</w:t>
        <w:tab/>
        <w:t>Receiving Party will immediately notify the Disclosing Party upon discovery of any loss or unauthorized use or disclosure of the Confidential Information of the Disclosing Party and shall use reasonable efforts to remedy any such loss or unauthorized use or disclosure as reasonably requested by the Disclosing Party. Receiving Party shall be liable for any breach of the obligations set forth in this Section 7 by its Representatives.</w:t>
      </w:r>
    </w:p>
    <w:p>
      <w:pPr>
        <w:spacing w:after="0" w:line="133" w:lineRule="exact"/>
        <w:rPr>
          <w:sz w:val="20"/>
          <w:szCs w:val="20"/>
          <w:color w:val="auto"/>
        </w:rPr>
      </w:pPr>
    </w:p>
    <w:p>
      <w:pPr>
        <w:jc w:val="both"/>
        <w:ind w:left="520" w:hanging="526"/>
        <w:spacing w:after="0" w:line="244" w:lineRule="auto"/>
        <w:tabs>
          <w:tab w:leader="none" w:pos="500" w:val="left"/>
        </w:tabs>
        <w:rPr>
          <w:sz w:val="20"/>
          <w:szCs w:val="20"/>
          <w:color w:val="auto"/>
        </w:rPr>
      </w:pPr>
      <w:r>
        <w:rPr>
          <w:rFonts w:ascii="Arial" w:cs="Arial" w:eastAsia="Arial" w:hAnsi="Arial"/>
          <w:sz w:val="18"/>
          <w:szCs w:val="18"/>
          <w:color w:val="auto"/>
        </w:rPr>
        <w:t>7.5.</w:t>
        <w:tab/>
        <w:t>If the Receiving Party is required by law or regulation (including regulations applicable to the public sale of securities) to make any disclosure of any of the Confidential Information of the Disclosing Party, by order of a court of competent jurisdiction, judicial or administrative order or otherwise, the Receiving Party shall, to the extent permitted under Applicable Laws, first give written notice of such requirement to the Disclosing Party reasonably in advance of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458470</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1040" w:top="122" w:right="999" w:bottom="1440" w:gutter="0" w:footer="0" w:header="0"/>
        </w:sectPr>
      </w:pPr>
    </w:p>
    <w:bookmarkStart w:id="175" w:name="page176"/>
    <w:bookmarkEnd w:id="175"/>
    <w:p>
      <w:pPr>
        <w:jc w:val="both"/>
        <w:ind w:left="540"/>
        <w:spacing w:after="0"/>
        <w:rPr>
          <w:sz w:val="20"/>
          <w:szCs w:val="20"/>
          <w:color w:val="auto"/>
        </w:rPr>
      </w:pPr>
      <w:r>
        <w:rPr>
          <w:rFonts w:ascii="Arial" w:cs="Arial" w:eastAsia="Arial" w:hAnsi="Arial"/>
          <w:sz w:val="18"/>
          <w:szCs w:val="18"/>
          <w:color w:val="auto"/>
        </w:rPr>
        <w:t>permit the Disclosing Party to intervene in any relevant proceedings to protect such Disclosing Party’s interests in the Confidential Information, and provide full cooperation and assistance to the Disclosing Party as reasonably requested by Disclosing Party in seeking to obtain a protective order for such Disclosing Party’s Confidential Information. In any event, Receiving Party shall disclose only the minimum amount of Confidential Information of Disclosing Party required to be disclosed. Disclosure of Confidential Information that is required by Applicable Laws shall not relieve the Receiving Party of its obligations contained herein or alter the character of that information as Confidential Information hereunder.</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7.6.</w:t>
        <w:tab/>
        <w:t>The obligations and restrictions imposed by Sections 7.2, 7.3, 7.4 and 7.5 will not apply to any information that the</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Receiving Party can demonstrate through competent evidence:</w:t>
      </w:r>
    </w:p>
    <w:p>
      <w:pPr>
        <w:spacing w:after="0" w:line="140" w:lineRule="exact"/>
        <w:rPr>
          <w:sz w:val="20"/>
          <w:szCs w:val="20"/>
          <w:color w:val="auto"/>
        </w:rPr>
      </w:pPr>
    </w:p>
    <w:p>
      <w:pPr>
        <w:ind w:left="1080" w:hanging="659"/>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was already known to the Receiving Party prior to the Disclosing Party’s disclosure;</w:t>
      </w:r>
    </w:p>
    <w:p>
      <w:pPr>
        <w:spacing w:after="0" w:line="157" w:lineRule="exact"/>
        <w:rPr>
          <w:rFonts w:ascii="Arial" w:cs="Arial" w:eastAsia="Arial" w:hAnsi="Arial"/>
          <w:sz w:val="18"/>
          <w:szCs w:val="18"/>
          <w:color w:val="auto"/>
        </w:rPr>
      </w:pPr>
    </w:p>
    <w:p>
      <w:pPr>
        <w:ind w:left="1080" w:hanging="659"/>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or becomes publicly available through no breach of this Agreement by Receiving Party;</w:t>
      </w:r>
    </w:p>
    <w:p>
      <w:pPr>
        <w:spacing w:after="0" w:line="157" w:lineRule="exact"/>
        <w:rPr>
          <w:rFonts w:ascii="Arial" w:cs="Arial" w:eastAsia="Arial" w:hAnsi="Arial"/>
          <w:sz w:val="18"/>
          <w:szCs w:val="18"/>
          <w:color w:val="auto"/>
        </w:rPr>
      </w:pPr>
    </w:p>
    <w:p>
      <w:pPr>
        <w:ind w:left="1080" w:hanging="659"/>
        <w:spacing w:after="0" w:line="271"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lawfully obtained by the Receiving Party from a Third Party without breach by such Third Party of an obligation of confidence with respect to the information disclosed, or</w:t>
      </w:r>
    </w:p>
    <w:p>
      <w:pPr>
        <w:spacing w:after="0" w:line="99" w:lineRule="exact"/>
        <w:rPr>
          <w:rFonts w:ascii="Arial" w:cs="Arial" w:eastAsia="Arial" w:hAnsi="Arial"/>
          <w:sz w:val="18"/>
          <w:szCs w:val="18"/>
          <w:color w:val="auto"/>
        </w:rPr>
      </w:pPr>
    </w:p>
    <w:p>
      <w:pPr>
        <w:ind w:left="1080" w:hanging="659"/>
        <w:spacing w:after="0" w:line="271"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was independently developed by the Receiving Party without use of the Confidential Information of Disclosing Party or breach of this Agreement, as evidenced by the Receiving Party’s contemporaneous written records.</w:t>
      </w:r>
    </w:p>
    <w:p>
      <w:pPr>
        <w:spacing w:after="0" w:line="100" w:lineRule="exact"/>
        <w:rPr>
          <w:sz w:val="20"/>
          <w:szCs w:val="20"/>
          <w:color w:val="auto"/>
        </w:rPr>
      </w:pPr>
    </w:p>
    <w:p>
      <w:pPr>
        <w:jc w:val="both"/>
        <w:ind w:left="520" w:hanging="526"/>
        <w:spacing w:after="0" w:line="242" w:lineRule="auto"/>
        <w:tabs>
          <w:tab w:leader="none" w:pos="500" w:val="left"/>
        </w:tabs>
        <w:rPr>
          <w:sz w:val="20"/>
          <w:szCs w:val="20"/>
          <w:color w:val="auto"/>
        </w:rPr>
      </w:pPr>
      <w:r>
        <w:rPr>
          <w:rFonts w:ascii="Arial" w:cs="Arial" w:eastAsia="Arial" w:hAnsi="Arial"/>
          <w:sz w:val="18"/>
          <w:szCs w:val="18"/>
          <w:color w:val="auto"/>
        </w:rPr>
        <w:t>7.7.</w:t>
        <w:tab/>
        <w:t>Notwithstanding the foregoing Section 7.6, (a) specific Confidential Information shall not be deemed to be within the foregoing exceptions of Section 7.6(a)–(d) merely because such information is embraced by more general information in the public domain or in the possession of the Receiving Party, and (b) any combination of features shall not be deemed to be within the foregoing exceptions merely because individual features are in the public domain or in the possession of the Receiving Party, but only if the combination itself and its principle of operation are in the public domain or in the possession of the Receiving Party.</w:t>
      </w:r>
    </w:p>
    <w:p>
      <w:pPr>
        <w:spacing w:after="0" w:line="125" w:lineRule="exact"/>
        <w:rPr>
          <w:sz w:val="20"/>
          <w:szCs w:val="20"/>
          <w:color w:val="auto"/>
        </w:rPr>
      </w:pPr>
    </w:p>
    <w:p>
      <w:pPr>
        <w:jc w:val="both"/>
        <w:ind w:left="520" w:hanging="526"/>
        <w:spacing w:after="0" w:line="238" w:lineRule="auto"/>
        <w:tabs>
          <w:tab w:leader="none" w:pos="500" w:val="left"/>
        </w:tabs>
        <w:rPr>
          <w:sz w:val="20"/>
          <w:szCs w:val="20"/>
          <w:color w:val="auto"/>
        </w:rPr>
      </w:pPr>
      <w:r>
        <w:rPr>
          <w:rFonts w:ascii="Arial" w:cs="Arial" w:eastAsia="Arial" w:hAnsi="Arial"/>
          <w:sz w:val="18"/>
          <w:szCs w:val="18"/>
          <w:color w:val="auto"/>
        </w:rPr>
        <w:t>7.8.</w:t>
        <w:tab/>
        <w:t>The Receiving Party acknowledges that the Disclosing Party (or any Third Party entrusting its own information to the Disclosing Party) claims and retains ownership of all rights in its Confidential Information in the possession of the Receiving Party. Within [***] of the effective date of the termination or expiration of this Agreement, the Receiving Party shall return to the Disclosing Party all originals, copies, and summaries of documents, materials, and other tangible manifestations of Confidential Information of the Disclosing Party in the possession or control of the Receiving Party, except that the Receiving Party may retain one copy of the Confidential Information for the sole purpose of ensuring compliance with its obligations under this Agreement and such additional copies that may be stored solely in accordance with the Receiving Party’s automatic archiving and back-up procedures, and to the extent created and retained in a manner consistent with the Receiving Party’s standard archiving and back-up procedures, and provided such copies are not readily accessible and are not used or consulted by the Receiving Party for any purpose other than disaster recovery.</w:t>
      </w:r>
    </w:p>
    <w:p>
      <w:pPr>
        <w:spacing w:after="0" w:line="132" w:lineRule="exact"/>
        <w:rPr>
          <w:sz w:val="20"/>
          <w:szCs w:val="20"/>
          <w:color w:val="auto"/>
        </w:rPr>
      </w:pPr>
    </w:p>
    <w:p>
      <w:pPr>
        <w:jc w:val="both"/>
        <w:ind w:left="520" w:hanging="526"/>
        <w:spacing w:after="0"/>
        <w:tabs>
          <w:tab w:leader="none" w:pos="500" w:val="left"/>
        </w:tabs>
        <w:rPr>
          <w:sz w:val="20"/>
          <w:szCs w:val="20"/>
          <w:color w:val="auto"/>
        </w:rPr>
      </w:pPr>
      <w:r>
        <w:rPr>
          <w:rFonts w:ascii="Arial" w:cs="Arial" w:eastAsia="Arial" w:hAnsi="Arial"/>
          <w:sz w:val="18"/>
          <w:szCs w:val="18"/>
          <w:color w:val="auto"/>
        </w:rPr>
        <w:t>7.9.</w:t>
        <w:tab/>
        <w:t>Except as set forth in Section 3.2, the Receiving Party will obtain no right of any kind relating to, or license under, Disclosing Party’s Confidential Information, including no right to file, own, or obtain any patent application or patent claiming such Disclosing Party’s Confidential Information, by reason of this Agreement or any performance thereunder. Nothing in this Agreement shall be deemed to transfer any ownership interest in the Disclosing Party’s Confidential Information to the Receiving Party. For clarity, any patent applications filed by Customer shall not include Confidential Information of Catalent specific to the iPSC such that the patent applications and filings identify the iPSC provided to Customer by Catalent.</w:t>
      </w:r>
    </w:p>
    <w:p>
      <w:pPr>
        <w:spacing w:after="0" w:line="131" w:lineRule="exact"/>
        <w:rPr>
          <w:sz w:val="20"/>
          <w:szCs w:val="20"/>
          <w:color w:val="auto"/>
        </w:rPr>
      </w:pPr>
    </w:p>
    <w:p>
      <w:pPr>
        <w:ind w:left="520" w:hanging="518"/>
        <w:spacing w:after="0"/>
        <w:tabs>
          <w:tab w:leader="none" w:pos="5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58" w:lineRule="exact"/>
        <w:rPr>
          <w:sz w:val="20"/>
          <w:szCs w:val="20"/>
          <w:color w:val="auto"/>
        </w:rPr>
      </w:pPr>
    </w:p>
    <w:p>
      <w:pPr>
        <w:jc w:val="both"/>
        <w:ind w:left="520" w:hanging="526"/>
        <w:spacing w:after="0" w:line="253" w:lineRule="auto"/>
        <w:tabs>
          <w:tab w:leader="none" w:pos="500" w:val="left"/>
        </w:tabs>
        <w:rPr>
          <w:sz w:val="20"/>
          <w:szCs w:val="20"/>
          <w:color w:val="auto"/>
        </w:rPr>
      </w:pPr>
      <w:r>
        <w:rPr>
          <w:rFonts w:ascii="Arial" w:cs="Arial" w:eastAsia="Arial" w:hAnsi="Arial"/>
          <w:sz w:val="18"/>
          <w:szCs w:val="18"/>
          <w:color w:val="auto"/>
        </w:rPr>
        <w:t>8.1.</w:t>
        <w:tab/>
        <w:t>Nothing in this Agreement shall affect the ownership of either Party’s Background Knowledge and no license or transfer of any rights to such Background Knowledge is made under this Agreement, except for the limited license granted under Section 3.2.</w:t>
      </w:r>
    </w:p>
    <w:p>
      <w:pPr>
        <w:spacing w:after="0" w:line="115" w:lineRule="exact"/>
        <w:rPr>
          <w:sz w:val="20"/>
          <w:szCs w:val="20"/>
          <w:color w:val="auto"/>
        </w:rPr>
      </w:pPr>
    </w:p>
    <w:p>
      <w:pPr>
        <w:jc w:val="both"/>
        <w:ind w:left="520" w:hanging="526"/>
        <w:spacing w:after="0" w:line="253" w:lineRule="auto"/>
        <w:tabs>
          <w:tab w:leader="none" w:pos="500" w:val="left"/>
        </w:tabs>
        <w:rPr>
          <w:sz w:val="20"/>
          <w:szCs w:val="20"/>
          <w:color w:val="auto"/>
        </w:rPr>
      </w:pPr>
      <w:r>
        <w:rPr>
          <w:rFonts w:ascii="Arial" w:cs="Arial" w:eastAsia="Arial" w:hAnsi="Arial"/>
          <w:sz w:val="18"/>
          <w:szCs w:val="18"/>
          <w:color w:val="auto"/>
        </w:rPr>
        <w:t>8.2.</w:t>
        <w:tab/>
        <w:t>All Results, generated by or on behalf of Customer or its Affiliates or Permitted Recipients through the use of the Materials and Materials Information, are, as between the Parties, the sole and exclusive property of Customer or its applicable Affiliates or Permitted Recipients.</w:t>
      </w:r>
    </w:p>
    <w:p>
      <w:pPr>
        <w:spacing w:after="0" w:line="115" w:lineRule="exact"/>
        <w:rPr>
          <w:sz w:val="20"/>
          <w:szCs w:val="20"/>
          <w:color w:val="auto"/>
        </w:rPr>
      </w:pPr>
    </w:p>
    <w:p>
      <w:pPr>
        <w:jc w:val="both"/>
        <w:ind w:left="520" w:hanging="526"/>
        <w:spacing w:after="0" w:line="253" w:lineRule="auto"/>
        <w:tabs>
          <w:tab w:leader="none" w:pos="500" w:val="left"/>
        </w:tabs>
        <w:rPr>
          <w:sz w:val="20"/>
          <w:szCs w:val="20"/>
          <w:color w:val="auto"/>
        </w:rPr>
      </w:pPr>
      <w:r>
        <w:rPr>
          <w:rFonts w:ascii="Arial" w:cs="Arial" w:eastAsia="Arial" w:hAnsi="Arial"/>
          <w:sz w:val="18"/>
          <w:szCs w:val="18"/>
          <w:color w:val="auto"/>
        </w:rPr>
        <w:t>8.3.</w:t>
        <w:tab/>
        <w:t>Notwithstanding Customer‘s or its applicable Affiliates‘ or Permitted Recipients’ ownership of the Results, Customer, its applicable Affiliates and Permitted Recipients shall not identify or specifically reference the iPSC provided hereunder in any patent applications filed by Customer or its applicable Affiliates or Permitted Recipients.</w:t>
      </w:r>
    </w:p>
    <w:p>
      <w:pPr>
        <w:spacing w:after="0" w:line="1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w:t>
      </w:r>
    </w:p>
    <w:p>
      <w:pPr>
        <w:spacing w:after="0" w:line="158" w:lineRule="exact"/>
        <w:rPr>
          <w:sz w:val="20"/>
          <w:szCs w:val="20"/>
          <w:color w:val="auto"/>
        </w:rPr>
      </w:pPr>
    </w:p>
    <w:p>
      <w:pPr>
        <w:ind w:left="520" w:hanging="518"/>
        <w:spacing w:after="0"/>
        <w:tabs>
          <w:tab w:leader="none" w:pos="5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360680</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1040" w:top="122" w:right="999" w:bottom="1440" w:gutter="0" w:footer="0" w:header="0"/>
        </w:sectPr>
      </w:pPr>
    </w:p>
    <w:bookmarkStart w:id="176" w:name="page177"/>
    <w:bookmarkEnd w:id="176"/>
    <w:p>
      <w:pPr>
        <w:jc w:val="both"/>
        <w:ind w:left="500"/>
        <w:spacing w:after="0" w:line="246" w:lineRule="auto"/>
        <w:rPr>
          <w:sz w:val="20"/>
          <w:szCs w:val="20"/>
          <w:color w:val="auto"/>
        </w:rPr>
      </w:pPr>
      <w:r>
        <w:rPr>
          <w:rFonts w:ascii="Arial" w:cs="Arial" w:eastAsia="Arial" w:hAnsi="Arial"/>
          <w:sz w:val="18"/>
          <w:szCs w:val="18"/>
          <w:color w:val="auto"/>
        </w:rPr>
        <w:t>Until the First Commercial Sale of the Product, Customer will provide to Catalent on a regular basis, at least annually, a report, in the format set out in Annex II, on the status and progress of its development of the Product. Such report will include an update on the status of the Regulatory Approval of the Product and a high-level overview of information applicable to development and commercialization of the Product.</w:t>
      </w:r>
    </w:p>
    <w:p>
      <w:pPr>
        <w:spacing w:after="0" w:line="109" w:lineRule="exact"/>
        <w:rPr>
          <w:sz w:val="20"/>
          <w:szCs w:val="20"/>
          <w:color w:val="auto"/>
        </w:rPr>
      </w:pPr>
    </w:p>
    <w:p>
      <w:pPr>
        <w:ind w:left="480" w:hanging="478"/>
        <w:spacing w:after="0"/>
        <w:tabs>
          <w:tab w:leader="none" w:pos="4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144" w:lineRule="exact"/>
        <w:rPr>
          <w:sz w:val="20"/>
          <w:szCs w:val="20"/>
          <w:color w:val="auto"/>
        </w:rPr>
      </w:pPr>
    </w:p>
    <w:p>
      <w:pPr>
        <w:jc w:val="both"/>
        <w:ind w:left="520" w:hanging="512"/>
        <w:spacing w:after="0" w:line="244" w:lineRule="auto"/>
        <w:rPr>
          <w:sz w:val="20"/>
          <w:szCs w:val="20"/>
          <w:color w:val="auto"/>
        </w:rPr>
      </w:pPr>
      <w:r>
        <w:rPr>
          <w:rFonts w:ascii="Arial" w:cs="Arial" w:eastAsia="Arial" w:hAnsi="Arial"/>
          <w:sz w:val="18"/>
          <w:szCs w:val="18"/>
          <w:color w:val="auto"/>
        </w:rPr>
        <w:t>10.1. The compensation to be paid by Customer to Catalent in consideration for the rights granted by Catalent hereunder are [***]. All payments to Catalent shall be made without the withholding of any taxes other than as required by Applicable Laws, and Catalent shall be responsible for any value added tax or other tax, charge or levy applicable to such payment made to Catalent. For clarity, all payments due by Customer to Catalent shall be made and are expressed in this Agreement in U.S. dollars (USD).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10.2. Upfront Fee</w:t>
      </w:r>
    </w:p>
    <w:p>
      <w:pPr>
        <w:spacing w:after="0" w:line="144" w:lineRule="exact"/>
        <w:rPr>
          <w:sz w:val="20"/>
          <w:szCs w:val="20"/>
          <w:color w:val="auto"/>
        </w:rPr>
      </w:pPr>
    </w:p>
    <w:p>
      <w:pPr>
        <w:ind w:left="540" w:right="20"/>
        <w:spacing w:after="0" w:line="271" w:lineRule="auto"/>
        <w:rPr>
          <w:sz w:val="20"/>
          <w:szCs w:val="20"/>
          <w:color w:val="auto"/>
        </w:rPr>
      </w:pPr>
      <w:r>
        <w:rPr>
          <w:rFonts w:ascii="Arial" w:cs="Arial" w:eastAsia="Arial" w:hAnsi="Arial"/>
          <w:sz w:val="18"/>
          <w:szCs w:val="18"/>
          <w:color w:val="auto"/>
        </w:rPr>
        <w:t>Promptly after the Effective Date, Catalent shall issue to Customer in invoice for [***] (“</w:t>
      </w:r>
      <w:r>
        <w:rPr>
          <w:rFonts w:ascii="Arial" w:cs="Arial" w:eastAsia="Arial" w:hAnsi="Arial"/>
          <w:sz w:val="18"/>
          <w:szCs w:val="18"/>
          <w:b w:val="1"/>
          <w:bCs w:val="1"/>
          <w:color w:val="auto"/>
        </w:rPr>
        <w:t>Upfront Fee</w:t>
      </w:r>
      <w:r>
        <w:rPr>
          <w:rFonts w:ascii="Arial" w:cs="Arial" w:eastAsia="Arial" w:hAnsi="Arial"/>
          <w:sz w:val="18"/>
          <w:szCs w:val="18"/>
          <w:color w:val="auto"/>
        </w:rPr>
        <w:t>”). Customer will pay to Catalent within [***] of receipt of such invoice the [***].</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10.3. Milestone payments</w:t>
      </w:r>
    </w:p>
    <w:p>
      <w:pPr>
        <w:spacing w:after="0" w:line="14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10.4. Royalties</w:t>
      </w:r>
    </w:p>
    <w:p>
      <w:pPr>
        <w:spacing w:after="0" w:line="144" w:lineRule="exact"/>
        <w:rPr>
          <w:sz w:val="20"/>
          <w:szCs w:val="20"/>
          <w:color w:val="auto"/>
        </w:rPr>
      </w:pPr>
    </w:p>
    <w:p>
      <w:pPr>
        <w:ind w:left="1020" w:hanging="410"/>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of the Effective Date and for a period of [***].</w:t>
      </w:r>
    </w:p>
    <w:p>
      <w:pPr>
        <w:spacing w:after="0" w:line="144" w:lineRule="exact"/>
        <w:rPr>
          <w:rFonts w:ascii="Arial" w:cs="Arial" w:eastAsia="Arial" w:hAnsi="Arial"/>
          <w:sz w:val="18"/>
          <w:szCs w:val="18"/>
          <w:color w:val="auto"/>
        </w:rPr>
      </w:pPr>
    </w:p>
    <w:p>
      <w:pPr>
        <w:ind w:left="1020" w:hanging="410"/>
        <w:spacing w:after="0" w:line="271"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Following the [***] in which [***] payment is due, within [***], Customer shall pay to Catalent [***] and submit to Catalent [***].</w:t>
      </w:r>
    </w:p>
    <w:p>
      <w:pPr>
        <w:spacing w:after="0" w:line="86" w:lineRule="exact"/>
        <w:rPr>
          <w:rFonts w:ascii="Arial" w:cs="Arial" w:eastAsia="Arial" w:hAnsi="Arial"/>
          <w:sz w:val="18"/>
          <w:szCs w:val="18"/>
          <w:color w:val="auto"/>
        </w:rPr>
      </w:pPr>
    </w:p>
    <w:p>
      <w:pPr>
        <w:jc w:val="both"/>
        <w:ind w:left="1020" w:hanging="410"/>
        <w:spacing w:after="0" w:line="247"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shall be payable in U.S. dollars (USD). Monetary conversion from the currency of a foreign country, in which Net Sales are achieved, into USD shall be calculated using the conversation rate mechanism under GAAP applied by Customer or its Affiliates or Permitted Recipients in preparing its financial statements for the applicable calendar quarter.</w:t>
      </w:r>
    </w:p>
    <w:p>
      <w:pPr>
        <w:spacing w:after="0" w:line="106" w:lineRule="exact"/>
        <w:rPr>
          <w:rFonts w:ascii="Arial" w:cs="Arial" w:eastAsia="Arial" w:hAnsi="Arial"/>
          <w:sz w:val="18"/>
          <w:szCs w:val="18"/>
          <w:color w:val="auto"/>
        </w:rPr>
      </w:pPr>
    </w:p>
    <w:p>
      <w:pPr>
        <w:jc w:val="both"/>
        <w:ind w:left="1020" w:hanging="410"/>
        <w:spacing w:after="0" w:line="245"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Customer shall maintain complete and accurate books and records that would enable [***] fees payable herein to be verified by an independent auditor. The records for each calendar quarter shall be maintained for at least</w:t>
      </w:r>
    </w:p>
    <w:p>
      <w:pPr>
        <w:jc w:val="both"/>
        <w:ind w:left="1020" w:firstLine="8"/>
        <w:spacing w:after="0" w:line="236" w:lineRule="auto"/>
        <w:tabs>
          <w:tab w:leader="none" w:pos="141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after submission of each [***] report. No more than once per year, Catalent shall be entitled to have audited by an independent auditor reasonably acceptable to Customer all relevant books of accounts and records regarding all transactions [***] owed under this Agreement upon giving reasonable advanced notice and provided such audit occurs during Customer’s ordinary business hours. If such an audit reveals that Customer has failed to properly account for [***] owing to Catalent hereunder, and the amount [***] owed to Catalent including those which the Customer has failed to properly account for or pay in respect to any calendar quarter exceeds [***] accounted for and paid to Catalent for such period by more than [***], Customer shall, in addition to paying Catalent such balance together with interest at an annual rate of [***] points above the applicable base rate set by the European Central Bank on the overdue [***] amount, and shall reimburse Catalent for its direct out-of-pocket expenses incurred in connection with such audit.</w:t>
      </w:r>
    </w:p>
    <w:p>
      <w:pPr>
        <w:spacing w:after="0" w:line="120" w:lineRule="exact"/>
        <w:rPr>
          <w:sz w:val="20"/>
          <w:szCs w:val="20"/>
          <w:color w:val="auto"/>
        </w:rPr>
      </w:pPr>
    </w:p>
    <w:p>
      <w:pPr>
        <w:jc w:val="both"/>
        <w:ind w:left="520" w:hanging="512"/>
        <w:spacing w:after="0" w:line="247" w:lineRule="auto"/>
        <w:rPr>
          <w:sz w:val="20"/>
          <w:szCs w:val="20"/>
          <w:color w:val="auto"/>
        </w:rPr>
      </w:pPr>
      <w:r>
        <w:rPr>
          <w:rFonts w:ascii="Arial" w:cs="Arial" w:eastAsia="Arial" w:hAnsi="Arial"/>
          <w:sz w:val="18"/>
          <w:szCs w:val="18"/>
          <w:color w:val="auto"/>
        </w:rPr>
        <w:t>10.5. If Customer is required to enter into one or several licensing agreement(s) with Third Party(ies), with respect to generation or use of Catalent’s iPSCs in order to commercialize a Product, and the total [***]. This provision will only operate in respect of a licensing agreement between Customer and Third Parties when the need for such license agreement is based on an opinion of counsel acceptable to both Parties, or a court order. [***].</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10.6. Annual Minimum Fees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both"/>
        <w:ind w:left="520" w:hanging="512"/>
        <w:spacing w:after="0" w:line="247" w:lineRule="auto"/>
        <w:rPr>
          <w:sz w:val="20"/>
          <w:szCs w:val="20"/>
          <w:color w:val="auto"/>
        </w:rPr>
      </w:pPr>
      <w:r>
        <w:rPr>
          <w:rFonts w:ascii="Arial" w:cs="Arial" w:eastAsia="Arial" w:hAnsi="Arial"/>
          <w:sz w:val="18"/>
          <w:szCs w:val="18"/>
          <w:color w:val="auto"/>
        </w:rPr>
        <w:t>10.7. If Customer is in default with any payment as set out in Sections 10.1 to 10.4, Catalent shall be entitled to claim default interest at an annual rate of [***] points above the applicable base rate set by the European Central Bank, unless the highest interest rate permitted by Applicable Laws is lower. Catalent reserves the right to assert further claims for damages due to default.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10.8. Invoices shall be sent to Customer to the following address:</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jc w:val="both"/>
        <w:ind w:left="520" w:right="20" w:hanging="526"/>
        <w:spacing w:after="0" w:line="271" w:lineRule="auto"/>
        <w:rPr>
          <w:sz w:val="20"/>
          <w:szCs w:val="20"/>
          <w:color w:val="auto"/>
        </w:rPr>
      </w:pPr>
      <w:r>
        <w:rPr>
          <w:rFonts w:ascii="Arial" w:cs="Arial" w:eastAsia="Arial" w:hAnsi="Arial"/>
          <w:sz w:val="18"/>
          <w:szCs w:val="18"/>
          <w:color w:val="auto"/>
        </w:rPr>
        <w:t>10.9. Catalent shall be responsible for the payment of any and all taxes levied on account of [***] payments paid to Catalent by Customer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443865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40" w:top="122" w:right="999" w:bottom="1440" w:gutter="0" w:footer="0" w:header="0"/>
        </w:sectPr>
      </w:pPr>
    </w:p>
    <w:bookmarkStart w:id="177" w:name="page178"/>
    <w:bookmarkEnd w:id="177"/>
    <w:p>
      <w:pPr>
        <w:ind w:left="480" w:hanging="478"/>
        <w:spacing w:after="0"/>
        <w:tabs>
          <w:tab w:leader="none" w:pos="4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11.1. Catalent hereby represents and warrants that:</w:t>
      </w:r>
    </w:p>
    <w:p>
      <w:pPr>
        <w:spacing w:after="0" w:line="104" w:lineRule="exact"/>
        <w:rPr>
          <w:sz w:val="20"/>
          <w:szCs w:val="20"/>
          <w:color w:val="auto"/>
        </w:rPr>
      </w:pPr>
    </w:p>
    <w:p>
      <w:pPr>
        <w:jc w:val="both"/>
        <w:ind w:left="960" w:hanging="472"/>
        <w:spacing w:after="0" w:line="253"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iPSC were manufactured in compliance with Applicable Laws; Catalent has and shall have and maintain in force and effect all licenses, permits, authorizations, registrations and qualifications necessary or appropriate to perform its obligations hereunder;</w:t>
      </w:r>
    </w:p>
    <w:p>
      <w:pPr>
        <w:spacing w:after="0" w:line="60" w:lineRule="exact"/>
        <w:rPr>
          <w:rFonts w:ascii="Arial" w:cs="Arial" w:eastAsia="Arial" w:hAnsi="Arial"/>
          <w:sz w:val="18"/>
          <w:szCs w:val="18"/>
          <w:color w:val="auto"/>
        </w:rPr>
      </w:pPr>
    </w:p>
    <w:p>
      <w:pPr>
        <w:jc w:val="both"/>
        <w:ind w:left="960" w:hanging="472"/>
        <w:spacing w:after="0" w:line="247"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certificate has been issued on [***] by [***] confirming that the manufacturing at Catalent’s site in [***] complies with the Good Manufacturing Practice requirements referred to on the principles and guidelines of Good Manufacturing Practice as laid down in EU-Directive 2003/94/EC and Catalent will continue to maintain such certification;</w:t>
      </w:r>
    </w:p>
    <w:p>
      <w:pPr>
        <w:spacing w:after="0" w:line="65" w:lineRule="exact"/>
        <w:rPr>
          <w:rFonts w:ascii="Arial" w:cs="Arial" w:eastAsia="Arial" w:hAnsi="Arial"/>
          <w:sz w:val="18"/>
          <w:szCs w:val="18"/>
          <w:color w:val="auto"/>
        </w:rPr>
      </w:pPr>
    </w:p>
    <w:p>
      <w:pPr>
        <w:jc w:val="both"/>
        <w:ind w:left="960" w:hanging="472"/>
        <w:spacing w:after="0" w:line="247"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ethics approval for the manufacturing of iPSC has been obtained by Catalent from a competent ethics committee under Applicable Law as well as an informed consent of each Donor for the use of the cells for pre-clinical, clinical and/or commercial application, all as far as ATMP application is concerned, prior to manufacture of the iPSC;</w:t>
      </w:r>
    </w:p>
    <w:p>
      <w:pPr>
        <w:spacing w:after="0" w:line="65" w:lineRule="exact"/>
        <w:rPr>
          <w:rFonts w:ascii="Arial" w:cs="Arial" w:eastAsia="Arial" w:hAnsi="Arial"/>
          <w:sz w:val="18"/>
          <w:szCs w:val="18"/>
          <w:color w:val="auto"/>
        </w:rPr>
      </w:pPr>
    </w:p>
    <w:p>
      <w:pPr>
        <w:ind w:left="960" w:right="20" w:hanging="472"/>
        <w:spacing w:after="0" w:line="271"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Catalent will provide Customer with pseudonymized data only and will not provide Customer with any protected health information or personally identifiable information;</w:t>
      </w:r>
    </w:p>
    <w:p>
      <w:pPr>
        <w:spacing w:after="0" w:line="45" w:lineRule="exact"/>
        <w:rPr>
          <w:rFonts w:ascii="Arial" w:cs="Arial" w:eastAsia="Arial" w:hAnsi="Arial"/>
          <w:sz w:val="18"/>
          <w:szCs w:val="18"/>
          <w:color w:val="auto"/>
        </w:rPr>
      </w:pPr>
    </w:p>
    <w:p>
      <w:pPr>
        <w:ind w:left="960" w:hanging="472"/>
        <w:spacing w:after="0" w:line="271"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the best of Catalent’s knowledge, the execution and performance of this Agreement does not and will not conflict with any agreement, oral or written, to which Catalent is bound; and</w:t>
      </w:r>
    </w:p>
    <w:p>
      <w:pPr>
        <w:spacing w:after="0" w:line="45" w:lineRule="exact"/>
        <w:rPr>
          <w:rFonts w:ascii="Arial" w:cs="Arial" w:eastAsia="Arial" w:hAnsi="Arial"/>
          <w:sz w:val="18"/>
          <w:szCs w:val="18"/>
          <w:color w:val="auto"/>
        </w:rPr>
      </w:pPr>
    </w:p>
    <w:p>
      <w:pPr>
        <w:jc w:val="both"/>
        <w:ind w:left="960" w:right="20" w:hanging="472"/>
        <w:spacing w:after="0" w:line="253"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Catalent is [***] and, to its best knowledge, has not infringed or misappropriated and will not infringe or misappropriate any Third Party patent or other intellectual property rights in the manufacture, use, delivery or sale of iPSC;</w:t>
      </w:r>
    </w:p>
    <w:p>
      <w:pPr>
        <w:spacing w:after="0" w:line="60" w:lineRule="exact"/>
        <w:rPr>
          <w:rFonts w:ascii="Arial" w:cs="Arial" w:eastAsia="Arial" w:hAnsi="Arial"/>
          <w:sz w:val="18"/>
          <w:szCs w:val="18"/>
          <w:color w:val="auto"/>
        </w:rPr>
      </w:pPr>
    </w:p>
    <w:p>
      <w:pPr>
        <w:ind w:left="960" w:hanging="47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Catalent has all necessary rights to grant the licenses to Customer under this Agreement;</w:t>
      </w:r>
    </w:p>
    <w:p>
      <w:pPr>
        <w:spacing w:after="0" w:line="103" w:lineRule="exact"/>
        <w:rPr>
          <w:rFonts w:ascii="Arial" w:cs="Arial" w:eastAsia="Arial" w:hAnsi="Arial"/>
          <w:sz w:val="18"/>
          <w:szCs w:val="18"/>
          <w:color w:val="auto"/>
        </w:rPr>
      </w:pPr>
    </w:p>
    <w:p>
      <w:pPr>
        <w:ind w:left="960" w:hanging="47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Save as expressly set out in the preceding paragraphs of this Section 11.1:</w:t>
      </w:r>
    </w:p>
    <w:p>
      <w:pPr>
        <w:spacing w:after="0" w:line="10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Catalent makes no warranties, expressed or implied, of merchantability or fitness of Materials for the Purpose.</w:t>
      </w:r>
    </w:p>
    <w:p>
      <w:pPr>
        <w:spacing w:after="0" w:line="103" w:lineRule="exact"/>
        <w:rPr>
          <w:rFonts w:ascii="Arial" w:cs="Arial" w:eastAsia="Arial" w:hAnsi="Arial"/>
          <w:sz w:val="18"/>
          <w:szCs w:val="18"/>
          <w:color w:val="auto"/>
        </w:rPr>
      </w:pPr>
    </w:p>
    <w:p>
      <w:pPr>
        <w:ind w:left="980" w:right="360"/>
        <w:spacing w:after="0" w:line="271" w:lineRule="auto"/>
        <w:rPr>
          <w:rFonts w:ascii="Arial" w:cs="Arial" w:eastAsia="Arial" w:hAnsi="Arial"/>
          <w:sz w:val="18"/>
          <w:szCs w:val="18"/>
          <w:color w:val="auto"/>
        </w:rPr>
      </w:pPr>
      <w:r>
        <w:rPr>
          <w:rFonts w:ascii="Arial" w:cs="Arial" w:eastAsia="Arial" w:hAnsi="Arial"/>
          <w:sz w:val="18"/>
          <w:szCs w:val="18"/>
          <w:color w:val="auto"/>
        </w:rPr>
        <w:t>Catalent does not warrant that the Materials may be used and/or exploited without infringing patent or other intellectual property rights of a Third Party.</w:t>
      </w:r>
    </w:p>
    <w:p>
      <w:pPr>
        <w:spacing w:after="0" w:line="46"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Furthermore, it is the responsibility of the Customer to ensure that the transfer of the iPSC from Catalent’s facility to the place of delivery designated by the Customer does not infringe any Third Party’s rights nor violate Applicable Laws.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11.2. Customer hereby represents and warrants at all times during the Term that:</w:t>
      </w:r>
    </w:p>
    <w:p>
      <w:pPr>
        <w:spacing w:after="0" w:line="104" w:lineRule="exact"/>
        <w:rPr>
          <w:sz w:val="20"/>
          <w:szCs w:val="20"/>
          <w:color w:val="auto"/>
        </w:rPr>
      </w:pPr>
    </w:p>
    <w:p>
      <w:pPr>
        <w:ind w:left="960" w:hanging="472"/>
        <w:spacing w:after="0"/>
        <w:tabs>
          <w:tab w:leader="none" w:pos="960" w:val="left"/>
        </w:tabs>
        <w:numPr>
          <w:ilvl w:val="2"/>
          <w:numId w:val="92"/>
        </w:numPr>
        <w:rPr>
          <w:rFonts w:ascii="Arial" w:cs="Arial" w:eastAsia="Arial" w:hAnsi="Arial"/>
          <w:sz w:val="18"/>
          <w:szCs w:val="18"/>
          <w:color w:val="auto"/>
        </w:rPr>
      </w:pPr>
      <w:r>
        <w:rPr>
          <w:rFonts w:ascii="Arial" w:cs="Arial" w:eastAsia="Arial" w:hAnsi="Arial"/>
          <w:sz w:val="18"/>
          <w:szCs w:val="18"/>
          <w:color w:val="auto"/>
        </w:rPr>
        <w:t>Materials shall be used and stored in compliance with the provisions of Applicable Laws;</w:t>
      </w:r>
    </w:p>
    <w:p>
      <w:pPr>
        <w:spacing w:after="0" w:line="103" w:lineRule="exact"/>
        <w:rPr>
          <w:rFonts w:ascii="Arial" w:cs="Arial" w:eastAsia="Arial" w:hAnsi="Arial"/>
          <w:sz w:val="18"/>
          <w:szCs w:val="18"/>
          <w:color w:val="auto"/>
        </w:rPr>
      </w:pPr>
    </w:p>
    <w:p>
      <w:pPr>
        <w:ind w:left="940" w:hanging="465"/>
        <w:spacing w:after="0" w:line="271" w:lineRule="auto"/>
        <w:tabs>
          <w:tab w:leader="none" w:pos="9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Modifications/Product will not be administered or applied to humans in a Clinical Trial or commercialized until the condition set forth in Section 4.3 (b) has been fulfilled; and</w:t>
      </w:r>
    </w:p>
    <w:p>
      <w:pPr>
        <w:spacing w:after="0" w:line="45" w:lineRule="exact"/>
        <w:rPr>
          <w:rFonts w:ascii="Arial" w:cs="Arial" w:eastAsia="Arial" w:hAnsi="Arial"/>
          <w:sz w:val="18"/>
          <w:szCs w:val="18"/>
          <w:color w:val="auto"/>
        </w:rPr>
      </w:pPr>
    </w:p>
    <w:p>
      <w:pPr>
        <w:ind w:left="940" w:hanging="465"/>
        <w:spacing w:after="0" w:line="271" w:lineRule="auto"/>
        <w:tabs>
          <w:tab w:leader="none" w:pos="9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Customer has no knowledge that the execution and performance of this Agreement conflicts with any agreement, instrument or understanding, oral or written, to which Customer may be bound.</w:t>
      </w:r>
    </w:p>
    <w:p>
      <w:pPr>
        <w:spacing w:after="0" w:line="45" w:lineRule="exact"/>
        <w:rPr>
          <w:rFonts w:ascii="Arial" w:cs="Arial" w:eastAsia="Arial" w:hAnsi="Arial"/>
          <w:sz w:val="18"/>
          <w:szCs w:val="18"/>
          <w:color w:val="auto"/>
        </w:rPr>
      </w:pPr>
    </w:p>
    <w:p>
      <w:pPr>
        <w:ind w:left="940" w:hanging="465"/>
        <w:spacing w:after="0" w:line="271" w:lineRule="auto"/>
        <w:tabs>
          <w:tab w:leader="none" w:pos="9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Customer shall notify Catalent of any quality issues relating to iPSC, Progeny 1, as soon as it becomes aware of them;</w:t>
      </w:r>
    </w:p>
    <w:p>
      <w:pPr>
        <w:spacing w:after="0" w:line="45" w:lineRule="exact"/>
        <w:rPr>
          <w:rFonts w:ascii="Arial" w:cs="Arial" w:eastAsia="Arial" w:hAnsi="Arial"/>
          <w:sz w:val="18"/>
          <w:szCs w:val="18"/>
          <w:color w:val="auto"/>
        </w:rPr>
      </w:pPr>
    </w:p>
    <w:p>
      <w:pPr>
        <w:ind w:left="960" w:hanging="472"/>
        <w:spacing w:after="0" w:line="271" w:lineRule="auto"/>
        <w:tabs>
          <w:tab w:leader="none" w:pos="960" w:val="left"/>
        </w:tabs>
        <w:numPr>
          <w:ilvl w:val="2"/>
          <w:numId w:val="93"/>
        </w:numPr>
        <w:rPr>
          <w:rFonts w:ascii="Arial" w:cs="Arial" w:eastAsia="Arial" w:hAnsi="Arial"/>
          <w:sz w:val="18"/>
          <w:szCs w:val="18"/>
          <w:color w:val="auto"/>
        </w:rPr>
      </w:pPr>
      <w:r>
        <w:rPr>
          <w:rFonts w:ascii="Arial" w:cs="Arial" w:eastAsia="Arial" w:hAnsi="Arial"/>
          <w:sz w:val="18"/>
          <w:szCs w:val="18"/>
          <w:color w:val="auto"/>
        </w:rPr>
        <w:t>Except to the extent required under Applicable Laws, Customer under no circumstances will try to identify or contact the Donors from whose blood samples the iPSC were derived.</w:t>
      </w:r>
    </w:p>
    <w:p>
      <w:pPr>
        <w:spacing w:after="0" w:line="45" w:lineRule="exact"/>
        <w:rPr>
          <w:rFonts w:ascii="Arial" w:cs="Arial" w:eastAsia="Arial" w:hAnsi="Arial"/>
          <w:sz w:val="18"/>
          <w:szCs w:val="18"/>
          <w:color w:val="auto"/>
        </w:rPr>
      </w:pPr>
    </w:p>
    <w:p>
      <w:pPr>
        <w:ind w:left="520" w:hanging="518"/>
        <w:spacing w:after="0"/>
        <w:tabs>
          <w:tab w:leader="none" w:pos="5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Limitation of Liability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12.1.  [***].</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12.2.  [***].</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12.3.  [***].</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12.4. Indemnification Procedure.</w:t>
      </w:r>
    </w:p>
    <w:p>
      <w:pPr>
        <w:spacing w:after="0" w:line="104" w:lineRule="exact"/>
        <w:rPr>
          <w:sz w:val="20"/>
          <w:szCs w:val="20"/>
          <w:color w:val="auto"/>
        </w:rPr>
      </w:pPr>
    </w:p>
    <w:p>
      <w:pPr>
        <w:jc w:val="both"/>
        <w:ind w:left="540"/>
        <w:spacing w:after="0" w:line="244" w:lineRule="auto"/>
        <w:rPr>
          <w:sz w:val="20"/>
          <w:szCs w:val="20"/>
          <w:color w:val="auto"/>
        </w:rPr>
      </w:pPr>
      <w:r>
        <w:rPr>
          <w:rFonts w:ascii="Arial" w:cs="Arial" w:eastAsia="Arial" w:hAnsi="Arial"/>
          <w:sz w:val="18"/>
          <w:szCs w:val="18"/>
          <w:color w:val="auto"/>
        </w:rPr>
        <w:t>All obligations in Sections 12.1, 12.2 and 12.3 are conditioned upon the indemnified Party (A) promptly notifying the indemnifying Party of any suit, action, claim, or proceeding or other liability (each, an “</w:t>
      </w:r>
      <w:r>
        <w:rPr>
          <w:rFonts w:ascii="Arial" w:cs="Arial" w:eastAsia="Arial" w:hAnsi="Arial"/>
          <w:sz w:val="18"/>
          <w:szCs w:val="18"/>
          <w:b w:val="1"/>
          <w:bCs w:val="1"/>
          <w:color w:val="auto"/>
        </w:rPr>
        <w:t>Indemnified Matter</w:t>
      </w:r>
      <w:r>
        <w:rPr>
          <w:rFonts w:ascii="Arial" w:cs="Arial" w:eastAsia="Arial" w:hAnsi="Arial"/>
          <w:sz w:val="18"/>
          <w:szCs w:val="18"/>
          <w:color w:val="auto"/>
        </w:rPr>
        <w:t xml:space="preserve">”) of which the indemnified Party becomes aware (including a copy of any complaint, summons, notice, or other instrument related to the Indemnified Matter);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failure to provide such notice shall not relieve the indemnifying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458470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40" w:top="122" w:right="999" w:bottom="1440" w:gutter="0" w:footer="0" w:header="0"/>
        </w:sectPr>
      </w:pPr>
    </w:p>
    <w:bookmarkStart w:id="178" w:name="page179"/>
    <w:bookmarkEnd w:id="178"/>
    <w:p>
      <w:pPr>
        <w:jc w:val="both"/>
        <w:ind w:left="540"/>
        <w:spacing w:after="0" w:line="239" w:lineRule="auto"/>
        <w:rPr>
          <w:sz w:val="20"/>
          <w:szCs w:val="20"/>
          <w:color w:val="auto"/>
        </w:rPr>
      </w:pPr>
      <w:r>
        <w:rPr>
          <w:rFonts w:ascii="Arial" w:cs="Arial" w:eastAsia="Arial" w:hAnsi="Arial"/>
          <w:sz w:val="18"/>
          <w:szCs w:val="18"/>
          <w:color w:val="auto"/>
        </w:rPr>
        <w:t>of its obligations under this Section except to the extent, if any, that the indemnifying Party is actually prejudiced by such failure, (B) allowing the indemnifying Party, if it so requests, to conduct and control the defense of any such Indemnified Matter and any related settlement negotiation (at the indemnifying Party’s expense), except that the indemnifying Party (i) must promptly provide and continuously maintain such defense and (ii) may not settle such Indemnified Matter if such settlement involves the payment of any money by an indemnified person, an injunction against such indemnified person, or any admission of liability by such indemnified person), (C) cooperating with the indemnifying Party upon request in the defense of the Indemnified Matter or any related settlement negotiation (at the indemnifying Party’s expense), and (D) not compromising or settling the Indemnified Matter without the prior written consent of the indemnifying Party, not to be unreasonably withheld, conditioned, or delayed.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12.5.  [***].</w:t>
      </w:r>
    </w:p>
    <w:p>
      <w:pPr>
        <w:spacing w:after="0" w:line="171" w:lineRule="exact"/>
        <w:rPr>
          <w:sz w:val="20"/>
          <w:szCs w:val="20"/>
          <w:color w:val="auto"/>
        </w:rPr>
      </w:pPr>
    </w:p>
    <w:p>
      <w:pPr>
        <w:ind w:left="480" w:hanging="478"/>
        <w:spacing w:after="0"/>
        <w:tabs>
          <w:tab w:leader="none" w:pos="4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71" w:lineRule="exact"/>
        <w:rPr>
          <w:sz w:val="20"/>
          <w:szCs w:val="20"/>
          <w:color w:val="auto"/>
        </w:rPr>
      </w:pPr>
    </w:p>
    <w:p>
      <w:pPr>
        <w:jc w:val="both"/>
        <w:ind w:left="520" w:hanging="526"/>
        <w:spacing w:after="0" w:line="281" w:lineRule="auto"/>
        <w:rPr>
          <w:sz w:val="20"/>
          <w:szCs w:val="20"/>
          <w:color w:val="auto"/>
        </w:rPr>
      </w:pPr>
      <w:r>
        <w:rPr>
          <w:rFonts w:ascii="Arial" w:cs="Arial" w:eastAsia="Arial" w:hAnsi="Arial"/>
          <w:sz w:val="18"/>
          <w:szCs w:val="18"/>
          <w:color w:val="auto"/>
        </w:rPr>
        <w:t>13.1. The Agreement shall commence on the Effective Date and shall remain in effect until terminated in accordance with the provisions of this Section 13 (herein referred to as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96" w:lineRule="exact"/>
        <w:rPr>
          <w:sz w:val="20"/>
          <w:szCs w:val="20"/>
          <w:color w:val="auto"/>
        </w:rPr>
      </w:pPr>
    </w:p>
    <w:p>
      <w:pPr>
        <w:jc w:val="both"/>
        <w:ind w:left="520" w:hanging="526"/>
        <w:spacing w:after="0" w:line="247" w:lineRule="auto"/>
        <w:rPr>
          <w:sz w:val="20"/>
          <w:szCs w:val="20"/>
          <w:color w:val="auto"/>
        </w:rPr>
      </w:pPr>
      <w:r>
        <w:rPr>
          <w:rFonts w:ascii="Arial" w:cs="Arial" w:eastAsia="Arial" w:hAnsi="Arial"/>
          <w:sz w:val="18"/>
          <w:szCs w:val="18"/>
          <w:color w:val="auto"/>
        </w:rPr>
        <w:t>13.2. Customer may terminate this Agreement without cause at any time upon [***] prior written notice to Catalent provided that Customer shall continue [***] payments due by Customer, its Affiliates or Permitted Recipients in accordance with Section 10.4 for any Net Sales generated by any remaining Products on the market following such termination and Customer, its Affiliates and its Permitted Recipients shall have the right to commercialize such Products.</w:t>
      </w:r>
    </w:p>
    <w:p>
      <w:pPr>
        <w:spacing w:after="0" w:line="133" w:lineRule="exact"/>
        <w:rPr>
          <w:sz w:val="20"/>
          <w:szCs w:val="20"/>
          <w:color w:val="auto"/>
        </w:rPr>
      </w:pPr>
    </w:p>
    <w:p>
      <w:pPr>
        <w:jc w:val="both"/>
        <w:ind w:left="520" w:hanging="526"/>
        <w:spacing w:after="0" w:line="253" w:lineRule="auto"/>
        <w:rPr>
          <w:sz w:val="20"/>
          <w:szCs w:val="20"/>
          <w:color w:val="auto"/>
        </w:rPr>
      </w:pPr>
      <w:r>
        <w:rPr>
          <w:rFonts w:ascii="Arial" w:cs="Arial" w:eastAsia="Arial" w:hAnsi="Arial"/>
          <w:sz w:val="18"/>
          <w:szCs w:val="18"/>
          <w:color w:val="auto"/>
        </w:rPr>
        <w:t>13.3. In the event that a Party commits a Material Breach and fails to cure such Material Breach within [***] after receiving written notice requesting cure of the breach from the non-breaching Party, the non-breaching Party may terminate this Agreement effective immediately without additional notice.</w:t>
      </w:r>
    </w:p>
    <w:p>
      <w:pPr>
        <w:spacing w:after="0" w:line="128" w:lineRule="exact"/>
        <w:rPr>
          <w:sz w:val="20"/>
          <w:szCs w:val="20"/>
          <w:color w:val="auto"/>
        </w:rPr>
      </w:pPr>
    </w:p>
    <w:p>
      <w:pPr>
        <w:jc w:val="both"/>
        <w:ind w:left="520" w:hanging="526"/>
        <w:spacing w:after="0" w:line="253" w:lineRule="auto"/>
        <w:rPr>
          <w:sz w:val="20"/>
          <w:szCs w:val="20"/>
          <w:color w:val="auto"/>
        </w:rPr>
      </w:pPr>
      <w:r>
        <w:rPr>
          <w:rFonts w:ascii="Arial" w:cs="Arial" w:eastAsia="Arial" w:hAnsi="Arial"/>
          <w:sz w:val="18"/>
          <w:szCs w:val="18"/>
          <w:color w:val="auto"/>
        </w:rPr>
        <w:t>13.4. Besides a termination according to Section 13.2 for convenience or Section 13.3 for Material Breach or default, Customer has the right to suspend the application of Section 10 of this Agreement (payments) on a Product-by-Product and country by country basis, in case:</w:t>
      </w:r>
    </w:p>
    <w:p>
      <w:pPr>
        <w:spacing w:after="0" w:line="128" w:lineRule="exact"/>
        <w:rPr>
          <w:sz w:val="20"/>
          <w:szCs w:val="20"/>
          <w:color w:val="auto"/>
        </w:rPr>
      </w:pPr>
    </w:p>
    <w:p>
      <w:pPr>
        <w:ind w:left="960" w:hanging="472"/>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960" w:hanging="472"/>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jc w:val="both"/>
        <w:ind w:left="520" w:hanging="526"/>
        <w:spacing w:after="0" w:line="242" w:lineRule="auto"/>
        <w:rPr>
          <w:sz w:val="20"/>
          <w:szCs w:val="20"/>
          <w:color w:val="auto"/>
        </w:rPr>
      </w:pPr>
      <w:r>
        <w:rPr>
          <w:rFonts w:ascii="Arial" w:cs="Arial" w:eastAsia="Arial" w:hAnsi="Arial"/>
          <w:sz w:val="18"/>
          <w:szCs w:val="18"/>
          <w:color w:val="auto"/>
        </w:rPr>
        <w:t xml:space="preserve">13.5. For clarity, Customer may only suspend Section 10 of the Agreement for the Product(s) concerned by a) or b) in Section 13.4 above. The Agreement shall remain fully applicable for non-affected Product(s). Customer must provide to Catalent reasonable proof of the existence of one of the aforementioned reasons for suspension. Termination of this Agreement for any reason shall not relieve a Party of any obligation accruing prior to such termination; </w:t>
      </w:r>
      <w:r>
        <w:rPr>
          <w:rFonts w:ascii="Arial" w:cs="Arial" w:eastAsia="Arial" w:hAnsi="Arial"/>
          <w:sz w:val="18"/>
          <w:szCs w:val="18"/>
          <w:i w:val="1"/>
          <w:iCs w:val="1"/>
          <w:color w:val="auto"/>
        </w:rPr>
        <w:t>e.g.</w:t>
      </w:r>
      <w:r>
        <w:rPr>
          <w:rFonts w:ascii="Arial" w:cs="Arial" w:eastAsia="Arial" w:hAnsi="Arial"/>
          <w:sz w:val="18"/>
          <w:szCs w:val="18"/>
          <w:color w:val="auto"/>
        </w:rPr>
        <w:t xml:space="preserve"> payments made prior to such termination are not to be returned, payment obligations that became due prior to such termination, but which were not fulfilled at the date of termination or expiration must then be satisfied without delay.</w:t>
      </w:r>
    </w:p>
    <w:p>
      <w:pPr>
        <w:spacing w:after="0" w:line="138" w:lineRule="exact"/>
        <w:rPr>
          <w:sz w:val="20"/>
          <w:szCs w:val="20"/>
          <w:color w:val="auto"/>
        </w:rPr>
      </w:pPr>
    </w:p>
    <w:p>
      <w:pPr>
        <w:jc w:val="both"/>
        <w:ind w:left="520" w:hanging="526"/>
        <w:spacing w:after="0" w:line="253" w:lineRule="auto"/>
        <w:rPr>
          <w:sz w:val="20"/>
          <w:szCs w:val="20"/>
          <w:color w:val="auto"/>
        </w:rPr>
      </w:pPr>
      <w:r>
        <w:rPr>
          <w:rFonts w:ascii="Arial" w:cs="Arial" w:eastAsia="Arial" w:hAnsi="Arial"/>
          <w:sz w:val="18"/>
          <w:szCs w:val="18"/>
          <w:color w:val="auto"/>
        </w:rPr>
        <w:t>13.6. In case of any termination of this Agreement, the rights and obligations in Sections 4, 6, 7, 8, 10.4, 11.1 (h), 12, 14, 15, 16.1, 17, 18 and this Section 13.6 shall survive. The rest of section 11 shall survive for a period of [***] following termination of this Agreement.</w:t>
      </w:r>
    </w:p>
    <w:p>
      <w:pPr>
        <w:spacing w:after="0" w:line="128" w:lineRule="exact"/>
        <w:rPr>
          <w:sz w:val="20"/>
          <w:szCs w:val="20"/>
          <w:color w:val="auto"/>
        </w:rPr>
      </w:pPr>
    </w:p>
    <w:p>
      <w:pPr>
        <w:ind w:left="480" w:hanging="478"/>
        <w:spacing w:after="0"/>
        <w:tabs>
          <w:tab w:leader="none" w:pos="4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71" w:lineRule="exact"/>
        <w:rPr>
          <w:rFonts w:ascii="Arial" w:cs="Arial" w:eastAsia="Arial" w:hAnsi="Arial"/>
          <w:sz w:val="18"/>
          <w:szCs w:val="18"/>
          <w:b w:val="1"/>
          <w:bCs w:val="1"/>
          <w:color w:val="auto"/>
        </w:rPr>
      </w:pPr>
    </w:p>
    <w:p>
      <w:pPr>
        <w:jc w:val="both"/>
        <w:ind w:left="5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Any notice to be given hereunder by either Party to the other Party will be in writing addressed to the address set forth in the introductory paragraph above (unless either Party provides written notice of a different address) and will be deemed delivered (a) upon delivery if hand delivered personally, (b) on the next business day if delivered or sent by electronic mail or facsimile, (c) on the business day after dispatch if sent by internationally recognized overnight courier, or (d) on the tenth (10th) business day following the date of mailing if sent by mail. Notices to Catalent shall be made to the attention of the managing director(s), along with a copy (which shall not constitute notice) to [***] and [***] (unless Catalent provides written notice of a different e-mail address). Notices to Customer shall be made to the attention of the Associate Generate Counsel/Legal Department, along with a copy (which shall not constitute notice) to [***] (unless Customer provides written notice of a different e-mail address).</w:t>
      </w:r>
    </w:p>
    <w:p>
      <w:pPr>
        <w:spacing w:after="0" w:line="156" w:lineRule="exact"/>
        <w:rPr>
          <w:rFonts w:ascii="Arial" w:cs="Arial" w:eastAsia="Arial" w:hAnsi="Arial"/>
          <w:sz w:val="18"/>
          <w:szCs w:val="18"/>
          <w:b w:val="1"/>
          <w:bCs w:val="1"/>
          <w:color w:val="auto"/>
        </w:rPr>
      </w:pPr>
    </w:p>
    <w:p>
      <w:pPr>
        <w:ind w:left="480" w:hanging="478"/>
        <w:spacing w:after="0"/>
        <w:tabs>
          <w:tab w:leader="none" w:pos="4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Public Disclosure</w:t>
      </w:r>
    </w:p>
    <w:p>
      <w:pPr>
        <w:spacing w:after="0" w:line="171" w:lineRule="exact"/>
        <w:rPr>
          <w:rFonts w:ascii="Arial" w:cs="Arial" w:eastAsia="Arial" w:hAnsi="Arial"/>
          <w:sz w:val="18"/>
          <w:szCs w:val="18"/>
          <w:b w:val="1"/>
          <w:bCs w:val="1"/>
          <w:color w:val="auto"/>
        </w:rPr>
      </w:pPr>
    </w:p>
    <w:p>
      <w:pPr>
        <w:jc w:val="both"/>
        <w:ind w:left="50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Except as required by Applicable Laws, neither Party may use the name or logo of the other Party in any public document or public disclosure whether written, oral or otherwise communicated, or issue any press releases relating to this Agreement or the cooperation based thereon without the written consent of the other Party, which consent shall not be unreasonably withheld or delayed, provided, however, that once any press release or other written statement is approved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338455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1040" w:top="122" w:right="999" w:bottom="1440" w:gutter="0" w:footer="0" w:header="0"/>
        </w:sectPr>
      </w:pPr>
    </w:p>
    <w:bookmarkStart w:id="179" w:name="page180"/>
    <w:bookmarkEnd w:id="179"/>
    <w:p>
      <w:pPr>
        <w:ind w:left="498"/>
        <w:spacing w:after="0" w:line="270" w:lineRule="auto"/>
        <w:rPr>
          <w:sz w:val="20"/>
          <w:szCs w:val="20"/>
          <w:color w:val="auto"/>
        </w:rPr>
      </w:pPr>
      <w:r>
        <w:rPr>
          <w:rFonts w:ascii="Arial" w:cs="Arial" w:eastAsia="Arial" w:hAnsi="Arial"/>
          <w:sz w:val="18"/>
          <w:szCs w:val="18"/>
          <w:color w:val="auto"/>
        </w:rPr>
        <w:t>disclosure by the Parties, either Party may make a subsequent public disclosure of the contents of such press release or other statement without further approval of the other Party.</w:t>
      </w:r>
    </w:p>
    <w:p>
      <w:pPr>
        <w:spacing w:after="0" w:line="114" w:lineRule="exact"/>
        <w:rPr>
          <w:sz w:val="20"/>
          <w:szCs w:val="20"/>
          <w:color w:val="auto"/>
        </w:rPr>
      </w:pPr>
    </w:p>
    <w:p>
      <w:pPr>
        <w:ind w:left="478" w:hanging="478"/>
        <w:spacing w:after="0"/>
        <w:tabs>
          <w:tab w:leader="none" w:pos="478"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 with Regulatory Authorities and Regulatory Filings</w:t>
      </w:r>
    </w:p>
    <w:p>
      <w:pPr>
        <w:spacing w:after="0" w:line="171" w:lineRule="exact"/>
        <w:rPr>
          <w:sz w:val="20"/>
          <w:szCs w:val="20"/>
          <w:color w:val="auto"/>
        </w:rPr>
      </w:pPr>
    </w:p>
    <w:p>
      <w:pPr>
        <w:jc w:val="both"/>
        <w:ind w:left="478" w:hanging="472"/>
        <w:spacing w:after="0" w:line="253" w:lineRule="auto"/>
        <w:rPr>
          <w:sz w:val="20"/>
          <w:szCs w:val="20"/>
          <w:color w:val="auto"/>
        </w:rPr>
      </w:pPr>
      <w:r>
        <w:rPr>
          <w:rFonts w:ascii="Arial" w:cs="Arial" w:eastAsia="Arial" w:hAnsi="Arial"/>
          <w:sz w:val="18"/>
          <w:szCs w:val="18"/>
          <w:color w:val="auto"/>
        </w:rPr>
        <w:t>16.1. Except to the extent not permitted under Applicable Laws, any submission of Materials Information as well as other of Catalent’s Confidential Information by Customer or its Representatives to Regulatory Authorities is subject to the prior written approval of Catalent which shall not be withheld unreasonably.</w:t>
      </w:r>
    </w:p>
    <w:p>
      <w:pPr>
        <w:spacing w:after="0" w:line="128" w:lineRule="exact"/>
        <w:rPr>
          <w:sz w:val="20"/>
          <w:szCs w:val="20"/>
          <w:color w:val="auto"/>
        </w:rPr>
      </w:pPr>
    </w:p>
    <w:p>
      <w:pPr>
        <w:jc w:val="both"/>
        <w:ind w:left="478" w:hanging="472"/>
        <w:spacing w:after="0" w:line="244" w:lineRule="auto"/>
        <w:rPr>
          <w:sz w:val="20"/>
          <w:szCs w:val="20"/>
          <w:color w:val="auto"/>
        </w:rPr>
      </w:pPr>
      <w:r>
        <w:rPr>
          <w:rFonts w:ascii="Arial" w:cs="Arial" w:eastAsia="Arial" w:hAnsi="Arial"/>
          <w:sz w:val="18"/>
          <w:szCs w:val="18"/>
          <w:color w:val="auto"/>
        </w:rPr>
        <w:t>16.2. Catalent shall support within reasonable limits and to the extent that Catalent is legally able to do so Customer’s regulatory filings, including but not limited to the submission of documents, and in connection therewith shall be obligated to disclose such proprietary information to Regulatory Authorities as reasonably requested (but in no case information disclosing the identity of the Donors), provided that all information provided to Regulatory Authorities by Catalent shall remain the Confidential Information of Catalent and shall remain subject to the terms of this Agreement.</w:t>
      </w:r>
    </w:p>
    <w:p>
      <w:pPr>
        <w:spacing w:after="0" w:line="136" w:lineRule="exact"/>
        <w:rPr>
          <w:sz w:val="20"/>
          <w:szCs w:val="20"/>
          <w:color w:val="auto"/>
        </w:rPr>
      </w:pPr>
    </w:p>
    <w:p>
      <w:pPr>
        <w:ind w:left="478" w:hanging="478"/>
        <w:spacing w:after="0"/>
        <w:tabs>
          <w:tab w:leader="none" w:pos="478"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dispute resolution</w:t>
      </w:r>
    </w:p>
    <w:p>
      <w:pPr>
        <w:spacing w:after="0" w:line="171" w:lineRule="exact"/>
        <w:rPr>
          <w:sz w:val="20"/>
          <w:szCs w:val="20"/>
          <w:color w:val="auto"/>
        </w:rPr>
      </w:pPr>
    </w:p>
    <w:p>
      <w:pPr>
        <w:jc w:val="both"/>
        <w:ind w:left="478" w:hanging="472"/>
        <w:spacing w:after="0" w:line="253" w:lineRule="auto"/>
        <w:rPr>
          <w:sz w:val="20"/>
          <w:szCs w:val="20"/>
          <w:color w:val="auto"/>
        </w:rPr>
      </w:pPr>
      <w:r>
        <w:rPr>
          <w:rFonts w:ascii="Arial" w:cs="Arial" w:eastAsia="Arial" w:hAnsi="Arial"/>
          <w:sz w:val="18"/>
          <w:szCs w:val="18"/>
          <w:color w:val="auto"/>
        </w:rPr>
        <w:t>17.1. This Agreement shall be construed and interpreted in accordance with the laws of the state of Delaware, USA, excluding its rules for choice of law. The UN Convention on Contracts for the International Sale of Goods shall not apply.</w:t>
      </w:r>
    </w:p>
    <w:p>
      <w:pPr>
        <w:spacing w:after="0" w:line="128" w:lineRule="exact"/>
        <w:rPr>
          <w:sz w:val="20"/>
          <w:szCs w:val="20"/>
          <w:color w:val="auto"/>
        </w:rPr>
      </w:pPr>
    </w:p>
    <w:p>
      <w:pPr>
        <w:jc w:val="both"/>
        <w:ind w:left="478" w:hanging="472"/>
        <w:spacing w:after="0" w:line="226" w:lineRule="auto"/>
        <w:rPr>
          <w:sz w:val="20"/>
          <w:szCs w:val="20"/>
          <w:color w:val="auto"/>
        </w:rPr>
      </w:pPr>
      <w:r>
        <w:rPr>
          <w:rFonts w:ascii="Arial" w:cs="Arial" w:eastAsia="Arial" w:hAnsi="Arial"/>
          <w:sz w:val="18"/>
          <w:szCs w:val="18"/>
          <w:color w:val="auto"/>
        </w:rPr>
        <w:t>17.2. In the event of any dispute, controversy or claim arising out of or relating to this Agreement, or to any breach hereof, the Parties shall attempt first to resolve the dispute by good faith negotiation by senior executives or the equivalent of each Party. If the Parties are unable to reach agreement by negotiating in good faith within [***] of written assertion of a claim, to the Parties shall resolve the dispute through binding arbitration under the Rules of Arbitration of the International Chamber of Commerce (“</w:t>
      </w:r>
      <w:r>
        <w:rPr>
          <w:rFonts w:ascii="Arial" w:cs="Arial" w:eastAsia="Arial" w:hAnsi="Arial"/>
          <w:sz w:val="18"/>
          <w:szCs w:val="18"/>
          <w:b w:val="1"/>
          <w:bCs w:val="1"/>
          <w:color w:val="auto"/>
        </w:rPr>
        <w:t>ICC</w:t>
      </w:r>
      <w:r>
        <w:rPr>
          <w:rFonts w:ascii="Arial" w:cs="Arial" w:eastAsia="Arial" w:hAnsi="Arial"/>
          <w:sz w:val="18"/>
          <w:szCs w:val="18"/>
          <w:color w:val="auto"/>
        </w:rPr>
        <w:t>”) by a panel of three (3) arbitrators appointed in accordance with the said Rules. Each Party will nominate one (1) arbitrator, and the two (2) arbitrators so nominated shall nominate a third (3</w:t>
      </w:r>
      <w:r>
        <w:rPr>
          <w:rFonts w:ascii="Arial" w:cs="Arial" w:eastAsia="Arial" w:hAnsi="Arial"/>
          <w:sz w:val="26"/>
          <w:szCs w:val="26"/>
          <w:color w:val="auto"/>
          <w:vertAlign w:val="superscript"/>
        </w:rPr>
        <w:t>rd</w:t>
      </w:r>
      <w:r>
        <w:rPr>
          <w:rFonts w:ascii="Arial" w:cs="Arial" w:eastAsia="Arial" w:hAnsi="Arial"/>
          <w:sz w:val="18"/>
          <w:szCs w:val="18"/>
          <w:color w:val="auto"/>
        </w:rPr>
        <w:t>) arbitrator, who shall act as the chairperson of the tribunal.</w:t>
      </w:r>
    </w:p>
    <w:p>
      <w:pPr>
        <w:spacing w:after="0" w:line="142" w:lineRule="exact"/>
        <w:rPr>
          <w:sz w:val="20"/>
          <w:szCs w:val="20"/>
          <w:color w:val="auto"/>
        </w:rPr>
      </w:pPr>
    </w:p>
    <w:p>
      <w:pPr>
        <w:jc w:val="both"/>
        <w:ind w:left="478" w:hanging="472"/>
        <w:spacing w:after="0" w:line="238" w:lineRule="auto"/>
        <w:rPr>
          <w:sz w:val="20"/>
          <w:szCs w:val="20"/>
          <w:color w:val="auto"/>
        </w:rPr>
      </w:pPr>
      <w:r>
        <w:rPr>
          <w:rFonts w:ascii="Arial" w:cs="Arial" w:eastAsia="Arial" w:hAnsi="Arial"/>
          <w:sz w:val="18"/>
          <w:szCs w:val="18"/>
          <w:color w:val="auto"/>
        </w:rPr>
        <w:t>17.3. The seat of the arbitration shall be Dover, Delaware, USA or at such other location as the Parties shall agree in writing. The language of the arbitral proceedings shall be English. The arbitrator’s decision shall set forth a reasoned basis for any award of damages or finding of liability. The arbitrator shall not have power to award damages in excess of the damages permitted under this Agreement. The arbitrator shall award to the prevailing Party, if any, its costs and attorneys’ fees and expenses reasonably incurred in connection with the arbitration, as well as any cost of collection or enforcement of any arbitral award. Judgment upon the award rendered by such arbitrator(s) shall be final binding on the Parties and may be entered by any court or forum having jurisdiction. All negotiations and proceedings pursuant to this Section 17 shall be treated as Confidential Information of both Parties and shall also be treated as compromise and settlement negotiations for purposes of Rule 408 of the Federal Rules of Evidence and comparable state rules of evidence. Any mediator or arbitrator shall be bound by an agreement containing confidentiality provisions at least as restrictive as those contained in this Agreement.</w:t>
      </w:r>
    </w:p>
    <w:p>
      <w:pPr>
        <w:spacing w:after="0" w:line="145" w:lineRule="exact"/>
        <w:rPr>
          <w:sz w:val="20"/>
          <w:szCs w:val="20"/>
          <w:color w:val="auto"/>
        </w:rPr>
      </w:pPr>
    </w:p>
    <w:p>
      <w:pPr>
        <w:ind w:left="478" w:hanging="478"/>
        <w:spacing w:after="0"/>
        <w:tabs>
          <w:tab w:leader="none" w:pos="478"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jc w:val="both"/>
        <w:ind w:left="478" w:hanging="472"/>
        <w:spacing w:after="0" w:line="244" w:lineRule="auto"/>
        <w:rPr>
          <w:sz w:val="20"/>
          <w:szCs w:val="20"/>
          <w:color w:val="auto"/>
        </w:rPr>
      </w:pPr>
      <w:r>
        <w:rPr>
          <w:rFonts w:ascii="Arial" w:cs="Arial" w:eastAsia="Arial" w:hAnsi="Arial"/>
          <w:sz w:val="18"/>
          <w:szCs w:val="18"/>
          <w:color w:val="auto"/>
        </w:rPr>
        <w:t>18.1. This Agreement, together with the annexes, collectively constitute the entire understanding between the Parties, and this Agreement supersedes any contract, agreement, or understanding (oral or written) of the Parties, with respect to its subject matter, including the Material Transfer Agreement. For the avoidance of doubt, this Agreement does not supersede any existing, generally applicable confidentiality agreement between the Parties as it relates to periods prior to the Effective Date or to business dealings not covered by this Agreement. No provision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569595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58"/>
          </w:cols>
          <w:pgMar w:left="1042" w:top="122" w:right="999" w:bottom="1440" w:gutter="0" w:footer="0" w:header="0"/>
        </w:sectPr>
      </w:pPr>
    </w:p>
    <w:bookmarkStart w:id="180" w:name="page181"/>
    <w:bookmarkEnd w:id="180"/>
    <w:p>
      <w:pPr>
        <w:ind w:left="500"/>
        <w:spacing w:after="0"/>
        <w:rPr>
          <w:sz w:val="20"/>
          <w:szCs w:val="20"/>
          <w:color w:val="auto"/>
        </w:rPr>
      </w:pPr>
      <w:r>
        <w:rPr>
          <w:rFonts w:ascii="Arial" w:cs="Arial" w:eastAsia="Arial" w:hAnsi="Arial"/>
          <w:sz w:val="18"/>
          <w:szCs w:val="18"/>
          <w:color w:val="auto"/>
        </w:rPr>
        <w:t>Agreement may be amended except upon written agreement signed by a representative of each of the Parties.</w:t>
      </w:r>
    </w:p>
    <w:p>
      <w:pPr>
        <w:spacing w:after="0" w:line="170" w:lineRule="exact"/>
        <w:rPr>
          <w:sz w:val="20"/>
          <w:szCs w:val="20"/>
          <w:color w:val="auto"/>
        </w:rPr>
      </w:pPr>
    </w:p>
    <w:p>
      <w:pPr>
        <w:jc w:val="both"/>
        <w:ind w:left="480" w:hanging="472"/>
        <w:spacing w:after="0" w:line="244" w:lineRule="auto"/>
        <w:rPr>
          <w:sz w:val="20"/>
          <w:szCs w:val="20"/>
          <w:color w:val="auto"/>
        </w:rPr>
      </w:pPr>
      <w:r>
        <w:rPr>
          <w:rFonts w:ascii="Arial" w:cs="Arial" w:eastAsia="Arial" w:hAnsi="Arial"/>
          <w:sz w:val="18"/>
          <w:szCs w:val="18"/>
          <w:color w:val="auto"/>
        </w:rPr>
        <w:t>18.2. Failure by either Party to insist upon strict compliance with any term of this Agreement in any one or more instances will not be deemed a waiver of its rights to insist upon such strict compliance with respect to any subsequent non-compliance. Any waiver by a Party of a particular provision or right shall be in writing, shall be as to a particular matter and, if applicable, for a particular period of time and shall be signed by an authorized employee or officer of such Party.</w:t>
      </w:r>
    </w:p>
    <w:p>
      <w:pPr>
        <w:spacing w:after="0" w:line="136" w:lineRule="exact"/>
        <w:rPr>
          <w:sz w:val="20"/>
          <w:szCs w:val="20"/>
          <w:color w:val="auto"/>
        </w:rPr>
      </w:pPr>
    </w:p>
    <w:p>
      <w:pPr>
        <w:jc w:val="both"/>
        <w:ind w:left="520" w:right="20" w:hanging="526"/>
        <w:spacing w:after="0" w:line="253" w:lineRule="auto"/>
        <w:rPr>
          <w:sz w:val="20"/>
          <w:szCs w:val="20"/>
          <w:color w:val="auto"/>
        </w:rPr>
      </w:pPr>
      <w:r>
        <w:rPr>
          <w:rFonts w:ascii="Arial" w:cs="Arial" w:eastAsia="Arial" w:hAnsi="Arial"/>
          <w:sz w:val="18"/>
          <w:szCs w:val="18"/>
          <w:color w:val="auto"/>
        </w:rPr>
        <w:t>18.3. If any provision of this Agreement is declared invalid or unenforceable by a court or other body of competent jurisdiction, then all remaining provisions of this Agreement shall continue in full force and effect as if this Agreement had been executed without the invalid provision.</w:t>
      </w:r>
    </w:p>
    <w:p>
      <w:pPr>
        <w:spacing w:after="0" w:line="128" w:lineRule="exact"/>
        <w:rPr>
          <w:sz w:val="20"/>
          <w:szCs w:val="20"/>
          <w:color w:val="auto"/>
        </w:rPr>
      </w:pPr>
    </w:p>
    <w:p>
      <w:pPr>
        <w:jc w:val="both"/>
        <w:ind w:left="520" w:hanging="526"/>
        <w:spacing w:after="0" w:line="239" w:lineRule="auto"/>
        <w:rPr>
          <w:sz w:val="20"/>
          <w:szCs w:val="20"/>
          <w:color w:val="auto"/>
        </w:rPr>
      </w:pPr>
      <w:r>
        <w:rPr>
          <w:rFonts w:ascii="Arial" w:cs="Arial" w:eastAsia="Arial" w:hAnsi="Arial"/>
          <w:sz w:val="18"/>
          <w:szCs w:val="18"/>
          <w:color w:val="auto"/>
        </w:rPr>
        <w:t>18.4. Neither Party shall assign any of its rights or obligations under this Agreement without the prior written consent of the other Party. Notwithstanding the above, either Party may assign this Agreement (subject to written notice) to an Affiliate or to a successor of all or substantially all of such Party’s business or assets to which this Agreement relates, whether by merger, consolidation, sale of assets or otherwise. Any purported assignment in contravention of the foregoing will be null and void. The rights and obligations of the Parties under this Agreement will be binding upon and inure to the benefit of the successors and permitted assigns of the Parties, including any entity acquiring all of Customer’s rights to the Product(s) under this Agreement (particularly with respect to payment obligations set forth in Section 10), and such successors and permitted assigns shall have all rights and responsibilities of such Party as if a direct party hereto. No assignment, delegation or transfer will relieve either Party of the performance of any accrued obligation that such Party may then have under this Agreement.</w:t>
      </w:r>
    </w:p>
    <w:p>
      <w:pPr>
        <w:spacing w:after="0" w:line="139" w:lineRule="exact"/>
        <w:rPr>
          <w:sz w:val="20"/>
          <w:szCs w:val="20"/>
          <w:color w:val="auto"/>
        </w:rPr>
      </w:pPr>
    </w:p>
    <w:p>
      <w:pPr>
        <w:jc w:val="both"/>
        <w:ind w:left="520" w:right="20" w:hanging="526"/>
        <w:spacing w:after="0" w:line="253" w:lineRule="auto"/>
        <w:rPr>
          <w:sz w:val="20"/>
          <w:szCs w:val="20"/>
          <w:color w:val="auto"/>
        </w:rPr>
      </w:pPr>
      <w:r>
        <w:rPr>
          <w:rFonts w:ascii="Arial" w:cs="Arial" w:eastAsia="Arial" w:hAnsi="Arial"/>
          <w:sz w:val="18"/>
          <w:szCs w:val="18"/>
          <w:color w:val="auto"/>
        </w:rPr>
        <w:t>18.5. This Agreement may be executed in two original counterparts, each of which shall be deemed to be an original and both of which, taken together, shall constitute one agreement binding on both Parties. This Agreement may be executed by electronic signature via PDF.</w:t>
      </w:r>
    </w:p>
    <w:p>
      <w:pPr>
        <w:spacing w:after="0" w:line="128" w:lineRule="exact"/>
        <w:rPr>
          <w:sz w:val="20"/>
          <w:szCs w:val="20"/>
          <w:color w:val="auto"/>
        </w:rPr>
      </w:pPr>
    </w:p>
    <w:p>
      <w:pPr>
        <w:jc w:val="both"/>
        <w:ind w:left="520" w:hanging="526"/>
        <w:spacing w:after="0" w:line="271" w:lineRule="auto"/>
        <w:rPr>
          <w:sz w:val="20"/>
          <w:szCs w:val="20"/>
          <w:color w:val="auto"/>
        </w:rPr>
      </w:pPr>
      <w:r>
        <w:rPr>
          <w:rFonts w:ascii="Arial" w:cs="Arial" w:eastAsia="Arial" w:hAnsi="Arial"/>
          <w:sz w:val="18"/>
          <w:szCs w:val="18"/>
          <w:color w:val="auto"/>
        </w:rPr>
        <w:t>18.6. Each Party must bear and is responsible for its own costs and expenses in connection with the preparation, execution and carrying into effect of this Agreement.</w:t>
      </w:r>
    </w:p>
    <w:p>
      <w:pPr>
        <w:spacing w:after="0" w:line="113" w:lineRule="exact"/>
        <w:rPr>
          <w:sz w:val="20"/>
          <w:szCs w:val="20"/>
          <w:color w:val="auto"/>
        </w:rPr>
      </w:pPr>
    </w:p>
    <w:p>
      <w:pPr>
        <w:jc w:val="both"/>
        <w:ind w:left="520" w:right="20" w:hanging="526"/>
        <w:spacing w:after="0" w:line="271" w:lineRule="auto"/>
        <w:rPr>
          <w:sz w:val="20"/>
          <w:szCs w:val="20"/>
          <w:color w:val="auto"/>
        </w:rPr>
      </w:pPr>
      <w:r>
        <w:rPr>
          <w:rFonts w:ascii="Arial" w:cs="Arial" w:eastAsia="Arial" w:hAnsi="Arial"/>
          <w:sz w:val="18"/>
          <w:szCs w:val="18"/>
          <w:color w:val="auto"/>
        </w:rPr>
        <w:t>18.7. The Parties shall execute, acknowledge, and deliver such further instruments and take all such other incidental acts as may be reasonably necessary or appropriate to carry out the purpose and intent of this Agreement.</w:t>
      </w:r>
    </w:p>
    <w:p>
      <w:pPr>
        <w:spacing w:after="0" w:line="113" w:lineRule="exact"/>
        <w:rPr>
          <w:sz w:val="20"/>
          <w:szCs w:val="20"/>
          <w:color w:val="auto"/>
        </w:rPr>
      </w:pPr>
    </w:p>
    <w:p>
      <w:pPr>
        <w:jc w:val="both"/>
        <w:ind w:left="520" w:hanging="526"/>
        <w:spacing w:after="0" w:line="242" w:lineRule="auto"/>
        <w:rPr>
          <w:sz w:val="20"/>
          <w:szCs w:val="20"/>
          <w:color w:val="auto"/>
        </w:rPr>
      </w:pPr>
      <w:r>
        <w:rPr>
          <w:rFonts w:ascii="Arial" w:cs="Arial" w:eastAsia="Arial" w:hAnsi="Arial"/>
          <w:sz w:val="18"/>
          <w:szCs w:val="18"/>
          <w:color w:val="auto"/>
        </w:rPr>
        <w:t>18.8. The relationship of the Parties is that of independent contractors, and neither Party will incur any debt or make any commitment for the other Party except to the extent expressly provided in this Agreement. Nothing in this Agreement is intended to create or will be construed as creating between the Parties the relationship of joint ventures, partners, employer/employee, or principal and agent. Neither Party shall have any responsibility for the hiring, termination, or compensation of the other Party’s employees or contractors or for any employee benefit or other employment-related obligation of any such employee or contractor.</w:t>
      </w:r>
    </w:p>
    <w:p>
      <w:pPr>
        <w:spacing w:after="0" w:line="138" w:lineRule="exact"/>
        <w:rPr>
          <w:sz w:val="20"/>
          <w:szCs w:val="20"/>
          <w:color w:val="auto"/>
        </w:rPr>
      </w:pPr>
    </w:p>
    <w:p>
      <w:pPr>
        <w:jc w:val="both"/>
        <w:ind w:left="520" w:hanging="526"/>
        <w:spacing w:after="0" w:line="271" w:lineRule="auto"/>
        <w:rPr>
          <w:sz w:val="20"/>
          <w:szCs w:val="20"/>
          <w:color w:val="auto"/>
        </w:rPr>
      </w:pPr>
      <w:r>
        <w:rPr>
          <w:rFonts w:ascii="Arial" w:cs="Arial" w:eastAsia="Arial" w:hAnsi="Arial"/>
          <w:sz w:val="18"/>
          <w:szCs w:val="18"/>
          <w:color w:val="auto"/>
        </w:rPr>
        <w:t>18.9. No part of this Agreement is to be construed to the disadvantage of a Party because that Party was responsible for its preparation.</w:t>
      </w:r>
    </w:p>
    <w:p>
      <w:pPr>
        <w:spacing w:after="0" w:line="113" w:lineRule="exact"/>
        <w:rPr>
          <w:sz w:val="20"/>
          <w:szCs w:val="20"/>
          <w:color w:val="auto"/>
        </w:rPr>
      </w:pPr>
    </w:p>
    <w:p>
      <w:pPr>
        <w:jc w:val="both"/>
        <w:ind w:left="520" w:right="20" w:hanging="526"/>
        <w:spacing w:after="0" w:line="271" w:lineRule="auto"/>
        <w:rPr>
          <w:sz w:val="20"/>
          <w:szCs w:val="20"/>
          <w:color w:val="auto"/>
        </w:rPr>
      </w:pPr>
      <w:r>
        <w:rPr>
          <w:rFonts w:ascii="Arial" w:cs="Arial" w:eastAsia="Arial" w:hAnsi="Arial"/>
          <w:sz w:val="18"/>
          <w:szCs w:val="18"/>
          <w:color w:val="auto"/>
        </w:rPr>
        <w:t>18.10. The captions in this Agreement are for convenience only and are not to be interpreted or construed as a substantive part of this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18.11. This Agreement shall not confer any right or remedy upon and is not for the benefit of any Third Party.</w:t>
      </w:r>
    </w:p>
    <w:p>
      <w:pPr>
        <w:spacing w:after="0" w:line="171" w:lineRule="exact"/>
        <w:rPr>
          <w:sz w:val="20"/>
          <w:szCs w:val="20"/>
          <w:color w:val="auto"/>
        </w:rPr>
      </w:pPr>
    </w:p>
    <w:p>
      <w:pPr>
        <w:jc w:val="both"/>
        <w:ind w:left="520" w:hanging="526"/>
        <w:spacing w:after="0" w:line="242" w:lineRule="auto"/>
        <w:rPr>
          <w:sz w:val="20"/>
          <w:szCs w:val="20"/>
          <w:color w:val="auto"/>
        </w:rPr>
      </w:pPr>
      <w:r>
        <w:rPr>
          <w:rFonts w:ascii="Arial" w:cs="Arial" w:eastAsia="Arial" w:hAnsi="Arial"/>
          <w:sz w:val="18"/>
          <w:szCs w:val="18"/>
          <w:color w:val="auto"/>
        </w:rPr>
        <w:t>18.12. Neither Party will be liable for any failure to perform or for delay in performance resulting from any cause beyond its reasonable control, including without limitation acts of God, law, or regulation, or other action or failure to act of any government or agency thereof, fires, earthquakes, floods or weather, strikes or lockouts, factory shutdowns, embargoes, wars, insurrections, hostilities or riots, shortages in transportation, epidemic, pandemic, or failure of suppliers, vendors, public utilities or common carriers. If the cause continues unabated for [***], then both Parties shall meet to discuss and negotiate in good faith what modifications to this Agreement should result from such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571500</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40" w:top="122" w:right="99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9"/>
        </w:trPr>
        <w:tc>
          <w:tcPr>
            <w:tcW w:w="4300" w:type="dxa"/>
            <w:vAlign w:val="bottom"/>
          </w:tcPr>
          <w:p>
            <w:pPr>
              <w:spacing w:after="0"/>
              <w:rPr>
                <w:sz w:val="20"/>
                <w:szCs w:val="20"/>
                <w:color w:val="auto"/>
              </w:rPr>
            </w:pPr>
            <w:r>
              <w:rPr>
                <w:rFonts w:ascii="Arial" w:cs="Arial" w:eastAsia="Arial" w:hAnsi="Arial"/>
                <w:sz w:val="18"/>
                <w:szCs w:val="18"/>
                <w:color w:val="auto"/>
              </w:rPr>
              <w:t>On Behalf of Catalent</w:t>
            </w:r>
          </w:p>
        </w:tc>
        <w:tc>
          <w:tcPr>
            <w:tcW w:w="5620" w:type="dxa"/>
            <w:vAlign w:val="bottom"/>
          </w:tcPr>
          <w:p>
            <w:pPr>
              <w:ind w:left="660"/>
              <w:spacing w:after="0"/>
              <w:rPr>
                <w:sz w:val="20"/>
                <w:szCs w:val="20"/>
                <w:color w:val="auto"/>
              </w:rPr>
            </w:pPr>
            <w:r>
              <w:rPr>
                <w:rFonts w:ascii="Arial" w:cs="Arial" w:eastAsia="Arial" w:hAnsi="Arial"/>
                <w:sz w:val="18"/>
                <w:szCs w:val="18"/>
                <w:color w:val="auto"/>
              </w:rPr>
              <w:t>On Behalf of Customer</w:t>
            </w:r>
          </w:p>
        </w:tc>
      </w:tr>
      <w:tr>
        <w:trPr>
          <w:trHeight w:val="297"/>
        </w:trPr>
        <w:tc>
          <w:tcPr>
            <w:tcW w:w="4300" w:type="dxa"/>
            <w:vAlign w:val="bottom"/>
          </w:tcPr>
          <w:p>
            <w:pPr>
              <w:spacing w:after="0"/>
              <w:rPr>
                <w:sz w:val="20"/>
                <w:szCs w:val="20"/>
                <w:color w:val="auto"/>
              </w:rPr>
            </w:pPr>
            <w:r>
              <w:rPr>
                <w:rFonts w:ascii="Arial" w:cs="Arial" w:eastAsia="Arial" w:hAnsi="Arial"/>
                <w:sz w:val="18"/>
                <w:szCs w:val="18"/>
                <w:color w:val="auto"/>
              </w:rPr>
              <w:t>Date: 12/13/2022</w:t>
            </w:r>
          </w:p>
        </w:tc>
        <w:tc>
          <w:tcPr>
            <w:tcW w:w="5620" w:type="dxa"/>
            <w:vAlign w:val="bottom"/>
          </w:tcPr>
          <w:p>
            <w:pPr>
              <w:ind w:left="660"/>
              <w:spacing w:after="0"/>
              <w:rPr>
                <w:sz w:val="20"/>
                <w:szCs w:val="20"/>
                <w:color w:val="auto"/>
              </w:rPr>
            </w:pPr>
            <w:r>
              <w:rPr>
                <w:rFonts w:ascii="Arial" w:cs="Arial" w:eastAsia="Arial" w:hAnsi="Arial"/>
                <w:sz w:val="18"/>
                <w:szCs w:val="18"/>
                <w:color w:val="auto"/>
              </w:rPr>
              <w:t>Date: 12/13/2022</w:t>
            </w:r>
          </w:p>
        </w:tc>
      </w:tr>
      <w:tr>
        <w:trPr>
          <w:trHeight w:val="297"/>
        </w:trPr>
        <w:tc>
          <w:tcPr>
            <w:tcW w:w="4300" w:type="dxa"/>
            <w:vAlign w:val="bottom"/>
          </w:tcPr>
          <w:p>
            <w:pPr>
              <w:spacing w:after="0"/>
              <w:rPr>
                <w:sz w:val="20"/>
                <w:szCs w:val="20"/>
                <w:color w:val="auto"/>
              </w:rPr>
            </w:pPr>
            <w:r>
              <w:rPr>
                <w:rFonts w:ascii="Arial" w:cs="Arial" w:eastAsia="Arial" w:hAnsi="Arial"/>
                <w:sz w:val="18"/>
                <w:szCs w:val="18"/>
                <w:color w:val="auto"/>
              </w:rPr>
              <w:t>/s/ [***]</w:t>
            </w:r>
          </w:p>
        </w:tc>
        <w:tc>
          <w:tcPr>
            <w:tcW w:w="5620" w:type="dxa"/>
            <w:vAlign w:val="bottom"/>
          </w:tcPr>
          <w:p>
            <w:pPr>
              <w:ind w:left="660"/>
              <w:spacing w:after="0"/>
              <w:rPr>
                <w:sz w:val="20"/>
                <w:szCs w:val="20"/>
                <w:color w:val="auto"/>
              </w:rPr>
            </w:pPr>
            <w:r>
              <w:rPr>
                <w:rFonts w:ascii="Arial" w:cs="Arial" w:eastAsia="Arial" w:hAnsi="Arial"/>
                <w:sz w:val="18"/>
                <w:szCs w:val="18"/>
                <w:color w:val="auto"/>
              </w:rPr>
              <w:t>/s/ Chad Cowan</w:t>
            </w:r>
          </w:p>
        </w:tc>
      </w:tr>
      <w:tr>
        <w:trPr>
          <w:trHeight w:val="261"/>
        </w:trPr>
        <w:tc>
          <w:tcPr>
            <w:tcW w:w="4300" w:type="dxa"/>
            <w:vAlign w:val="bottom"/>
          </w:tcPr>
          <w:p>
            <w:pPr>
              <w:spacing w:after="0"/>
              <w:rPr>
                <w:sz w:val="20"/>
                <w:szCs w:val="20"/>
                <w:color w:val="auto"/>
              </w:rPr>
            </w:pPr>
            <w:r>
              <w:rPr>
                <w:rFonts w:ascii="Arial" w:cs="Arial" w:eastAsia="Arial" w:hAnsi="Arial"/>
                <w:sz w:val="18"/>
                <w:szCs w:val="18"/>
                <w:color w:val="auto"/>
              </w:rPr>
              <w:t>NAME: [***]</w:t>
            </w:r>
          </w:p>
        </w:tc>
        <w:tc>
          <w:tcPr>
            <w:tcW w:w="5620" w:type="dxa"/>
            <w:vAlign w:val="bottom"/>
          </w:tcPr>
          <w:p>
            <w:pPr>
              <w:ind w:left="660"/>
              <w:spacing w:after="0"/>
              <w:rPr>
                <w:sz w:val="20"/>
                <w:szCs w:val="20"/>
                <w:color w:val="auto"/>
              </w:rPr>
            </w:pPr>
            <w:r>
              <w:rPr>
                <w:rFonts w:ascii="Arial" w:cs="Arial" w:eastAsia="Arial" w:hAnsi="Arial"/>
                <w:sz w:val="18"/>
                <w:szCs w:val="18"/>
                <w:color w:val="auto"/>
              </w:rPr>
              <w:t>NAME: Chad Cowan</w:t>
            </w:r>
          </w:p>
        </w:tc>
      </w:tr>
      <w:tr>
        <w:trPr>
          <w:trHeight w:val="239"/>
        </w:trPr>
        <w:tc>
          <w:tcPr>
            <w:tcW w:w="4300" w:type="dxa"/>
            <w:vAlign w:val="bottom"/>
          </w:tcPr>
          <w:p>
            <w:pPr>
              <w:spacing w:after="0"/>
              <w:rPr>
                <w:sz w:val="20"/>
                <w:szCs w:val="20"/>
                <w:color w:val="auto"/>
              </w:rPr>
            </w:pPr>
            <w:r>
              <w:rPr>
                <w:rFonts w:ascii="Arial" w:cs="Arial" w:eastAsia="Arial" w:hAnsi="Arial"/>
                <w:sz w:val="18"/>
                <w:szCs w:val="18"/>
                <w:color w:val="auto"/>
              </w:rPr>
              <w:t>FUNCTION: President Catalent Biomodalities</w:t>
            </w:r>
          </w:p>
        </w:tc>
        <w:tc>
          <w:tcPr>
            <w:tcW w:w="5620" w:type="dxa"/>
            <w:vAlign w:val="bottom"/>
          </w:tcPr>
          <w:p>
            <w:pPr>
              <w:ind w:left="660"/>
              <w:spacing w:after="0"/>
              <w:rPr>
                <w:sz w:val="20"/>
                <w:szCs w:val="20"/>
                <w:color w:val="auto"/>
              </w:rPr>
            </w:pPr>
            <w:r>
              <w:rPr>
                <w:rFonts w:ascii="Arial" w:cs="Arial" w:eastAsia="Arial" w:hAnsi="Arial"/>
                <w:sz w:val="18"/>
                <w:szCs w:val="18"/>
                <w:color w:val="auto"/>
              </w:rPr>
              <w:t>FUNCTION: CEO Clade Therapeutics</w:t>
            </w:r>
          </w:p>
        </w:tc>
      </w:tr>
      <w:tr>
        <w:trPr>
          <w:trHeight w:val="948"/>
        </w:trPr>
        <w:tc>
          <w:tcPr>
            <w:tcW w:w="43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7" w:right="999" w:bottom="1440" w:gutter="0" w:footer="0" w:header="0"/>
        </w:sectPr>
      </w:pPr>
    </w:p>
    <w:bookmarkStart w:id="182" w:name="page183"/>
    <w:bookmarkEnd w:id="182"/>
    <w:p>
      <w:pPr>
        <w:jc w:val="center"/>
        <w:ind w:right="-360"/>
        <w:spacing w:after="0"/>
        <w:rPr>
          <w:sz w:val="20"/>
          <w:szCs w:val="20"/>
          <w:color w:val="auto"/>
        </w:rPr>
      </w:pPr>
      <w:r>
        <w:rPr>
          <w:rFonts w:ascii="Arial" w:cs="Arial" w:eastAsia="Arial" w:hAnsi="Arial"/>
          <w:sz w:val="17"/>
          <w:szCs w:val="17"/>
          <w:b w:val="1"/>
          <w:bCs w:val="1"/>
          <w:color w:val="auto"/>
        </w:rPr>
        <w:t>Annex I - User Notice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340360</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99"/>
          </w:cols>
          <w:pgMar w:left="1060" w:top="122" w:right="1440"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June 17, 2021</w:t>
      </w:r>
    </w:p>
    <w:p>
      <w:pPr>
        <w:spacing w:after="0" w:line="223"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this Insider Trading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to satisfy the Company’s obligation to prevent insider trading and to help the Company’s personnel and its external advisors avoid violating insider trading laws.</w:t>
      </w:r>
    </w:p>
    <w:p>
      <w:pPr>
        <w:spacing w:after="0" w:line="158"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Persons Subject to the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Policy applies to (i) all officers, directors and employees of the Company and its subsidiary, (ii) immediate family members (as defined below) and any persons that reside in the same household as any of the foregoing persons and (iii) any other person whose transactions in Company Securities (as defined below) are directed by, or subject to influence or control by the foregoing persons, and any trust, partnership, corporation or other entity over which such persons have investment control (collectively,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Individuals subject to this Policy are responsible for ensuring that members of their households also comply with this Policy and therefore should make them aware of the need to confer with you before they trade in Company Securities (as defined below) and should treat all such transactions for the purposes of this Policy and applicable securities laws as if the transactions were for your own account.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does not, however, apply to personal securities transactions of your immediate family members (as defined below) where the purchase or sale decision is made by a third party not controlled by, influenced by or related to you or your immediate family members (as defined below).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u w:val="single" w:color="auto"/>
          <w:color w:val="auto"/>
        </w:rPr>
        <w:t>immediate family member</w:t>
      </w:r>
      <w:r>
        <w:rPr>
          <w:rFonts w:ascii="Times New Roman" w:cs="Times New Roman" w:eastAsia="Times New Roman" w:hAnsi="Times New Roman"/>
          <w:sz w:val="18"/>
          <w:szCs w:val="18"/>
          <w:color w:val="auto"/>
        </w:rPr>
        <w:t>” means any spouse, child, stepchild, grandchild, parent, stepparent, grandparent, sibling, mother or father-in-law, son or daughter-in-law, or brother or sister-in-law (as well as other adoptive relationships), whether or not sharing the same household as the persons described in item (i) above.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consultants and outside advisors assisting the Company on sensitive matters are expected to abide by this Policy, although the Company assumes no responsibility with respect to the actions of persons who are not under its direct control.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Persons in possession of material non-public information related to, affecting or regarding the Company or its subsidiary (“</w:t>
      </w:r>
      <w:r>
        <w:rPr>
          <w:rFonts w:ascii="Times New Roman" w:cs="Times New Roman" w:eastAsia="Times New Roman" w:hAnsi="Times New Roman"/>
          <w:sz w:val="18"/>
          <w:szCs w:val="18"/>
          <w:u w:val="single" w:color="auto"/>
          <w:color w:val="auto"/>
        </w:rPr>
        <w:t>Inside Information</w:t>
      </w:r>
      <w:r>
        <w:rPr>
          <w:rFonts w:ascii="Times New Roman" w:cs="Times New Roman" w:eastAsia="Times New Roman" w:hAnsi="Times New Roman"/>
          <w:sz w:val="18"/>
          <w:szCs w:val="18"/>
          <w:color w:val="auto"/>
        </w:rPr>
        <w:t>”) when their employment or service terminates may not trade in Company Securities (as defined below) until that information has become public or is no longer material.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this Policy, including, without limitation, the pre-clearance policy, blackout periods and prohibited transactions, does not apply to venture capital entities or other institutional investors that engage in the investment of securities in the ordinary course of its business, and the related transaction in the Company’s equity securities by such entities, that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4" w:name="page185"/>
    <w:bookmarkEnd w:id="184"/>
    <w:p>
      <w:pPr>
        <w:spacing w:after="0" w:line="282" w:lineRule="auto"/>
        <w:rPr>
          <w:sz w:val="20"/>
          <w:szCs w:val="20"/>
          <w:color w:val="auto"/>
        </w:rPr>
      </w:pPr>
      <w:r>
        <w:rPr>
          <w:rFonts w:ascii="Times New Roman" w:cs="Times New Roman" w:eastAsia="Times New Roman" w:hAnsi="Times New Roman"/>
          <w:sz w:val="18"/>
          <w:szCs w:val="18"/>
          <w:color w:val="auto"/>
        </w:rPr>
        <w:t>be affiliated with a director of the Company or for Company equity securities that a director may be deemed to have beneficial ownership of by virtue of such affiliation.</w:t>
      </w:r>
    </w:p>
    <w:p>
      <w:pPr>
        <w:spacing w:after="0" w:line="158"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Transactions Subject to the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Policy applies to all transactions in securities of the Company (collectively referred to in this Policy as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including common stock, options to purchase common stock, preferred stock, convertible debt and warrants, or any other type of securities that the Company has or may issue, as well as derivative securities that are not issued by the Company, such as exchange-traded put or call options or swaps relating to the Company Securities.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General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Insider who is in possession of Inside Information may, either directly or indirectly, (i) purchase or sell Company Securities or, (ii) without the consent of the Company, provide Inside Information to any other person outside of the Company, including family and friends, provided that notwithstanding the foregoing (y) a director may provide Inside Information to their employer provided such employer either (I) complies with this paragraph or (II) has established its own insider trading controls and procedures in compliance with applicable securities laws or (z) an Insider may disclose Inside Information as required by law.</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Insiders may not disclose, convey or “tip” Inside Information to any person by providing them with Inside Information other than to disclose on a “need to know” basis to directors, officers and employees of the Company or outside advisors in the course of performing their duties for the Company (it being understood that directors may disclose Inside Information to their employers; provided that such employer either (I) complies with the requirements of the first paragraph of this Section IV or (II) has established its own insider trading controls and procedures in compliance with applicable securities laws). When sharing Inside Information with other directors, officers and employees of the Company or outside advisors, or other persons involved in the business and affairs of the Company, such information should be confined to as small a group as possible. Unlawful tipping includes passing on Inside Information to friends, family members or acquaintances under circumstances that suggest that persons subject to this Policy were trying to help the recipients of such information to make a profit or avoid a loss by trading in Company Securities based on such information.</w:t>
      </w:r>
    </w:p>
    <w:p>
      <w:pPr>
        <w:spacing w:after="0" w:line="184"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 of Inside Information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Material Information</w:t>
      </w:r>
      <w:r>
        <w:rPr>
          <w:rFonts w:ascii="Times New Roman" w:cs="Times New Roman" w:eastAsia="Times New Roman" w:hAnsi="Times New Roman"/>
          <w:sz w:val="18"/>
          <w:szCs w:val="18"/>
          <w:color w:val="auto"/>
        </w:rPr>
        <w:t>. Information is considered “material” if a reasonable investor would consider that information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making a decision to buy, hold or sell Company Securities or the securities of another public company. Any information that could be expected to affect the Company’s stock price, whether it is positive or negative, should be considered material. Determining whether information is material is not always straightforward; rather, materiality is based on an assessment of all of the facts and circumstances, and is often evaluated by enforcement authorities with the benefit of hindsight. When doubt exists as to whether information would be considered “material,” the information should be presumed to be material. While it is not possible to identify in advance all information that will be deemed to be material, some examples of such information would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85" w:name="page186"/>
    <w:bookmarkEnd w:id="185"/>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acquisition, joint venture, partnerships, strategic alliances, collaborations or investment proposals;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or quarterly financial statements;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estimates;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operational or financial guidance;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expansion or curtailment of operations;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regarding an existing or potential customer or supplier;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borrowings;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securities offerings;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(pending or threatened);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executive management or members of the Board of Directors;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clinical trials and their results, intellectual property, regulatory approvals or other developments (positive or negative), product or technological plans, developments or agreements;</w:t>
      </w: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to or from regulatory agencies;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launches or the introduction of new business strategies;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the Company’s progress toward achieving significant Company goals;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on or delisting from a stock exchange;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major contracts, customers, distributors or suppliers, or the loss of any of the foregoing;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Non-Public Information</w:t>
      </w:r>
      <w:r>
        <w:rPr>
          <w:rFonts w:ascii="Times New Roman" w:cs="Times New Roman" w:eastAsia="Times New Roman" w:hAnsi="Times New Roman"/>
          <w:sz w:val="18"/>
          <w:szCs w:val="18"/>
          <w:color w:val="auto"/>
        </w:rPr>
        <w:t>. Information that has not been widely disseminated to the public is generally considered to be non-public information. Information generally becomes available to the public when it has been disclosed by the Company or third parties in a press release or other authorized public statement, including any filing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Once information is widely disseminated, it is still necessary to afford the investing public with sufficient time to absorb the information. As a general rule, information should not be considered fully absorbed by the marketplace until </w:t>
      </w:r>
      <w:r>
        <w:rPr>
          <w:rFonts w:ascii="Times New Roman" w:cs="Times New Roman" w:eastAsia="Times New Roman" w:hAnsi="Times New Roman"/>
          <w:sz w:val="18"/>
          <w:szCs w:val="18"/>
          <w:b w:val="1"/>
          <w:bCs w:val="1"/>
          <w:i w:val="1"/>
          <w:iCs w:val="1"/>
          <w:color w:val="auto"/>
        </w:rPr>
        <w:t>after the second full trading day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information is released</w:t>
      </w:r>
      <w:r>
        <w:rPr>
          <w:rFonts w:ascii="Times New Roman" w:cs="Times New Roman" w:eastAsia="Times New Roman" w:hAnsi="Times New Roman"/>
          <w:sz w:val="18"/>
          <w:szCs w:val="18"/>
          <w:color w:val="auto"/>
        </w:rPr>
        <w:t>. If, for example, the Company were to make an announcement prior to the start of trading on a Monday,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covered by this Policy should not trade in Company Securities until the start of trading on Wednesday. Depending on the particular circumstances, the Company may determine that a longer or shorter period should apply to the release of specific material non-public information.</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are unsure whether you are in possession of Inside Information, you should consult with the Chief Financial Officer prior to engaging in, or entering into an agreement, understanding or arrangement to engage in, a purchase or sale transaction of any Company Securities. However, you are responsible for determining whether you are in possession of Inside Information and any action on the part of the Company, the Chief Financial Officer or any other employee or director pursuant to this Policy or otherwise does not in any way constitute legal advice or insulate you from liability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86" w:name="page187"/>
    <w:bookmarkEnd w:id="18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Special and Prohibited Transactions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addition to the other restrictions set forth in this Policy, the following transactions are strictly prohibited at all times:</w:t>
      </w:r>
    </w:p>
    <w:p>
      <w:pPr>
        <w:spacing w:after="0" w:line="225"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call or put options involving Company Securities and other derivative securities;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short sales of Company Securities;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Company Securities in a margin account;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forms of hedging or monetization transactions, such as zero-cost collars and forward sale contracts;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Company Securities to secure margin or other loans.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are unsure whether a particular transaction is prohibited under this Policy, you should consult with the Chief Financial Officer prior to engaging in, or entering into, an agreement, understanding or arrangement to engage in, such transaction.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u w:val="single" w:color="auto"/>
          <w:color w:val="auto"/>
        </w:rPr>
        <w:t>Transactions Not Subject to Trading Restrictions Under the Policy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trading restriction prohibitions in this Policy do not apply to:</w:t>
      </w:r>
    </w:p>
    <w:p>
      <w:pPr>
        <w:spacing w:after="0" w:line="225"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options or other equity awards;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sale of Company Securities from or to the Company, as applicable;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bona fide gifts of Company Securities;</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Company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promulgated under the Securities Exchange Act of 1934, as amended (a “</w:t>
      </w:r>
      <w:r>
        <w:rPr>
          <w:rFonts w:ascii="Times New Roman" w:cs="Times New Roman" w:eastAsia="Times New Roman" w:hAnsi="Times New Roman"/>
          <w:sz w:val="18"/>
          <w:szCs w:val="18"/>
          <w:u w:val="single" w:color="auto"/>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trading plan</w:t>
      </w:r>
      <w:r>
        <w:rPr>
          <w:rFonts w:ascii="Times New Roman" w:cs="Times New Roman" w:eastAsia="Times New Roman" w:hAnsi="Times New Roman"/>
          <w:sz w:val="18"/>
          <w:szCs w:val="18"/>
          <w:color w:val="auto"/>
        </w:rPr>
        <w:t>”), (ii) was pre-cleared in advance pursuant to this Policy and (iii) has not been amended or modified in any respect after such initial pre-clearance without such amendment or modification being pre-cleared in advance pursuant to this Policy; or</w:t>
      </w:r>
    </w:p>
    <w:p>
      <w:pPr>
        <w:spacing w:after="0" w:line="2"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Insiders and the Company with respect to grants under its equity incentive plan (or, to the extent applicable, granted outside such plan), including the exercise of stock options for cash; the vesting of restricted stock or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or the exercise of a tax withholding right pursuant to which a person has elected to have the Company withhold shares to satisfy tax withholding upon the exercise of stock options or the vesting of any restricted stock or RSUs.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Consequently, restrictions contained in this Policy would apply to the sale of Company Securities in the open market to pay the exercise price of an option and to the “cashless exercise” effected through a broker or “same day sale” of an option, which generally entail the sale of a portion of the underlying stock on the market to cover the costs of exercise or the resulting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In addition, any sale of the underlying securities acquired upon the exercise of an option or RSU is subject to the Policy.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8"/>
          <w:szCs w:val="18"/>
          <w:b w:val="1"/>
          <w:bCs w:val="1"/>
          <w:u w:val="single" w:color="auto"/>
          <w:color w:val="auto"/>
        </w:rPr>
        <w:t>Additional Procedures Applicable to Restricted Persons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Blackout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officers and directors of the Company, as well as certain key employees listed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(as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amended from time to time), as well as any family members or other persons that reside in the same household as those persons (all of the foregoing being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xml:space="preserve">”) are subject to additional restrictions on their ability to engage in purchase or sale transactions involving Company Securities. Restricted Persons are more likely to have access to Inside Information regarding the Company because of their positions or affiliations with the Company and, as a result, their trades in Company Securities are more likely to be subject to greater scrutiny. Accordingly, Restricted Persons are prohibited from trading in Company Securities during the period beginning twenty-one days prior to the filing of each of the Company’s quarterly reports on Form 10-Q or annual reports on Form 10-K with the SEC and ending on the beginning of the second trading day following public disclosure of the financial results for that quarter or the full year.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is a list of the blackout periods for the current and next fiscal year, which shall be updated from time to time.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Special Blackout Periods</w:t>
      </w:r>
      <w:r>
        <w:rPr>
          <w:rFonts w:ascii="Times New Roman" w:cs="Times New Roman" w:eastAsia="Times New Roman" w:hAnsi="Times New Roman"/>
          <w:sz w:val="18"/>
          <w:szCs w:val="18"/>
          <w:color w:val="auto"/>
        </w:rPr>
        <w:t>. In addition, from time to time, the Company may impose special blackout periods on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and other employees of the Company if, in the judgment of the Chief Executive Officer or Chief Financial Officer, it is likely that such person or persons have become aware of significant corporate developments that have not yet been disclosed to the public, even when trading otherwise may be permitted. If certain Restricted Persons or other employees of the Company become subject to a special blackout period, such persons are prohibited from (i) trading in Company Securities and (ii) without the consent of the Company, disclosing to others the fact that they are subject to such special blackout period. These special blackout periods may vary in length and may or may not be broadly communicated to Insiders. Unless otherwise specified, the Company will re-open trading on the beginning of the second trading day following public disclosure of such significant corporate developments or after the termination of any pending development, if applicable. If, for example, the Company imposed a special blackout period and subsequently publicly disclosed the information behind the blackout on a Monday, the persons subject to such special blackout period should not trade in Company Securities until the pre-market on Thursday, unless otherwise specified by the Company.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Pre-Clearance Procedures</w:t>
      </w:r>
      <w:r>
        <w:rPr>
          <w:rFonts w:ascii="Times New Roman" w:cs="Times New Roman" w:eastAsia="Times New Roman" w:hAnsi="Times New Roman"/>
          <w:sz w:val="18"/>
          <w:szCs w:val="18"/>
          <w:color w:val="auto"/>
        </w:rPr>
        <w:t>. Restricted Persons must obtain prior clearance from the Chief Financial Officer, or such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designee, by submitting (in writing or via email) the information contained in the Request for Clearance to Trade as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attached hereto, before such person makes any purchases, sales or gifts of Company Securities, regardless of whether a blackout period is then in effect. The Chief Financial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Clearance of a transaction is valid for no more than the 5-business day period (or such shorter period as may be prescribed in the pre-clearance form) immediately following receipt by such person of such clearance. Restricted Persons do not need to receive pre-clearance for trades pursuant to an approved 10b5-1 trading plan, but must receive prior approval before implementing, terminating or amending such a plan by the Chief Financial Officer, or such person’s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88" w:name="page189"/>
    <w:bookmarkEnd w:id="18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u w:val="single" w:color="auto"/>
          <w:color w:val="auto"/>
        </w:rPr>
        <w:t>Rule 10b5-1 Plans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permits all directors, officers and other employees to adopt a 10b5-1 trading plan pursuant to the Company’s procedure for adopting such a trading plan. All directors, officers and other employees must obtain pre-clearance prior to entering into, modifying or terminating a 10b5-1 trading plan. The restrictions on trading set forth in this Policy shall not apply to trades made pursuant to a 10b5-1 trading plan.</w:t>
      </w:r>
    </w:p>
    <w:p>
      <w:pPr>
        <w:spacing w:after="0" w:line="176"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Consequences of Violations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purchase or sale of Company Securities while aware of Inside Information, or the disclosure of Inside Information to others who then trade in Company Securities, is prohibited by federal and state securities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within the organization if they fail to take reasonable steps to prevent insider trading by company personnel.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an individual’s failure to comply with this Policy may subject the individual to Company-imposed sanctions, including dismissal for cause, whether or not the employee’s failure to comply results in a violation of law. A violation of law, or even an SEC investigation that does not result in prosecution, can tarnish a person’s reputation and irreparably damage a career.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u w:val="single" w:color="auto"/>
          <w:color w:val="auto"/>
        </w:rPr>
        <w:t>Administration of the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Financial Officer, and in such person’s absence, an employee designated by the Chief Financial Officer, in consultation with internal and external legal counsel, shall be responsible for administration of this Policy. All determinations and interpretations by the Chief Financial Officer (or his or her designees) shall be final and not subject to further review.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Chief Financial Officer.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must sign, date and return the Certification set forth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attached hereto (or such other certification as the Chief Financial Officer may deem appropriate) stating that you have received, read, understand and agree to comply with this Policy. The Company may require you to sign such a Certification on an annual basis, which Certification may be in electronic format. Please note that you are bound by the Policy whether or not you sign the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SUBSIDIARIES OF CENTURY THERAPEUTICS, INC.</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200" w:type="dxa"/>
            <w:vAlign w:val="bottom"/>
          </w:tcPr>
          <w:p>
            <w:pPr>
              <w:spacing w:after="0"/>
              <w:rPr>
                <w:sz w:val="24"/>
                <w:szCs w:val="24"/>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​​​State or Country of Incorporation</w:t>
            </w:r>
          </w:p>
        </w:tc>
      </w:tr>
      <w:tr>
        <w:trPr>
          <w:trHeight w:val="209"/>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Century Therapeutics Canada ULC</w:t>
            </w:r>
          </w:p>
        </w:tc>
        <w:tc>
          <w:tcPr>
            <w:tcW w:w="2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Clarent Intermediate Sub, Inc.</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Clade Therapeutics, Inc.</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Gadeta B.V.</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758"/>
        </w:trPr>
        <w:tc>
          <w:tcPr>
            <w:tcW w:w="26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90" w:name="page191"/>
    <w:bookmarkEnd w:id="19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700" w:hanging="326"/>
        <w:spacing w:after="0"/>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333-280310) of Century Therapeutics, Inc.,</w:t>
      </w:r>
    </w:p>
    <w:p>
      <w:pPr>
        <w:spacing w:after="0" w:line="2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333-279422) of Century Therapeutics, Inc.,</w:t>
      </w:r>
    </w:p>
    <w:p>
      <w:pPr>
        <w:spacing w:after="0" w:line="22" w:lineRule="exact"/>
        <w:rPr>
          <w:rFonts w:ascii="Times New Roman" w:cs="Times New Roman" w:eastAsia="Times New Roman" w:hAnsi="Times New Roman"/>
          <w:sz w:val="18"/>
          <w:szCs w:val="18"/>
          <w:color w:val="auto"/>
        </w:rPr>
      </w:pPr>
    </w:p>
    <w:p>
      <w:pPr>
        <w:ind w:left="700" w:right="499" w:hanging="326"/>
        <w:spacing w:after="0" w:line="266" w:lineRule="auto"/>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333-277930) pertaining to the 2021 Equity Incentive Plan of Century Therapeutics, Inc.,</w:t>
      </w:r>
    </w:p>
    <w:p>
      <w:pPr>
        <w:ind w:left="700" w:right="559" w:hanging="326"/>
        <w:spacing w:after="0" w:line="266" w:lineRule="auto"/>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333-270649) pertaining to the 2021 Equity Incentive Plan of Century Therapeutics, Inc.,</w:t>
      </w:r>
    </w:p>
    <w:p>
      <w:pPr>
        <w:ind w:left="700" w:right="659" w:hanging="326"/>
        <w:spacing w:after="0" w:line="258" w:lineRule="auto"/>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333-263666) pertaining to the 2021 Equity Incentive Plan and 2021 Employee Stock Purchase Plan of Century Therapeutics, Inc.,</w:t>
      </w:r>
    </w:p>
    <w:p>
      <w:pPr>
        <w:ind w:left="700" w:right="399" w:hanging="326"/>
        <w:spacing w:after="0" w:line="258" w:lineRule="auto"/>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333-257644) pertaining to the 2018 Stock Option and Grant Plan, 2021 Equity Incentive Plan, and the 2021 Employee Stock Purchase Plan of Century Therapeutics, Inc.,</w:t>
      </w:r>
    </w:p>
    <w:p>
      <w:pPr>
        <w:ind w:left="700" w:right="559" w:hanging="326"/>
        <w:spacing w:after="0" w:line="266" w:lineRule="auto"/>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333-285936) pertaining to the 2021 Equity Incentive Plan of Century Therapeutics, Inc.</w:t>
      </w:r>
    </w:p>
    <w:p>
      <w:pPr>
        <w:ind w:left="700" w:hanging="326"/>
        <w:spacing w:after="0"/>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333-288616) of Century Therapeutics, Inc.</w:t>
      </w:r>
    </w:p>
    <w:p>
      <w:pPr>
        <w:spacing w:after="0" w:line="22"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333-293228) of Century Therapeutics, Inc.</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our report dated March 12, 2026, with respect to the consolidated financial statements of Century Therapeutics,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included in this Annual Report (Form 10-K) of Century Therapeutics, Inc. for the year ended December 31,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Pfeiffenberger, certify that:</w:t>
      </w:r>
    </w:p>
    <w:p>
      <w:pPr>
        <w:spacing w:after="0" w:line="117" w:lineRule="exact"/>
        <w:rPr>
          <w:sz w:val="20"/>
          <w:szCs w:val="20"/>
          <w:color w:val="auto"/>
        </w:rPr>
      </w:pPr>
    </w:p>
    <w:p>
      <w:pPr>
        <w:ind w:left="880" w:hanging="440"/>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Carr, CPA, certify that:</w:t>
      </w:r>
    </w:p>
    <w:p>
      <w:pPr>
        <w:spacing w:after="0" w:line="117" w:lineRule="exact"/>
        <w:rPr>
          <w:sz w:val="20"/>
          <w:szCs w:val="20"/>
          <w:color w:val="auto"/>
        </w:rPr>
      </w:pPr>
    </w:p>
    <w:p>
      <w:pPr>
        <w:ind w:left="880" w:hanging="440"/>
        <w:spacing w:after="0"/>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34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 CPA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Finance &amp; Operations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Century Therapeutics, Inc. (the “Company”) on Form 10-K for the year ended December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Century Therapeutics, Inc. (the “Company”) on Form 10-K for the year ended December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 CPA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Finance &amp; Operations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9">
    <w:nsid w:val="3F6AB60F"/>
    <w:multiLevelType w:val="hybridMultilevel"/>
    <w:lvl w:ilvl="0">
      <w:lvlJc w:val="left"/>
      <w:lvlText w:val="%1."/>
      <w:numFmt w:val="decimal"/>
      <w:start w:val="1"/>
    </w:lvl>
  </w:abstractNum>
  <w:abstractNum w:abstractNumId="10">
    <w:nsid w:val="61574095"/>
    <w:multiLevelType w:val="hybridMultilevel"/>
    <w:lvl w:ilvl="0">
      <w:lvlJc w:val="left"/>
      <w:lvlText w:val="%1."/>
      <w:numFmt w:val="decimal"/>
      <w:start w:val="2"/>
    </w:lvl>
  </w:abstractNum>
  <w:abstractNum w:abstractNumId="11">
    <w:nsid w:val="7E0C57B1"/>
    <w:multiLevelType w:val="hybridMultilevel"/>
    <w:lvl w:ilvl="0">
      <w:lvlJc w:val="left"/>
      <w:lvlText w:val="%1."/>
      <w:numFmt w:val="decimal"/>
      <w:start w:val="3"/>
    </w:lvl>
  </w:abstractNum>
  <w:abstractNum w:abstractNumId="12">
    <w:nsid w:val="77AE35EB"/>
    <w:multiLevelType w:val="hybridMultilevel"/>
    <w:lvl w:ilvl="0">
      <w:lvlJc w:val="left"/>
      <w:lvlText w:val="%1."/>
      <w:numFmt w:val="decimal"/>
      <w:start w:val="4"/>
    </w:lvl>
  </w:abstractNum>
  <w:abstractNum w:abstractNumId="13">
    <w:nsid w:val="579BE4F1"/>
    <w:multiLevelType w:val="hybridMultilevel"/>
    <w:lvl w:ilvl="0">
      <w:lvlJc w:val="left"/>
      <w:lvlText w:val="%1."/>
      <w:numFmt w:val="decimal"/>
      <w:start w:val="5"/>
    </w:lvl>
  </w:abstractNum>
  <w:abstractNum w:abstractNumId="14">
    <w:nsid w:val="310C50B3"/>
    <w:multiLevelType w:val="hybridMultilevel"/>
    <w:lvl w:ilvl="0">
      <w:lvlJc w:val="left"/>
      <w:lvlText w:val="%1."/>
      <w:numFmt w:val="decimal"/>
      <w:start w:val="1"/>
    </w:lvl>
  </w:abstractNum>
  <w:abstractNum w:abstractNumId="15">
    <w:nsid w:val="5FF87E05"/>
    <w:multiLevelType w:val="hybridMultilevel"/>
    <w:lvl w:ilvl="0">
      <w:lvlJc w:val="left"/>
      <w:lvlText w:val="%1."/>
      <w:numFmt w:val="decimal"/>
      <w:start w:val="308"/>
    </w:lvl>
  </w:abstractNum>
  <w:abstractNum w:abstractNumId="16">
    <w:nsid w:val="2F305DEF"/>
    <w:multiLevelType w:val="hybridMultilevel"/>
    <w:lvl w:ilvl="0">
      <w:lvlJc w:val="left"/>
      <w:lvlText w:val="(%1)"/>
      <w:numFmt w:val="lowerRoman"/>
      <w:start w:val="2"/>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1)"/>
      <w:numFmt w:val="lowerRoman"/>
      <w:start w:val="4"/>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lvl w:ilvl="1">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1."/>
      <w:numFmt w:val="decimal"/>
      <w:start w:val="606"/>
    </w:lvl>
  </w:abstractNum>
  <w:abstractNum w:abstractNumId="61">
    <w:nsid w:val="4C04A8AF"/>
    <w:multiLevelType w:val="hybridMultilevel"/>
    <w:lvl w:ilvl="0">
      <w:lvlJc w:val="left"/>
      <w:lvlText w:val="%1"/>
      <w:numFmt w:val="decimal"/>
      <w:start w:val="606"/>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1)"/>
      <w:numFmt w:val="lowerLetter"/>
      <w:start w:val="1"/>
    </w:lvl>
  </w:abstractNum>
  <w:abstractNum w:abstractNumId="64">
    <w:nsid w:val="3222E7CD"/>
    <w:multiLevelType w:val="hybridMultilevel"/>
    <w:lvl w:ilvl="0">
      <w:lvlJc w:val="left"/>
      <w:lvlText w:val="(%1)"/>
      <w:numFmt w:val="decimal"/>
      <w:start w:val="1"/>
    </w:lvl>
  </w:abstractNum>
  <w:abstractNum w:abstractNumId="65">
    <w:nsid w:val="74DE0EE3"/>
    <w:multiLevelType w:val="hybridMultilevel"/>
    <w:lvl w:ilvl="0">
      <w:lvlJc w:val="left"/>
      <w:lvlText w:val="%1."/>
      <w:numFmt w:val="decimal"/>
      <w:start w:val="10"/>
    </w:lvl>
  </w:abstractNum>
  <w:abstractNum w:abstractNumId="66">
    <w:nsid w:val="68EBC550"/>
    <w:multiLevelType w:val="hybridMultilevel"/>
    <w:lvl w:ilvl="0">
      <w:lvlJc w:val="left"/>
      <w:lvlText w:val="●"/>
      <w:numFmt w:val="bullet"/>
      <w:start w:val="1"/>
    </w:lvl>
    <w:lvl w:ilvl="1">
      <w:lvlJc w:val="left"/>
      <w:lvlText w:val="%2"/>
      <w:numFmt w:val="decimal"/>
      <w:start w:val="104"/>
    </w:lvl>
  </w:abstractNum>
  <w:abstractNum w:abstractNumId="67">
    <w:nsid w:val="2DF6D648"/>
    <w:multiLevelType w:val="hybridMultilevel"/>
    <w:lvl w:ilvl="0">
      <w:lvlJc w:val="left"/>
      <w:lvlText w:val="*"/>
      <w:numFmt w:val="bullet"/>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Ù"/>
      <w:numFmt w:val="bullet"/>
      <w:start w:val="1"/>
    </w:lvl>
  </w:abstractNum>
  <w:abstractNum w:abstractNumId="70">
    <w:nsid w:val="39EE015C"/>
    <w:multiLevelType w:val="hybridMultilevel"/>
    <w:lvl w:ilvl="0">
      <w:lvlJc w:val="left"/>
      <w:lvlText w:val="%1."/>
      <w:numFmt w:val="decimal"/>
      <w:start w:val="1"/>
    </w:lvl>
  </w:abstractNum>
  <w:abstractNum w:abstractNumId="71">
    <w:nsid w:val="57FC4FBB"/>
    <w:multiLevelType w:val="hybridMultilevel"/>
    <w:lvl w:ilvl="0">
      <w:lvlJc w:val="left"/>
      <w:lvlText w:val="%1."/>
      <w:numFmt w:val="decimal"/>
      <w:start w:val="1"/>
    </w:lvl>
  </w:abstractNum>
  <w:abstractNum w:abstractNumId="72">
    <w:nsid w:val="CC1016F"/>
    <w:multiLevelType w:val="hybridMultilevel"/>
    <w:lvl w:ilvl="0">
      <w:lvlJc w:val="left"/>
      <w:lvlText w:val="%1."/>
      <w:numFmt w:val="decimal"/>
      <w:start w:val="2"/>
    </w:lvl>
  </w:abstractNum>
  <w:abstractNum w:abstractNumId="73">
    <w:nsid w:val="43F18422"/>
    <w:multiLevelType w:val="hybridMultilevel"/>
    <w:lvl w:ilvl="0">
      <w:lvlJc w:val="left"/>
      <w:lvlText w:val="%1."/>
      <w:numFmt w:val="decimal"/>
      <w:start w:val="3"/>
    </w:lvl>
  </w:abstractNum>
  <w:abstractNum w:abstractNumId="74">
    <w:nsid w:val="60EF0119"/>
    <w:multiLevelType w:val="hybridMultilevel"/>
    <w:lvl w:ilvl="0">
      <w:lvlJc w:val="left"/>
      <w:lvlText w:val="%1)"/>
      <w:numFmt w:val="lowerLetter"/>
      <w:start w:val="1"/>
    </w:lvl>
  </w:abstractNum>
  <w:abstractNum w:abstractNumId="75">
    <w:nsid w:val="26F324BA"/>
    <w:multiLevelType w:val="hybridMultilevel"/>
    <w:lvl w:ilvl="0">
      <w:lvlJc w:val="left"/>
      <w:lvlText w:val="%1."/>
      <w:numFmt w:val="decimal"/>
      <w:start w:val="4"/>
    </w:lvl>
  </w:abstractNum>
  <w:abstractNum w:abstractNumId="76">
    <w:nsid w:val="7F01579B"/>
    <w:multiLevelType w:val="hybridMultilevel"/>
    <w:lvl w:ilvl="0">
      <w:lvlJc w:val="left"/>
      <w:lvlText w:val="(%1)"/>
      <w:numFmt w:val="lowerLetter"/>
      <w:start w:val="1"/>
    </w:lvl>
  </w:abstractNum>
  <w:abstractNum w:abstractNumId="77">
    <w:nsid w:val="49DA307D"/>
    <w:multiLevelType w:val="hybridMultilevel"/>
    <w:lvl w:ilvl="0">
      <w:lvlJc w:val="left"/>
      <w:lvlText w:val="%1)"/>
      <w:numFmt w:val="lowerLetter"/>
      <w:start w:val="1"/>
    </w:lvl>
  </w:abstractNum>
  <w:abstractNum w:abstractNumId="78">
    <w:nsid w:val="7055A5F5"/>
    <w:multiLevelType w:val="hybridMultilevel"/>
    <w:lvl w:ilvl="0">
      <w:lvlJc w:val="left"/>
      <w:lvlText w:val="%1."/>
      <w:numFmt w:val="decimal"/>
      <w:start w:val="5"/>
    </w:lvl>
  </w:abstractNum>
  <w:abstractNum w:abstractNumId="79">
    <w:nsid w:val="5FB8370B"/>
    <w:multiLevelType w:val="hybridMultilevel"/>
    <w:lvl w:ilvl="0">
      <w:lvlJc w:val="left"/>
      <w:lvlText w:val="%1."/>
      <w:numFmt w:val="decimal"/>
      <w:start w:val="6"/>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1."/>
      <w:numFmt w:val="decimal"/>
      <w:start w:val="7"/>
    </w:lvl>
  </w:abstractNum>
  <w:abstractNum w:abstractNumId="82">
    <w:nsid w:val="5FB8011C"/>
    <w:multiLevelType w:val="hybridMultilevel"/>
    <w:lvl w:ilvl="0">
      <w:lvlJc w:val="left"/>
      <w:lvlText w:val="%1)"/>
      <w:numFmt w:val="lowerLetter"/>
      <w:start w:val="1"/>
    </w:lvl>
    <w:lvl w:ilvl="1">
      <w:lvlJc w:val="left"/>
      <w:lvlText w:val="(%2)"/>
      <w:numFmt w:val="lowerRoman"/>
      <w:start w:val="1"/>
    </w:lvl>
  </w:abstractNum>
  <w:abstractNum w:abstractNumId="83">
    <w:nsid w:val="6AA78F7F"/>
    <w:multiLevelType w:val="hybridMultilevel"/>
    <w:lvl w:ilvl="0">
      <w:lvlJc w:val="left"/>
      <w:lvlText w:val="(%1)"/>
      <w:numFmt w:val="lowerRoman"/>
      <w:start w:val="1"/>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1."/>
      <w:numFmt w:val="decimal"/>
      <w:start w:val="8"/>
    </w:lvl>
  </w:abstractNum>
  <w:abstractNum w:abstractNumId="86">
    <w:nsid w:val="6A5F7029"/>
    <w:multiLevelType w:val="hybridMultilevel"/>
    <w:lvl w:ilvl="0">
      <w:lvlJc w:val="left"/>
      <w:lvlText w:val="%1."/>
      <w:numFmt w:val="decimal"/>
      <w:start w:val="9"/>
    </w:lvl>
  </w:abstractNum>
  <w:abstractNum w:abstractNumId="87">
    <w:nsid w:val="7D5E18F8"/>
    <w:multiLevelType w:val="hybridMultilevel"/>
    <w:lvl w:ilvl="0">
      <w:lvlJc w:val="left"/>
      <w:lvlText w:val="%1."/>
      <w:numFmt w:val="decimal"/>
      <w:start w:val="10"/>
    </w:lvl>
  </w:abstractNum>
  <w:abstractNum w:abstractNumId="88">
    <w:nsid w:val="5F3534A4"/>
    <w:multiLevelType w:val="hybridMultilevel"/>
    <w:lvl w:ilvl="0">
      <w:lvlJc w:val="left"/>
      <w:lvlText w:val="%1)"/>
      <w:numFmt w:val="lowerLetter"/>
      <w:start w:val="1"/>
    </w:lvl>
    <w:lvl w:ilvl="1">
      <w:lvlJc w:val="left"/>
      <w:lvlText w:val="[***]"/>
      <w:numFmt w:val="bullet"/>
      <w:start w:val="1"/>
    </w:lvl>
  </w:abstractNum>
  <w:abstractNum w:abstractNumId="89">
    <w:nsid w:val="73A1821B"/>
    <w:multiLevelType w:val="hybridMultilevel"/>
    <w:lvl w:ilvl="0">
      <w:lvlJc w:val="left"/>
      <w:lvlText w:val="%1."/>
      <w:numFmt w:val="decimal"/>
      <w:start w:val="11"/>
    </w:lvl>
  </w:abstractNum>
  <w:abstractNum w:abstractNumId="90">
    <w:nsid w:val="7DE67713"/>
    <w:multiLevelType w:val="hybridMultilevel"/>
    <w:lvl w:ilvl="0">
      <w:lvlJc w:val="left"/>
      <w:lvlText w:val="%1)"/>
      <w:numFmt w:val="lowerLetter"/>
      <w:start w:val="1"/>
    </w:lvl>
  </w:abstractNum>
  <w:abstractNum w:abstractNumId="91">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2">
    <w:nsid w:val="3FA62AC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5"/>
    </w:lvl>
  </w:abstractNum>
  <w:abstractNum w:abstractNumId="93">
    <w:nsid w:val="14FCE74E"/>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94">
    <w:nsid w:val="6A3DD3E8"/>
    <w:multiLevelType w:val="hybridMultilevel"/>
    <w:lvl w:ilvl="0">
      <w:lvlJc w:val="left"/>
      <w:lvlText w:val="%1."/>
      <w:numFmt w:val="decimal"/>
      <w:start w:val="13"/>
    </w:lvl>
  </w:abstractNum>
  <w:abstractNum w:abstractNumId="95">
    <w:nsid w:val="71C91298"/>
    <w:multiLevelType w:val="hybridMultilevel"/>
    <w:lvl w:ilvl="0">
      <w:lvlJc w:val="left"/>
      <w:lvlText w:val="%1)"/>
      <w:numFmt w:val="lowerLetter"/>
      <w:start w:val="1"/>
    </w:lvl>
  </w:abstractNum>
  <w:abstractNum w:abstractNumId="96">
    <w:nsid w:val="9DAF632"/>
    <w:multiLevelType w:val="hybridMultilevel"/>
    <w:lvl w:ilvl="0">
      <w:lvlJc w:val="left"/>
      <w:lvlText w:val="%1."/>
      <w:numFmt w:val="decimal"/>
      <w:start w:val="14"/>
    </w:lvl>
  </w:abstractNum>
  <w:abstractNum w:abstractNumId="97">
    <w:nsid w:val="53299938"/>
    <w:multiLevelType w:val="hybridMultilevel"/>
    <w:lvl w:ilvl="0">
      <w:lvlJc w:val="left"/>
      <w:lvlText w:val="%1."/>
      <w:numFmt w:val="decimal"/>
      <w:start w:val="16"/>
    </w:lvl>
  </w:abstractNum>
  <w:abstractNum w:abstractNumId="98">
    <w:nsid w:val="1FBFE8E0"/>
    <w:multiLevelType w:val="hybridMultilevel"/>
    <w:lvl w:ilvl="0">
      <w:lvlJc w:val="left"/>
      <w:lvlText w:val="%1."/>
      <w:numFmt w:val="decimal"/>
      <w:start w:val="17"/>
    </w:lvl>
  </w:abstractNum>
  <w:abstractNum w:abstractNumId="99">
    <w:nsid w:val="5092CA79"/>
    <w:multiLevelType w:val="hybridMultilevel"/>
    <w:lvl w:ilvl="0">
      <w:lvlJc w:val="left"/>
      <w:lvlText w:val="%1."/>
      <w:numFmt w:val="decimal"/>
      <w:start w:val="18"/>
    </w:lvl>
  </w:abstractNum>
  <w:abstractNum w:abstractNumId="100">
    <w:nsid w:val="1D545C4D"/>
    <w:multiLevelType w:val="hybridMultilevel"/>
    <w:lvl w:ilvl="0">
      <w:lvlJc w:val="left"/>
      <w:lvlText w:val="%1."/>
      <w:numFmt w:val="upperLetter"/>
      <w:start w:val="9"/>
    </w:lvl>
  </w:abstractNum>
  <w:abstractNum w:abstractNumId="101">
    <w:nsid w:val="59ADEA3D"/>
    <w:multiLevelType w:val="hybridMultilevel"/>
    <w:lvl w:ilvl="0">
      <w:lvlJc w:val="left"/>
      <w:lvlText w:val="%1."/>
      <w:numFmt w:val="upperLetter"/>
      <w:start w:val="35"/>
    </w:lvl>
  </w:abstractNum>
  <w:abstractNum w:abstractNumId="102">
    <w:nsid w:val="288F1A34"/>
    <w:multiLevelType w:val="hybridMultilevel"/>
    <w:lvl w:ilvl="0">
      <w:lvlJc w:val="left"/>
      <w:lvlText w:val="%1."/>
      <w:numFmt w:val="upperLetter"/>
      <w:start w:val="61"/>
    </w:lvl>
  </w:abstractNum>
  <w:abstractNum w:abstractNumId="103">
    <w:nsid w:val="2A155DBC"/>
    <w:multiLevelType w:val="hybridMultilevel"/>
    <w:lvl w:ilvl="0">
      <w:lvlJc w:val="left"/>
      <w:lvlText w:val="%1."/>
      <w:numFmt w:val="upperLetter"/>
      <w:start w:val="22"/>
    </w:lvl>
  </w:abstractNum>
  <w:abstractNum w:abstractNumId="104">
    <w:nsid w:val="1D9F6E5F"/>
    <w:multiLevelType w:val="hybridMultilevel"/>
    <w:lvl w:ilvl="0">
      <w:lvlJc w:val="left"/>
      <w:lvlText w:val="·"/>
      <w:numFmt w:val="bullet"/>
      <w:start w:val="1"/>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
      <w:numFmt w:val="bullet"/>
      <w:start w:val="1"/>
    </w:lvl>
  </w:abstractNum>
  <w:abstractNum w:abstractNumId="107">
    <w:nsid w:val="1CA0C5FA"/>
    <w:multiLevelType w:val="hybridMultilevel"/>
    <w:lvl w:ilvl="0">
      <w:lvlJc w:val="left"/>
      <w:lvlText w:val="%1."/>
      <w:numFmt w:val="upperLetter"/>
      <w:start w:val="24"/>
    </w:lvl>
  </w:abstractNum>
  <w:abstractNum w:abstractNumId="108">
    <w:nsid w:val="53584BCB"/>
    <w:multiLevelType w:val="hybridMultilevel"/>
    <w:lvl w:ilvl="0">
      <w:lvlJc w:val="left"/>
      <w:lvlText w:val="%1)"/>
      <w:numFmt w:val="decimal"/>
      <w:start w:val="1"/>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203" Type="http://schemas.openxmlformats.org/officeDocument/2006/relationships/image" Target="media/image182.png"/><Relationship Id="rId238" Type="http://schemas.openxmlformats.org/officeDocument/2006/relationships/image" Target="media/image183.png"/><Relationship Id="rId240" Type="http://schemas.openxmlformats.org/officeDocument/2006/relationships/image" Target="media/image184.png"/><Relationship Id="rId241" Type="http://schemas.openxmlformats.org/officeDocument/2006/relationships/image" Target="media/image185.png"/><Relationship Id="rId242" Type="http://schemas.openxmlformats.org/officeDocument/2006/relationships/image" Target="media/image186.png"/><Relationship Id="rId243" Type="http://schemas.openxmlformats.org/officeDocument/2006/relationships/image" Target="media/image187.png"/><Relationship Id="rId244" Type="http://schemas.openxmlformats.org/officeDocument/2006/relationships/image" Target="media/image188.pn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49" Type="http://schemas.openxmlformats.org/officeDocument/2006/relationships/image" Target="media/image193.png"/><Relationship Id="rId250" Type="http://schemas.openxmlformats.org/officeDocument/2006/relationships/image" Target="media/image194.png"/><Relationship Id="rId251" Type="http://schemas.openxmlformats.org/officeDocument/2006/relationships/image" Target="media/image195.png"/><Relationship Id="rId252" Type="http://schemas.openxmlformats.org/officeDocument/2006/relationships/image" Target="media/image196.png"/><Relationship Id="rId253" Type="http://schemas.openxmlformats.org/officeDocument/2006/relationships/image" Target="media/image197.png"/><Relationship Id="rId254" Type="http://schemas.openxmlformats.org/officeDocument/2006/relationships/image" Target="media/image198.png"/><Relationship Id="rId255" Type="http://schemas.openxmlformats.org/officeDocument/2006/relationships/image" Target="media/image199.png"/><Relationship Id="rId256" Type="http://schemas.openxmlformats.org/officeDocument/2006/relationships/image" Target="media/image200.png"/><Relationship Id="rId257"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60" Type="http://schemas.openxmlformats.org/officeDocument/2006/relationships/image" Target="media/image204.png"/><Relationship Id="rId261" Type="http://schemas.openxmlformats.org/officeDocument/2006/relationships/image" Target="media/image205.png"/><Relationship Id="rId262" Type="http://schemas.openxmlformats.org/officeDocument/2006/relationships/image" Target="media/image206.png"/><Relationship Id="rId263" Type="http://schemas.openxmlformats.org/officeDocument/2006/relationships/image" Target="media/image207.png"/><Relationship Id="rId264" Type="http://schemas.openxmlformats.org/officeDocument/2006/relationships/image" Target="media/image208.png"/><Relationship Id="rId265" Type="http://schemas.openxmlformats.org/officeDocument/2006/relationships/image" Target="media/image209.png"/><Relationship Id="rId266"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69" Type="http://schemas.openxmlformats.org/officeDocument/2006/relationships/image" Target="media/image213.png"/><Relationship Id="rId270" Type="http://schemas.openxmlformats.org/officeDocument/2006/relationships/image" Target="media/image214.png"/><Relationship Id="rId271" Type="http://schemas.openxmlformats.org/officeDocument/2006/relationships/image" Target="media/image215.png"/><Relationship Id="rId272" Type="http://schemas.openxmlformats.org/officeDocument/2006/relationships/image" Target="media/image216.png"/><Relationship Id="rId273" Type="http://schemas.openxmlformats.org/officeDocument/2006/relationships/image" Target="media/image217.png"/><Relationship Id="rId274" Type="http://schemas.openxmlformats.org/officeDocument/2006/relationships/image" Target="media/image218.png"/><Relationship Id="rId275" Type="http://schemas.openxmlformats.org/officeDocument/2006/relationships/image" Target="media/image219.png"/><Relationship Id="rId276"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79" Type="http://schemas.openxmlformats.org/officeDocument/2006/relationships/image" Target="media/image223.png"/><Relationship Id="rId280" Type="http://schemas.openxmlformats.org/officeDocument/2006/relationships/image" Target="media/image224.png"/><Relationship Id="rId281" Type="http://schemas.openxmlformats.org/officeDocument/2006/relationships/image" Target="media/image225.png"/><Relationship Id="rId282" Type="http://schemas.openxmlformats.org/officeDocument/2006/relationships/image" Target="media/image226.png"/><Relationship Id="rId189" Type="http://schemas.openxmlformats.org/officeDocument/2006/relationships/hyperlink" Target="https://www.sec.gov/Archives/edgar/data/1850119/000110465924046373/tm2411557d1_ex2-1.htm" TargetMode="External"/><Relationship Id="rId190" Type="http://schemas.openxmlformats.org/officeDocument/2006/relationships/hyperlink" Target="https://www.sec.gov/Archives/edgar/data/1850119/000110465921085744/tm2120666d1_ex3-1.htm" TargetMode="External"/><Relationship Id="rId191" Type="http://schemas.openxmlformats.org/officeDocument/2006/relationships/hyperlink" Target="https://www.sec.gov/Archives/edgar/data/1850119/000155837023003962/ipsc-20221231xex3d2.htm" TargetMode="External"/><Relationship Id="rId192" Type="http://schemas.openxmlformats.org/officeDocument/2006/relationships/hyperlink" Target="https://www.sec.gov/Archives/edgar/data/1850119/000110465921080429/tm218551d10_ex4-1.htm" TargetMode="External"/><Relationship Id="rId193" Type="http://schemas.openxmlformats.org/officeDocument/2006/relationships/hyperlink" Target="https://www.sec.gov/Archives/edgar/data/1850119/000155837022003867/ipsc-20211231xex4d2.htm" TargetMode="External"/><Relationship Id="rId194" Type="http://schemas.openxmlformats.org/officeDocument/2006/relationships/hyperlink" Target="https://www.sec.gov/Archives/edgar/data/1850119/000110465921074278/tm218551d7_ex4-3.htm" TargetMode="External"/><Relationship Id="rId195" Type="http://schemas.openxmlformats.org/officeDocument/2006/relationships/hyperlink" Target="https://www.sec.gov/Archives/edgar/data/1850119/000110465921074278/tm218551d7_ex10-1.htm" TargetMode="External"/><Relationship Id="rId196" Type="http://schemas.openxmlformats.org/officeDocument/2006/relationships/hyperlink" Target="https://www.sec.gov/Archives/edgar/data/1850119/000110465921074278/tm218551d7_ex10-2.htm" TargetMode="External"/><Relationship Id="rId197" Type="http://schemas.openxmlformats.org/officeDocument/2006/relationships/hyperlink" Target="https://www.sec.gov/Archives/edgar/data/1850119/000110465921074278/tm218551d7_ex10-3.htm" TargetMode="External"/><Relationship Id="rId198" Type="http://schemas.openxmlformats.org/officeDocument/2006/relationships/hyperlink" Target="https://www.sec.gov/Archives/edgar/data/1850119/000110465921074278/tm218551d7_ex10-4.htm" TargetMode="External"/><Relationship Id="rId199" Type="http://schemas.openxmlformats.org/officeDocument/2006/relationships/hyperlink" Target="https://www.sec.gov/Archives/edgar/data/1850119/000110465921074278/tm218551d7_ex10-5.htm" TargetMode="External"/><Relationship Id="rId200" Type="http://schemas.openxmlformats.org/officeDocument/2006/relationships/hyperlink" Target="https://www.sec.gov/Archives/edgar/data/1850119/000110465921074278/tm218551d7_ex10-6.htm" TargetMode="External"/><Relationship Id="rId201" Type="http://schemas.openxmlformats.org/officeDocument/2006/relationships/hyperlink" Target="https://www.sec.gov/Archives/edgar/data/1850119/000110465921074278/tm218551d7_ex10-7.htm" TargetMode="External"/><Relationship Id="rId202" Type="http://schemas.openxmlformats.org/officeDocument/2006/relationships/hyperlink" Target="https://www.sec.gov/Archives/edgar/data/1850119/000110465921080429/tm218551d10_ex10-8.htm" TargetMode="External"/><Relationship Id="rId204" Type="http://schemas.openxmlformats.org/officeDocument/2006/relationships/hyperlink" Target="https://www.sec.gov/Archives/edgar/data/1850119/000110465921080429/tm218551d10_ex10-9.htm" TargetMode="External"/><Relationship Id="rId205" Type="http://schemas.openxmlformats.org/officeDocument/2006/relationships/hyperlink" Target="https://www.sec.gov/Archives/edgar/data/1850119/000110465921074278/tm218551d7_ex10-10.htm" TargetMode="External"/><Relationship Id="rId206" Type="http://schemas.openxmlformats.org/officeDocument/2006/relationships/hyperlink" Target="https://www.sec.gov/Archives/edgar/data/1850119/000110465921074278/tm218551d7_ex10-11.htm" TargetMode="External"/><Relationship Id="rId207" Type="http://schemas.openxmlformats.org/officeDocument/2006/relationships/hyperlink" Target="https://www.sec.gov/Archives/edgar/data/1850119/000110465921074278/tm218551d7_ex10-12.htm" TargetMode="External"/><Relationship Id="rId208" Type="http://schemas.openxmlformats.org/officeDocument/2006/relationships/hyperlink" Target="https://www.sec.gov/Archives/edgar/data/1850119/000110465921074278/tm218551d7_ex10-13.htm" TargetMode="External"/><Relationship Id="rId209" Type="http://schemas.openxmlformats.org/officeDocument/2006/relationships/hyperlink" Target="https://www.sec.gov/Archives/edgar/data/1850119/000110465921074278/tm218551d7_ex10-14.htm" TargetMode="External"/><Relationship Id="rId210" Type="http://schemas.openxmlformats.org/officeDocument/2006/relationships/hyperlink" Target="https://www.sec.gov/Archives/edgar/data/1850119/000155837024014345/ipsc-20240930xex10d3.htm" TargetMode="External"/><Relationship Id="rId211" Type="http://schemas.openxmlformats.org/officeDocument/2006/relationships/hyperlink" Target="https://www.sec.gov/Archives/edgar/data/1850119/000110465921074278/tm218551d7_ex10-15.htm" TargetMode="External"/><Relationship Id="rId212" Type="http://schemas.openxmlformats.org/officeDocument/2006/relationships/hyperlink" Target="https://www.sec.gov/Archives/edgar/data/1850119/000110465921074278/tm218551d7_ex10-16.htm" TargetMode="External"/><Relationship Id="rId213" Type="http://schemas.openxmlformats.org/officeDocument/2006/relationships/hyperlink" Target="https://www.sec.gov/Archives/edgar/data/1850119/000110465921074278/tm218551d7_ex10-17.htm" TargetMode="External"/><Relationship Id="rId214" Type="http://schemas.openxmlformats.org/officeDocument/2006/relationships/hyperlink" Target="https://www.sec.gov/Archives/edgar/data/1850119/000110465921074278/tm218551d7_ex10-18.htm" TargetMode="External"/><Relationship Id="rId215" Type="http://schemas.openxmlformats.org/officeDocument/2006/relationships/hyperlink" Target="https://www.sec.gov/Archives/edgar/data/1850119/000110465921074278/tm218551d7_ex10-19.htm" TargetMode="External"/><Relationship Id="rId216" Type="http://schemas.openxmlformats.org/officeDocument/2006/relationships/hyperlink" Target="https://www.sec.gov/Archives/edgar/data/1850119/000155837022017287/ipsc-20220930xex10d1.htm" TargetMode="External"/><Relationship Id="rId217" Type="http://schemas.openxmlformats.org/officeDocument/2006/relationships/hyperlink" Target="https://www.sec.gov/Archives/edgar/data/1850119/000110465921074278/tm218551d7_ex10-20.htm" TargetMode="External"/><Relationship Id="rId218" Type="http://schemas.openxmlformats.org/officeDocument/2006/relationships/hyperlink" Target="https://www.sec.gov/Archives/edgar/data/1850119/000110465921074278/tm218551d7_ex10-21.htm" TargetMode="External"/><Relationship Id="rId219" Type="http://schemas.openxmlformats.org/officeDocument/2006/relationships/hyperlink" Target="https://www.sec.gov/Archives/edgar/data/1850119/000110465921074278/tm218551d7_ex10-22.htm" TargetMode="External"/><Relationship Id="rId220" Type="http://schemas.openxmlformats.org/officeDocument/2006/relationships/hyperlink" Target="https://www.sec.gov/Archives/edgar/data/1850119/000110465921074278/tm218551d7_ex10-23.htm" TargetMode="External"/><Relationship Id="rId221" Type="http://schemas.openxmlformats.org/officeDocument/2006/relationships/hyperlink" Target="https://www.sec.gov/Archives/edgar/data/1850119/000110465921074278/tm218551d7_ex10-24.htm" TargetMode="External"/><Relationship Id="rId222" Type="http://schemas.openxmlformats.org/officeDocument/2006/relationships/hyperlink" Target="https://www.sec.gov/Archives/edgar/data/1850119/000155837022003867/ipsc-20211231xex10d25.htm" TargetMode="External"/><Relationship Id="rId223" Type="http://schemas.openxmlformats.org/officeDocument/2006/relationships/hyperlink" Target="https://www.sec.gov/Archives/edgar/data/1850119/000110465921074278/tm218551d7_ex10-25.htm" TargetMode="External"/><Relationship Id="rId224" Type="http://schemas.openxmlformats.org/officeDocument/2006/relationships/hyperlink" Target="https://www.sec.gov/Archives/edgar/data/1850119/000110465921074278/tm218551d7_ex10-27.htm" TargetMode="External"/><Relationship Id="rId225" Type="http://schemas.openxmlformats.org/officeDocument/2006/relationships/hyperlink" Target="https://www.sec.gov/Archives/edgar/data/1850119/000110465921074278/tm218551d7_ex10-29.htm" TargetMode="External"/><Relationship Id="rId226" Type="http://schemas.openxmlformats.org/officeDocument/2006/relationships/hyperlink" Target="https://www.sec.gov/Archives/edgar/data/1850119/000155837022003867/ipsc-20211231xex10d31.htm" TargetMode="External"/><Relationship Id="rId227" Type="http://schemas.openxmlformats.org/officeDocument/2006/relationships/hyperlink" Target="https://www.sec.gov/Archives/edgar/data/1850119/000110465921080429/tm218551d10_ex10-34.htm" TargetMode="External"/><Relationship Id="rId228" Type="http://schemas.openxmlformats.org/officeDocument/2006/relationships/hyperlink" Target="https://www.sec.gov/Archives/edgar/data/1850119/000110465921080429/tm218551d10_ex10-35.htm" TargetMode="External"/><Relationship Id="rId229" Type="http://schemas.openxmlformats.org/officeDocument/2006/relationships/hyperlink" Target="https://www.sec.gov/Archives/edgar/data/1850119/000110465922076807/tm2219477d2_ex1-2.htm" TargetMode="External"/><Relationship Id="rId230" Type="http://schemas.openxmlformats.org/officeDocument/2006/relationships/hyperlink" Target="https://www.sec.gov/Archives/edgar/data/1850119/000155837024003165/ipsc-20231231xex10d35.htm" TargetMode="External"/><Relationship Id="rId231" Type="http://schemas.openxmlformats.org/officeDocument/2006/relationships/hyperlink" Target="https://www.sec.gov/Archives/edgar/data/1850119/000155837023009262/ipsc-20230331xex10d1.htm" TargetMode="External"/><Relationship Id="rId232" Type="http://schemas.openxmlformats.org/officeDocument/2006/relationships/hyperlink" Target="https://www.sec.gov/Archives/edgar/data/1850119/000155837024014345/ipsc-20240930xex10d1.htm" TargetMode="External"/><Relationship Id="rId233" Type="http://schemas.openxmlformats.org/officeDocument/2006/relationships/hyperlink" Target="https://www.sec.gov/Archives/edgar/data/1850119/000155837024014345/ipsc-20240930xex10d2.htm" TargetMode="External"/><Relationship Id="rId234" Type="http://schemas.openxmlformats.org/officeDocument/2006/relationships/hyperlink" Target="https://www.sec.gov/Archives/edgar/data/1850119/000155837023018408/ipsc-20230930xex10d1.htm" TargetMode="External"/><Relationship Id="rId235" Type="http://schemas.openxmlformats.org/officeDocument/2006/relationships/hyperlink" Target="https://www.sec.gov/Archives/edgar/data/1850119/000155837023018408/ipsc-20230930xex10d2.htm" TargetMode="External"/><Relationship Id="rId236" Type="http://schemas.openxmlformats.org/officeDocument/2006/relationships/hyperlink" Target="https://www.sec.gov/Archives/edgar/data/1850119/000155837023018408/ipsc-20230930xex10d3.htm" TargetMode="External"/><Relationship Id="rId237" Type="http://schemas.openxmlformats.org/officeDocument/2006/relationships/hyperlink" Target="https://www.sec.gov/Archives/edgar/data/1850119/000155837024003165/ipsc-20231231xex10d40.htm" TargetMode="External"/><Relationship Id="rId239" Type="http://schemas.openxmlformats.org/officeDocument/2006/relationships/hyperlink" Target="https://www.sec.gov/Archives/edgar/data/1850119/000155837024003165/ipsc-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2026-03-12T07:33:34Z</dcterms:created>
  <dcterms:modified xsi:type="dcterms:W3CDTF">2026-03-12T07:33:34Z</dcterms:modified>
</cp:coreProperties>
</file>