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3675 Market Street</w:t>
            </w:r>
          </w:p>
        </w:tc>
        <w:tc>
          <w:tcPr>
            <w:tcW w:w="2880" w:type="dxa"/>
            <w:vAlign w:val="bottom"/>
          </w:tcPr>
          <w:p>
            <w:pPr>
              <w:spacing w:after="0"/>
              <w:rPr>
                <w:sz w:val="16"/>
                <w:szCs w:val="16"/>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36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4" w:lineRule="exact"/>
        <w:rPr>
          <w:sz w:val="24"/>
          <w:szCs w:val="24"/>
          <w:color w:val="auto"/>
        </w:rPr>
      </w:pPr>
    </w:p>
    <w:p>
      <w:pPr>
        <w:ind w:left="10" w:right="30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0" w:right="1140"/>
        <w:spacing w:after="0" w:line="24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8, 2022, the registrant had 58,881,833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21"/>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1.</w:t>
            </w:r>
          </w:p>
        </w:tc>
        <w:tc>
          <w:tcPr>
            <w:tcW w:w="6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22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Financial Statements:</w:t>
            </w:r>
          </w:p>
        </w:tc>
        <w:tc>
          <w:tcPr>
            <w:tcW w:w="510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Balance Sheets as of June 30, 2022 (unaudited) and December 31, 2021</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2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six</w:t>
            </w:r>
          </w:p>
        </w:tc>
        <w:tc>
          <w:tcPr>
            <w:tcW w:w="440" w:type="dxa"/>
            <w:vAlign w:val="bottom"/>
            <w:gridSpan w:val="4"/>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months ended June 30, 2022 and 2021 (unaudited)</w:t>
            </w: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Changes in Convertible Preferred Stock and Stockholders’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0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8"/>
              </w:rPr>
              <w:t>Equity (Deficit) for the three and six months ended June 30, 2022 and 2021 (unaudited)</w:t>
            </w:r>
          </w:p>
        </w:tc>
        <w:tc>
          <w:tcPr>
            <w:tcW w:w="40" w:type="dxa"/>
            <w:vAlign w:val="bottom"/>
            <w:tcBorders>
              <w:bottom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Statements of Cash Flows for the six months ended June 30, 2022 and 2021</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(unaudited)</w:t>
            </w: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8"/>
              </w:rPr>
              <w:t>Item 2.</w:t>
            </w:r>
          </w:p>
        </w:tc>
        <w:tc>
          <w:tcPr>
            <w:tcW w:w="340" w:type="dxa"/>
            <w:vAlign w:val="bottom"/>
            <w:gridSpan w:val="5"/>
            <w:vMerge w:val="restart"/>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70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0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47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8"/>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1.</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8"/>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2.</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48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25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Item 5.</w:t>
            </w:r>
          </w:p>
        </w:tc>
        <w:tc>
          <w:tcPr>
            <w:tcW w:w="340" w:type="dxa"/>
            <w:vAlign w:val="bottom"/>
            <w:gridSpan w:val="5"/>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6.</w:t>
            </w:r>
          </w:p>
        </w:tc>
        <w:tc>
          <w:tcPr>
            <w:tcW w:w="340" w:type="dxa"/>
            <w:vAlign w:val="bottom"/>
            <w:gridSpan w:val="5"/>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included in this Quarterly Report on Form 10-Q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27"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13"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the COVID 19 pandemic, including the emergence of new variants of COVID-19, and measures taken to contain its spread ultimately impact our business, including development activities, preclinical studies, future clinical trials, supply chain and labor force;</w:t>
      </w:r>
    </w:p>
    <w:p>
      <w:pPr>
        <w:spacing w:after="0" w:line="143"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113"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become available;</w:t>
      </w:r>
    </w:p>
    <w:p>
      <w:pPr>
        <w:spacing w:after="0" w:line="19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3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13"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our filings for investigational new drug, or IND, applications and the likelihood of, and our ability to obtain and maintain, regulatory clearance of such IND applications for our product candidates;</w:t>
      </w:r>
    </w:p>
    <w:p>
      <w:pPr>
        <w:spacing w:after="0" w:line="12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43"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13" w:lineRule="exact"/>
        <w:rPr>
          <w:rFonts w:ascii="Times New Roman" w:cs="Times New Roman" w:eastAsia="Times New Roman" w:hAnsi="Times New Roman"/>
          <w:sz w:val="18"/>
          <w:szCs w:val="18"/>
          <w:color w:val="auto"/>
        </w:rPr>
      </w:pPr>
    </w:p>
    <w:p>
      <w:pPr>
        <w:ind w:left="720" w:right="7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pacing w:after="0" w:line="13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27"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13"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2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3"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Times New Roman" w:cs="Times New Roman" w:eastAsia="Times New Roman" w:hAnsi="Times New Roman"/>
          <w:sz w:val="18"/>
          <w:szCs w:val="18"/>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geopolitical tensions or the outbreak of hostilities or war; and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19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2021.</w:t>
      </w:r>
    </w:p>
    <w:p>
      <w:pPr>
        <w:spacing w:after="0" w:line="1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2021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2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6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220"/>
              <w:spacing w:after="0" w:line="131" w:lineRule="exact"/>
              <w:rPr>
                <w:sz w:val="20"/>
                <w:szCs w:val="20"/>
                <w:color w:val="auto"/>
              </w:rPr>
            </w:pPr>
            <w:r>
              <w:rPr>
                <w:rFonts w:ascii="Arial" w:cs="Arial" w:eastAsia="Arial" w:hAnsi="Arial"/>
                <w:sz w:val="13"/>
                <w:szCs w:val="13"/>
                <w:color w:val="auto"/>
              </w:rPr>
              <w:t>June 30, 2022</w:t>
            </w:r>
          </w:p>
        </w:tc>
        <w:tc>
          <w:tcPr>
            <w:tcW w:w="11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w w:val="96"/>
              </w:rPr>
              <w:t>December 31, 2021</w:t>
            </w:r>
          </w:p>
        </w:tc>
        <w:tc>
          <w:tcPr>
            <w:tcW w:w="20" w:type="dxa"/>
            <w:vAlign w:val="bottom"/>
          </w:tcPr>
          <w:p>
            <w:pPr>
              <w:spacing w:after="0"/>
              <w:rPr>
                <w:sz w:val="11"/>
                <w:szCs w:val="11"/>
                <w:color w:val="auto"/>
              </w:rPr>
            </w:pPr>
          </w:p>
        </w:tc>
      </w:tr>
      <w:tr>
        <w:trPr>
          <w:trHeight w:val="153"/>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(unaudited)</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9"/>
        </w:trPr>
        <w:tc>
          <w:tcPr>
            <w:tcW w:w="6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112,787</w:t>
            </w:r>
          </w:p>
        </w:tc>
        <w:tc>
          <w:tcPr>
            <w:tcW w:w="180" w:type="dxa"/>
            <w:vAlign w:val="bottom"/>
          </w:tcPr>
          <w:p>
            <w:pPr>
              <w:spacing w:after="0"/>
              <w:rPr>
                <w:sz w:val="11"/>
                <w:szCs w:val="11"/>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56,445</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265,971</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166,434</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471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502</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4,564</w:t>
            </w: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4,773</w:t>
            </w:r>
          </w:p>
        </w:tc>
        <w:tc>
          <w:tcPr>
            <w:tcW w:w="20" w:type="dxa"/>
            <w:vAlign w:val="bottom"/>
            <w:shd w:val="clear" w:color="auto" w:fill="CCEEFF"/>
          </w:tcPr>
          <w:p>
            <w:pPr>
              <w:spacing w:after="0"/>
              <w:rPr>
                <w:sz w:val="11"/>
                <w:szCs w:val="11"/>
                <w:color w:val="auto"/>
              </w:rPr>
            </w:pP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383,793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228,154</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69,971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57,967</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24,728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11,854</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1,717</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Escrow deposits, non-current</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50,607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135,914</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w:t>
            </w: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1,506</w:t>
            </w: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1,549</w:t>
            </w:r>
          </w:p>
        </w:tc>
        <w:tc>
          <w:tcPr>
            <w:tcW w:w="20" w:type="dxa"/>
            <w:vAlign w:val="bottom"/>
            <w:shd w:val="clear" w:color="auto" w:fill="CCEEFF"/>
          </w:tcPr>
          <w:p>
            <w:pPr>
              <w:spacing w:after="0"/>
              <w:rPr>
                <w:sz w:val="11"/>
                <w:szCs w:val="11"/>
                <w:color w:val="auto"/>
              </w:rPr>
            </w:pPr>
          </w:p>
        </w:tc>
      </w:tr>
      <w:tr>
        <w:trPr>
          <w:trHeight w:val="168"/>
        </w:trPr>
        <w:tc>
          <w:tcPr>
            <w:tcW w:w="64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532,584</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Borders>
              <w:bottom w:val="single" w:sz="8" w:color="CCEEFF"/>
            </w:tcBorders>
          </w:tcPr>
          <w:p>
            <w:pPr>
              <w:spacing w:after="0"/>
              <w:rPr>
                <w:sz w:val="14"/>
                <w:szCs w:val="14"/>
                <w:color w:val="auto"/>
              </w:rPr>
            </w:pPr>
          </w:p>
        </w:tc>
      </w:tr>
      <w:tr>
        <w:trPr>
          <w:trHeight w:val="115"/>
        </w:trPr>
        <w:tc>
          <w:tcPr>
            <w:tcW w:w="6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4,048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7,596</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7,246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6,040</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1,594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1,039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7,824</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21,569</w:t>
            </w: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15,655</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30,433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14,559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1,220</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2,020</w:t>
            </w:r>
          </w:p>
        </w:tc>
        <w:tc>
          <w:tcPr>
            <w:tcW w:w="20" w:type="dxa"/>
            <w:vAlign w:val="bottom"/>
            <w:shd w:val="clear" w:color="auto" w:fill="CCEEFF"/>
          </w:tcPr>
          <w:p>
            <w:pPr>
              <w:spacing w:after="0"/>
              <w:rPr>
                <w:sz w:val="11"/>
                <w:szCs w:val="11"/>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112,909</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8,501</w:t>
            </w:r>
          </w:p>
        </w:tc>
        <w:tc>
          <w:tcPr>
            <w:tcW w:w="1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8,903</w:t>
            </w:r>
          </w:p>
        </w:tc>
        <w:tc>
          <w:tcPr>
            <w:tcW w:w="20" w:type="dxa"/>
            <w:vAlign w:val="bottom"/>
            <w:shd w:val="clear" w:color="auto" w:fill="CCEEFF"/>
          </w:tcPr>
          <w:p>
            <w:pPr>
              <w:spacing w:after="0"/>
              <w:rPr>
                <w:sz w:val="11"/>
                <w:szCs w:val="11"/>
                <w:color w:val="auto"/>
              </w:rPr>
            </w:pPr>
          </w:p>
        </w:tc>
      </w:tr>
      <w:tr>
        <w:trPr>
          <w:trHeight w:val="168"/>
        </w:trPr>
        <w:tc>
          <w:tcPr>
            <w:tcW w:w="64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174,632</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41,137</w:t>
            </w:r>
          </w:p>
        </w:tc>
        <w:tc>
          <w:tcPr>
            <w:tcW w:w="20" w:type="dxa"/>
            <w:vAlign w:val="bottom"/>
            <w:tcBorders>
              <w:bottom w:val="single" w:sz="8" w:color="CCEEFF"/>
            </w:tcBorders>
          </w:tcPr>
          <w:p>
            <w:pPr>
              <w:spacing w:after="0"/>
              <w:rPr>
                <w:sz w:val="14"/>
                <w:szCs w:val="14"/>
                <w:color w:val="auto"/>
              </w:rPr>
            </w:pPr>
          </w:p>
        </w:tc>
      </w:tr>
      <w:tr>
        <w:trPr>
          <w:trHeight w:val="115"/>
        </w:trPr>
        <w:tc>
          <w:tcPr>
            <w:tcW w:w="6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12)</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17"/>
        </w:trPr>
        <w:tc>
          <w:tcPr>
            <w:tcW w:w="6400" w:type="dxa"/>
            <w:vAlign w:val="bottom"/>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at June 30, 2022 and December 31, 2021,</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6400" w:type="dxa"/>
            <w:vAlign w:val="bottom"/>
          </w:tcPr>
          <w:p>
            <w:pPr>
              <w:ind w:left="20"/>
              <w:spacing w:after="0"/>
              <w:rPr>
                <w:sz w:val="20"/>
                <w:szCs w:val="20"/>
                <w:color w:val="auto"/>
              </w:rPr>
            </w:pPr>
            <w:r>
              <w:rPr>
                <w:rFonts w:ascii="Arial" w:cs="Arial" w:eastAsia="Arial" w:hAnsi="Arial"/>
                <w:sz w:val="13"/>
                <w:szCs w:val="13"/>
                <w:color w:val="auto"/>
              </w:rPr>
              <w:t>respectively, and 0 shares issued and outstanding at June 30, 2022 and December 31, 2021, respectively</w:t>
            </w:r>
          </w:p>
        </w:tc>
        <w:tc>
          <w:tcPr>
            <w:tcW w:w="1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17"/>
        </w:trPr>
        <w:tc>
          <w:tcPr>
            <w:tcW w:w="64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Common stock, $0.0001 par value, 300,000,000 shares authorized at June 30, 2022 and December 31, 2021,</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respectively; 57,857,921 and 55,005,523 shares issued and outstanding at June 30, 2022 and December 31,</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 respectively</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3"/>
                <w:szCs w:val="13"/>
                <w:color w:val="auto"/>
              </w:rPr>
            </w:pP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818,047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785,049</w:t>
            </w:r>
          </w:p>
        </w:tc>
        <w:tc>
          <w:tcPr>
            <w:tcW w:w="20" w:type="dxa"/>
            <w:vAlign w:val="bottom"/>
          </w:tcPr>
          <w:p>
            <w:pPr>
              <w:spacing w:after="0"/>
              <w:rPr>
                <w:sz w:val="11"/>
                <w:szCs w:val="11"/>
                <w:color w:val="auto"/>
              </w:rPr>
            </w:pPr>
          </w:p>
        </w:tc>
      </w:tr>
      <w:tr>
        <w:trPr>
          <w:trHeight w:val="135"/>
        </w:trPr>
        <w:tc>
          <w:tcPr>
            <w:tcW w:w="64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(456,667)</w:t>
            </w:r>
          </w:p>
        </w:tc>
        <w:tc>
          <w:tcPr>
            <w:tcW w:w="3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(388,166)</w:t>
            </w:r>
          </w:p>
        </w:tc>
      </w:tr>
      <w:tr>
        <w:trPr>
          <w:trHeight w:val="135"/>
        </w:trPr>
        <w:tc>
          <w:tcPr>
            <w:tcW w:w="640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180" w:type="dxa"/>
            <w:vAlign w:val="bottom"/>
          </w:tcPr>
          <w:p>
            <w:pPr>
              <w:spacing w:after="0"/>
              <w:rPr>
                <w:sz w:val="11"/>
                <w:szCs w:val="11"/>
                <w:color w:val="auto"/>
              </w:rPr>
            </w:pP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(3,434)</w:t>
            </w:r>
          </w:p>
        </w:tc>
        <w:tc>
          <w:tcPr>
            <w:tcW w:w="360" w:type="dxa"/>
            <w:vAlign w:val="bottom"/>
          </w:tcPr>
          <w:p>
            <w:pPr>
              <w:spacing w:after="0"/>
              <w:rPr>
                <w:sz w:val="11"/>
                <w:szCs w:val="11"/>
                <w:color w:val="auto"/>
              </w:rPr>
            </w:pP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(650)</w:t>
            </w:r>
          </w:p>
        </w:tc>
      </w:tr>
      <w:tr>
        <w:trPr>
          <w:trHeight w:val="128"/>
        </w:trPr>
        <w:tc>
          <w:tcPr>
            <w:tcW w:w="64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357,952</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396,238</w:t>
            </w:r>
          </w:p>
        </w:tc>
        <w:tc>
          <w:tcPr>
            <w:tcW w:w="20" w:type="dxa"/>
            <w:vAlign w:val="bottom"/>
            <w:tcBorders>
              <w:top w:val="single" w:sz="8" w:color="CCEEFF"/>
            </w:tcBorders>
            <w:shd w:val="clear" w:color="auto" w:fill="CCEEFF"/>
          </w:tcPr>
          <w:p>
            <w:pPr>
              <w:spacing w:after="0"/>
              <w:rPr>
                <w:sz w:val="11"/>
                <w:szCs w:val="11"/>
                <w:color w:val="auto"/>
              </w:rPr>
            </w:pPr>
          </w:p>
        </w:tc>
      </w:tr>
      <w:tr>
        <w:trPr>
          <w:trHeight w:val="129"/>
        </w:trPr>
        <w:tc>
          <w:tcPr>
            <w:tcW w:w="640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532,584</w:t>
            </w:r>
          </w:p>
        </w:tc>
        <w:tc>
          <w:tcPr>
            <w:tcW w:w="180" w:type="dxa"/>
            <w:vAlign w:val="bottom"/>
          </w:tcPr>
          <w:p>
            <w:pPr>
              <w:spacing w:after="0"/>
              <w:rPr>
                <w:sz w:val="11"/>
                <w:szCs w:val="11"/>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Pr>
          <w:p>
            <w:pPr>
              <w:spacing w:after="0"/>
              <w:rPr>
                <w:sz w:val="11"/>
                <w:szCs w:val="1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4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2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Six Months Ended</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June 30, 2022</w:t>
            </w:r>
          </w:p>
        </w:tc>
        <w:tc>
          <w:tcPr>
            <w:tcW w:w="280" w:type="dxa"/>
            <w:vAlign w:val="bottom"/>
          </w:tcPr>
          <w:p>
            <w:pPr>
              <w:spacing w:after="0"/>
              <w:rPr>
                <w:sz w:val="14"/>
                <w:szCs w:val="14"/>
                <w:color w:val="auto"/>
              </w:rPr>
            </w:pPr>
          </w:p>
        </w:tc>
        <w:tc>
          <w:tcPr>
            <w:tcW w:w="1320" w:type="dxa"/>
            <w:vAlign w:val="bottom"/>
          </w:tcPr>
          <w:p>
            <w:pPr>
              <w:jc w:val="right"/>
              <w:ind w:right="131"/>
              <w:spacing w:after="0"/>
              <w:rPr>
                <w:sz w:val="20"/>
                <w:szCs w:val="20"/>
                <w:color w:val="auto"/>
              </w:rPr>
            </w:pPr>
            <w:r>
              <w:rPr>
                <w:rFonts w:ascii="Arial" w:cs="Arial" w:eastAsia="Arial" w:hAnsi="Arial"/>
                <w:sz w:val="14"/>
                <w:szCs w:val="14"/>
                <w:color w:val="auto"/>
              </w:rPr>
              <w:t>June 30, 2021</w:t>
            </w:r>
          </w:p>
        </w:tc>
        <w:tc>
          <w:tcPr>
            <w:tcW w:w="1060" w:type="dxa"/>
            <w:vAlign w:val="bottom"/>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June 30, 2021</w:t>
            </w:r>
          </w:p>
        </w:tc>
      </w:tr>
      <w:tr>
        <w:trPr>
          <w:trHeight w:val="196"/>
        </w:trPr>
        <w:tc>
          <w:tcPr>
            <w:tcW w:w="3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2,454</w:t>
            </w: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r>
      <w:tr>
        <w:trPr>
          <w:trHeight w:val="162"/>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24,494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18,933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45,690</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34,307</w:t>
            </w: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4,088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15,551</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6,776</w:t>
            </w:r>
          </w:p>
        </w:tc>
        <w:tc>
          <w:tcPr>
            <w:tcW w:w="20" w:type="dxa"/>
            <w:vAlign w:val="bottom"/>
            <w:shd w:val="clear" w:color="auto" w:fill="CCEEFF"/>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34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32,747</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23,021</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71,241</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41,083</w:t>
            </w:r>
          </w:p>
        </w:tc>
        <w:tc>
          <w:tcPr>
            <w:tcW w:w="20" w:type="dxa"/>
            <w:vAlign w:val="bottom"/>
            <w:tcBorders>
              <w:top w:val="single" w:sz="8" w:color="CCEEFF"/>
            </w:tcBorders>
            <w:shd w:val="clear" w:color="auto" w:fill="CCEEFF"/>
          </w:tcPr>
          <w:p>
            <w:pPr>
              <w:spacing w:after="0"/>
              <w:rPr>
                <w:sz w:val="17"/>
                <w:szCs w:val="17"/>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(31,351)</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(23,021)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(68,787)</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(41,083)</w:t>
            </w:r>
          </w:p>
        </w:tc>
        <w:tc>
          <w:tcPr>
            <w:tcW w:w="20" w:type="dxa"/>
            <w:vAlign w:val="bottom"/>
            <w:shd w:val="clear" w:color="auto" w:fill="CCEEFF"/>
          </w:tcPr>
          <w:p>
            <w:pPr>
              <w:spacing w:after="0"/>
              <w:rPr>
                <w:sz w:val="17"/>
                <w:szCs w:val="17"/>
                <w:color w:val="auto"/>
              </w:rPr>
            </w:pPr>
          </w:p>
        </w:tc>
      </w:tr>
      <w:tr>
        <w:trPr>
          <w:trHeight w:val="203"/>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(318)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20" w:type="dxa"/>
            <w:vAlign w:val="bottom"/>
            <w:shd w:val="clear" w:color="auto" w:fill="CCEEFF"/>
          </w:tcPr>
          <w:p>
            <w:pPr>
              <w:spacing w:after="0"/>
              <w:rPr>
                <w:sz w:val="17"/>
                <w:szCs w:val="17"/>
                <w:color w:val="auto"/>
              </w:rPr>
            </w:pPr>
          </w:p>
        </w:tc>
      </w:tr>
      <w:tr>
        <w:trPr>
          <w:trHeight w:val="203"/>
        </w:trPr>
        <w:tc>
          <w:tcPr>
            <w:tcW w:w="34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66</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964</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tcPr>
          <w:p>
            <w:pPr>
              <w:spacing w:after="0"/>
              <w:rPr>
                <w:sz w:val="17"/>
                <w:szCs w:val="17"/>
                <w:color w:val="auto"/>
              </w:rPr>
            </w:pPr>
          </w:p>
        </w:tc>
      </w:tr>
      <w:tr>
        <w:trPr>
          <w:trHeight w:val="196"/>
        </w:trPr>
        <w:tc>
          <w:tcPr>
            <w:tcW w:w="34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(252)</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7"/>
                <w:szCs w:val="17"/>
                <w:color w:val="auto"/>
              </w:rPr>
            </w:pPr>
          </w:p>
        </w:tc>
      </w:tr>
      <w:tr>
        <w:trPr>
          <w:trHeight w:val="184"/>
        </w:trPr>
        <w:tc>
          <w:tcPr>
            <w:tcW w:w="34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Loss before provision for income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(30,970)</w:t>
            </w:r>
          </w:p>
        </w:tc>
        <w:tc>
          <w:tcPr>
            <w:tcW w:w="28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(23,273)</w:t>
            </w:r>
          </w:p>
        </w:tc>
        <w:tc>
          <w:tcPr>
            <w:tcW w:w="1060" w:type="dxa"/>
            <w:vAlign w:val="bottom"/>
          </w:tcPr>
          <w:p>
            <w:pPr>
              <w:jc w:val="right"/>
              <w:spacing w:after="0"/>
              <w:rPr>
                <w:sz w:val="20"/>
                <w:szCs w:val="20"/>
                <w:color w:val="auto"/>
              </w:rPr>
            </w:pPr>
            <w:r>
              <w:rPr>
                <w:rFonts w:ascii="Arial" w:cs="Arial" w:eastAsia="Arial" w:hAnsi="Arial"/>
                <w:sz w:val="18"/>
                <w:szCs w:val="18"/>
                <w:color w:val="auto"/>
              </w:rPr>
              <w:t>(68,467)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(41,621)</w:t>
            </w:r>
          </w:p>
        </w:tc>
        <w:tc>
          <w:tcPr>
            <w:tcW w:w="20" w:type="dxa"/>
            <w:vAlign w:val="bottom"/>
          </w:tcPr>
          <w:p>
            <w:pPr>
              <w:spacing w:after="0"/>
              <w:rPr>
                <w:sz w:val="19"/>
                <w:szCs w:val="19"/>
                <w:color w:val="auto"/>
              </w:rPr>
            </w:pPr>
          </w:p>
        </w:tc>
      </w:tr>
      <w:tr>
        <w:trPr>
          <w:trHeight w:val="202"/>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6"/>
        </w:trPr>
        <w:tc>
          <w:tcPr>
            <w:tcW w:w="34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(30,988)</w:t>
            </w: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(23,273)$</w:t>
            </w:r>
          </w:p>
        </w:tc>
        <w:tc>
          <w:tcPr>
            <w:tcW w:w="1260" w:type="dxa"/>
            <w:vAlign w:val="bottom"/>
            <w:tcBorders>
              <w:top w:val="single" w:sz="8" w:color="auto"/>
              <w:bottom w:val="single" w:sz="8" w:color="auto"/>
            </w:tcBorders>
            <w:gridSpan w:val="2"/>
          </w:tcPr>
          <w:p>
            <w:pPr>
              <w:jc w:val="right"/>
              <w:ind w:right="19"/>
              <w:spacing w:after="0" w:line="196" w:lineRule="exact"/>
              <w:rPr>
                <w:sz w:val="20"/>
                <w:szCs w:val="20"/>
                <w:color w:val="auto"/>
              </w:rPr>
            </w:pPr>
            <w:r>
              <w:rPr>
                <w:rFonts w:ascii="Arial" w:cs="Arial" w:eastAsia="Arial" w:hAnsi="Arial"/>
                <w:sz w:val="18"/>
                <w:szCs w:val="18"/>
                <w:b w:val="1"/>
                <w:bCs w:val="1"/>
                <w:color w:val="auto"/>
              </w:rPr>
              <w:t>(68,501)$</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(41,621)</w:t>
            </w:r>
          </w:p>
        </w:tc>
        <w:tc>
          <w:tcPr>
            <w:tcW w:w="20" w:type="dxa"/>
            <w:vAlign w:val="bottom"/>
            <w:tcBorders>
              <w:bottom w:val="single" w:sz="8" w:color="CCEEFF"/>
            </w:tcBorders>
          </w:tcPr>
          <w:p>
            <w:pPr>
              <w:spacing w:after="0"/>
              <w:rPr>
                <w:sz w:val="20"/>
                <w:szCs w:val="20"/>
                <w:color w:val="auto"/>
              </w:rPr>
            </w:pPr>
          </w:p>
        </w:tc>
      </w:tr>
      <w:tr>
        <w:trPr>
          <w:trHeight w:val="183"/>
        </w:trPr>
        <w:tc>
          <w:tcPr>
            <w:tcW w:w="3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4"/>
        </w:trPr>
        <w:tc>
          <w:tcPr>
            <w:tcW w:w="342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42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28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(1.93)</w:t>
            </w: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9"/>
                <w:szCs w:val="19"/>
                <w:color w:val="auto"/>
              </w:rPr>
            </w:pPr>
          </w:p>
        </w:tc>
      </w:tr>
      <w:tr>
        <w:trPr>
          <w:trHeight w:val="184"/>
        </w:trPr>
        <w:tc>
          <w:tcPr>
            <w:tcW w:w="3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 average common shares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57,685,006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12,044,610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57,370,022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9,775,840</w:t>
            </w:r>
          </w:p>
        </w:tc>
        <w:tc>
          <w:tcPr>
            <w:tcW w:w="20" w:type="dxa"/>
            <w:vAlign w:val="bottom"/>
            <w:shd w:val="clear" w:color="auto" w:fill="CCEEFF"/>
          </w:tcPr>
          <w:p>
            <w:pPr>
              <w:spacing w:after="0"/>
              <w:rPr>
                <w:sz w:val="19"/>
                <w:szCs w:val="19"/>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(30,988)</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(23,273)$</w:t>
            </w:r>
          </w:p>
        </w:tc>
        <w:tc>
          <w:tcPr>
            <w:tcW w:w="126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(68,501)$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(41,621)</w:t>
            </w:r>
          </w:p>
        </w:tc>
        <w:tc>
          <w:tcPr>
            <w:tcW w:w="20" w:type="dxa"/>
            <w:vAlign w:val="bottom"/>
            <w:shd w:val="clear" w:color="auto" w:fill="CCEEFF"/>
          </w:tcPr>
          <w:p>
            <w:pPr>
              <w:spacing w:after="0"/>
              <w:rPr>
                <w:sz w:val="17"/>
                <w:szCs w:val="17"/>
                <w:color w:val="auto"/>
              </w:rPr>
            </w:pPr>
          </w:p>
        </w:tc>
      </w:tr>
      <w:tr>
        <w:trPr>
          <w:trHeight w:val="203"/>
        </w:trPr>
        <w:tc>
          <w:tcPr>
            <w:tcW w:w="3420" w:type="dxa"/>
            <w:vAlign w:val="bottom"/>
          </w:tcPr>
          <w:p>
            <w:pPr>
              <w:ind w:left="120"/>
              <w:spacing w:after="0" w:line="202" w:lineRule="exact"/>
              <w:rPr>
                <w:sz w:val="20"/>
                <w:szCs w:val="20"/>
                <w:color w:val="auto"/>
              </w:rPr>
            </w:pPr>
            <w:r>
              <w:rPr>
                <w:rFonts w:ascii="Arial" w:cs="Arial" w:eastAsia="Arial" w:hAnsi="Arial"/>
                <w:sz w:val="18"/>
                <w:szCs w:val="18"/>
                <w:color w:val="auto"/>
              </w:rPr>
              <w:t>Unrealized (loss) gain on investments</w:t>
            </w:r>
          </w:p>
        </w:tc>
        <w:tc>
          <w:tcPr>
            <w:tcW w:w="26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(780)</w:t>
            </w:r>
          </w:p>
        </w:tc>
        <w:tc>
          <w:tcPr>
            <w:tcW w:w="280" w:type="dxa"/>
            <w:vAlign w:val="bottom"/>
          </w:tcPr>
          <w:p>
            <w:pPr>
              <w:spacing w:after="0"/>
              <w:rPr>
                <w:sz w:val="17"/>
                <w:szCs w:val="17"/>
                <w:color w:val="auto"/>
              </w:rPr>
            </w:pPr>
          </w:p>
        </w:tc>
        <w:tc>
          <w:tcPr>
            <w:tcW w:w="13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(2,766)</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(9)</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7"/>
                <w:szCs w:val="17"/>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(31,780)</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(23,250)$</w:t>
            </w:r>
          </w:p>
        </w:tc>
        <w:tc>
          <w:tcPr>
            <w:tcW w:w="1260" w:type="dxa"/>
            <w:vAlign w:val="bottom"/>
            <w:tcBorders>
              <w:top w:val="single" w:sz="8" w:color="auto"/>
              <w:bottom w:val="single" w:sz="8" w:color="auto"/>
            </w:tcBorders>
            <w:gridSpan w:val="2"/>
          </w:tcPr>
          <w:p>
            <w:pPr>
              <w:jc w:val="right"/>
              <w:ind w:right="19"/>
              <w:spacing w:after="0" w:line="196" w:lineRule="exact"/>
              <w:rPr>
                <w:sz w:val="20"/>
                <w:szCs w:val="20"/>
                <w:color w:val="auto"/>
              </w:rPr>
            </w:pPr>
            <w:r>
              <w:rPr>
                <w:rFonts w:ascii="Arial" w:cs="Arial" w:eastAsia="Arial" w:hAnsi="Arial"/>
                <w:sz w:val="18"/>
                <w:szCs w:val="18"/>
                <w:color w:val="auto"/>
              </w:rPr>
              <w:t>(71,285)$</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(41,621)</w:t>
            </w:r>
          </w:p>
        </w:tc>
        <w:tc>
          <w:tcPr>
            <w:tcW w:w="20" w:type="dxa"/>
            <w:vAlign w:val="bottom"/>
            <w:tcBorders>
              <w:bottom w:val="single" w:sz="8" w:color="auto"/>
            </w:tcBorders>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204" w:lineRule="auto"/>
        <w:rPr>
          <w:sz w:val="20"/>
          <w:szCs w:val="20"/>
          <w:color w:val="auto"/>
        </w:rPr>
      </w:pPr>
      <w:r>
        <w:rPr>
          <w:rFonts w:ascii="Arial" w:cs="Arial" w:eastAsia="Arial" w:hAnsi="Arial"/>
          <w:sz w:val="22"/>
          <w:szCs w:val="22"/>
          <w:b w:val="1"/>
          <w:bCs w:val="1"/>
          <w:color w:val="auto"/>
        </w:rPr>
        <w:t>CONSOLIDATED STATEMENTS OF CHANGES IN CONVERTIBLE PREFERRED STOCK AND</w:t>
      </w:r>
    </w:p>
    <w:p>
      <w:pPr>
        <w:jc w:val="center"/>
        <w:spacing w:after="0" w:line="187" w:lineRule="auto"/>
        <w:rPr>
          <w:sz w:val="20"/>
          <w:szCs w:val="20"/>
          <w:color w:val="auto"/>
        </w:rPr>
      </w:pPr>
      <w:r>
        <w:rPr>
          <w:rFonts w:ascii="Arial" w:cs="Arial" w:eastAsia="Arial" w:hAnsi="Arial"/>
          <w:sz w:val="22"/>
          <w:szCs w:val="22"/>
          <w:b w:val="1"/>
          <w:bCs w:val="1"/>
          <w:color w:val="auto"/>
        </w:rPr>
        <w:t>STOCKHOLDERS’ EQUITY (DEFICIT)</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1"/>
                <w:szCs w:val="11"/>
                <w:color w:val="auto"/>
              </w:rPr>
              <w:t>Series A</w:t>
            </w: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gridSpan w:val="5"/>
          </w:tcPr>
          <w:p>
            <w:pPr>
              <w:jc w:val="right"/>
              <w:ind w:right="206"/>
              <w:spacing w:after="0"/>
              <w:rPr>
                <w:sz w:val="20"/>
                <w:szCs w:val="20"/>
                <w:color w:val="auto"/>
              </w:rPr>
            </w:pPr>
            <w:r>
              <w:rPr>
                <w:rFonts w:ascii="Arial" w:cs="Arial" w:eastAsia="Arial" w:hAnsi="Arial"/>
                <w:sz w:val="11"/>
                <w:szCs w:val="11"/>
                <w:color w:val="auto"/>
              </w:rPr>
              <w:t>Series B</w:t>
            </w: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right w:val="single" w:sz="8" w:color="auto"/>
            </w:tcBorders>
            <w:gridSpan w:val="4"/>
          </w:tcPr>
          <w:p>
            <w:pPr>
              <w:jc w:val="right"/>
              <w:ind w:right="100"/>
              <w:spacing w:after="0"/>
              <w:rPr>
                <w:sz w:val="20"/>
                <w:szCs w:val="20"/>
                <w:color w:val="auto"/>
              </w:rPr>
            </w:pPr>
            <w:r>
              <w:rPr>
                <w:rFonts w:ascii="Arial" w:cs="Arial" w:eastAsia="Arial" w:hAnsi="Arial"/>
                <w:sz w:val="11"/>
                <w:szCs w:val="11"/>
                <w:color w:val="auto"/>
              </w:rPr>
              <w:t>Series C</w:t>
            </w:r>
          </w:p>
        </w:tc>
        <w:tc>
          <w:tcPr>
            <w:tcW w:w="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Accumulated</w:t>
            </w: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7"/>
          </w:tcPr>
          <w:p>
            <w:pPr>
              <w:jc w:val="right"/>
              <w:ind w:right="80"/>
              <w:spacing w:after="0" w:line="122" w:lineRule="exact"/>
              <w:rPr>
                <w:sz w:val="20"/>
                <w:szCs w:val="20"/>
                <w:color w:val="auto"/>
              </w:rPr>
            </w:pPr>
            <w:r>
              <w:rPr>
                <w:rFonts w:ascii="Arial" w:cs="Arial" w:eastAsia="Arial" w:hAnsi="Arial"/>
                <w:sz w:val="11"/>
                <w:szCs w:val="11"/>
                <w:color w:val="auto"/>
              </w:rPr>
              <w:t>Convertible</w:t>
            </w:r>
          </w:p>
        </w:tc>
        <w:tc>
          <w:tcPr>
            <w:tcW w:w="80" w:type="dxa"/>
            <w:vAlign w:val="bottom"/>
          </w:tcPr>
          <w:p>
            <w:pPr>
              <w:spacing w:after="0"/>
              <w:rPr>
                <w:sz w:val="10"/>
                <w:szCs w:val="10"/>
                <w:color w:val="auto"/>
              </w:rPr>
            </w:pPr>
          </w:p>
        </w:tc>
        <w:tc>
          <w:tcPr>
            <w:tcW w:w="1160" w:type="dxa"/>
            <w:vAlign w:val="bottom"/>
            <w:gridSpan w:val="7"/>
          </w:tcPr>
          <w:p>
            <w:pPr>
              <w:jc w:val="right"/>
              <w:ind w:right="206"/>
              <w:spacing w:after="0" w:line="122" w:lineRule="exact"/>
              <w:rPr>
                <w:sz w:val="20"/>
                <w:szCs w:val="20"/>
                <w:color w:val="auto"/>
              </w:rPr>
            </w:pPr>
            <w:r>
              <w:rPr>
                <w:rFonts w:ascii="Arial" w:cs="Arial" w:eastAsia="Arial" w:hAnsi="Arial"/>
                <w:sz w:val="11"/>
                <w:szCs w:val="11"/>
                <w:color w:val="auto"/>
              </w:rPr>
              <w:t>Convertible</w:t>
            </w:r>
          </w:p>
        </w:tc>
        <w:tc>
          <w:tcPr>
            <w:tcW w:w="60" w:type="dxa"/>
            <w:vAlign w:val="bottom"/>
          </w:tcPr>
          <w:p>
            <w:pPr>
              <w:spacing w:after="0"/>
              <w:rPr>
                <w:sz w:val="10"/>
                <w:szCs w:val="10"/>
                <w:color w:val="auto"/>
              </w:rPr>
            </w:pPr>
          </w:p>
        </w:tc>
        <w:tc>
          <w:tcPr>
            <w:tcW w:w="800" w:type="dxa"/>
            <w:vAlign w:val="bottom"/>
            <w:tcBorders>
              <w:right w:val="single" w:sz="8" w:color="auto"/>
            </w:tcBorders>
            <w:gridSpan w:val="5"/>
          </w:tcPr>
          <w:p>
            <w:pPr>
              <w:jc w:val="right"/>
              <w:ind w:right="100"/>
              <w:spacing w:after="0" w:line="122" w:lineRule="exact"/>
              <w:rPr>
                <w:sz w:val="20"/>
                <w:szCs w:val="20"/>
                <w:color w:val="auto"/>
              </w:rPr>
            </w:pPr>
            <w:r>
              <w:rPr>
                <w:rFonts w:ascii="Arial" w:cs="Arial" w:eastAsia="Arial" w:hAnsi="Arial"/>
                <w:sz w:val="11"/>
                <w:szCs w:val="11"/>
                <w:color w:val="auto"/>
              </w:rPr>
              <w:t>Convertible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5"/>
          </w:tcPr>
          <w:p>
            <w:pPr>
              <w:jc w:val="right"/>
              <w:ind w:right="40"/>
              <w:spacing w:after="0" w:line="122" w:lineRule="exact"/>
              <w:rPr>
                <w:sz w:val="20"/>
                <w:szCs w:val="20"/>
                <w:color w:val="auto"/>
              </w:rPr>
            </w:pPr>
            <w:r>
              <w:rPr>
                <w:rFonts w:ascii="Arial" w:cs="Arial" w:eastAsia="Arial" w:hAnsi="Arial"/>
                <w:sz w:val="11"/>
                <w:szCs w:val="11"/>
                <w:color w:val="auto"/>
                <w:w w:val="95"/>
              </w:rPr>
              <w:t>Additional</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8"/>
          </w:tcPr>
          <w:p>
            <w:pPr>
              <w:jc w:val="right"/>
              <w:ind w:right="80"/>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1"/>
                <w:szCs w:val="11"/>
                <w:color w:val="auto"/>
              </w:rPr>
            </w:pPr>
          </w:p>
        </w:tc>
        <w:tc>
          <w:tcPr>
            <w:tcW w:w="1160" w:type="dxa"/>
            <w:vAlign w:val="bottom"/>
            <w:gridSpan w:val="7"/>
          </w:tcPr>
          <w:p>
            <w:pPr>
              <w:jc w:val="right"/>
              <w:ind w:right="206"/>
              <w:spacing w:after="0"/>
              <w:rPr>
                <w:sz w:val="20"/>
                <w:szCs w:val="20"/>
                <w:color w:val="auto"/>
              </w:rPr>
            </w:pPr>
            <w:r>
              <w:rPr>
                <w:rFonts w:ascii="Arial" w:cs="Arial" w:eastAsia="Arial" w:hAnsi="Arial"/>
                <w:sz w:val="11"/>
                <w:szCs w:val="11"/>
                <w:color w:val="auto"/>
              </w:rPr>
              <w:t>Preferred Stock</w:t>
            </w:r>
          </w:p>
        </w:tc>
        <w:tc>
          <w:tcPr>
            <w:tcW w:w="860" w:type="dxa"/>
            <w:vAlign w:val="bottom"/>
            <w:tcBorders>
              <w:right w:val="single" w:sz="8" w:color="auto"/>
            </w:tcBorders>
            <w:gridSpan w:val="6"/>
          </w:tcPr>
          <w:p>
            <w:pPr>
              <w:jc w:val="right"/>
              <w:ind w:right="100"/>
              <w:spacing w:after="0"/>
              <w:rPr>
                <w:sz w:val="20"/>
                <w:szCs w:val="20"/>
                <w:color w:val="auto"/>
              </w:rPr>
            </w:pPr>
            <w:r>
              <w:rPr>
                <w:rFonts w:ascii="Arial" w:cs="Arial" w:eastAsia="Arial" w:hAnsi="Arial"/>
                <w:sz w:val="11"/>
                <w:szCs w:val="11"/>
                <w:color w:val="auto"/>
                <w:w w:val="96"/>
              </w:rPr>
              <w:t>Preferred Stock</w:t>
            </w:r>
          </w:p>
        </w:tc>
        <w:tc>
          <w:tcPr>
            <w:tcW w:w="60" w:type="dxa"/>
            <w:vAlign w:val="bottom"/>
          </w:tcPr>
          <w:p>
            <w:pPr>
              <w:spacing w:after="0"/>
              <w:rPr>
                <w:sz w:val="11"/>
                <w:szCs w:val="11"/>
                <w:color w:val="auto"/>
              </w:rPr>
            </w:pPr>
          </w:p>
        </w:tc>
        <w:tc>
          <w:tcPr>
            <w:tcW w:w="1040" w:type="dxa"/>
            <w:vAlign w:val="bottom"/>
            <w:gridSpan w:val="8"/>
          </w:tcPr>
          <w:p>
            <w:pPr>
              <w:jc w:val="center"/>
              <w:ind w:left="246"/>
              <w:spacing w:after="0"/>
              <w:rPr>
                <w:sz w:val="20"/>
                <w:szCs w:val="20"/>
                <w:color w:val="auto"/>
              </w:rPr>
            </w:pPr>
            <w:r>
              <w:rPr>
                <w:rFonts w:ascii="Arial" w:cs="Arial" w:eastAsia="Arial" w:hAnsi="Arial"/>
                <w:sz w:val="11"/>
                <w:szCs w:val="11"/>
                <w:color w:val="auto"/>
                <w:w w:val="98"/>
              </w:rPr>
              <w:t>Common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5"/>
          </w:tcPr>
          <w:p>
            <w:pPr>
              <w:jc w:val="right"/>
              <w:ind w:right="40"/>
              <w:spacing w:after="0"/>
              <w:rPr>
                <w:sz w:val="20"/>
                <w:szCs w:val="20"/>
                <w:color w:val="auto"/>
              </w:rPr>
            </w:pPr>
            <w:r>
              <w:rPr>
                <w:rFonts w:ascii="Arial" w:cs="Arial" w:eastAsia="Arial" w:hAnsi="Arial"/>
                <w:sz w:val="11"/>
                <w:szCs w:val="11"/>
                <w:color w:val="auto"/>
              </w:rPr>
              <w:t>Paid-in</w:t>
            </w:r>
          </w:p>
        </w:tc>
        <w:tc>
          <w:tcPr>
            <w:tcW w:w="720" w:type="dxa"/>
            <w:vAlign w:val="bottom"/>
            <w:gridSpan w:val="6"/>
          </w:tcPr>
          <w:p>
            <w:pPr>
              <w:ind w:left="80"/>
              <w:spacing w:after="0"/>
              <w:rPr>
                <w:sz w:val="20"/>
                <w:szCs w:val="20"/>
                <w:color w:val="auto"/>
              </w:rPr>
            </w:pPr>
            <w:r>
              <w:rPr>
                <w:rFonts w:ascii="Arial" w:cs="Arial" w:eastAsia="Arial" w:hAnsi="Arial"/>
                <w:sz w:val="11"/>
                <w:szCs w:val="11"/>
                <w:color w:val="auto"/>
              </w:rPr>
              <w:t>Subscription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1"/>
                <w:szCs w:val="11"/>
                <w:color w:val="auto"/>
                <w:w w:val="94"/>
              </w:rPr>
              <w:t>Accumulated</w:t>
            </w:r>
          </w:p>
        </w:tc>
        <w:tc>
          <w:tcPr>
            <w:tcW w:w="820" w:type="dxa"/>
            <w:vAlign w:val="bottom"/>
            <w:gridSpan w:val="4"/>
          </w:tcPr>
          <w:p>
            <w:pPr>
              <w:ind w:left="40"/>
              <w:spacing w:after="0"/>
              <w:rPr>
                <w:sz w:val="20"/>
                <w:szCs w:val="20"/>
                <w:color w:val="auto"/>
              </w:rPr>
            </w:pPr>
            <w:r>
              <w:rPr>
                <w:rFonts w:ascii="Arial" w:cs="Arial" w:eastAsia="Arial" w:hAnsi="Arial"/>
                <w:sz w:val="11"/>
                <w:szCs w:val="11"/>
                <w:color w:val="auto"/>
                <w:w w:val="98"/>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color w:val="auto"/>
                <w:w w:val="99"/>
              </w:rPr>
              <w:t>Stockholders’</w:t>
            </w: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color w:val="auto"/>
                <w:w w:val="97"/>
              </w:rPr>
              <w:t>Shares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10"/>
                <w:szCs w:val="10"/>
                <w:color w:val="auto"/>
              </w:rPr>
            </w:pPr>
          </w:p>
        </w:tc>
        <w:tc>
          <w:tcPr>
            <w:tcW w:w="40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color w:val="auto"/>
                <w:w w:val="97"/>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right w:val="single" w:sz="8" w:color="auto"/>
            </w:tcBorders>
            <w:gridSpan w:val="3"/>
          </w:tcPr>
          <w:p>
            <w:pPr>
              <w:jc w:val="right"/>
              <w:ind w:right="100"/>
              <w:spacing w:after="0" w:line="115" w:lineRule="exact"/>
              <w:rPr>
                <w:sz w:val="20"/>
                <w:szCs w:val="20"/>
                <w:color w:val="auto"/>
              </w:rPr>
            </w:pPr>
            <w:r>
              <w:rPr>
                <w:rFonts w:ascii="Arial" w:cs="Arial" w:eastAsia="Arial" w:hAnsi="Arial"/>
                <w:sz w:val="11"/>
                <w:szCs w:val="11"/>
                <w:color w:val="auto"/>
              </w:rPr>
              <w:t>Amount</w:t>
            </w:r>
          </w:p>
        </w:tc>
        <w:tc>
          <w:tcPr>
            <w:tcW w:w="60" w:type="dxa"/>
            <w:vAlign w:val="bottom"/>
          </w:tcPr>
          <w:p>
            <w:pPr>
              <w:spacing w:after="0"/>
              <w:rPr>
                <w:sz w:val="10"/>
                <w:szCs w:val="10"/>
                <w:color w:val="auto"/>
              </w:rPr>
            </w:pPr>
          </w:p>
        </w:tc>
        <w:tc>
          <w:tcPr>
            <w:tcW w:w="58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rPr>
              <w:t>Amount</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5"/>
          </w:tcPr>
          <w:p>
            <w:pPr>
              <w:jc w:val="right"/>
              <w:ind w:right="40"/>
              <w:spacing w:after="0" w:line="115" w:lineRule="exact"/>
              <w:rPr>
                <w:sz w:val="20"/>
                <w:szCs w:val="20"/>
                <w:color w:val="auto"/>
              </w:rPr>
            </w:pPr>
            <w:r>
              <w:rPr>
                <w:rFonts w:ascii="Arial" w:cs="Arial" w:eastAsia="Arial" w:hAnsi="Arial"/>
                <w:sz w:val="11"/>
                <w:szCs w:val="11"/>
                <w:color w:val="auto"/>
              </w:rPr>
              <w:t>Capital</w:t>
            </w:r>
          </w:p>
        </w:tc>
        <w:tc>
          <w:tcPr>
            <w:tcW w:w="80" w:type="dxa"/>
            <w:vAlign w:val="bottom"/>
          </w:tcPr>
          <w:p>
            <w:pPr>
              <w:spacing w:after="0"/>
              <w:rPr>
                <w:sz w:val="10"/>
                <w:szCs w:val="10"/>
                <w:color w:val="auto"/>
              </w:rPr>
            </w:pPr>
          </w:p>
        </w:tc>
        <w:tc>
          <w:tcPr>
            <w:tcW w:w="640" w:type="dxa"/>
            <w:vAlign w:val="bottom"/>
            <w:gridSpan w:val="5"/>
          </w:tcPr>
          <w:p>
            <w:pPr>
              <w:jc w:val="right"/>
              <w:ind w:right="60"/>
              <w:spacing w:after="0" w:line="115" w:lineRule="exact"/>
              <w:rPr>
                <w:sz w:val="20"/>
                <w:szCs w:val="20"/>
                <w:color w:val="auto"/>
              </w:rPr>
            </w:pPr>
            <w:r>
              <w:rPr>
                <w:rFonts w:ascii="Arial" w:cs="Arial" w:eastAsia="Arial" w:hAnsi="Arial"/>
                <w:sz w:val="11"/>
                <w:szCs w:val="11"/>
                <w:color w:val="auto"/>
              </w:rPr>
              <w:t>Receivable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15" w:lineRule="exact"/>
              <w:rPr>
                <w:sz w:val="20"/>
                <w:szCs w:val="20"/>
                <w:color w:val="auto"/>
              </w:rPr>
            </w:pPr>
            <w:r>
              <w:rPr>
                <w:rFonts w:ascii="Arial" w:cs="Arial" w:eastAsia="Arial" w:hAnsi="Arial"/>
                <w:sz w:val="11"/>
                <w:szCs w:val="11"/>
                <w:color w:val="auto"/>
              </w:rPr>
              <w:t>Deficit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15" w:lineRule="exact"/>
              <w:rPr>
                <w:sz w:val="20"/>
                <w:szCs w:val="20"/>
                <w:color w:val="auto"/>
              </w:rPr>
            </w:pPr>
            <w:r>
              <w:rPr>
                <w:rFonts w:ascii="Arial" w:cs="Arial" w:eastAsia="Arial" w:hAnsi="Arial"/>
                <w:sz w:val="11"/>
                <w:szCs w:val="11"/>
                <w:color w:val="auto"/>
              </w:rPr>
              <w:t>Loss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15"/>
        </w:trPr>
        <w:tc>
          <w:tcPr>
            <w:tcW w:w="190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3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360" w:type="dxa"/>
            <w:vAlign w:val="bottom"/>
            <w:tcBorders>
              <w:top w:val="single" w:sz="8" w:color="auto"/>
              <w:right w:val="single" w:sz="8" w:color="CCEEFF"/>
            </w:tcBorders>
            <w:gridSpan w:val="2"/>
            <w:shd w:val="clear" w:color="auto" w:fill="CCEEFF"/>
          </w:tcPr>
          <w:p>
            <w:pPr>
              <w:jc w:val="center"/>
              <w:ind w:right="86"/>
              <w:spacing w:after="0" w:line="115" w:lineRule="exact"/>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right w:val="single" w:sz="8" w:color="auto"/>
            </w:tcBorders>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55,005,523</w:t>
            </w:r>
          </w:p>
        </w:tc>
        <w:tc>
          <w:tcPr>
            <w:tcW w:w="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gridSpan w:val="5"/>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w w:val="93"/>
              </w:rPr>
              <w:t>$ 785,049</w:t>
            </w: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396,238</w:t>
            </w:r>
          </w:p>
        </w:tc>
        <w:tc>
          <w:tcPr>
            <w:tcW w:w="0" w:type="dxa"/>
            <w:vAlign w:val="bottom"/>
          </w:tcPr>
          <w:p>
            <w:pPr>
              <w:spacing w:after="0"/>
              <w:rPr>
                <w:sz w:val="1"/>
                <w:szCs w:val="1"/>
                <w:color w:val="auto"/>
              </w:rPr>
            </w:pPr>
          </w:p>
        </w:tc>
      </w:tr>
      <w:tr>
        <w:trPr>
          <w:trHeight w:val="122"/>
        </w:trPr>
        <w:tc>
          <w:tcPr>
            <w:tcW w:w="2020" w:type="dxa"/>
            <w:vAlign w:val="bottom"/>
            <w:gridSpan w:val="4"/>
          </w:tcPr>
          <w:p>
            <w:pPr>
              <w:spacing w:after="0" w:line="122" w:lineRule="exact"/>
              <w:rPr>
                <w:sz w:val="20"/>
                <w:szCs w:val="20"/>
                <w:color w:val="auto"/>
              </w:rPr>
            </w:pPr>
            <w:r>
              <w:rPr>
                <w:rFonts w:ascii="Arial" w:cs="Arial" w:eastAsia="Arial" w:hAnsi="Arial"/>
                <w:sz w:val="11"/>
                <w:szCs w:val="11"/>
                <w:color w:val="auto"/>
                <w:w w:val="99"/>
              </w:rPr>
              <w:t>Issuance of stock to collaboration partner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2,160,760</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w:t>
            </w:r>
          </w:p>
        </w:tc>
        <w:tc>
          <w:tcPr>
            <w:tcW w:w="64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26,812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26,813</w:t>
            </w:r>
          </w:p>
        </w:tc>
        <w:tc>
          <w:tcPr>
            <w:tcW w:w="0" w:type="dxa"/>
            <w:vAlign w:val="bottom"/>
          </w:tcPr>
          <w:p>
            <w:pPr>
              <w:spacing w:after="0"/>
              <w:rPr>
                <w:sz w:val="1"/>
                <w:szCs w:val="1"/>
                <w:color w:val="auto"/>
              </w:rPr>
            </w:pPr>
          </w:p>
        </w:tc>
      </w:tr>
      <w:tr>
        <w:trPr>
          <w:trHeight w:val="108"/>
        </w:trPr>
        <w:tc>
          <w:tcPr>
            <w:tcW w:w="5040" w:type="dxa"/>
            <w:vAlign w:val="bottom"/>
            <w:tcBorders>
              <w:right w:val="single" w:sz="8" w:color="CCEEFF"/>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w:t>
            </w:r>
          </w:p>
        </w:tc>
        <w:tc>
          <w:tcPr>
            <w:tcW w:w="240" w:type="dxa"/>
            <w:vAlign w:val="bottom"/>
            <w:tcBorders>
              <w:right w:val="single" w:sz="8" w:color="auto"/>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85,396</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65</w:t>
            </w:r>
          </w:p>
        </w:tc>
        <w:tc>
          <w:tcPr>
            <w:tcW w:w="0" w:type="dxa"/>
            <w:vAlign w:val="bottom"/>
          </w:tcPr>
          <w:p>
            <w:pPr>
              <w:spacing w:after="0"/>
              <w:rPr>
                <w:sz w:val="1"/>
                <w:szCs w:val="1"/>
                <w:color w:val="auto"/>
              </w:rPr>
            </w:pPr>
          </w:p>
        </w:tc>
      </w:tr>
      <w:tr>
        <w:trPr>
          <w:trHeight w:val="122"/>
        </w:trPr>
        <w:tc>
          <w:tcPr>
            <w:tcW w:w="1260" w:type="dxa"/>
            <w:vAlign w:val="bottom"/>
          </w:tcPr>
          <w:p>
            <w:pPr>
              <w:spacing w:after="0" w:line="122" w:lineRule="exact"/>
              <w:rPr>
                <w:sz w:val="20"/>
                <w:szCs w:val="20"/>
                <w:color w:val="auto"/>
              </w:rPr>
            </w:pPr>
            <w:r>
              <w:rPr>
                <w:rFonts w:ascii="Arial" w:cs="Arial" w:eastAsia="Arial" w:hAnsi="Arial"/>
                <w:sz w:val="11"/>
                <w:szCs w:val="11"/>
                <w:color w:val="auto"/>
                <w:w w:val="98"/>
              </w:rPr>
              <w:t>Vesting of restricted stock</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161,159</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173,192</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86"/>
              </w:rPr>
              <w:t>673</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673</w:t>
            </w: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64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2,380</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2,380</w:t>
            </w:r>
          </w:p>
        </w:tc>
        <w:tc>
          <w:tcPr>
            <w:tcW w:w="0" w:type="dxa"/>
            <w:vAlign w:val="bottom"/>
          </w:tcPr>
          <w:p>
            <w:pPr>
              <w:spacing w:after="0"/>
              <w:rPr>
                <w:sz w:val="1"/>
                <w:szCs w:val="1"/>
                <w:color w:val="auto"/>
              </w:rPr>
            </w:pPr>
          </w:p>
        </w:tc>
      </w:tr>
      <w:tr>
        <w:trPr>
          <w:trHeight w:val="121"/>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(1,986)</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(1,986)</w:t>
            </w: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122"/>
        </w:trPr>
        <w:tc>
          <w:tcPr>
            <w:tcW w:w="1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(37,512)</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(37,512)</w:t>
            </w:r>
          </w:p>
        </w:tc>
        <w:tc>
          <w:tcPr>
            <w:tcW w:w="0" w:type="dxa"/>
            <w:vAlign w:val="bottom"/>
          </w:tcPr>
          <w:p>
            <w:pPr>
              <w:spacing w:after="0"/>
              <w:rPr>
                <w:sz w:val="1"/>
                <w:szCs w:val="1"/>
                <w:color w:val="auto"/>
              </w:rPr>
            </w:pPr>
          </w:p>
        </w:tc>
      </w:tr>
      <w:tr>
        <w:trPr>
          <w:trHeight w:val="115"/>
        </w:trPr>
        <w:tc>
          <w:tcPr>
            <w:tcW w:w="1260" w:type="dxa"/>
            <w:vAlign w:val="bottom"/>
          </w:tcPr>
          <w:p>
            <w:pPr>
              <w:spacing w:after="0" w:line="115" w:lineRule="exact"/>
              <w:rPr>
                <w:sz w:val="20"/>
                <w:szCs w:val="20"/>
                <w:color w:val="auto"/>
              </w:rPr>
            </w:pPr>
            <w:r>
              <w:rPr>
                <w:rFonts w:ascii="Arial" w:cs="Arial" w:eastAsia="Arial" w:hAnsi="Arial"/>
                <w:sz w:val="11"/>
                <w:szCs w:val="11"/>
                <w:b w:val="1"/>
                <w:bCs w:val="1"/>
                <w:color w:val="auto"/>
                <w:w w:val="97"/>
              </w:rPr>
              <w:t>Balance, March 31, 2022</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280" w:type="dxa"/>
            <w:vAlign w:val="bottom"/>
            <w:tcBorders>
              <w:top w:val="single" w:sz="8" w:color="auto"/>
            </w:tcBorders>
          </w:tcPr>
          <w:p>
            <w:pPr>
              <w:jc w:val="center"/>
              <w:ind w:right="166"/>
              <w:spacing w:after="0" w:line="115" w:lineRule="exact"/>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right w:val="single" w:sz="8" w:color="auto"/>
            </w:tcBorders>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58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4"/>
              </w:rPr>
              <w:t>57,586,030</w:t>
            </w:r>
          </w:p>
        </w:tc>
        <w:tc>
          <w:tcPr>
            <w:tcW w:w="60" w:type="dxa"/>
            <w:vAlign w:val="bottom"/>
          </w:tcPr>
          <w:p>
            <w:pPr>
              <w:spacing w:after="0"/>
              <w:rPr>
                <w:sz w:val="10"/>
                <w:szCs w:val="10"/>
                <w:color w:val="auto"/>
              </w:rPr>
            </w:pPr>
          </w:p>
        </w:tc>
        <w:tc>
          <w:tcPr>
            <w:tcW w:w="260" w:type="dxa"/>
            <w:vAlign w:val="bottom"/>
            <w:tcBorders>
              <w:top w:val="single" w:sz="8" w:color="auto"/>
            </w:tcBorders>
          </w:tcPr>
          <w:p>
            <w:pPr>
              <w:jc w:val="center"/>
              <w:ind w:right="146"/>
              <w:spacing w:after="0" w:line="115" w:lineRule="exact"/>
              <w:rPr>
                <w:sz w:val="20"/>
                <w:szCs w:val="20"/>
                <w:color w:val="auto"/>
              </w:rPr>
            </w:pPr>
            <w:r>
              <w:rPr>
                <w:rFonts w:ascii="Arial" w:cs="Arial" w:eastAsia="Arial" w:hAnsi="Arial"/>
                <w:sz w:val="11"/>
                <w:szCs w:val="11"/>
                <w:b w:val="1"/>
                <w:bCs w:val="1"/>
                <w:color w:val="auto"/>
                <w:w w:val="97"/>
              </w:rPr>
              <w:t>$</w:t>
            </w:r>
          </w:p>
        </w:tc>
        <w:tc>
          <w:tcPr>
            <w:tcW w:w="14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gridSpan w:val="5"/>
          </w:tcPr>
          <w:p>
            <w:pPr>
              <w:jc w:val="right"/>
              <w:ind w:right="40"/>
              <w:spacing w:after="0" w:line="115" w:lineRule="exact"/>
              <w:rPr>
                <w:sz w:val="20"/>
                <w:szCs w:val="20"/>
                <w:color w:val="auto"/>
              </w:rPr>
            </w:pPr>
            <w:r>
              <w:rPr>
                <w:rFonts w:ascii="Arial" w:cs="Arial" w:eastAsia="Arial" w:hAnsi="Arial"/>
                <w:sz w:val="11"/>
                <w:szCs w:val="11"/>
                <w:b w:val="1"/>
                <w:bCs w:val="1"/>
                <w:color w:val="auto"/>
                <w:w w:val="93"/>
              </w:rPr>
              <w:t>$ 814,979</w:t>
            </w: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(425,679)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(2,642)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386,664</w:t>
            </w:r>
          </w:p>
        </w:tc>
        <w:tc>
          <w:tcPr>
            <w:tcW w:w="0" w:type="dxa"/>
            <w:vAlign w:val="bottom"/>
          </w:tcPr>
          <w:p>
            <w:pPr>
              <w:spacing w:after="0"/>
              <w:rPr>
                <w:sz w:val="1"/>
                <w:szCs w:val="1"/>
                <w:color w:val="auto"/>
              </w:rPr>
            </w:pPr>
          </w:p>
        </w:tc>
      </w:tr>
      <w:tr>
        <w:trPr>
          <w:trHeight w:val="108"/>
        </w:trPr>
        <w:tc>
          <w:tcPr>
            <w:tcW w:w="5040" w:type="dxa"/>
            <w:vAlign w:val="bottom"/>
            <w:tcBorders>
              <w:right w:val="single" w:sz="8" w:color="CCEEFF"/>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w:t>
            </w:r>
          </w:p>
        </w:tc>
        <w:tc>
          <w:tcPr>
            <w:tcW w:w="240" w:type="dxa"/>
            <w:vAlign w:val="bottom"/>
            <w:tcBorders>
              <w:right w:val="single" w:sz="8" w:color="auto"/>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31,381</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21"/>
        </w:trPr>
        <w:tc>
          <w:tcPr>
            <w:tcW w:w="1260" w:type="dxa"/>
            <w:vAlign w:val="bottom"/>
          </w:tcPr>
          <w:p>
            <w:pPr>
              <w:spacing w:after="0" w:line="122" w:lineRule="exact"/>
              <w:rPr>
                <w:sz w:val="20"/>
                <w:szCs w:val="20"/>
                <w:color w:val="auto"/>
              </w:rPr>
            </w:pPr>
            <w:r>
              <w:rPr>
                <w:rFonts w:ascii="Arial" w:cs="Arial" w:eastAsia="Arial" w:hAnsi="Arial"/>
                <w:sz w:val="11"/>
                <w:szCs w:val="11"/>
                <w:color w:val="auto"/>
                <w:w w:val="98"/>
              </w:rPr>
              <w:t>Vesting of restricted stock</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136,425</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104,085</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86"/>
              </w:rPr>
              <w:t>250</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250</w:t>
            </w:r>
          </w:p>
        </w:tc>
        <w:tc>
          <w:tcPr>
            <w:tcW w:w="0" w:type="dxa"/>
            <w:vAlign w:val="bottom"/>
          </w:tcPr>
          <w:p>
            <w:pPr>
              <w:spacing w:after="0"/>
              <w:rPr>
                <w:sz w:val="1"/>
                <w:szCs w:val="1"/>
                <w:color w:val="auto"/>
              </w:rPr>
            </w:pPr>
          </w:p>
        </w:tc>
      </w:tr>
      <w:tr>
        <w:trPr>
          <w:trHeight w:val="122"/>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64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2,771</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2,771</w:t>
            </w:r>
          </w:p>
        </w:tc>
        <w:tc>
          <w:tcPr>
            <w:tcW w:w="0" w:type="dxa"/>
            <w:vAlign w:val="bottom"/>
          </w:tcPr>
          <w:p>
            <w:pPr>
              <w:spacing w:after="0"/>
              <w:rPr>
                <w:sz w:val="1"/>
                <w:szCs w:val="1"/>
                <w:color w:val="auto"/>
              </w:rPr>
            </w:pPr>
          </w:p>
        </w:tc>
      </w:tr>
      <w:tr>
        <w:trPr>
          <w:trHeight w:val="122"/>
        </w:trPr>
        <w:tc>
          <w:tcPr>
            <w:tcW w:w="1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(780)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(780)</w:t>
            </w: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w:t>
            </w:r>
          </w:p>
        </w:tc>
        <w:tc>
          <w:tcPr>
            <w:tcW w:w="0" w:type="dxa"/>
            <w:vAlign w:val="bottom"/>
          </w:tcPr>
          <w:p>
            <w:pPr>
              <w:spacing w:after="0"/>
              <w:rPr>
                <w:sz w:val="1"/>
                <w:szCs w:val="1"/>
                <w:color w:val="auto"/>
              </w:rPr>
            </w:pPr>
          </w:p>
        </w:tc>
      </w:tr>
      <w:tr>
        <w:trPr>
          <w:trHeight w:val="122"/>
        </w:trPr>
        <w:tc>
          <w:tcPr>
            <w:tcW w:w="1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auto"/>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(30,988)</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(30,988)</w:t>
            </w:r>
          </w:p>
        </w:tc>
        <w:tc>
          <w:tcPr>
            <w:tcW w:w="0" w:type="dxa"/>
            <w:vAlign w:val="bottom"/>
          </w:tcPr>
          <w:p>
            <w:pPr>
              <w:spacing w:after="0"/>
              <w:rPr>
                <w:sz w:val="1"/>
                <w:szCs w:val="1"/>
                <w:color w:val="auto"/>
              </w:rPr>
            </w:pPr>
          </w:p>
        </w:tc>
      </w:tr>
      <w:tr>
        <w:trPr>
          <w:trHeight w:val="115"/>
        </w:trPr>
        <w:tc>
          <w:tcPr>
            <w:tcW w:w="12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center"/>
              <w:ind w:right="166"/>
              <w:spacing w:after="0" w:line="115" w:lineRule="exact"/>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bottom w:val="single" w:sz="8" w:color="auto"/>
              <w:right w:val="single" w:sz="8" w:color="auto"/>
            </w:tcBorders>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58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4"/>
              </w:rPr>
              <w:t>57,857,921</w:t>
            </w:r>
          </w:p>
        </w:tc>
        <w:tc>
          <w:tcPr>
            <w:tcW w:w="6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center"/>
              <w:ind w:right="146"/>
              <w:spacing w:after="0" w:line="115" w:lineRule="exact"/>
              <w:rPr>
                <w:sz w:val="20"/>
                <w:szCs w:val="20"/>
                <w:color w:val="auto"/>
              </w:rPr>
            </w:pPr>
            <w:r>
              <w:rPr>
                <w:rFonts w:ascii="Arial" w:cs="Arial" w:eastAsia="Arial" w:hAnsi="Arial"/>
                <w:sz w:val="11"/>
                <w:szCs w:val="11"/>
                <w:b w:val="1"/>
                <w:bCs w:val="1"/>
                <w:color w:val="auto"/>
                <w:w w:val="97"/>
              </w:rPr>
              <w:t>$</w:t>
            </w:r>
          </w:p>
        </w:tc>
        <w:tc>
          <w:tcPr>
            <w:tcW w:w="14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bottom w:val="single" w:sz="8" w:color="auto"/>
            </w:tcBorders>
            <w:gridSpan w:val="5"/>
          </w:tcPr>
          <w:p>
            <w:pPr>
              <w:jc w:val="right"/>
              <w:ind w:right="40"/>
              <w:spacing w:after="0" w:line="115" w:lineRule="exact"/>
              <w:rPr>
                <w:sz w:val="20"/>
                <w:szCs w:val="20"/>
                <w:color w:val="auto"/>
              </w:rPr>
            </w:pPr>
            <w:r>
              <w:rPr>
                <w:rFonts w:ascii="Arial" w:cs="Arial" w:eastAsia="Arial" w:hAnsi="Arial"/>
                <w:sz w:val="11"/>
                <w:szCs w:val="11"/>
                <w:b w:val="1"/>
                <w:bCs w:val="1"/>
                <w:color w:val="auto"/>
                <w:w w:val="93"/>
              </w:rPr>
              <w:t>$ 818,047</w:t>
            </w:r>
          </w:p>
        </w:tc>
        <w:tc>
          <w:tcPr>
            <w:tcW w:w="80" w:type="dxa"/>
            <w:vAlign w:val="bottom"/>
          </w:tcPr>
          <w:p>
            <w:pPr>
              <w:spacing w:after="0"/>
              <w:rPr>
                <w:sz w:val="10"/>
                <w:szCs w:val="10"/>
                <w:color w:val="auto"/>
              </w:rPr>
            </w:pPr>
          </w:p>
        </w:tc>
        <w:tc>
          <w:tcPr>
            <w:tcW w:w="4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(456,667)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(3,434)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357,952</w:t>
            </w:r>
          </w:p>
        </w:tc>
        <w:tc>
          <w:tcPr>
            <w:tcW w:w="0" w:type="dxa"/>
            <w:vAlign w:val="bottom"/>
          </w:tcPr>
          <w:p>
            <w:pPr>
              <w:spacing w:after="0"/>
              <w:rPr>
                <w:sz w:val="1"/>
                <w:szCs w:val="1"/>
                <w:color w:val="auto"/>
              </w:rPr>
            </w:pPr>
          </w:p>
        </w:tc>
      </w:tr>
      <w:tr>
        <w:trPr>
          <w:trHeight w:val="20"/>
        </w:trPr>
        <w:tc>
          <w:tcPr>
            <w:tcW w:w="2220" w:type="dxa"/>
            <w:vAlign w:val="bottom"/>
            <w:gridSpan w:val="5"/>
          </w:tcPr>
          <w:p>
            <w:pPr>
              <w:spacing w:after="0" w:line="20" w:lineRule="exact"/>
              <w:rPr>
                <w:sz w:val="1"/>
                <w:szCs w:val="1"/>
                <w:color w:val="auto"/>
              </w:rPr>
            </w:pPr>
          </w:p>
        </w:tc>
        <w:tc>
          <w:tcPr>
            <w:tcW w:w="4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200" w:type="dxa"/>
            <w:vAlign w:val="bottom"/>
            <w:gridSpan w:val="65"/>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60" w:type="dxa"/>
            <w:vAlign w:val="bottom"/>
            <w:gridSpan w:val="14"/>
          </w:tcPr>
          <w:p>
            <w:pPr>
              <w:spacing w:after="0"/>
              <w:rPr>
                <w:sz w:val="20"/>
                <w:szCs w:val="20"/>
                <w:color w:val="auto"/>
              </w:rPr>
            </w:pPr>
            <w:r>
              <w:rPr>
                <w:rFonts w:ascii="Arial" w:cs="Arial" w:eastAsia="Arial" w:hAnsi="Arial"/>
                <w:sz w:val="11"/>
                <w:szCs w:val="11"/>
                <w:color w:val="auto"/>
              </w:rPr>
              <w:t>Series A</w:t>
            </w:r>
          </w:p>
        </w:tc>
        <w:tc>
          <w:tcPr>
            <w:tcW w:w="1220" w:type="dxa"/>
            <w:vAlign w:val="bottom"/>
            <w:gridSpan w:val="8"/>
          </w:tcPr>
          <w:p>
            <w:pPr>
              <w:jc w:val="right"/>
              <w:ind w:right="666"/>
              <w:spacing w:after="0"/>
              <w:rPr>
                <w:sz w:val="20"/>
                <w:szCs w:val="20"/>
                <w:color w:val="auto"/>
              </w:rPr>
            </w:pPr>
            <w:r>
              <w:rPr>
                <w:rFonts w:ascii="Arial" w:cs="Arial" w:eastAsia="Arial" w:hAnsi="Arial"/>
                <w:sz w:val="11"/>
                <w:szCs w:val="11"/>
                <w:color w:val="auto"/>
              </w:rPr>
              <w:t>Series B</w:t>
            </w:r>
          </w:p>
        </w:tc>
        <w:tc>
          <w:tcPr>
            <w:tcW w:w="5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4"/>
              </w:rPr>
              <w:t>Series C</w:t>
            </w:r>
          </w:p>
        </w:tc>
        <w:tc>
          <w:tcPr>
            <w:tcW w:w="5160" w:type="dxa"/>
            <w:vAlign w:val="bottom"/>
            <w:gridSpan w:val="40"/>
          </w:tcPr>
          <w:p>
            <w:pPr>
              <w:spacing w:after="0"/>
              <w:rPr>
                <w:sz w:val="20"/>
                <w:szCs w:val="20"/>
                <w:color w:val="auto"/>
              </w:rPr>
            </w:pPr>
            <w:r>
              <w:rPr>
                <w:rFonts w:ascii="Arial" w:cs="Arial" w:eastAsia="Arial" w:hAnsi="Arial"/>
                <w:sz w:val="11"/>
                <w:szCs w:val="11"/>
                <w:color w:val="auto"/>
              </w:rPr>
              <w:t>Accumulated</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11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Convertible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jc w:val="right"/>
              <w:ind w:right="10"/>
              <w:spacing w:after="0" w:line="122" w:lineRule="exact"/>
              <w:rPr>
                <w:sz w:val="20"/>
                <w:szCs w:val="20"/>
                <w:color w:val="auto"/>
              </w:rPr>
            </w:pPr>
            <w:r>
              <w:rPr>
                <w:rFonts w:ascii="Arial" w:cs="Arial" w:eastAsia="Arial" w:hAnsi="Arial"/>
                <w:sz w:val="11"/>
                <w:szCs w:val="11"/>
                <w:color w:val="auto"/>
              </w:rPr>
              <w:t>Convertible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right w:val="single" w:sz="8" w:color="auto"/>
            </w:tcBorders>
            <w:gridSpan w:val="4"/>
          </w:tcPr>
          <w:p>
            <w:pPr>
              <w:jc w:val="right"/>
              <w:ind w:right="6"/>
              <w:spacing w:after="0" w:line="122" w:lineRule="exact"/>
              <w:rPr>
                <w:sz w:val="20"/>
                <w:szCs w:val="20"/>
                <w:color w:val="auto"/>
              </w:rPr>
            </w:pPr>
            <w:r>
              <w:rPr>
                <w:rFonts w:ascii="Arial" w:cs="Arial" w:eastAsia="Arial" w:hAnsi="Arial"/>
                <w:sz w:val="11"/>
                <w:szCs w:val="11"/>
                <w:color w:val="auto"/>
                <w:w w:val="96"/>
              </w:rPr>
              <w:t>Convertible</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4"/>
          </w:tcPr>
          <w:p>
            <w:pPr>
              <w:jc w:val="right"/>
              <w:spacing w:after="0" w:line="122" w:lineRule="exact"/>
              <w:rPr>
                <w:sz w:val="20"/>
                <w:szCs w:val="20"/>
                <w:color w:val="auto"/>
              </w:rPr>
            </w:pPr>
            <w:r>
              <w:rPr>
                <w:rFonts w:ascii="Arial" w:cs="Arial" w:eastAsia="Arial" w:hAnsi="Arial"/>
                <w:sz w:val="11"/>
                <w:szCs w:val="11"/>
                <w:color w:val="auto"/>
                <w:w w:val="95"/>
              </w:rPr>
              <w:t>Additional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color w:val="auto"/>
              </w:rPr>
              <w:t>Preferred Stock</w:t>
            </w: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1"/>
                <w:szCs w:val="11"/>
                <w:color w:val="auto"/>
              </w:rPr>
              <w:t>Preferred Stock</w:t>
            </w: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gridSpan w:val="6"/>
          </w:tcPr>
          <w:p>
            <w:pPr>
              <w:jc w:val="right"/>
              <w:ind w:right="6"/>
              <w:spacing w:after="0"/>
              <w:rPr>
                <w:sz w:val="20"/>
                <w:szCs w:val="20"/>
                <w:color w:val="auto"/>
              </w:rPr>
            </w:pPr>
            <w:r>
              <w:rPr>
                <w:rFonts w:ascii="Arial" w:cs="Arial" w:eastAsia="Arial" w:hAnsi="Arial"/>
                <w:sz w:val="11"/>
                <w:szCs w:val="11"/>
                <w:color w:val="auto"/>
                <w:w w:val="99"/>
              </w:rPr>
              <w:t>Preferred Stock</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gridSpan w:val="15"/>
          </w:tcPr>
          <w:p>
            <w:pPr>
              <w:jc w:val="right"/>
              <w:spacing w:after="0"/>
              <w:rPr>
                <w:sz w:val="20"/>
                <w:szCs w:val="20"/>
                <w:color w:val="auto"/>
              </w:rPr>
            </w:pPr>
            <w:r>
              <w:rPr>
                <w:rFonts w:ascii="Arial" w:cs="Arial" w:eastAsia="Arial" w:hAnsi="Arial"/>
                <w:sz w:val="11"/>
                <w:szCs w:val="11"/>
                <w:color w:val="auto"/>
              </w:rPr>
              <w:t>Paid-in   Subscription   Accumulated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1"/>
                <w:szCs w:val="11"/>
                <w:color w:val="auto"/>
                <w:w w:val="96"/>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color w:val="auto"/>
                <w:w w:val="99"/>
              </w:rPr>
              <w:t>Stockholders’</w:t>
            </w: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w w:val="97"/>
              </w:rPr>
              <w:t>Shares</w:t>
            </w:r>
          </w:p>
        </w:tc>
        <w:tc>
          <w:tcPr>
            <w:tcW w:w="80" w:type="dxa"/>
            <w:vAlign w:val="bottom"/>
          </w:tcPr>
          <w:p>
            <w:pPr>
              <w:spacing w:after="0"/>
              <w:rPr>
                <w:sz w:val="10"/>
                <w:szCs w:val="10"/>
                <w:color w:val="auto"/>
              </w:rPr>
            </w:pPr>
          </w:p>
        </w:tc>
        <w:tc>
          <w:tcPr>
            <w:tcW w:w="560" w:type="dxa"/>
            <w:vAlign w:val="bottom"/>
            <w:gridSpan w:val="4"/>
          </w:tcPr>
          <w:p>
            <w:pPr>
              <w:jc w:val="right"/>
              <w:ind w:right="10"/>
              <w:spacing w:after="0" w:line="115" w:lineRule="exact"/>
              <w:rPr>
                <w:sz w:val="20"/>
                <w:szCs w:val="20"/>
                <w:color w:val="auto"/>
              </w:rPr>
            </w:pPr>
            <w:r>
              <w:rPr>
                <w:rFonts w:ascii="Arial" w:cs="Arial" w:eastAsia="Arial" w:hAnsi="Arial"/>
                <w:sz w:val="11"/>
                <w:szCs w:val="11"/>
                <w:color w:val="auto"/>
              </w:rPr>
              <w:t>Amount</w:t>
            </w:r>
          </w:p>
        </w:tc>
        <w:tc>
          <w:tcPr>
            <w:tcW w:w="60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Pr>
          <w:p>
            <w:pPr>
              <w:spacing w:after="0"/>
              <w:rPr>
                <w:sz w:val="10"/>
                <w:szCs w:val="10"/>
                <w:color w:val="auto"/>
              </w:rPr>
            </w:pPr>
          </w:p>
        </w:tc>
        <w:tc>
          <w:tcPr>
            <w:tcW w:w="560" w:type="dxa"/>
            <w:vAlign w:val="bottom"/>
            <w:tcBorders>
              <w:right w:val="single" w:sz="8" w:color="auto"/>
            </w:tcBorders>
            <w:gridSpan w:val="3"/>
          </w:tcPr>
          <w:p>
            <w:pPr>
              <w:jc w:val="center"/>
              <w:ind w:left="26"/>
              <w:spacing w:after="0" w:line="115" w:lineRule="exact"/>
              <w:rPr>
                <w:sz w:val="20"/>
                <w:szCs w:val="20"/>
                <w:color w:val="auto"/>
              </w:rPr>
            </w:pPr>
            <w:r>
              <w:rPr>
                <w:rFonts w:ascii="Arial" w:cs="Arial" w:eastAsia="Arial" w:hAnsi="Arial"/>
                <w:sz w:val="11"/>
                <w:szCs w:val="11"/>
                <w:color w:val="auto"/>
                <w:w w:val="94"/>
              </w:rPr>
              <w:t>Amount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480" w:type="dxa"/>
            <w:vAlign w:val="bottom"/>
            <w:gridSpan w:val="3"/>
          </w:tcPr>
          <w:p>
            <w:pPr>
              <w:jc w:val="center"/>
              <w:spacing w:after="0" w:line="115" w:lineRule="exact"/>
              <w:rPr>
                <w:sz w:val="20"/>
                <w:szCs w:val="20"/>
                <w:color w:val="auto"/>
              </w:rPr>
            </w:pPr>
            <w:r>
              <w:rPr>
                <w:rFonts w:ascii="Arial" w:cs="Arial" w:eastAsia="Arial" w:hAnsi="Arial"/>
                <w:sz w:val="11"/>
                <w:szCs w:val="1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Capital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15" w:lineRule="exact"/>
              <w:rPr>
                <w:sz w:val="20"/>
                <w:szCs w:val="20"/>
                <w:color w:val="auto"/>
              </w:rPr>
            </w:pPr>
            <w:r>
              <w:rPr>
                <w:rFonts w:ascii="Arial" w:cs="Arial" w:eastAsia="Arial" w:hAnsi="Arial"/>
                <w:sz w:val="11"/>
                <w:szCs w:val="11"/>
                <w:color w:val="auto"/>
                <w:w w:val="95"/>
              </w:rPr>
              <w:t>Receivable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Loss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c>
          <w:tcPr>
            <w:tcW w:w="0" w:type="dxa"/>
            <w:vAlign w:val="bottom"/>
          </w:tcPr>
          <w:p>
            <w:pPr>
              <w:spacing w:after="0"/>
              <w:rPr>
                <w:sz w:val="1"/>
                <w:szCs w:val="1"/>
                <w:color w:val="auto"/>
              </w:rPr>
            </w:pPr>
          </w:p>
        </w:tc>
      </w:tr>
      <w:tr>
        <w:trPr>
          <w:trHeight w:val="88"/>
        </w:trPr>
        <w:tc>
          <w:tcPr>
            <w:tcW w:w="1260" w:type="dxa"/>
            <w:vAlign w:val="bottom"/>
            <w:tcBorders>
              <w:top w:val="single" w:sz="8" w:color="CCEEFF"/>
            </w:tcBorders>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6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6"/>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780" w:type="dxa"/>
            <w:vAlign w:val="bottom"/>
            <w:tcBorders>
              <w:top w:val="single" w:sz="8" w:color="auto"/>
              <w:right w:val="single" w:sz="8" w:color="auto"/>
            </w:tcBorders>
            <w:gridSpan w:val="11"/>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3"/>
            <w:shd w:val="clear" w:color="auto" w:fill="CCEEFF"/>
          </w:tcPr>
          <w:p>
            <w:pPr>
              <w:spacing w:after="0"/>
              <w:rPr>
                <w:sz w:val="7"/>
                <w:szCs w:val="7"/>
                <w:color w:val="auto"/>
              </w:rPr>
            </w:pPr>
          </w:p>
        </w:tc>
        <w:tc>
          <w:tcPr>
            <w:tcW w:w="80" w:type="dxa"/>
            <w:vAlign w:val="bottom"/>
            <w:tcBorders>
              <w:top w:val="single" w:sz="8" w:color="CCEEFF"/>
            </w:tcBorders>
            <w:gridSpan w:val="2"/>
            <w:shd w:val="clear" w:color="auto" w:fill="CCEEFF"/>
          </w:tcPr>
          <w:p>
            <w:pPr>
              <w:spacing w:after="0"/>
              <w:rPr>
                <w:sz w:val="7"/>
                <w:szCs w:val="7"/>
                <w:color w:val="auto"/>
              </w:rPr>
            </w:pPr>
          </w:p>
        </w:tc>
        <w:tc>
          <w:tcPr>
            <w:tcW w:w="520" w:type="dxa"/>
            <w:vAlign w:val="bottom"/>
            <w:tcBorders>
              <w:top w:val="single" w:sz="8" w:color="auto"/>
            </w:tcBorders>
            <w:gridSpan w:val="5"/>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640" w:type="dxa"/>
            <w:vAlign w:val="bottom"/>
            <w:tcBorders>
              <w:top w:val="single" w:sz="8" w:color="auto"/>
            </w:tcBorders>
            <w:gridSpan w:val="4"/>
            <w:shd w:val="clear" w:color="auto" w:fill="CCEEFF"/>
          </w:tcPr>
          <w:p>
            <w:pPr>
              <w:spacing w:after="0"/>
              <w:rPr>
                <w:sz w:val="7"/>
                <w:szCs w:val="7"/>
                <w:color w:val="auto"/>
              </w:rPr>
            </w:pPr>
          </w:p>
        </w:tc>
        <w:tc>
          <w:tcPr>
            <w:tcW w:w="140" w:type="dxa"/>
            <w:vAlign w:val="bottom"/>
            <w:tcBorders>
              <w:top w:val="single" w:sz="8" w:color="CCEEFF"/>
            </w:tcBorders>
            <w:gridSpan w:val="3"/>
            <w:shd w:val="clear" w:color="auto" w:fill="CCEEFF"/>
          </w:tcPr>
          <w:p>
            <w:pPr>
              <w:spacing w:after="0"/>
              <w:rPr>
                <w:sz w:val="7"/>
                <w:szCs w:val="7"/>
                <w:color w:val="auto"/>
              </w:rPr>
            </w:pPr>
          </w:p>
        </w:tc>
        <w:tc>
          <w:tcPr>
            <w:tcW w:w="660" w:type="dxa"/>
            <w:vAlign w:val="bottom"/>
            <w:tcBorders>
              <w:top w:val="single" w:sz="8" w:color="auto"/>
            </w:tcBorders>
            <w:gridSpan w:val="3"/>
            <w:shd w:val="clear" w:color="auto" w:fill="CCEEFF"/>
          </w:tcPr>
          <w:p>
            <w:pPr>
              <w:spacing w:after="0"/>
              <w:rPr>
                <w:sz w:val="7"/>
                <w:szCs w:val="7"/>
                <w:color w:val="auto"/>
              </w:rPr>
            </w:pPr>
          </w:p>
        </w:tc>
        <w:tc>
          <w:tcPr>
            <w:tcW w:w="140" w:type="dxa"/>
            <w:vAlign w:val="bottom"/>
            <w:tcBorders>
              <w:top w:val="single" w:sz="8" w:color="CCEEFF"/>
            </w:tcBorders>
            <w:gridSpan w:val="3"/>
            <w:shd w:val="clear" w:color="auto" w:fill="CCEEFF"/>
          </w:tcPr>
          <w:p>
            <w:pPr>
              <w:spacing w:after="0"/>
              <w:rPr>
                <w:sz w:val="7"/>
                <w:szCs w:val="7"/>
                <w:color w:val="auto"/>
              </w:rPr>
            </w:pPr>
          </w:p>
        </w:tc>
        <w:tc>
          <w:tcPr>
            <w:tcW w:w="780" w:type="dxa"/>
            <w:vAlign w:val="bottom"/>
            <w:tcBorders>
              <w:top w:val="single" w:sz="8" w:color="auto"/>
            </w:tcBorders>
            <w:gridSpan w:val="3"/>
            <w:shd w:val="clear" w:color="auto" w:fill="CCEEFF"/>
          </w:tcPr>
          <w:p>
            <w:pPr>
              <w:spacing w:after="0"/>
              <w:rPr>
                <w:sz w:val="7"/>
                <w:szCs w:val="7"/>
                <w:color w:val="auto"/>
              </w:rPr>
            </w:pPr>
          </w:p>
        </w:tc>
        <w:tc>
          <w:tcPr>
            <w:tcW w:w="200" w:type="dxa"/>
            <w:vAlign w:val="bottom"/>
            <w:tcBorders>
              <w:top w:val="single" w:sz="8" w:color="CCEEFF"/>
            </w:tcBorders>
            <w:gridSpan w:val="5"/>
            <w:shd w:val="clear" w:color="auto" w:fill="CCEEFF"/>
          </w:tcPr>
          <w:p>
            <w:pPr>
              <w:spacing w:after="0"/>
              <w:rPr>
                <w:sz w:val="7"/>
                <w:szCs w:val="7"/>
                <w:color w:val="auto"/>
              </w:rPr>
            </w:pPr>
          </w:p>
        </w:tc>
        <w:tc>
          <w:tcPr>
            <w:tcW w:w="680" w:type="dxa"/>
            <w:vAlign w:val="bottom"/>
            <w:tcBorders>
              <w:top w:val="single" w:sz="8" w:color="auto"/>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34,922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4"/>
              </w:rPr>
              <w:t>26,143,790</w:t>
            </w:r>
          </w:p>
        </w:tc>
        <w:tc>
          <w:tcPr>
            <w:tcW w:w="640" w:type="dxa"/>
            <w:vAlign w:val="bottom"/>
            <w:gridSpan w:val="5"/>
            <w:shd w:val="clear" w:color="auto" w:fill="CCEEFF"/>
          </w:tcPr>
          <w:p>
            <w:pPr>
              <w:jc w:val="right"/>
              <w:ind w:right="10"/>
              <w:spacing w:after="0"/>
              <w:rPr>
                <w:sz w:val="20"/>
                <w:szCs w:val="20"/>
                <w:color w:val="auto"/>
              </w:rPr>
            </w:pPr>
            <w:r>
              <w:rPr>
                <w:rFonts w:ascii="Arial" w:cs="Arial" w:eastAsia="Arial" w:hAnsi="Arial"/>
                <w:sz w:val="11"/>
                <w:szCs w:val="11"/>
                <w:b w:val="1"/>
                <w:bCs w:val="1"/>
                <w:color w:val="auto"/>
              </w:rPr>
              <w:t>$ 144,839</w:t>
            </w:r>
          </w:p>
        </w:tc>
        <w:tc>
          <w:tcPr>
            <w:tcW w:w="3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6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1"/>
                <w:szCs w:val="11"/>
                <w:b w:val="1"/>
                <w:bCs w:val="1"/>
                <w:color w:val="auto"/>
              </w:rPr>
              <w:t>7,481,861</w:t>
            </w:r>
          </w:p>
        </w:tc>
        <w:tc>
          <w:tcPr>
            <w:tcW w:w="24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217,832</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11"/>
                <w:szCs w:val="11"/>
                <w:color w:val="auto"/>
              </w:rPr>
            </w:pP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(31,900)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(292,342)</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40" w:type="dxa"/>
            <w:vAlign w:val="bottom"/>
            <w:shd w:val="clear" w:color="auto" w:fill="CCEEFF"/>
          </w:tcPr>
          <w:p>
            <w:pPr>
              <w:spacing w:after="0"/>
              <w:rPr>
                <w:sz w:val="11"/>
                <w:szCs w:val="11"/>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Receipt of subscription</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receivable</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b w:val="1"/>
                <w:bCs w:val="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520" w:type="dxa"/>
            <w:vAlign w:val="bottom"/>
            <w:gridSpan w:val="6"/>
          </w:tcPr>
          <w:p>
            <w:pPr>
              <w:jc w:val="right"/>
              <w:ind w:right="246"/>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5"/>
          </w:tcPr>
          <w:p>
            <w:pPr>
              <w:jc w:val="right"/>
              <w:ind w:right="220"/>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8"/>
          </w:tcPr>
          <w:p>
            <w:pPr>
              <w:jc w:val="right"/>
              <w:ind w:right="273"/>
              <w:spacing w:after="0"/>
              <w:rPr>
                <w:sz w:val="20"/>
                <w:szCs w:val="20"/>
                <w:color w:val="auto"/>
              </w:rPr>
            </w:pPr>
            <w:r>
              <w:rPr>
                <w:rFonts w:ascii="Arial" w:cs="Arial" w:eastAsia="Arial" w:hAnsi="Arial"/>
                <w:sz w:val="11"/>
                <w:szCs w:val="11"/>
                <w:color w:val="auto"/>
              </w:rPr>
              <w:t>31,900</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31,900</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Series C</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net</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180" w:type="dxa"/>
            <w:vAlign w:val="bottom"/>
            <w:gridSpan w:val="3"/>
            <w:shd w:val="clear" w:color="auto" w:fill="CCEEFF"/>
          </w:tcPr>
          <w:p>
            <w:pPr>
              <w:jc w:val="right"/>
              <w:ind w:right="10"/>
              <w:spacing w:after="0"/>
              <w:rPr>
                <w:sz w:val="20"/>
                <w:szCs w:val="20"/>
                <w:color w:val="auto"/>
              </w:rPr>
            </w:pPr>
            <w:r>
              <w:rPr>
                <w:rFonts w:ascii="Arial" w:cs="Arial" w:eastAsia="Arial" w:hAnsi="Arial"/>
                <w:sz w:val="11"/>
                <w:szCs w:val="11"/>
                <w:color w:val="auto"/>
                <w:w w:val="90"/>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w w:val="98"/>
              </w:rPr>
              <w:t>24,721,999</w:t>
            </w:r>
          </w:p>
        </w:tc>
        <w:tc>
          <w:tcPr>
            <w:tcW w:w="620" w:type="dxa"/>
            <w:vAlign w:val="bottom"/>
            <w:tcBorders>
              <w:right w:val="single" w:sz="8" w:color="auto"/>
            </w:tcBorders>
            <w:gridSpan w:val="4"/>
            <w:shd w:val="clear" w:color="auto" w:fill="CCEEFF"/>
          </w:tcPr>
          <w:p>
            <w:pPr>
              <w:jc w:val="right"/>
              <w:ind w:right="6"/>
              <w:spacing w:after="0"/>
              <w:rPr>
                <w:sz w:val="20"/>
                <w:szCs w:val="20"/>
                <w:color w:val="auto"/>
              </w:rPr>
            </w:pPr>
            <w:r>
              <w:rPr>
                <w:rFonts w:ascii="Arial" w:cs="Arial" w:eastAsia="Arial" w:hAnsi="Arial"/>
                <w:sz w:val="11"/>
                <w:szCs w:val="11"/>
                <w:color w:val="auto"/>
              </w:rPr>
              <w:t>159,628</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Net assets contributed</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as result of merger</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400" w:type="dxa"/>
            <w:vAlign w:val="bottom"/>
            <w:gridSpan w:val="4"/>
          </w:tcPr>
          <w:p>
            <w:pPr>
              <w:jc w:val="right"/>
              <w:ind w:right="126"/>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8"/>
          </w:tcPr>
          <w:p>
            <w:pPr>
              <w:jc w:val="right"/>
              <w:ind w:right="246"/>
              <w:spacing w:after="0"/>
              <w:rPr>
                <w:sz w:val="20"/>
                <w:szCs w:val="20"/>
                <w:color w:val="auto"/>
              </w:rPr>
            </w:pPr>
            <w:r>
              <w:rPr>
                <w:rFonts w:ascii="Arial" w:cs="Arial" w:eastAsia="Arial" w:hAnsi="Arial"/>
                <w:sz w:val="11"/>
                <w:szCs w:val="11"/>
                <w:color w:val="auto"/>
              </w:rPr>
              <w:t>1,061</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1,061</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stock upon the exercise</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of stock options</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jc w:val="right"/>
              <w:ind w:right="286"/>
              <w:spacing w:after="0"/>
              <w:rPr>
                <w:sz w:val="20"/>
                <w:szCs w:val="20"/>
                <w:color w:val="auto"/>
              </w:rPr>
            </w:pPr>
            <w:r>
              <w:rPr>
                <w:rFonts w:ascii="Arial" w:cs="Arial" w:eastAsia="Arial" w:hAnsi="Arial"/>
                <w:sz w:val="11"/>
                <w:szCs w:val="11"/>
                <w:color w:val="auto"/>
              </w:rPr>
              <w:t>40,790</w:t>
            </w:r>
          </w:p>
        </w:tc>
        <w:tc>
          <w:tcPr>
            <w:tcW w:w="400" w:type="dxa"/>
            <w:vAlign w:val="bottom"/>
            <w:gridSpan w:val="4"/>
            <w:shd w:val="clear" w:color="auto" w:fill="CCEEFF"/>
          </w:tcPr>
          <w:p>
            <w:pPr>
              <w:jc w:val="right"/>
              <w:ind w:right="126"/>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8"/>
            <w:shd w:val="clear" w:color="auto" w:fill="CCEEFF"/>
          </w:tcPr>
          <w:p>
            <w:pPr>
              <w:jc w:val="right"/>
              <w:ind w:right="246"/>
              <w:spacing w:after="0"/>
              <w:rPr>
                <w:sz w:val="20"/>
                <w:szCs w:val="20"/>
                <w:color w:val="auto"/>
              </w:rPr>
            </w:pPr>
            <w:r>
              <w:rPr>
                <w:rFonts w:ascii="Arial" w:cs="Arial" w:eastAsia="Arial" w:hAnsi="Arial"/>
                <w:sz w:val="11"/>
                <w:szCs w:val="11"/>
                <w:color w:val="auto"/>
              </w:rPr>
              <w:t>47</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Vesting of restricted</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stock</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jc w:val="right"/>
              <w:ind w:right="886"/>
              <w:spacing w:after="0"/>
              <w:rPr>
                <w:sz w:val="20"/>
                <w:szCs w:val="20"/>
                <w:color w:val="auto"/>
              </w:rPr>
            </w:pPr>
            <w:r>
              <w:rPr>
                <w:rFonts w:ascii="Arial" w:cs="Arial" w:eastAsia="Arial" w:hAnsi="Arial"/>
                <w:sz w:val="11"/>
                <w:szCs w:val="11"/>
                <w:color w:val="auto"/>
              </w:rPr>
              <w:t>150,799</w:t>
            </w:r>
          </w:p>
        </w:tc>
        <w:tc>
          <w:tcPr>
            <w:tcW w:w="520" w:type="dxa"/>
            <w:vAlign w:val="bottom"/>
            <w:gridSpan w:val="6"/>
          </w:tcPr>
          <w:p>
            <w:pPr>
              <w:jc w:val="right"/>
              <w:ind w:right="246"/>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exercise stock options</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jc w:val="right"/>
              <w:ind w:right="286"/>
              <w:spacing w:after="0"/>
              <w:rPr>
                <w:sz w:val="20"/>
                <w:szCs w:val="20"/>
                <w:color w:val="auto"/>
              </w:rPr>
            </w:pPr>
            <w:r>
              <w:rPr>
                <w:rFonts w:ascii="Arial" w:cs="Arial" w:eastAsia="Arial" w:hAnsi="Arial"/>
                <w:sz w:val="11"/>
                <w:szCs w:val="11"/>
                <w:color w:val="auto"/>
                <w:w w:val="85"/>
              </w:rPr>
              <w:t>199,083</w:t>
            </w:r>
          </w:p>
        </w:tc>
        <w:tc>
          <w:tcPr>
            <w:tcW w:w="400" w:type="dxa"/>
            <w:vAlign w:val="bottom"/>
            <w:gridSpan w:val="4"/>
            <w:shd w:val="clear" w:color="auto" w:fill="CCEEFF"/>
          </w:tcPr>
          <w:p>
            <w:pPr>
              <w:jc w:val="right"/>
              <w:ind w:right="126"/>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8"/>
            <w:shd w:val="clear" w:color="auto" w:fill="CCEEFF"/>
          </w:tcPr>
          <w:p>
            <w:pPr>
              <w:jc w:val="right"/>
              <w:ind w:right="246"/>
              <w:spacing w:after="0"/>
              <w:rPr>
                <w:sz w:val="20"/>
                <w:szCs w:val="20"/>
                <w:color w:val="auto"/>
              </w:rPr>
            </w:pPr>
            <w:r>
              <w:rPr>
                <w:rFonts w:ascii="Arial" w:cs="Arial" w:eastAsia="Arial" w:hAnsi="Arial"/>
                <w:sz w:val="11"/>
                <w:szCs w:val="11"/>
                <w:color w:val="auto"/>
              </w:rPr>
              <w:t>123</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shd w:val="clear" w:color="auto" w:fill="CCEEFF"/>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Unrealized loss on</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investments</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52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6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66"/>
              <w:spacing w:after="0"/>
              <w:rPr>
                <w:sz w:val="20"/>
                <w:szCs w:val="20"/>
                <w:color w:val="auto"/>
              </w:rPr>
            </w:pPr>
            <w:r>
              <w:rPr>
                <w:rFonts w:ascii="Arial" w:cs="Arial" w:eastAsia="Arial" w:hAnsi="Arial"/>
                <w:sz w:val="11"/>
                <w:szCs w:val="11"/>
                <w:color w:val="auto"/>
              </w:rPr>
              <w:t>(27)</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Foreign currency</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translation</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6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shd w:val="clear" w:color="auto" w:fill="CCEEFF"/>
          </w:tcPr>
          <w:p>
            <w:pPr>
              <w:jc w:val="right"/>
              <w:ind w:right="286"/>
              <w:spacing w:after="0"/>
              <w:rPr>
                <w:sz w:val="20"/>
                <w:szCs w:val="20"/>
                <w:color w:val="auto"/>
              </w:rPr>
            </w:pPr>
            <w:r>
              <w:rPr>
                <w:rFonts w:ascii="Arial" w:cs="Arial" w:eastAsia="Arial" w:hAnsi="Arial"/>
                <w:sz w:val="11"/>
                <w:szCs w:val="11"/>
                <w:color w:val="auto"/>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Stock based</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compensation</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400" w:type="dxa"/>
            <w:vAlign w:val="bottom"/>
            <w:gridSpan w:val="4"/>
          </w:tcPr>
          <w:p>
            <w:pPr>
              <w:jc w:val="right"/>
              <w:ind w:right="126"/>
              <w:spacing w:after="0"/>
              <w:rPr>
                <w:sz w:val="20"/>
                <w:szCs w:val="20"/>
                <w:color w:val="auto"/>
              </w:rPr>
            </w:pPr>
            <w:r>
              <w:rPr>
                <w:rFonts w:ascii="Arial" w:cs="Arial" w:eastAsia="Arial" w:hAnsi="Arial"/>
                <w:sz w:val="11"/>
                <w:szCs w:val="11"/>
                <w:color w:val="auto"/>
              </w:rPr>
              <w:t>—</w:t>
            </w:r>
          </w:p>
        </w:tc>
        <w:tc>
          <w:tcPr>
            <w:tcW w:w="720" w:type="dxa"/>
            <w:vAlign w:val="bottom"/>
            <w:gridSpan w:val="8"/>
          </w:tcPr>
          <w:p>
            <w:pPr>
              <w:jc w:val="right"/>
              <w:ind w:right="246"/>
              <w:spacing w:after="0"/>
              <w:rPr>
                <w:sz w:val="20"/>
                <w:szCs w:val="20"/>
                <w:color w:val="auto"/>
              </w:rPr>
            </w:pPr>
            <w:r>
              <w:rPr>
                <w:rFonts w:ascii="Arial" w:cs="Arial" w:eastAsia="Arial" w:hAnsi="Arial"/>
                <w:sz w:val="11"/>
                <w:szCs w:val="11"/>
                <w:color w:val="auto"/>
              </w:rPr>
              <w:t>95</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1"/>
        </w:trPr>
        <w:tc>
          <w:tcPr>
            <w:tcW w:w="1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960" w:type="dxa"/>
            <w:vAlign w:val="bottom"/>
            <w:gridSpan w:val="4"/>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gridSpan w:val="6"/>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6"/>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7"/>
            <w:shd w:val="clear" w:color="auto" w:fill="CCEEFF"/>
          </w:tcPr>
          <w:p>
            <w:pPr>
              <w:jc w:val="right"/>
              <w:ind w:right="273"/>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(18,348)</w:t>
            </w:r>
          </w:p>
        </w:tc>
        <w:tc>
          <w:tcPr>
            <w:tcW w:w="980" w:type="dxa"/>
            <w:vAlign w:val="bottom"/>
            <w:gridSpan w:val="7"/>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(18,348)</w:t>
            </w:r>
          </w:p>
        </w:tc>
        <w:tc>
          <w:tcPr>
            <w:tcW w:w="0" w:type="dxa"/>
            <w:vAlign w:val="bottom"/>
          </w:tcPr>
          <w:p>
            <w:pPr>
              <w:spacing w:after="0"/>
              <w:rPr>
                <w:sz w:val="1"/>
                <w:szCs w:val="1"/>
                <w:color w:val="auto"/>
              </w:rPr>
            </w:pPr>
          </w:p>
        </w:tc>
      </w:tr>
      <w:tr>
        <w:trPr>
          <w:trHeight w:val="88"/>
        </w:trPr>
        <w:tc>
          <w:tcPr>
            <w:tcW w:w="1260" w:type="dxa"/>
            <w:vAlign w:val="bottom"/>
          </w:tcPr>
          <w:p>
            <w:pPr>
              <w:spacing w:after="0" w:line="89" w:lineRule="exact"/>
              <w:rPr>
                <w:sz w:val="20"/>
                <w:szCs w:val="20"/>
                <w:color w:val="auto"/>
              </w:rPr>
            </w:pPr>
            <w:r>
              <w:rPr>
                <w:rFonts w:ascii="Arial" w:cs="Arial" w:eastAsia="Arial" w:hAnsi="Arial"/>
                <w:sz w:val="10"/>
                <w:szCs w:val="10"/>
                <w:b w:val="1"/>
                <w:bCs w:val="1"/>
                <w:color w:val="auto"/>
              </w:rPr>
              <w:t>Balance, March 31,</w:t>
            </w: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gridSpan w:val="3"/>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gridSpan w:val="6"/>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top w:val="single" w:sz="8" w:color="auto"/>
            </w:tcBorders>
            <w:gridSpan w:val="7"/>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right w:val="single" w:sz="8" w:color="auto"/>
            </w:tcBorders>
            <w:gridSpan w:val="3"/>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gridSpan w:val="3"/>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gridSpan w:val="3"/>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auto"/>
            </w:tcBorders>
            <w:gridSpan w:val="6"/>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gridSpan w:val="5"/>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gridSpan w:val="5"/>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Borders>
              <w:top w:val="single" w:sz="8" w:color="auto"/>
            </w:tcBorders>
            <w:gridSpan w:val="5"/>
          </w:tcPr>
          <w:p>
            <w:pPr>
              <w:spacing w:after="0"/>
              <w:rPr>
                <w:sz w:val="7"/>
                <w:szCs w:val="7"/>
                <w:color w:val="auto"/>
              </w:rPr>
            </w:pPr>
          </w:p>
        </w:tc>
        <w:tc>
          <w:tcPr>
            <w:tcW w:w="140" w:type="dxa"/>
            <w:vAlign w:val="bottom"/>
            <w:gridSpan w:val="3"/>
          </w:tcPr>
          <w:p>
            <w:pPr>
              <w:spacing w:after="0"/>
              <w:rPr>
                <w:sz w:val="7"/>
                <w:szCs w:val="7"/>
                <w:color w:val="auto"/>
              </w:rPr>
            </w:pPr>
          </w:p>
        </w:tc>
        <w:tc>
          <w:tcPr>
            <w:tcW w:w="740" w:type="dxa"/>
            <w:vAlign w:val="bottom"/>
            <w:tcBorders>
              <w:top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35,000,000</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b w:val="1"/>
                <w:bCs w:val="1"/>
                <w:color w:val="auto"/>
              </w:rPr>
              <w:t>34,922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1"/>
                <w:szCs w:val="11"/>
                <w:b w:val="1"/>
                <w:bCs w:val="1"/>
                <w:color w:val="auto"/>
                <w:w w:val="94"/>
              </w:rPr>
              <w:t>26,143,790</w:t>
            </w:r>
          </w:p>
        </w:tc>
        <w:tc>
          <w:tcPr>
            <w:tcW w:w="640" w:type="dxa"/>
            <w:vAlign w:val="bottom"/>
            <w:gridSpan w:val="5"/>
          </w:tcPr>
          <w:p>
            <w:pPr>
              <w:jc w:val="right"/>
              <w:ind w:right="10"/>
              <w:spacing w:after="0"/>
              <w:rPr>
                <w:sz w:val="20"/>
                <w:szCs w:val="20"/>
                <w:color w:val="auto"/>
              </w:rPr>
            </w:pPr>
            <w:r>
              <w:rPr>
                <w:rFonts w:ascii="Arial" w:cs="Arial" w:eastAsia="Arial" w:hAnsi="Arial"/>
                <w:sz w:val="11"/>
                <w:szCs w:val="11"/>
                <w:b w:val="1"/>
                <w:bCs w:val="1"/>
                <w:color w:val="auto"/>
              </w:rPr>
              <w:t>$ 144,839</w:t>
            </w:r>
          </w:p>
        </w:tc>
        <w:tc>
          <w:tcPr>
            <w:tcW w:w="60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24,721,999</w:t>
            </w:r>
          </w:p>
        </w:tc>
        <w:tc>
          <w:tcPr>
            <w:tcW w:w="620" w:type="dxa"/>
            <w:vAlign w:val="bottom"/>
            <w:tcBorders>
              <w:right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$ 159,628</w:t>
            </w:r>
          </w:p>
        </w:tc>
        <w:tc>
          <w:tcPr>
            <w:tcW w:w="640" w:type="dxa"/>
            <w:vAlign w:val="bottom"/>
            <w:gridSpan w:val="4"/>
          </w:tcPr>
          <w:p>
            <w:pPr>
              <w:jc w:val="right"/>
              <w:spacing w:after="0"/>
              <w:rPr>
                <w:sz w:val="20"/>
                <w:szCs w:val="20"/>
                <w:color w:val="auto"/>
              </w:rPr>
            </w:pPr>
            <w:r>
              <w:rPr>
                <w:rFonts w:ascii="Arial" w:cs="Arial" w:eastAsia="Arial" w:hAnsi="Arial"/>
                <w:sz w:val="11"/>
                <w:szCs w:val="11"/>
                <w:b w:val="1"/>
                <w:bCs w:val="1"/>
                <w:color w:val="auto"/>
              </w:rPr>
              <w:t>7,872,533</w:t>
            </w:r>
          </w:p>
        </w:tc>
        <w:tc>
          <w:tcPr>
            <w:tcW w:w="24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60" w:type="dxa"/>
            <w:vAlign w:val="bottom"/>
          </w:tcPr>
          <w:p>
            <w:pPr>
              <w:spacing w:after="0"/>
              <w:rPr>
                <w:sz w:val="11"/>
                <w:szCs w:val="11"/>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b w:val="1"/>
                <w:bCs w:val="1"/>
                <w:color w:val="auto"/>
              </w:rPr>
              <w:t>219,158</w:t>
            </w:r>
          </w:p>
        </w:tc>
        <w:tc>
          <w:tcPr>
            <w:tcW w:w="16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(310,690)</w:t>
            </w:r>
          </w:p>
        </w:tc>
        <w:tc>
          <w:tcPr>
            <w:tcW w:w="1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(26)</w:t>
            </w:r>
          </w:p>
        </w:tc>
        <w:tc>
          <w:tcPr>
            <w:tcW w:w="40" w:type="dxa"/>
            <w:vAlign w:val="bottom"/>
          </w:tcPr>
          <w:p>
            <w:pPr>
              <w:spacing w:after="0"/>
              <w:rPr>
                <w:sz w:val="11"/>
                <w:szCs w:val="11"/>
                <w:color w:val="auto"/>
              </w:rPr>
            </w:pPr>
          </w:p>
        </w:tc>
        <w:tc>
          <w:tcPr>
            <w:tcW w:w="160" w:type="dxa"/>
            <w:vAlign w:val="bottom"/>
            <w:gridSpan w:val="4"/>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(91,557)</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stock upon initial public</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offering, net of</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underwriting discounts</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and commissions and</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other issuance cost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gridSpan w:val="3"/>
            <w:shd w:val="clear" w:color="auto" w:fill="CCEEFF"/>
          </w:tcPr>
          <w:p>
            <w:pPr>
              <w:jc w:val="right"/>
              <w:ind w:right="10"/>
              <w:spacing w:after="0"/>
              <w:rPr>
                <w:sz w:val="20"/>
                <w:szCs w:val="20"/>
                <w:color w:val="auto"/>
              </w:rPr>
            </w:pPr>
            <w:r>
              <w:rPr>
                <w:rFonts w:ascii="Arial" w:cs="Arial" w:eastAsia="Arial" w:hAnsi="Arial"/>
                <w:sz w:val="11"/>
                <w:szCs w:val="11"/>
                <w:color w:val="auto"/>
                <w:w w:val="90"/>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12,132,500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221,184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221,185</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Conversion of</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40" w:type="dxa"/>
            <w:vAlign w:val="bottom"/>
            <w:tcBorders>
              <w:right w:val="single" w:sz="8" w:color="auto"/>
            </w:tcBorders>
            <w:gridSpan w:val="25"/>
          </w:tcPr>
          <w:p>
            <w:pPr>
              <w:spacing w:after="0" w:line="122" w:lineRule="exact"/>
              <w:rPr>
                <w:sz w:val="20"/>
                <w:szCs w:val="20"/>
                <w:color w:val="auto"/>
              </w:rPr>
            </w:pPr>
            <w:r>
              <w:rPr>
                <w:rFonts w:ascii="Arial" w:cs="Arial" w:eastAsia="Arial" w:hAnsi="Arial"/>
                <w:sz w:val="11"/>
                <w:szCs w:val="11"/>
                <w:color w:val="auto"/>
              </w:rPr>
              <w:t>convertible preferred</w:t>
            </w:r>
          </w:p>
        </w:tc>
        <w:tc>
          <w:tcPr>
            <w:tcW w:w="51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40" w:type="dxa"/>
            <w:vAlign w:val="bottom"/>
            <w:tcBorders>
              <w:right w:val="single" w:sz="8" w:color="auto"/>
            </w:tcBorders>
            <w:gridSpan w:val="25"/>
          </w:tcPr>
          <w:p>
            <w:pPr>
              <w:spacing w:after="0" w:line="122" w:lineRule="exact"/>
              <w:rPr>
                <w:sz w:val="20"/>
                <w:szCs w:val="20"/>
                <w:color w:val="auto"/>
              </w:rPr>
            </w:pPr>
            <w:r>
              <w:rPr>
                <w:rFonts w:ascii="Arial" w:cs="Arial" w:eastAsia="Arial" w:hAnsi="Arial"/>
                <w:sz w:val="11"/>
                <w:szCs w:val="11"/>
                <w:color w:val="auto"/>
              </w:rPr>
              <w:t>stock upon initial public</w:t>
            </w:r>
          </w:p>
        </w:tc>
        <w:tc>
          <w:tcPr>
            <w:tcW w:w="5160" w:type="dxa"/>
            <w:vAlign w:val="bottom"/>
            <w:gridSpan w:val="4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offering</w:t>
            </w:r>
          </w:p>
        </w:tc>
        <w:tc>
          <w:tcPr>
            <w:tcW w:w="640" w:type="dxa"/>
            <w:vAlign w:val="bottom"/>
          </w:tcPr>
          <w:p>
            <w:pPr>
              <w:jc w:val="right"/>
              <w:spacing w:after="0"/>
              <w:rPr>
                <w:sz w:val="20"/>
                <w:szCs w:val="20"/>
                <w:color w:val="auto"/>
              </w:rPr>
            </w:pPr>
            <w:r>
              <w:rPr>
                <w:rFonts w:ascii="Arial" w:cs="Arial" w:eastAsia="Arial" w:hAnsi="Arial"/>
                <w:sz w:val="11"/>
                <w:szCs w:val="11"/>
                <w:color w:val="auto"/>
                <w:w w:val="96"/>
              </w:rPr>
              <w:t>(35,000,000)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w w:val="97"/>
              </w:rPr>
              <w:t>(34,922)</w:t>
            </w:r>
          </w:p>
        </w:tc>
        <w:tc>
          <w:tcPr>
            <w:tcW w:w="740" w:type="dxa"/>
            <w:vAlign w:val="bottom"/>
            <w:gridSpan w:val="7"/>
          </w:tcPr>
          <w:p>
            <w:pPr>
              <w:jc w:val="right"/>
              <w:spacing w:after="0"/>
              <w:rPr>
                <w:sz w:val="20"/>
                <w:szCs w:val="20"/>
                <w:color w:val="auto"/>
              </w:rPr>
            </w:pPr>
            <w:r>
              <w:rPr>
                <w:rFonts w:ascii="Arial" w:cs="Arial" w:eastAsia="Arial" w:hAnsi="Arial"/>
                <w:sz w:val="11"/>
                <w:szCs w:val="11"/>
                <w:color w:val="auto"/>
              </w:rPr>
              <w:t>(26,143,790)</w:t>
            </w:r>
          </w:p>
        </w:tc>
        <w:tc>
          <w:tcPr>
            <w:tcW w:w="1240" w:type="dxa"/>
            <w:vAlign w:val="bottom"/>
            <w:gridSpan w:val="8"/>
          </w:tcPr>
          <w:p>
            <w:pPr>
              <w:jc w:val="right"/>
              <w:spacing w:after="0"/>
              <w:rPr>
                <w:sz w:val="20"/>
                <w:szCs w:val="20"/>
                <w:color w:val="auto"/>
              </w:rPr>
            </w:pPr>
            <w:r>
              <w:rPr>
                <w:rFonts w:ascii="Arial" w:cs="Arial" w:eastAsia="Arial" w:hAnsi="Arial"/>
                <w:sz w:val="11"/>
                <w:szCs w:val="11"/>
                <w:color w:val="auto"/>
              </w:rPr>
              <w:t>(144,839)(24,721,999)</w:t>
            </w:r>
          </w:p>
        </w:tc>
        <w:tc>
          <w:tcPr>
            <w:tcW w:w="620" w:type="dxa"/>
            <w:vAlign w:val="bottom"/>
            <w:tcBorders>
              <w:right w:val="single" w:sz="8" w:color="auto"/>
            </w:tcBorders>
            <w:gridSpan w:val="4"/>
          </w:tcPr>
          <w:p>
            <w:pPr>
              <w:jc w:val="right"/>
              <w:spacing w:after="0"/>
              <w:rPr>
                <w:sz w:val="20"/>
                <w:szCs w:val="20"/>
                <w:color w:val="auto"/>
              </w:rPr>
            </w:pPr>
            <w:r>
              <w:rPr>
                <w:rFonts w:ascii="Arial" w:cs="Arial" w:eastAsia="Arial" w:hAnsi="Arial"/>
                <w:sz w:val="11"/>
                <w:szCs w:val="11"/>
                <w:color w:val="auto"/>
              </w:rPr>
              <w:t>(159,628)</w:t>
            </w:r>
          </w:p>
        </w:tc>
        <w:tc>
          <w:tcPr>
            <w:tcW w:w="640" w:type="dxa"/>
            <w:vAlign w:val="bottom"/>
            <w:gridSpan w:val="4"/>
          </w:tcPr>
          <w:p>
            <w:pPr>
              <w:jc w:val="right"/>
              <w:spacing w:after="0"/>
              <w:rPr>
                <w:sz w:val="20"/>
                <w:szCs w:val="20"/>
                <w:color w:val="auto"/>
              </w:rPr>
            </w:pPr>
            <w:r>
              <w:rPr>
                <w:rFonts w:ascii="Arial" w:cs="Arial" w:eastAsia="Arial" w:hAnsi="Arial"/>
                <w:sz w:val="11"/>
                <w:szCs w:val="11"/>
                <w:color w:val="auto"/>
              </w:rPr>
              <w:t>34,126,528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tcPr>
          <w:p>
            <w:pPr>
              <w:jc w:val="right"/>
              <w:spacing w:after="0"/>
              <w:rPr>
                <w:sz w:val="20"/>
                <w:szCs w:val="20"/>
                <w:color w:val="auto"/>
              </w:rPr>
            </w:pPr>
            <w:r>
              <w:rPr>
                <w:rFonts w:ascii="Arial" w:cs="Arial" w:eastAsia="Arial" w:hAnsi="Arial"/>
                <w:sz w:val="11"/>
                <w:szCs w:val="11"/>
                <w:b w:val="1"/>
                <w:bCs w:val="1"/>
                <w:color w:val="auto"/>
              </w:rPr>
              <w:t>339,385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339,388</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40" w:type="dxa"/>
            <w:vAlign w:val="bottom"/>
            <w:tcBorders>
              <w:right w:val="single" w:sz="8" w:color="auto"/>
            </w:tcBorders>
            <w:gridSpan w:val="25"/>
            <w:shd w:val="clear" w:color="auto" w:fill="CCEEFF"/>
          </w:tcPr>
          <w:p>
            <w:pPr>
              <w:spacing w:after="0" w:line="122" w:lineRule="exact"/>
              <w:rPr>
                <w:sz w:val="20"/>
                <w:szCs w:val="20"/>
                <w:color w:val="auto"/>
              </w:rPr>
            </w:pPr>
            <w:r>
              <w:rPr>
                <w:rFonts w:ascii="Arial" w:cs="Arial" w:eastAsia="Arial" w:hAnsi="Arial"/>
                <w:sz w:val="11"/>
                <w:szCs w:val="11"/>
                <w:color w:val="auto"/>
              </w:rPr>
              <w:t>stock upon the exercise</w:t>
            </w:r>
          </w:p>
        </w:tc>
        <w:tc>
          <w:tcPr>
            <w:tcW w:w="240" w:type="dxa"/>
            <w:vAlign w:val="bottom"/>
            <w:tcBorders>
              <w:right w:val="single" w:sz="8" w:color="CCEEFF"/>
            </w:tcBorders>
            <w:gridSpan w:val="2"/>
            <w:shd w:val="clear" w:color="auto" w:fill="CCEEFF"/>
          </w:tcPr>
          <w:p>
            <w:pPr>
              <w:spacing w:after="0"/>
              <w:rPr>
                <w:sz w:val="10"/>
                <w:szCs w:val="10"/>
                <w:color w:val="auto"/>
              </w:rPr>
            </w:pPr>
          </w:p>
        </w:tc>
        <w:tc>
          <w:tcPr>
            <w:tcW w:w="4920" w:type="dxa"/>
            <w:vAlign w:val="bottom"/>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of stock options</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jc w:val="right"/>
              <w:ind w:right="286"/>
              <w:spacing w:after="0"/>
              <w:rPr>
                <w:sz w:val="20"/>
                <w:szCs w:val="20"/>
                <w:color w:val="auto"/>
              </w:rPr>
            </w:pPr>
            <w:r>
              <w:rPr>
                <w:rFonts w:ascii="Arial" w:cs="Arial" w:eastAsia="Arial" w:hAnsi="Arial"/>
                <w:sz w:val="11"/>
                <w:szCs w:val="11"/>
                <w:color w:val="auto"/>
              </w:rPr>
              <w:t>79,796</w:t>
            </w:r>
          </w:p>
        </w:tc>
        <w:tc>
          <w:tcPr>
            <w:tcW w:w="400" w:type="dxa"/>
            <w:vAlign w:val="bottom"/>
            <w:gridSpan w:val="4"/>
            <w:shd w:val="clear" w:color="auto" w:fill="CCEEFF"/>
          </w:tcPr>
          <w:p>
            <w:pPr>
              <w:jc w:val="right"/>
              <w:ind w:right="126"/>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8"/>
            <w:shd w:val="clear" w:color="auto" w:fill="CCEEFF"/>
          </w:tcPr>
          <w:p>
            <w:pPr>
              <w:jc w:val="right"/>
              <w:ind w:right="246"/>
              <w:spacing w:after="0"/>
              <w:rPr>
                <w:sz w:val="20"/>
                <w:szCs w:val="20"/>
                <w:color w:val="auto"/>
              </w:rPr>
            </w:pPr>
            <w:r>
              <w:rPr>
                <w:rFonts w:ascii="Arial" w:cs="Arial" w:eastAsia="Arial" w:hAnsi="Arial"/>
                <w:sz w:val="11"/>
                <w:szCs w:val="11"/>
                <w:color w:val="auto"/>
              </w:rPr>
              <w:t>74</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b w:val="1"/>
                <w:bCs w:val="1"/>
                <w:color w:val="auto"/>
              </w:rPr>
              <w:t>—</w:t>
            </w:r>
          </w:p>
        </w:tc>
        <w:tc>
          <w:tcPr>
            <w:tcW w:w="980" w:type="dxa"/>
            <w:vAlign w:val="bottom"/>
            <w:gridSpan w:val="7"/>
            <w:shd w:val="clear" w:color="auto" w:fill="CCEEFF"/>
          </w:tcPr>
          <w:p>
            <w:pPr>
              <w:jc w:val="right"/>
              <w:ind w:right="286"/>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Vesting of restricted</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stock</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jc w:val="right"/>
              <w:ind w:right="886"/>
              <w:spacing w:after="0"/>
              <w:rPr>
                <w:sz w:val="20"/>
                <w:szCs w:val="20"/>
                <w:color w:val="auto"/>
              </w:rPr>
            </w:pPr>
            <w:r>
              <w:rPr>
                <w:rFonts w:ascii="Arial" w:cs="Arial" w:eastAsia="Arial" w:hAnsi="Arial"/>
                <w:sz w:val="11"/>
                <w:szCs w:val="11"/>
                <w:color w:val="auto"/>
              </w:rPr>
              <w:t>130,463</w:t>
            </w:r>
          </w:p>
        </w:tc>
        <w:tc>
          <w:tcPr>
            <w:tcW w:w="520" w:type="dxa"/>
            <w:vAlign w:val="bottom"/>
            <w:gridSpan w:val="6"/>
          </w:tcPr>
          <w:p>
            <w:pPr>
              <w:jc w:val="right"/>
              <w:ind w:right="246"/>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b w:val="1"/>
                <w:bCs w:val="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exercise stock options</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jc w:val="right"/>
              <w:ind w:right="286"/>
              <w:spacing w:after="0"/>
              <w:rPr>
                <w:sz w:val="20"/>
                <w:szCs w:val="20"/>
                <w:color w:val="auto"/>
              </w:rPr>
            </w:pPr>
            <w:r>
              <w:rPr>
                <w:rFonts w:ascii="Arial" w:cs="Arial" w:eastAsia="Arial" w:hAnsi="Arial"/>
                <w:sz w:val="11"/>
                <w:szCs w:val="11"/>
                <w:color w:val="auto"/>
              </w:rPr>
              <w:t>62,271</w:t>
            </w:r>
          </w:p>
        </w:tc>
        <w:tc>
          <w:tcPr>
            <w:tcW w:w="400" w:type="dxa"/>
            <w:vAlign w:val="bottom"/>
            <w:gridSpan w:val="4"/>
            <w:shd w:val="clear" w:color="auto" w:fill="CCEEFF"/>
          </w:tcPr>
          <w:p>
            <w:pPr>
              <w:jc w:val="right"/>
              <w:ind w:right="126"/>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8"/>
            <w:shd w:val="clear" w:color="auto" w:fill="CCEEFF"/>
          </w:tcPr>
          <w:p>
            <w:pPr>
              <w:jc w:val="right"/>
              <w:ind w:right="246"/>
              <w:spacing w:after="0"/>
              <w:rPr>
                <w:sz w:val="20"/>
                <w:szCs w:val="20"/>
                <w:color w:val="auto"/>
              </w:rPr>
            </w:pPr>
            <w:r>
              <w:rPr>
                <w:rFonts w:ascii="Arial" w:cs="Arial" w:eastAsia="Arial" w:hAnsi="Arial"/>
                <w:sz w:val="11"/>
                <w:szCs w:val="11"/>
                <w:color w:val="auto"/>
              </w:rPr>
              <w:t>46</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b w:val="1"/>
                <w:bCs w:val="1"/>
                <w:color w:val="auto"/>
              </w:rPr>
              <w:t>—</w:t>
            </w:r>
          </w:p>
        </w:tc>
        <w:tc>
          <w:tcPr>
            <w:tcW w:w="1780" w:type="dxa"/>
            <w:vAlign w:val="bottom"/>
            <w:gridSpan w:val="13"/>
            <w:shd w:val="clear" w:color="auto" w:fill="CCEEFF"/>
          </w:tcPr>
          <w:p>
            <w:pPr>
              <w:jc w:val="right"/>
              <w:ind w:right="1226"/>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Unrealized gain on</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investments</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52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6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32</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32</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shd w:val="clear" w:color="auto" w:fill="CCEEFF"/>
          </w:tcPr>
          <w:p>
            <w:pPr>
              <w:spacing w:after="0" w:line="109" w:lineRule="exact"/>
              <w:rPr>
                <w:sz w:val="20"/>
                <w:szCs w:val="20"/>
                <w:color w:val="auto"/>
              </w:rPr>
            </w:pPr>
            <w:r>
              <w:rPr>
                <w:rFonts w:ascii="Arial" w:cs="Arial" w:eastAsia="Arial" w:hAnsi="Arial"/>
                <w:sz w:val="11"/>
                <w:szCs w:val="11"/>
                <w:color w:val="auto"/>
              </w:rPr>
              <w:t>Foreign currency</w:t>
            </w:r>
          </w:p>
        </w:tc>
        <w:tc>
          <w:tcPr>
            <w:tcW w:w="240" w:type="dxa"/>
            <w:vAlign w:val="bottom"/>
            <w:tcBorders>
              <w:right w:val="single" w:sz="8" w:color="CCEEFF"/>
            </w:tcBorders>
            <w:gridSpan w:val="2"/>
            <w:shd w:val="clear" w:color="auto" w:fill="CCEEFF"/>
          </w:tcPr>
          <w:p>
            <w:pPr>
              <w:spacing w:after="0"/>
              <w:rPr>
                <w:sz w:val="9"/>
                <w:szCs w:val="9"/>
                <w:color w:val="auto"/>
              </w:rPr>
            </w:pPr>
          </w:p>
        </w:tc>
        <w:tc>
          <w:tcPr>
            <w:tcW w:w="4920" w:type="dxa"/>
            <w:vAlign w:val="bottom"/>
            <w:gridSpan w:val="38"/>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20"/>
                <w:szCs w:val="20"/>
                <w:color w:val="auto"/>
              </w:rPr>
            </w:pPr>
            <w:r>
              <w:rPr>
                <w:rFonts w:ascii="Arial" w:cs="Arial" w:eastAsia="Arial" w:hAnsi="Arial"/>
                <w:sz w:val="11"/>
                <w:szCs w:val="11"/>
                <w:color w:val="auto"/>
              </w:rPr>
              <w:t>translation</w:t>
            </w:r>
          </w:p>
        </w:tc>
        <w:tc>
          <w:tcPr>
            <w:tcW w:w="960" w:type="dxa"/>
            <w:vAlign w:val="bottom"/>
            <w:gridSpan w:val="4"/>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shd w:val="clear" w:color="auto" w:fill="CCEEFF"/>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gridSpan w:val="2"/>
            <w:shd w:val="clear" w:color="auto" w:fill="CCEEFF"/>
          </w:tcPr>
          <w:p>
            <w:pPr>
              <w:spacing w:after="0"/>
              <w:rPr>
                <w:sz w:val="11"/>
                <w:szCs w:val="11"/>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6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760" w:type="dxa"/>
            <w:vAlign w:val="bottom"/>
            <w:gridSpan w:val="7"/>
            <w:shd w:val="clear" w:color="auto" w:fill="CCEEFF"/>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shd w:val="clear" w:color="auto" w:fill="CCEEFF"/>
          </w:tcPr>
          <w:p>
            <w:pPr>
              <w:jc w:val="right"/>
              <w:ind w:right="266"/>
              <w:spacing w:after="0"/>
              <w:rPr>
                <w:sz w:val="20"/>
                <w:szCs w:val="20"/>
                <w:color w:val="auto"/>
              </w:rPr>
            </w:pPr>
            <w:r>
              <w:rPr>
                <w:rFonts w:ascii="Arial" w:cs="Arial" w:eastAsia="Arial" w:hAnsi="Arial"/>
                <w:sz w:val="11"/>
                <w:szCs w:val="11"/>
                <w:color w:val="auto"/>
              </w:rPr>
              <w:t>(9)</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08"/>
        </w:trPr>
        <w:tc>
          <w:tcPr>
            <w:tcW w:w="5040" w:type="dxa"/>
            <w:vAlign w:val="bottom"/>
            <w:tcBorders>
              <w:right w:val="single" w:sz="8" w:color="auto"/>
            </w:tcBorders>
            <w:gridSpan w:val="25"/>
          </w:tcPr>
          <w:p>
            <w:pPr>
              <w:spacing w:after="0" w:line="109" w:lineRule="exact"/>
              <w:rPr>
                <w:sz w:val="20"/>
                <w:szCs w:val="20"/>
                <w:color w:val="auto"/>
              </w:rPr>
            </w:pPr>
            <w:r>
              <w:rPr>
                <w:rFonts w:ascii="Arial" w:cs="Arial" w:eastAsia="Arial" w:hAnsi="Arial"/>
                <w:sz w:val="11"/>
                <w:szCs w:val="11"/>
                <w:color w:val="auto"/>
              </w:rPr>
              <w:t>Stock based</w:t>
            </w:r>
          </w:p>
        </w:tc>
        <w:tc>
          <w:tcPr>
            <w:tcW w:w="5160" w:type="dxa"/>
            <w:vAlign w:val="bottom"/>
            <w:gridSpan w:val="4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20"/>
                <w:szCs w:val="20"/>
                <w:color w:val="auto"/>
              </w:rPr>
            </w:pPr>
            <w:r>
              <w:rPr>
                <w:rFonts w:ascii="Arial" w:cs="Arial" w:eastAsia="Arial" w:hAnsi="Arial"/>
                <w:sz w:val="11"/>
                <w:szCs w:val="11"/>
                <w:color w:val="auto"/>
              </w:rPr>
              <w:t>compensation</w:t>
            </w:r>
          </w:p>
        </w:tc>
        <w:tc>
          <w:tcPr>
            <w:tcW w:w="960" w:type="dxa"/>
            <w:vAlign w:val="bottom"/>
            <w:gridSpan w:val="4"/>
          </w:tcPr>
          <w:p>
            <w:pPr>
              <w:jc w:val="right"/>
              <w:ind w:right="306"/>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33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446"/>
              <w:spacing w:after="0"/>
              <w:rPr>
                <w:sz w:val="20"/>
                <w:szCs w:val="20"/>
                <w:color w:val="auto"/>
              </w:rPr>
            </w:pPr>
            <w:r>
              <w:rPr>
                <w:rFonts w:ascii="Arial" w:cs="Arial" w:eastAsia="Arial" w:hAnsi="Arial"/>
                <w:sz w:val="11"/>
                <w:szCs w:val="11"/>
                <w:color w:val="auto"/>
              </w:rPr>
              <w:t>—</w:t>
            </w:r>
          </w:p>
        </w:tc>
        <w:tc>
          <w:tcPr>
            <w:tcW w:w="560" w:type="dxa"/>
            <w:vAlign w:val="bottom"/>
            <w:gridSpan w:val="4"/>
          </w:tcPr>
          <w:p>
            <w:pPr>
              <w:jc w:val="right"/>
              <w:ind w:right="386"/>
              <w:spacing w:after="0"/>
              <w:rPr>
                <w:sz w:val="20"/>
                <w:szCs w:val="20"/>
                <w:color w:val="auto"/>
              </w:rPr>
            </w:pPr>
            <w:r>
              <w:rPr>
                <w:rFonts w:ascii="Arial" w:cs="Arial" w:eastAsia="Arial" w:hAnsi="Arial"/>
                <w:sz w:val="11"/>
                <w:szCs w:val="11"/>
                <w:color w:val="auto"/>
                <w:w w:val="90"/>
              </w:rPr>
              <w:t>—</w:t>
            </w:r>
          </w:p>
        </w:tc>
        <w:tc>
          <w:tcPr>
            <w:tcW w:w="560" w:type="dxa"/>
            <w:vAlign w:val="bottom"/>
            <w:gridSpan w:val="5"/>
          </w:tcPr>
          <w:p>
            <w:pPr>
              <w:jc w:val="right"/>
              <w:ind w:right="326"/>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7"/>
          </w:tcPr>
          <w:p>
            <w:pPr>
              <w:spacing w:after="0"/>
              <w:rPr>
                <w:sz w:val="20"/>
                <w:szCs w:val="20"/>
                <w:color w:val="auto"/>
              </w:rPr>
            </w:pPr>
            <w:r>
              <w:rPr>
                <w:rFonts w:ascii="Arial" w:cs="Arial" w:eastAsia="Arial" w:hAnsi="Arial"/>
                <w:sz w:val="11"/>
                <w:szCs w:val="11"/>
                <w:color w:val="auto"/>
              </w:rPr>
              <w:t>—</w:t>
            </w:r>
          </w:p>
        </w:tc>
        <w:tc>
          <w:tcPr>
            <w:tcW w:w="400" w:type="dxa"/>
            <w:vAlign w:val="bottom"/>
            <w:gridSpan w:val="4"/>
          </w:tcPr>
          <w:p>
            <w:pPr>
              <w:jc w:val="right"/>
              <w:ind w:right="126"/>
              <w:spacing w:after="0"/>
              <w:rPr>
                <w:sz w:val="20"/>
                <w:szCs w:val="20"/>
                <w:color w:val="auto"/>
              </w:rPr>
            </w:pPr>
            <w:r>
              <w:rPr>
                <w:rFonts w:ascii="Arial" w:cs="Arial" w:eastAsia="Arial" w:hAnsi="Arial"/>
                <w:sz w:val="11"/>
                <w:szCs w:val="11"/>
                <w:color w:val="auto"/>
              </w:rPr>
              <w:t>—</w:t>
            </w:r>
          </w:p>
        </w:tc>
        <w:tc>
          <w:tcPr>
            <w:tcW w:w="720" w:type="dxa"/>
            <w:vAlign w:val="bottom"/>
            <w:gridSpan w:val="8"/>
          </w:tcPr>
          <w:p>
            <w:pPr>
              <w:jc w:val="right"/>
              <w:ind w:right="246"/>
              <w:spacing w:after="0"/>
              <w:rPr>
                <w:sz w:val="20"/>
                <w:szCs w:val="20"/>
                <w:color w:val="auto"/>
              </w:rPr>
            </w:pPr>
            <w:r>
              <w:rPr>
                <w:rFonts w:ascii="Arial" w:cs="Arial" w:eastAsia="Arial" w:hAnsi="Arial"/>
                <w:sz w:val="11"/>
                <w:szCs w:val="11"/>
                <w:color w:val="auto"/>
              </w:rPr>
              <w:t>1,711</w:t>
            </w:r>
          </w:p>
        </w:tc>
        <w:tc>
          <w:tcPr>
            <w:tcW w:w="760" w:type="dxa"/>
            <w:vAlign w:val="bottom"/>
            <w:gridSpan w:val="7"/>
          </w:tcPr>
          <w:p>
            <w:pPr>
              <w:jc w:val="right"/>
              <w:ind w:right="273"/>
              <w:spacing w:after="0"/>
              <w:rPr>
                <w:sz w:val="20"/>
                <w:szCs w:val="20"/>
                <w:color w:val="auto"/>
              </w:rPr>
            </w:pPr>
            <w:r>
              <w:rPr>
                <w:rFonts w:ascii="Arial" w:cs="Arial" w:eastAsia="Arial" w:hAnsi="Arial"/>
                <w:sz w:val="11"/>
                <w:szCs w:val="11"/>
                <w:color w:val="auto"/>
              </w:rPr>
              <w:t>—</w:t>
            </w:r>
          </w:p>
        </w:tc>
        <w:tc>
          <w:tcPr>
            <w:tcW w:w="800" w:type="dxa"/>
            <w:vAlign w:val="bottom"/>
            <w:gridSpan w:val="6"/>
          </w:tcPr>
          <w:p>
            <w:pPr>
              <w:jc w:val="right"/>
              <w:ind w:right="246"/>
              <w:spacing w:after="0"/>
              <w:rPr>
                <w:sz w:val="20"/>
                <w:szCs w:val="20"/>
                <w:color w:val="auto"/>
              </w:rPr>
            </w:pPr>
            <w:r>
              <w:rPr>
                <w:rFonts w:ascii="Arial" w:cs="Arial" w:eastAsia="Arial" w:hAnsi="Arial"/>
                <w:sz w:val="11"/>
                <w:szCs w:val="11"/>
                <w:color w:val="auto"/>
              </w:rPr>
              <w:t>—</w:t>
            </w:r>
          </w:p>
        </w:tc>
        <w:tc>
          <w:tcPr>
            <w:tcW w:w="980" w:type="dxa"/>
            <w:vAlign w:val="bottom"/>
            <w:gridSpan w:val="7"/>
          </w:tcPr>
          <w:p>
            <w:pPr>
              <w:jc w:val="right"/>
              <w:ind w:right="28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1,711</w:t>
            </w:r>
          </w:p>
        </w:tc>
        <w:tc>
          <w:tcPr>
            <w:tcW w:w="0" w:type="dxa"/>
            <w:vAlign w:val="bottom"/>
          </w:tcPr>
          <w:p>
            <w:pPr>
              <w:spacing w:after="0"/>
              <w:rPr>
                <w:sz w:val="1"/>
                <w:szCs w:val="1"/>
                <w:color w:val="auto"/>
              </w:rPr>
            </w:pPr>
          </w:p>
        </w:tc>
      </w:tr>
      <w:tr>
        <w:trPr>
          <w:trHeight w:val="121"/>
        </w:trPr>
        <w:tc>
          <w:tcPr>
            <w:tcW w:w="1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6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80" w:type="dxa"/>
            <w:vAlign w:val="bottom"/>
            <w:tcBorders>
              <w:bottom w:val="single" w:sz="8" w:color="auto"/>
              <w:right w:val="single" w:sz="8" w:color="CCEEFF"/>
            </w:tcBorders>
            <w:shd w:val="clear" w:color="auto" w:fill="CCEEFF"/>
          </w:tcPr>
          <w:p>
            <w:pPr>
              <w:spacing w:after="0"/>
              <w:rPr>
                <w:sz w:val="10"/>
                <w:szCs w:val="10"/>
                <w:color w:val="auto"/>
              </w:rPr>
            </w:pPr>
          </w:p>
        </w:tc>
        <w:tc>
          <w:tcPr>
            <w:tcW w:w="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tcBorders>
              <w:bottom w:val="single" w:sz="8" w:color="auto"/>
            </w:tcBorders>
            <w:gridSpan w:val="5"/>
            <w:shd w:val="clear" w:color="auto" w:fill="CCEEFF"/>
          </w:tcPr>
          <w:p>
            <w:pPr>
              <w:jc w:val="right"/>
              <w:ind w:right="686"/>
              <w:spacing w:after="0"/>
              <w:rPr>
                <w:sz w:val="20"/>
                <w:szCs w:val="20"/>
                <w:color w:val="auto"/>
              </w:rPr>
            </w:pPr>
            <w:r>
              <w:rPr>
                <w:rFonts w:ascii="Arial" w:cs="Arial" w:eastAsia="Arial" w:hAnsi="Arial"/>
                <w:sz w:val="11"/>
                <w:szCs w:val="11"/>
                <w:color w:val="auto"/>
              </w:rPr>
              <w:t>(23,273)</w:t>
            </w:r>
          </w:p>
        </w:tc>
        <w:tc>
          <w:tcPr>
            <w:tcW w:w="60" w:type="dxa"/>
            <w:vAlign w:val="bottom"/>
            <w:shd w:val="clear" w:color="auto" w:fill="CCEEFF"/>
          </w:tcPr>
          <w:p>
            <w:pPr>
              <w:spacing w:after="0"/>
              <w:rPr>
                <w:sz w:val="10"/>
                <w:szCs w:val="10"/>
                <w:color w:val="auto"/>
              </w:rPr>
            </w:pPr>
          </w:p>
        </w:tc>
        <w:tc>
          <w:tcPr>
            <w:tcW w:w="8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1"/>
                <w:szCs w:val="11"/>
                <w:color w:val="auto"/>
              </w:rPr>
              <w:t>—</w:t>
            </w:r>
          </w:p>
        </w:tc>
        <w:tc>
          <w:tcPr>
            <w:tcW w:w="140" w:type="dxa"/>
            <w:vAlign w:val="bottom"/>
            <w:gridSpan w:val="3"/>
            <w:shd w:val="clear" w:color="auto" w:fill="CCEEFF"/>
          </w:tcPr>
          <w:p>
            <w:pPr>
              <w:spacing w:after="0"/>
              <w:rPr>
                <w:sz w:val="10"/>
                <w:szCs w:val="10"/>
                <w:color w:val="auto"/>
              </w:rPr>
            </w:pPr>
          </w:p>
        </w:tc>
        <w:tc>
          <w:tcPr>
            <w:tcW w:w="740" w:type="dxa"/>
            <w:vAlign w:val="bottom"/>
            <w:tcBorders>
              <w:bottom w:val="single" w:sz="8" w:color="auto"/>
            </w:tcBorders>
            <w:gridSpan w:val="4"/>
            <w:shd w:val="clear" w:color="auto" w:fill="CCEEFF"/>
          </w:tcPr>
          <w:p>
            <w:pPr>
              <w:jc w:val="right"/>
              <w:ind w:right="686"/>
              <w:spacing w:after="0"/>
              <w:rPr>
                <w:sz w:val="20"/>
                <w:szCs w:val="20"/>
                <w:color w:val="auto"/>
              </w:rPr>
            </w:pPr>
            <w:r>
              <w:rPr>
                <w:rFonts w:ascii="Arial" w:cs="Arial" w:eastAsia="Arial" w:hAnsi="Arial"/>
                <w:sz w:val="11"/>
                <w:szCs w:val="11"/>
                <w:b w:val="1"/>
                <w:bCs w:val="1"/>
                <w:color w:val="auto"/>
              </w:rPr>
              <w:t>(23,273)</w:t>
            </w:r>
          </w:p>
        </w:tc>
        <w:tc>
          <w:tcPr>
            <w:tcW w:w="0" w:type="dxa"/>
            <w:vAlign w:val="bottom"/>
          </w:tcPr>
          <w:p>
            <w:pPr>
              <w:spacing w:after="0"/>
              <w:rPr>
                <w:sz w:val="1"/>
                <w:szCs w:val="1"/>
                <w:color w:val="auto"/>
              </w:rPr>
            </w:pPr>
          </w:p>
        </w:tc>
      </w:tr>
      <w:tr>
        <w:trPr>
          <w:trHeight w:val="88"/>
        </w:trPr>
        <w:tc>
          <w:tcPr>
            <w:tcW w:w="1260" w:type="dxa"/>
            <w:vAlign w:val="bottom"/>
          </w:tcPr>
          <w:p>
            <w:pPr>
              <w:spacing w:after="0" w:line="89" w:lineRule="exact"/>
              <w:rPr>
                <w:sz w:val="20"/>
                <w:szCs w:val="20"/>
                <w:color w:val="auto"/>
              </w:rPr>
            </w:pPr>
            <w:r>
              <w:rPr>
                <w:rFonts w:ascii="Arial" w:cs="Arial" w:eastAsia="Arial" w:hAnsi="Arial"/>
                <w:sz w:val="10"/>
                <w:szCs w:val="10"/>
                <w:b w:val="1"/>
                <w:bCs w:val="1"/>
                <w:color w:val="auto"/>
              </w:rPr>
              <w:t>Balance,</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460" w:type="dxa"/>
            <w:vAlign w:val="bottom"/>
            <w:gridSpan w:val="2"/>
            <w:vMerge w:val="restart"/>
          </w:tcPr>
          <w:p>
            <w:pPr>
              <w:jc w:val="right"/>
              <w:ind w:right="266"/>
              <w:spacing w:after="0"/>
              <w:rPr>
                <w:sz w:val="20"/>
                <w:szCs w:val="20"/>
                <w:color w:val="auto"/>
              </w:rPr>
            </w:pPr>
            <w:r>
              <w:rPr>
                <w:rFonts w:ascii="Arial" w:cs="Arial" w:eastAsia="Arial" w:hAnsi="Arial"/>
                <w:sz w:val="11"/>
                <w:szCs w:val="11"/>
                <w:b w:val="1"/>
                <w:bCs w:val="1"/>
                <w:color w:val="auto"/>
              </w:rPr>
              <w:t>$</w:t>
            </w:r>
          </w:p>
        </w:tc>
        <w:tc>
          <w:tcPr>
            <w:tcW w:w="180" w:type="dxa"/>
            <w:vAlign w:val="bottom"/>
            <w:gridSpan w:val="3"/>
            <w:vMerge w:val="restart"/>
          </w:tcPr>
          <w:p>
            <w:pPr>
              <w:jc w:val="right"/>
              <w:ind w:right="10"/>
              <w:spacing w:after="0"/>
              <w:rPr>
                <w:sz w:val="20"/>
                <w:szCs w:val="20"/>
                <w:color w:val="auto"/>
              </w:rPr>
            </w:pPr>
            <w:r>
              <w:rPr>
                <w:rFonts w:ascii="Arial" w:cs="Arial" w:eastAsia="Arial" w:hAnsi="Arial"/>
                <w:sz w:val="11"/>
                <w:szCs w:val="11"/>
                <w:b w:val="1"/>
                <w:bCs w:val="1"/>
                <w:color w:val="auto"/>
                <w:w w:val="90"/>
              </w:rPr>
              <w:t>—</w:t>
            </w:r>
          </w:p>
        </w:tc>
        <w:tc>
          <w:tcPr>
            <w:tcW w:w="380" w:type="dxa"/>
            <w:vAlign w:val="bottom"/>
          </w:tcPr>
          <w:p>
            <w:pPr>
              <w:spacing w:after="0"/>
              <w:rPr>
                <w:sz w:val="7"/>
                <w:szCs w:val="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260" w:type="dxa"/>
            <w:vAlign w:val="bottom"/>
            <w:gridSpan w:val="2"/>
            <w:vMerge w:val="restart"/>
          </w:tcPr>
          <w:p>
            <w:pPr>
              <w:jc w:val="right"/>
              <w:ind w:right="8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7"/>
                <w:szCs w:val="7"/>
                <w:color w:val="auto"/>
              </w:rPr>
            </w:pPr>
          </w:p>
        </w:tc>
        <w:tc>
          <w:tcPr>
            <w:tcW w:w="28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54,404,091</w:t>
            </w:r>
          </w:p>
        </w:tc>
        <w:tc>
          <w:tcPr>
            <w:tcW w:w="24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0" w:type="dxa"/>
            <w:vAlign w:val="bottom"/>
          </w:tcPr>
          <w:p>
            <w:pPr>
              <w:spacing w:after="0"/>
              <w:rPr>
                <w:sz w:val="7"/>
                <w:szCs w:val="7"/>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781,558</w:t>
            </w:r>
          </w:p>
        </w:tc>
        <w:tc>
          <w:tcPr>
            <w:tcW w:w="1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60" w:type="dxa"/>
            <w:vAlign w:val="bottom"/>
            <w:gridSpan w:val="4"/>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(333,963)</w:t>
            </w:r>
          </w:p>
        </w:tc>
        <w:tc>
          <w:tcPr>
            <w:tcW w:w="140" w:type="dxa"/>
            <w:vAlign w:val="bottom"/>
            <w:gridSpan w:val="3"/>
            <w:vMerge w:val="restart"/>
          </w:tcPr>
          <w:p>
            <w:pPr>
              <w:jc w:val="right"/>
              <w:ind w:right="2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7"/>
                <w:szCs w:val="7"/>
                <w:color w:val="auto"/>
              </w:rPr>
            </w:pPr>
          </w:p>
        </w:tc>
        <w:tc>
          <w:tcPr>
            <w:tcW w:w="16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447,597</w:t>
            </w:r>
          </w:p>
        </w:tc>
        <w:tc>
          <w:tcPr>
            <w:tcW w:w="0" w:type="dxa"/>
            <w:vAlign w:val="bottom"/>
          </w:tcPr>
          <w:p>
            <w:pPr>
              <w:spacing w:after="0"/>
              <w:rPr>
                <w:sz w:val="1"/>
                <w:szCs w:val="1"/>
                <w:color w:val="auto"/>
              </w:rPr>
            </w:pPr>
          </w:p>
        </w:tc>
      </w:tr>
      <w:tr>
        <w:trPr>
          <w:trHeight w:val="121"/>
        </w:trPr>
        <w:tc>
          <w:tcPr>
            <w:tcW w:w="1260" w:type="dxa"/>
            <w:vAlign w:val="bottom"/>
          </w:tcPr>
          <w:p>
            <w:pPr>
              <w:spacing w:after="0" w:line="122" w:lineRule="exact"/>
              <w:rPr>
                <w:sz w:val="20"/>
                <w:szCs w:val="20"/>
                <w:color w:val="auto"/>
              </w:rPr>
            </w:pPr>
            <w:r>
              <w:rPr>
                <w:rFonts w:ascii="Arial" w:cs="Arial" w:eastAsia="Arial" w:hAnsi="Arial"/>
                <w:sz w:val="11"/>
                <w:szCs w:val="11"/>
                <w:b w:val="1"/>
                <w:bCs w:val="1"/>
                <w:color w:val="auto"/>
              </w:rPr>
              <w:t>June 30, 2021</w:t>
            </w:r>
          </w:p>
        </w:tc>
        <w:tc>
          <w:tcPr>
            <w:tcW w:w="64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8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vMerge w:val="continue"/>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500" w:right="1900"/>
        <w:spacing w:after="0" w:line="251" w:lineRule="auto"/>
        <w:rPr>
          <w:sz w:val="20"/>
          <w:szCs w:val="20"/>
          <w:color w:val="auto"/>
        </w:rPr>
      </w:pPr>
      <w:r>
        <w:rPr>
          <w:rFonts w:ascii="Arial" w:cs="Arial" w:eastAsia="Arial" w:hAnsi="Arial"/>
          <w:sz w:val="22"/>
          <w:szCs w:val="22"/>
          <w:b w:val="1"/>
          <w:bCs w:val="1"/>
          <w:color w:val="auto"/>
        </w:rPr>
        <w:t>CENTURY THERAPEUTICS, INC. CONSOLIDATED STATEMENTS OF CASH FLOWS (Unaudited)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Six Months Ended</w:t>
            </w: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June 30, 2021</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(68,501)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(41,621)</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Escrow deposit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120,733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(3,861)</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61,198</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(40,668)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(14,524)</w:t>
            </w:r>
          </w:p>
        </w:tc>
        <w:tc>
          <w:tcPr>
            <w:tcW w:w="1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(12,513)</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(137,281)</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(142,069)</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120,286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(31,519)</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(130,682)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1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221,878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early exercises of common stock options</w:t>
            </w:r>
          </w:p>
        </w:tc>
        <w:tc>
          <w:tcPr>
            <w:tcW w:w="1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subscription receivable</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1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159,628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contributed as a result of merger</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sale of common stock to collaboration partner</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26,925</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418,134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increase in cash, cash equivalents, and restricted cash</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56,604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246,784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58,162</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114,766</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274,512</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Cash paid for interest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339,388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313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8,214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40" w:type="dxa"/>
            <w:vAlign w:val="bottom"/>
            <w:tcBorders>
              <w:bottom w:val="single" w:sz="8" w:color="CCEEFF"/>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Deferred offering cost, accrued and unpaid</w:t>
            </w:r>
          </w:p>
        </w:tc>
        <w:tc>
          <w:tcPr>
            <w:tcW w:w="1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693</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8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7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69"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pharmaceutical industries. These risks include, but are not limited to, the uncertainty of availability of additional financing and the uncertainty of achieving future profitability.</w:t>
      </w:r>
    </w:p>
    <w:p>
      <w:pPr>
        <w:spacing w:after="0" w:line="8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Since inception, the Company has incurred net losses. During the three and six months ended June 30, 2022, the Company incurred a net loss of $30,988 and $68,501, respectively. During the six months ended June 30, 2022, the Company received $61,198 of cash from operations. Cash and cash equivalents and investments were $429,365 at June 30, 2022. Management expects to incur additional losses in the future to fund its operations and conduct product research and development and recognizes the need to raise additional capital to fully implement its business plan.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June 30, 2022, the consolidated statements of operations and comprehensive loss, and consolidated statements of convertible preferred stock and stockholders’ equity (deficit) for the three and six months ended June 30, 2022 and 2021, and the consolidated statements of cash flows for the six months ended June 30, 2022 and 2021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consolidated balance sheet at December 31, 2021 has been derived from the Company’s audited consolidated financial statements.</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June 30, 2022 and December 31, 2021,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5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Although many countries have re-opened, rises in new cases, including as the result of newly identified COVID-19 variants, have caused certain countries, states, and localities to re-initiate restrictions.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not have reached the level required for herd immunity. Certain variants of COVID-19 have proven to be more easily spread than earlier variants. The incomplete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8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44"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13"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8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As of June 30, 2022 and December 31, 2021, the Company had $1,979 and $1,717, respectively, in cash on deposit to secure certain lease commitments. Restricted cash is recorded separately in the Company’s consolidated balance sheets.</w:t>
      </w:r>
    </w:p>
    <w:p>
      <w:pPr>
        <w:spacing w:after="0" w:line="142"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June 30, 2022   December 31, 2021</w:t>
            </w:r>
          </w:p>
        </w:tc>
      </w:tr>
      <w:tr>
        <w:trPr>
          <w:trHeight w:val="196"/>
        </w:trPr>
        <w:tc>
          <w:tcPr>
            <w:tcW w:w="6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112,787</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56,445</w:t>
            </w:r>
          </w:p>
        </w:tc>
      </w:tr>
      <w:tr>
        <w:trPr>
          <w:trHeight w:val="203"/>
        </w:trPr>
        <w:tc>
          <w:tcPr>
            <w:tcW w:w="62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r>
      <w:tr>
        <w:trPr>
          <w:trHeight w:val="19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114,766</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58,162</w:t>
            </w: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three months that mature within one year of the balance sheet date are classified as short-term, while investments with a maturity date greater than one year are classified as long-term.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w:t>
      </w:r>
    </w:p>
    <w:p>
      <w:pPr>
        <w:spacing w:after="0" w:line="185"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8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40"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and six months ended June 30, 2022 and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June 30, 2022 and December 31, 2021, there were $2,077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and $3,000, respectively, recorded in deposit liability related to shares held by employees and nonemployees that were subject to repurchase.</w:t>
      </w:r>
    </w:p>
    <w:p>
      <w:pPr>
        <w:spacing w:after="0" w:line="127"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231F20"/>
              </w:rPr>
              <w:t>June 30, 2022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2021</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1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58,911,436</w:t>
            </w: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56,633,898</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231F20"/>
              </w:rPr>
              <w:t>(669,309)</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231F20"/>
              </w:rPr>
              <w:t>(946,586)</w:t>
            </w: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231F20"/>
              </w:rPr>
              <w:t>(384,206)</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(681,789)</w:t>
            </w: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57,857,921</w:t>
            </w:r>
          </w:p>
        </w:tc>
        <w:tc>
          <w:tcPr>
            <w:tcW w:w="1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55,005,523</w:t>
            </w:r>
          </w:p>
        </w:tc>
      </w:tr>
      <w:tr>
        <w:trPr>
          <w:trHeight w:val="20"/>
        </w:trPr>
        <w:tc>
          <w:tcPr>
            <w:tcW w:w="6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In 2021, the Company issued 194,320 restricted stock awards. As of June 30, 2022, the number of restricted stock awards vested were 2,066,602.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$217 and $489, respectively, for the three and six months ended June 30, 2022, in the statements of operations and comprehensive loss. The Company recorded stock-based compensation expense for these awards of $89 and $128, respectively, for the three and six months ended June 30, 2021, in the statements of operations and comprehensive loss.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6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June 30, 2022 and December 31, 2021, no accrued interest or penalties are included on the related tax liability line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6"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3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4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promises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 The Commitment Agreement called for capital contributions from Prior Century and Bayer as follows: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183" w:lineRule="exact"/>
        <w:rPr>
          <w:sz w:val="20"/>
          <w:szCs w:val="20"/>
          <w:color w:val="auto"/>
        </w:rPr>
      </w:pPr>
    </w:p>
    <w:p>
      <w:pPr>
        <w:ind w:left="60" w:right="319"/>
        <w:spacing w:after="0" w:line="245"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ind w:left="60" w:right="13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4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25,163</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225,946</w:t>
            </w: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7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w:t>
            </w:r>
          </w:p>
        </w:tc>
      </w:tr>
      <w:tr>
        <w:trPr>
          <w:trHeight w:val="196"/>
        </w:trPr>
        <w:tc>
          <w:tcPr>
            <w:tcW w:w="7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252,107</w:t>
            </w: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$ 215,000. The Bayer cash commitment was split into capital contributions of $145,000 (“Tranche 1”) and $70,000 (“Tranche 2”). Tranche 2 was eliminated in connection with the Series C preferred financing. See Note 10.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210"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155"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40"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accounted for the $70,000 as a subscription receivable, which was recorded as contra-equity within its consolidated statements of changes in convertible preferred stock and stockholders’ equity (deficit).</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 Bayer’s right of first refusal is exercisable with respect to up to four products. Subject to certain exceptions, Bayer may only exercise these option rights in a non-sequential and alternating manner, and such rights are subject to additional limitations.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9, 2020, Century Canada and the Company entered into an agreement with Empirica, a company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focused on the development of adoptive immunotherapies against aggressive and treatment-resistant forms of</w:t>
      </w:r>
    </w:p>
    <w:p>
      <w:pPr>
        <w:ind w:left="60"/>
        <w:spacing w:after="0" w:line="234" w:lineRule="auto"/>
        <w:rPr>
          <w:sz w:val="20"/>
          <w:szCs w:val="20"/>
          <w:color w:val="auto"/>
        </w:rPr>
      </w:pPr>
      <w:r>
        <w:rPr>
          <w:rFonts w:ascii="Arial" w:cs="Arial" w:eastAsia="Arial" w:hAnsi="Arial"/>
          <w:sz w:val="18"/>
          <w:szCs w:val="18"/>
          <w:color w:val="auto"/>
        </w:rPr>
        <w:t>cancers, including glioblastoma and brain metastasis. Under the terms of the Empirica Agreement, the</w:t>
      </w:r>
    </w:p>
    <w:p>
      <w:pPr>
        <w:ind w:left="60"/>
        <w:spacing w:after="0" w:line="235" w:lineRule="auto"/>
        <w:rPr>
          <w:sz w:val="20"/>
          <w:szCs w:val="20"/>
          <w:color w:val="auto"/>
        </w:rPr>
      </w:pPr>
      <w:r>
        <w:rPr>
          <w:rFonts w:ascii="Arial" w:cs="Arial" w:eastAsia="Arial" w:hAnsi="Arial"/>
          <w:sz w:val="18"/>
          <w:szCs w:val="18"/>
          <w:color w:val="auto"/>
        </w:rPr>
        <w:t>Company acquired an IPR&amp;D asset. Cash of $4,519 was paid at closing and transaction expenses totaled</w:t>
      </w:r>
    </w:p>
    <w:p>
      <w:pPr>
        <w:ind w:left="60"/>
        <w:spacing w:after="0" w:line="235" w:lineRule="auto"/>
        <w:rPr>
          <w:sz w:val="20"/>
          <w:szCs w:val="20"/>
          <w:color w:val="auto"/>
        </w:rPr>
      </w:pPr>
      <w:r>
        <w:rPr>
          <w:rFonts w:ascii="Arial" w:cs="Arial" w:eastAsia="Arial" w:hAnsi="Arial"/>
          <w:sz w:val="18"/>
          <w:szCs w:val="18"/>
          <w:color w:val="auto"/>
        </w:rPr>
        <w:t>$203. The Company also deposited $1,506 in escrow (the “Escrow Deposit”). Release of the Escrow Deposit is</w:t>
      </w:r>
    </w:p>
    <w:p>
      <w:pPr>
        <w:ind w:left="60"/>
        <w:spacing w:after="0" w:line="235" w:lineRule="auto"/>
        <w:rPr>
          <w:sz w:val="20"/>
          <w:szCs w:val="20"/>
          <w:color w:val="auto"/>
        </w:rPr>
      </w:pPr>
      <w:r>
        <w:rPr>
          <w:rFonts w:ascii="Arial" w:cs="Arial" w:eastAsia="Arial" w:hAnsi="Arial"/>
          <w:sz w:val="18"/>
          <w:szCs w:val="18"/>
          <w:color w:val="auto"/>
        </w:rPr>
        <w:t>subject to the terms of a promissory note, which provides for the funds to be released in equal annual</w:t>
      </w:r>
    </w:p>
    <w:p>
      <w:pPr>
        <w:ind w:left="60"/>
        <w:spacing w:after="0" w:line="235" w:lineRule="auto"/>
        <w:rPr>
          <w:sz w:val="20"/>
          <w:szCs w:val="20"/>
          <w:color w:val="auto"/>
        </w:rPr>
      </w:pPr>
      <w:r>
        <w:rPr>
          <w:rFonts w:ascii="Arial" w:cs="Arial" w:eastAsia="Arial" w:hAnsi="Arial"/>
          <w:sz w:val="18"/>
          <w:szCs w:val="18"/>
          <w:color w:val="auto"/>
        </w:rPr>
        <w:t>installments over a three-year period related to continuing services by certain Empirica shareholders who are</w:t>
      </w:r>
    </w:p>
    <w:p>
      <w:pPr>
        <w:ind w:left="60"/>
        <w:spacing w:after="0" w:line="234" w:lineRule="auto"/>
        <w:rPr>
          <w:sz w:val="20"/>
          <w:szCs w:val="20"/>
          <w:color w:val="auto"/>
        </w:rPr>
      </w:pPr>
      <w:r>
        <w:rPr>
          <w:rFonts w:ascii="Arial" w:cs="Arial" w:eastAsia="Arial" w:hAnsi="Arial"/>
          <w:sz w:val="18"/>
          <w:szCs w:val="18"/>
          <w:color w:val="auto"/>
        </w:rPr>
        <w:t>employed by the Company. In July 2021, the first annual installment of $523 was released from the Escrow</w:t>
      </w:r>
    </w:p>
    <w:p>
      <w:pPr>
        <w:ind w:left="60"/>
        <w:spacing w:after="0" w:line="235" w:lineRule="auto"/>
        <w:rPr>
          <w:sz w:val="20"/>
          <w:szCs w:val="20"/>
          <w:color w:val="auto"/>
        </w:rPr>
      </w:pPr>
      <w:r>
        <w:rPr>
          <w:rFonts w:ascii="Arial" w:cs="Arial" w:eastAsia="Arial" w:hAnsi="Arial"/>
          <w:sz w:val="18"/>
          <w:szCs w:val="18"/>
          <w:color w:val="auto"/>
        </w:rPr>
        <w:t>Deposit. In June 2022, the second annual installment of $517 was released from the Escrow Deposit. As of</w:t>
      </w:r>
    </w:p>
    <w:p>
      <w:pPr>
        <w:ind w:left="60"/>
        <w:spacing w:after="0" w:line="235" w:lineRule="auto"/>
        <w:rPr>
          <w:sz w:val="20"/>
          <w:szCs w:val="20"/>
          <w:color w:val="auto"/>
        </w:rPr>
      </w:pPr>
      <w:r>
        <w:rPr>
          <w:rFonts w:ascii="Arial" w:cs="Arial" w:eastAsia="Arial" w:hAnsi="Arial"/>
          <w:sz w:val="18"/>
          <w:szCs w:val="18"/>
          <w:color w:val="auto"/>
        </w:rPr>
        <w:t>June 30, 2022 there was no accrued compensation expense on the promissory note. As of December 31, 2021,</w:t>
      </w:r>
    </w:p>
    <w:p>
      <w:pPr>
        <w:ind w:left="60"/>
        <w:spacing w:after="0" w:line="235" w:lineRule="auto"/>
        <w:rPr>
          <w:sz w:val="20"/>
          <w:szCs w:val="20"/>
          <w:color w:val="auto"/>
        </w:rPr>
      </w:pPr>
      <w:r>
        <w:rPr>
          <w:rFonts w:ascii="Arial" w:cs="Arial" w:eastAsia="Arial" w:hAnsi="Arial"/>
          <w:sz w:val="18"/>
          <w:szCs w:val="18"/>
          <w:color w:val="auto"/>
        </w:rPr>
        <w:t>accrued compensation expense on the promissory note was $261 which is presented within escrow deposits on</w:t>
      </w:r>
    </w:p>
    <w:p>
      <w:pPr>
        <w:ind w:left="60"/>
        <w:spacing w:after="0"/>
        <w:rPr>
          <w:sz w:val="20"/>
          <w:szCs w:val="20"/>
          <w:color w:val="auto"/>
        </w:rPr>
      </w:pPr>
      <w:r>
        <w:rPr>
          <w:rFonts w:ascii="Arial" w:cs="Arial" w:eastAsia="Arial" w:hAnsi="Arial"/>
          <w:sz w:val="18"/>
          <w:szCs w:val="18"/>
          <w:color w:val="auto"/>
        </w:rPr>
        <w:t>the consolidated balance sheets.</w:t>
      </w:r>
    </w:p>
    <w:p>
      <w:pPr>
        <w:spacing w:after="0" w:line="15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7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June 30, 2022,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2</w:t>
            </w:r>
          </w:p>
        </w:tc>
        <w:tc>
          <w:tcPr>
            <w:tcW w:w="70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color w:val="auto"/>
              </w:rPr>
              <w:t>Level 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$ 105,845</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$ 105,845</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102,374</w:t>
            </w:r>
          </w:p>
        </w:tc>
        <w:tc>
          <w:tcPr>
            <w:tcW w:w="16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102,374</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214,204</w:t>
            </w: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$ 208,219</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$ 214,204</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$ 422,423</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2021,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880" w:type="dxa"/>
            <w:vAlign w:val="bottom"/>
            <w:tcBorders>
              <w:top w:val="single" w:sz="8" w:color="auto"/>
              <w:bottom w:val="single" w:sz="8" w:color="CCEEFF"/>
            </w:tcBorders>
          </w:tcPr>
          <w:p>
            <w:pPr>
              <w:spacing w:after="0"/>
              <w:rPr>
                <w:sz w:val="15"/>
                <w:szCs w:val="15"/>
                <w:color w:val="auto"/>
              </w:rPr>
            </w:pPr>
          </w:p>
        </w:tc>
        <w:tc>
          <w:tcPr>
            <w:tcW w:w="23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2</w:t>
            </w:r>
          </w:p>
        </w:tc>
        <w:tc>
          <w:tcPr>
            <w:tcW w:w="7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r>
      <w:tr>
        <w:trPr>
          <w:trHeight w:val="196"/>
        </w:trPr>
        <w:tc>
          <w:tcPr>
            <w:tcW w:w="2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52,882</w:t>
            </w:r>
          </w:p>
        </w:tc>
        <w:tc>
          <w:tcPr>
            <w:tcW w:w="10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c>
          <w:tcPr>
            <w:tcW w:w="20" w:type="dxa"/>
            <w:vAlign w:val="bottom"/>
          </w:tcPr>
          <w:p>
            <w:pPr>
              <w:spacing w:after="0"/>
              <w:rPr>
                <w:sz w:val="17"/>
                <w:szCs w:val="17"/>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79,752</w:t>
            </w: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c>
          <w:tcPr>
            <w:tcW w:w="20" w:type="dxa"/>
            <w:vAlign w:val="bottom"/>
          </w:tcPr>
          <w:p>
            <w:pPr>
              <w:spacing w:after="0"/>
              <w:rPr>
                <w:sz w:val="17"/>
                <w:szCs w:val="17"/>
                <w:color w:val="auto"/>
              </w:rPr>
            </w:pPr>
          </w:p>
        </w:tc>
      </w:tr>
      <w:tr>
        <w:trPr>
          <w:trHeight w:val="203"/>
        </w:trPr>
        <w:tc>
          <w:tcPr>
            <w:tcW w:w="2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222,596</w:t>
            </w:r>
          </w:p>
        </w:tc>
        <w:tc>
          <w:tcPr>
            <w:tcW w:w="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c>
          <w:tcPr>
            <w:tcW w:w="20" w:type="dxa"/>
            <w:vAlign w:val="bottom"/>
          </w:tcPr>
          <w:p>
            <w:pPr>
              <w:spacing w:after="0"/>
              <w:rPr>
                <w:sz w:val="17"/>
                <w:szCs w:val="17"/>
                <w:color w:val="auto"/>
              </w:rPr>
            </w:pPr>
          </w:p>
        </w:tc>
      </w:tr>
      <w:tr>
        <w:trPr>
          <w:trHeight w:val="236"/>
        </w:trPr>
        <w:tc>
          <w:tcPr>
            <w:tcW w:w="28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132,634</w:t>
            </w:r>
          </w:p>
        </w:tc>
        <w:tc>
          <w:tcPr>
            <w:tcW w:w="10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$ 222,596</w:t>
            </w:r>
          </w:p>
        </w:tc>
        <w:tc>
          <w:tcPr>
            <w:tcW w:w="3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355,230</w:t>
            </w:r>
          </w:p>
        </w:tc>
        <w:tc>
          <w:tcPr>
            <w:tcW w:w="20" w:type="dxa"/>
            <w:vAlign w:val="bottom"/>
          </w:tcPr>
          <w:p>
            <w:pPr>
              <w:spacing w:after="0"/>
              <w:rPr>
                <w:sz w:val="20"/>
                <w:szCs w:val="20"/>
                <w:color w:val="auto"/>
              </w:rPr>
            </w:pPr>
          </w:p>
        </w:tc>
      </w:tr>
      <w:tr>
        <w:trPr>
          <w:trHeight w:val="835"/>
        </w:trPr>
        <w:tc>
          <w:tcPr>
            <w:tcW w:w="2880" w:type="dxa"/>
            <w:vAlign w:val="bottom"/>
          </w:tcPr>
          <w:p>
            <w:pPr>
              <w:spacing w:after="0"/>
              <w:rPr>
                <w:sz w:val="24"/>
                <w:szCs w:val="24"/>
                <w:color w:val="auto"/>
              </w:rPr>
            </w:pPr>
          </w:p>
        </w:tc>
        <w:tc>
          <w:tcPr>
            <w:tcW w:w="2360" w:type="dxa"/>
            <w:vAlign w:val="bottom"/>
          </w:tcPr>
          <w:p>
            <w:pPr>
              <w:jc w:val="right"/>
              <w:ind w:right="5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2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There were no transfers between levels during the period ended June 30, 2022. The Company uses the services of its investment manager, which uses widely accepted models for assumptions in valuing securities with inputs from major third-party data providers.</w:t>
      </w:r>
    </w:p>
    <w:p>
      <w:pPr>
        <w:spacing w:after="0" w:line="142"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1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June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Gross</w:t>
            </w:r>
          </w:p>
        </w:tc>
        <w:tc>
          <w:tcPr>
            <w:tcW w:w="88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60"/>
              <w:spacing w:after="0"/>
              <w:rPr>
                <w:sz w:val="20"/>
                <w:szCs w:val="20"/>
                <w:color w:val="auto"/>
              </w:rPr>
            </w:pPr>
            <w:r>
              <w:rPr>
                <w:rFonts w:ascii="Arial" w:cs="Arial" w:eastAsia="Arial" w:hAnsi="Arial"/>
                <w:sz w:val="14"/>
                <w:szCs w:val="14"/>
                <w:color w:val="auto"/>
              </w:rPr>
              <w:t>Unrealized</w:t>
            </w:r>
          </w:p>
        </w:tc>
        <w:tc>
          <w:tcPr>
            <w:tcW w:w="88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rPr>
              <w:t>Losses</w:t>
            </w:r>
          </w:p>
        </w:tc>
        <w:tc>
          <w:tcPr>
            <w:tcW w:w="88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104,211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(1,837)</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$ 102,374</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215,726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(1,522)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214,204</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319,937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(3,359)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$ 316,578</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80,052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5"/>
              </w:rPr>
              <w:t>(300)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79,752</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222,898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(302)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5"/>
              </w:rPr>
              <w:t>(602)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0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color w:val="auto"/>
              </w:rPr>
              <w:t>June 30, 2022    December 31, 2021</w:t>
            </w:r>
          </w:p>
        </w:tc>
      </w:tr>
      <w:tr>
        <w:trPr>
          <w:trHeight w:val="196"/>
        </w:trPr>
        <w:tc>
          <w:tcPr>
            <w:tcW w:w="6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265,971</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166,434</w:t>
            </w:r>
          </w:p>
        </w:tc>
      </w:tr>
      <w:tr>
        <w:trPr>
          <w:trHeight w:val="203"/>
        </w:trPr>
        <w:tc>
          <w:tcPr>
            <w:tcW w:w="6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50,607</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135,914</w:t>
            </w:r>
          </w:p>
        </w:tc>
      </w:tr>
      <w:tr>
        <w:trPr>
          <w:trHeight w:val="196"/>
        </w:trPr>
        <w:tc>
          <w:tcPr>
            <w:tcW w:w="6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316,578</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June 30,</w:t>
            </w:r>
          </w:p>
        </w:tc>
        <w:tc>
          <w:tcPr>
            <w:tcW w:w="10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2,370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licenses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4,773</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June 30,</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25,737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18,114</w:t>
            </w: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20,978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26,623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32,836</w:t>
            </w:r>
          </w:p>
        </w:tc>
      </w:tr>
      <w:tr>
        <w:trPr>
          <w:trHeight w:val="203"/>
        </w:trPr>
        <w:tc>
          <w:tcPr>
            <w:tcW w:w="684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1,550</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78,119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63,296</w:t>
            </w:r>
          </w:p>
        </w:tc>
      </w:tr>
      <w:tr>
        <w:trPr>
          <w:trHeight w:val="203"/>
        </w:trPr>
        <w:tc>
          <w:tcPr>
            <w:tcW w:w="6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(8,148)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(5,329)</w:t>
            </w:r>
          </w:p>
        </w:tc>
      </w:tr>
      <w:tr>
        <w:trPr>
          <w:trHeight w:val="196"/>
        </w:trPr>
        <w:tc>
          <w:tcPr>
            <w:tcW w:w="684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69,971</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57,967</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79"/>
        <w:spacing w:after="0" w:line="301" w:lineRule="auto"/>
        <w:rPr>
          <w:sz w:val="20"/>
          <w:szCs w:val="20"/>
          <w:color w:val="auto"/>
        </w:rPr>
      </w:pPr>
      <w:r>
        <w:rPr>
          <w:rFonts w:ascii="Arial" w:cs="Arial" w:eastAsia="Arial" w:hAnsi="Arial"/>
          <w:sz w:val="17"/>
          <w:szCs w:val="17"/>
          <w:color w:val="auto"/>
        </w:rPr>
        <w:t>Depreciation expense was $1,668 and $935 for the three months ended June 30, 2022 and 2021, respectively. Depreciation expense was $2,828 and $1,653 for the six months ended June 30, 2022 and 2021, respectively</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June 30,</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03"/>
        </w:trPr>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6,040</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color w:val="auto"/>
              </w:rPr>
              <w:t>June 30, 2022   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right="2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40" w:type="dxa"/>
            <w:vAlign w:val="bottom"/>
          </w:tcPr>
          <w:p>
            <w:pPr>
              <w:spacing w:after="0" w:line="183" w:lineRule="exact"/>
              <w:rPr>
                <w:sz w:val="20"/>
                <w:szCs w:val="20"/>
                <w:color w:val="auto"/>
              </w:rPr>
            </w:pPr>
            <w:r>
              <w:rPr>
                <w:rFonts w:ascii="Arial" w:cs="Arial" w:eastAsia="Arial" w:hAnsi="Arial"/>
                <w:sz w:val="18"/>
                <w:szCs w:val="18"/>
                <w:color w:val="auto"/>
              </w:rPr>
              <w:t>Less: Unamortized deferred financing cost and end of term fee, net of</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center"/>
              <w:ind w:right="2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131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Beginning January 1, 2021 and upon the achievement of certain development milestones and continuing through September 30, 2021 the Company may borrow an additional $10,000 (the “Tranche 2 Advance”). The remaining $10,000 tranche (“Tranche 3 Advance”) is subject to Hercules’ investment committee’s sole discretion.</w:t>
      </w:r>
    </w:p>
    <w:p>
      <w:pPr>
        <w:spacing w:after="0" w:line="15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The Loan Agreement has a four-year term and an interest-only period of up to 30 months. The Company was in compliance with all provisions of the Loan Agreement as of June 30, 2022. Amounts borrowed under the Loan Agreement accrue interest at a floating rate per annum (based on a year of 360 days) equal to (i) 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June 30, 2022 was 10.3%.</w:t>
      </w:r>
    </w:p>
    <w:p>
      <w:pPr>
        <w:spacing w:after="0" w:line="138"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38"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27"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color w:val="auto"/>
              </w:rPr>
              <w:t>For the Three</w:t>
            </w:r>
          </w:p>
        </w:tc>
        <w:tc>
          <w:tcPr>
            <w:tcW w:w="11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For the Three</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For the Six</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Six</w:t>
            </w:r>
          </w:p>
        </w:tc>
      </w:tr>
      <w:tr>
        <w:trPr>
          <w:trHeight w:val="162"/>
        </w:trPr>
        <w:tc>
          <w:tcPr>
            <w:tcW w:w="44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Months Ended</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Months Ended</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Months Ended</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Months Ended</w:t>
            </w:r>
          </w:p>
        </w:tc>
      </w:tr>
      <w:tr>
        <w:trPr>
          <w:trHeight w:val="171"/>
        </w:trPr>
        <w:tc>
          <w:tcPr>
            <w:tcW w:w="440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June 30, 2022</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June 30, 2021</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June 30, 2022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June 30, 2021</w:t>
            </w:r>
          </w:p>
        </w:tc>
      </w:tr>
      <w:tr>
        <w:trPr>
          <w:trHeight w:val="196"/>
        </w:trPr>
        <w:tc>
          <w:tcPr>
            <w:tcW w:w="4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480</w:t>
            </w:r>
          </w:p>
        </w:tc>
      </w:tr>
      <w:tr>
        <w:trPr>
          <w:trHeight w:val="184"/>
        </w:trPr>
        <w:tc>
          <w:tcPr>
            <w:tcW w:w="4400" w:type="dxa"/>
            <w:vAlign w:val="bottom"/>
          </w:tcPr>
          <w:p>
            <w:pPr>
              <w:ind w:left="20"/>
              <w:spacing w:after="0" w:line="183" w:lineRule="exact"/>
              <w:rPr>
                <w:sz w:val="20"/>
                <w:szCs w:val="20"/>
                <w:color w:val="auto"/>
              </w:rPr>
            </w:pPr>
            <w:r>
              <w:rPr>
                <w:rFonts w:ascii="Arial" w:cs="Arial" w:eastAsia="Arial" w:hAnsi="Arial"/>
                <w:sz w:val="18"/>
                <w:szCs w:val="18"/>
                <w:color w:val="auto"/>
              </w:rPr>
              <w:t>Amortization of debt issuance costs, including end of</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fee accretion</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196"/>
        </w:trPr>
        <w:tc>
          <w:tcPr>
            <w:tcW w:w="44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r>
    </w:tbl>
    <w:p>
      <w:pPr>
        <w:spacing w:after="0" w:line="184"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Included in accrued expenses in the accompanying consolidated balance sheets as of June 30, 2022 and December 31, 2021 was $82 of accrued interest.</w:t>
      </w:r>
    </w:p>
    <w:p>
      <w:pPr>
        <w:spacing w:after="0" w:line="11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5648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Principal Payments</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jc w:val="right"/>
              <w:ind w:right="2590"/>
              <w:spacing w:after="0" w:line="196" w:lineRule="exact"/>
              <w:rPr>
                <w:sz w:val="20"/>
                <w:szCs w:val="20"/>
                <w:color w:val="auto"/>
              </w:rPr>
            </w:pPr>
            <w:r>
              <w:rPr>
                <w:rFonts w:ascii="Arial" w:cs="Arial" w:eastAsia="Arial" w:hAnsi="Arial"/>
                <w:sz w:val="18"/>
                <w:szCs w:val="18"/>
                <w:color w:val="231F20"/>
                <w:w w:val="99"/>
              </w:rPr>
              <w:t>2023</w:t>
            </w:r>
          </w:p>
        </w:tc>
        <w:tc>
          <w:tcPr>
            <w:tcW w:w="4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6,544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jc w:val="right"/>
              <w:ind w:right="2590"/>
              <w:spacing w:after="0" w:line="202" w:lineRule="exact"/>
              <w:rPr>
                <w:sz w:val="20"/>
                <w:szCs w:val="20"/>
                <w:color w:val="auto"/>
              </w:rPr>
            </w:pPr>
            <w:r>
              <w:rPr>
                <w:rFonts w:ascii="Arial" w:cs="Arial" w:eastAsia="Arial" w:hAnsi="Arial"/>
                <w:sz w:val="18"/>
                <w:szCs w:val="18"/>
                <w:color w:val="231F20"/>
                <w:w w:val="99"/>
              </w:rPr>
              <w:t>2024</w:t>
            </w:r>
          </w:p>
        </w:tc>
        <w:tc>
          <w:tcPr>
            <w:tcW w:w="4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3,851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jc w:val="right"/>
              <w:ind w:right="1170"/>
              <w:spacing w:after="0" w:line="196" w:lineRule="exact"/>
              <w:rPr>
                <w:sz w:val="20"/>
                <w:szCs w:val="20"/>
                <w:color w:val="auto"/>
              </w:rPr>
            </w:pPr>
            <w:r>
              <w:rPr>
                <w:rFonts w:ascii="Arial" w:cs="Arial" w:eastAsia="Arial" w:hAnsi="Arial"/>
                <w:sz w:val="18"/>
                <w:szCs w:val="18"/>
                <w:color w:val="231F20"/>
              </w:rPr>
              <w:t>Total future payments</w:t>
            </w:r>
          </w:p>
        </w:tc>
        <w:tc>
          <w:tcPr>
            <w:tcW w:w="4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10,395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400" w:type="dxa"/>
            <w:vAlign w:val="bottom"/>
            <w:vMerge w:val="restart"/>
          </w:tcPr>
          <w:p>
            <w:pPr>
              <w:jc w:val="right"/>
              <w:ind w:right="285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1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18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4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3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4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 – Revenue recognition</w:t>
      </w:r>
    </w:p>
    <w:p>
      <w:pPr>
        <w:spacing w:after="0" w:line="17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 free, perpetual and irrevocable.</w:t>
      </w:r>
    </w:p>
    <w:p>
      <w:pPr>
        <w:spacing w:after="0" w:line="17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6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6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At June 30, 2022, the total transaction price of $123,200 is allocated to the performance obligations based on their estimated standalone selling price.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71" w:lineRule="exact"/>
        <w:rPr>
          <w:sz w:val="20"/>
          <w:szCs w:val="20"/>
          <w:color w:val="auto"/>
        </w:rPr>
      </w:pPr>
    </w:p>
    <w:p>
      <w:pPr>
        <w:ind w:left="720" w:right="45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44" w:lineRule="auto"/>
        <w:rPr>
          <w:sz w:val="20"/>
          <w:szCs w:val="20"/>
          <w:color w:val="auto"/>
        </w:rPr>
      </w:pPr>
      <w:r>
        <w:rPr>
          <w:rFonts w:ascii="Arial" w:cs="Arial" w:eastAsia="Arial" w:hAnsi="Arial"/>
          <w:sz w:val="18"/>
          <w:szCs w:val="18"/>
          <w:color w:val="auto"/>
        </w:rPr>
        <w:t>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63" w:lineRule="exact"/>
        <w:rPr>
          <w:sz w:val="20"/>
          <w:szCs w:val="20"/>
          <w:color w:val="auto"/>
        </w:rPr>
      </w:pPr>
    </w:p>
    <w:p>
      <w:pPr>
        <w:ind w:left="720" w:right="79" w:hanging="319"/>
        <w:spacing w:after="0" w:line="246"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63"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June 30, 2022:</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231F20"/>
                <w:w w:val="99"/>
              </w:rPr>
              <w:t>Cumulative</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231F20"/>
                <w:w w:val="99"/>
              </w:rPr>
              <w:t>Transaction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231F20"/>
                <w:w w:val="99"/>
              </w:rPr>
              <w:t>collaboration</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Deferred collaboration</w:t>
            </w:r>
          </w:p>
        </w:tc>
      </w:tr>
      <w:tr>
        <w:trPr>
          <w:trHeight w:val="221"/>
        </w:trPr>
        <w:tc>
          <w:tcPr>
            <w:tcW w:w="356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231F20"/>
              </w:rPr>
              <w:t>price</w:t>
            </w:r>
          </w:p>
        </w:tc>
        <w:tc>
          <w:tcPr>
            <w:tcW w:w="220" w:type="dxa"/>
            <w:vAlign w:val="bottom"/>
          </w:tcPr>
          <w:p>
            <w:pPr>
              <w:spacing w:after="0"/>
              <w:rPr>
                <w:sz w:val="19"/>
                <w:szCs w:val="19"/>
                <w:color w:val="auto"/>
              </w:rPr>
            </w:pPr>
          </w:p>
        </w:tc>
        <w:tc>
          <w:tcPr>
            <w:tcW w:w="1940" w:type="dxa"/>
            <w:vAlign w:val="bottom"/>
            <w:gridSpan w:val="3"/>
          </w:tcPr>
          <w:p>
            <w:pPr>
              <w:jc w:val="center"/>
              <w:ind w:right="240"/>
              <w:spacing w:after="0"/>
              <w:rPr>
                <w:sz w:val="20"/>
                <w:szCs w:val="20"/>
                <w:color w:val="auto"/>
              </w:rPr>
            </w:pPr>
            <w:r>
              <w:rPr>
                <w:rFonts w:ascii="Arial" w:cs="Arial" w:eastAsia="Arial" w:hAnsi="Arial"/>
                <w:sz w:val="18"/>
                <w:szCs w:val="18"/>
                <w:color w:val="231F20"/>
                <w:w w:val="99"/>
              </w:rPr>
              <w:t>revenue recognized</w:t>
            </w:r>
          </w:p>
        </w:tc>
        <w:tc>
          <w:tcPr>
            <w:tcW w:w="120" w:type="dxa"/>
            <w:vAlign w:val="bottom"/>
          </w:tcPr>
          <w:p>
            <w:pPr>
              <w:spacing w:after="0"/>
              <w:rPr>
                <w:sz w:val="19"/>
                <w:szCs w:val="19"/>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231F20"/>
              </w:rPr>
              <w:t>revenue</w:t>
            </w:r>
          </w:p>
        </w:tc>
      </w:tr>
      <w:tr>
        <w:trPr>
          <w:trHeight w:val="209"/>
        </w:trPr>
        <w:tc>
          <w:tcPr>
            <w:tcW w:w="3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r>
      <w:tr>
        <w:trPr>
          <w:trHeight w:val="210"/>
        </w:trPr>
        <w:tc>
          <w:tcPr>
            <w:tcW w:w="3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120,733</w:t>
            </w:r>
          </w:p>
        </w:tc>
      </w:tr>
      <w:tr>
        <w:trPr>
          <w:trHeight w:val="216"/>
        </w:trPr>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Less current portion of deferred revenue</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w:t>
            </w:r>
          </w:p>
        </w:tc>
      </w:tr>
      <w:tr>
        <w:trPr>
          <w:trHeight w:val="209"/>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112,909</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six months ended June 30, 2022.</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w:t>
      </w:r>
      <w:r>
        <w:rPr>
          <w:rFonts w:ascii="Arial" w:cs="Arial" w:eastAsia="Arial" w:hAnsi="Arial"/>
          <w:sz w:val="21"/>
          <w:szCs w:val="21"/>
          <w:color w:val="auto"/>
        </w:rPr>
        <w:t>ote 12—Commitments and contingencies</w:t>
      </w:r>
    </w:p>
    <w:p>
      <w:pPr>
        <w:spacing w:after="0" w:line="185"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8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The Company had $108 within accounts payable as of June 30, 2022 and $ 36 within accrued expenses and other liabilities as of December 31, 2021, in its consolidated balance sheets related to the Master Service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2022 or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University of Toronto and McMaster University</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connection with the Empirica asset acquisition in June 2020 (Note 4), the Company acquired a license agreement by and among the Governing Council of the University of Toronto, or the Council, the McMaster University, or, together with the Council, the Toronto Universities, and Empirica (the Empirica License). Under the Empirica License, the Company received an exclusive, non- transferable, sublicensable, worldwide license to certain patents and antibody sequences and related intellectual property rights and know-how.</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Pursuant to the Empirica License, the Company is required to make aggregate milestone payments of $18,000 to the Toronto Universities upon the achievement of regulatory approval for certain products developed pursuant to the Empirica License. The Company is also required to make royalty payments to the Toronto Universities in an amount equal to a low single-digit percentage of annual net sales of any product commercialized utilizing technology licensed. The Company is also required to pay the Toronto Institutions 50% of all non-royalty payments from sublicenses up to certain maximum amounts and 50% of royalty payments from sublicenses up to a maximum low single-digit percentage.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and the Company may terminate the agreement for convenience upon 30 days’ written notice.</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13—Leases</w:t>
      </w:r>
    </w:p>
    <w:p>
      <w:pPr>
        <w:spacing w:after="0" w:line="187"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$1,506 and $1,549 within security deposits in its consolidated balance sheets at June 30, 2022 and December 31, 2021, respectively. The Company’s leases have initial lease terms ranging from 5 to 16 years. Certain lease agreements contain provisions for future rent increases.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5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Six Months Ended</w:t>
            </w:r>
          </w:p>
        </w:tc>
      </w:tr>
      <w:tr>
        <w:trPr>
          <w:trHeight w:val="17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June 30,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June 30, 2021</w:t>
            </w:r>
          </w:p>
        </w:tc>
      </w:tr>
      <w:tr>
        <w:trPr>
          <w:trHeight w:val="196"/>
        </w:trPr>
        <w:tc>
          <w:tcPr>
            <w:tcW w:w="2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44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48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20" w:type="dxa"/>
            <w:vAlign w:val="bottom"/>
          </w:tcPr>
          <w:p>
            <w:pPr>
              <w:spacing w:after="0"/>
              <w:rPr>
                <w:sz w:val="17"/>
                <w:szCs w:val="17"/>
                <w:color w:val="auto"/>
              </w:rPr>
            </w:pPr>
          </w:p>
        </w:tc>
      </w:tr>
      <w:tr>
        <w:trPr>
          <w:trHeight w:val="203"/>
        </w:trPr>
        <w:tc>
          <w:tcPr>
            <w:tcW w:w="2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7"/>
                <w:szCs w:val="17"/>
                <w:color w:val="auto"/>
              </w:rPr>
            </w:pPr>
          </w:p>
        </w:tc>
      </w:tr>
      <w:tr>
        <w:trPr>
          <w:trHeight w:val="203"/>
        </w:trPr>
        <w:tc>
          <w:tcPr>
            <w:tcW w:w="25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1,310</w:t>
            </w:r>
          </w:p>
        </w:tc>
        <w:tc>
          <w:tcPr>
            <w:tcW w:w="20" w:type="dxa"/>
            <w:vAlign w:val="bottom"/>
            <w:tcBorders>
              <w:bottom w:val="single" w:sz="8" w:color="CCEEFF"/>
            </w:tcBorders>
          </w:tcPr>
          <w:p>
            <w:pPr>
              <w:spacing w:after="0"/>
              <w:rPr>
                <w:sz w:val="17"/>
                <w:szCs w:val="17"/>
                <w:color w:val="auto"/>
              </w:rPr>
            </w:pPr>
          </w:p>
        </w:tc>
      </w:tr>
      <w:tr>
        <w:trPr>
          <w:trHeight w:val="196"/>
        </w:trPr>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2,810</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40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69" w:lineRule="exact"/>
        <w:rPr>
          <w:sz w:val="20"/>
          <w:szCs w:val="20"/>
          <w:color w:val="auto"/>
        </w:rPr>
      </w:pPr>
    </w:p>
    <w:tbl>
      <w:tblPr>
        <w:tblLayout w:type="fixed"/>
        <w:tblInd w:w="466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As of</w:t>
            </w:r>
          </w:p>
        </w:tc>
        <w:tc>
          <w:tcPr>
            <w:tcW w:w="1160" w:type="dxa"/>
            <w:vAlign w:val="bottom"/>
          </w:tcPr>
          <w:p>
            <w:pPr>
              <w:jc w:val="right"/>
              <w:spacing w:after="0"/>
              <w:rPr>
                <w:sz w:val="20"/>
                <w:szCs w:val="20"/>
                <w:color w:val="auto"/>
              </w:rPr>
            </w:pPr>
            <w:r>
              <w:rPr>
                <w:rFonts w:ascii="Arial" w:cs="Arial" w:eastAsia="Arial" w:hAnsi="Arial"/>
                <w:sz w:val="14"/>
                <w:szCs w:val="14"/>
                <w:color w:val="auto"/>
              </w:rPr>
              <w:t>As of</w:t>
            </w:r>
          </w:p>
        </w:tc>
      </w:tr>
      <w:tr>
        <w:trPr>
          <w:trHeight w:val="162"/>
        </w:trPr>
        <w:tc>
          <w:tcPr>
            <w:tcW w:w="18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color w:val="auto"/>
              </w:rPr>
              <w:t>June 30,</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r>
      <w:tr>
        <w:trPr>
          <w:trHeight w:val="171"/>
        </w:trPr>
        <w:tc>
          <w:tcPr>
            <w:tcW w:w="186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24,728</w:t>
            </w:r>
          </w:p>
        </w:tc>
        <w:tc>
          <w:tcPr>
            <w:tcW w:w="160" w:type="dxa"/>
            <w:vAlign w:val="bottom"/>
          </w:tcPr>
          <w:p>
            <w:pPr>
              <w:spacing w:after="0"/>
              <w:rPr>
                <w:sz w:val="17"/>
                <w:szCs w:val="17"/>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11,854</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30,433</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r>
      <w:tr>
        <w:trPr>
          <w:trHeight w:val="196"/>
        </w:trPr>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31,155</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-548005</wp:posOffset>
            </wp:positionV>
            <wp:extent cx="56489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-290830</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180"/>
            <w:col w:w="571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48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As of June 30, 2022    As of December 31, 2021</w:t>
            </w:r>
          </w:p>
        </w:tc>
        <w:tc>
          <w:tcPr>
            <w:tcW w:w="180" w:type="dxa"/>
            <w:vAlign w:val="bottom"/>
          </w:tcPr>
          <w:p>
            <w:pPr>
              <w:spacing w:after="0"/>
              <w:rPr>
                <w:sz w:val="15"/>
                <w:szCs w:val="15"/>
                <w:color w:val="auto"/>
              </w:rPr>
            </w:pPr>
          </w:p>
        </w:tc>
      </w:tr>
      <w:tr>
        <w:trPr>
          <w:trHeight w:val="196"/>
        </w:trPr>
        <w:tc>
          <w:tcPr>
            <w:tcW w:w="5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34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8.53 years</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800"/>
              <w:spacing w:after="0" w:line="196" w:lineRule="exact"/>
              <w:rPr>
                <w:sz w:val="20"/>
                <w:szCs w:val="20"/>
                <w:color w:val="auto"/>
              </w:rPr>
            </w:pPr>
            <w:r>
              <w:rPr>
                <w:rFonts w:ascii="Arial" w:cs="Arial" w:eastAsia="Arial" w:hAnsi="Arial"/>
                <w:sz w:val="18"/>
                <w:szCs w:val="18"/>
                <w:color w:val="auto"/>
              </w:rPr>
              <w:t>7.99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5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 Six</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Six</w:t>
            </w:r>
          </w:p>
        </w:tc>
      </w:tr>
      <w:tr>
        <w:trPr>
          <w:trHeight w:val="162"/>
        </w:trPr>
        <w:tc>
          <w:tcPr>
            <w:tcW w:w="654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Months Ended</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Months Ended</w:t>
            </w:r>
          </w:p>
        </w:tc>
      </w:tr>
      <w:tr>
        <w:trPr>
          <w:trHeight w:val="171"/>
        </w:trPr>
        <w:tc>
          <w:tcPr>
            <w:tcW w:w="654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June 30, 2022</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June 30, 2021</w:t>
            </w:r>
          </w:p>
        </w:tc>
      </w:tr>
      <w:tr>
        <w:trPr>
          <w:trHeight w:val="196"/>
        </w:trPr>
        <w:tc>
          <w:tcPr>
            <w:tcW w:w="6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2,479</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2"/>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13,482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June 30,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6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5,150</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6,458</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6,591</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6,692</w:t>
            </w:r>
          </w:p>
        </w:tc>
      </w:tr>
      <w:tr>
        <w:trPr>
          <w:trHeight w:val="203"/>
        </w:trPr>
        <w:tc>
          <w:tcPr>
            <w:tcW w:w="76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46,960</w:t>
            </w:r>
          </w:p>
        </w:tc>
      </w:tr>
      <w:tr>
        <w:trPr>
          <w:trHeight w:val="196"/>
        </w:trPr>
        <w:tc>
          <w:tcPr>
            <w:tcW w:w="7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73,327</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(28,237)</w:t>
            </w:r>
          </w:p>
        </w:tc>
      </w:tr>
      <w:tr>
        <w:trPr>
          <w:trHeight w:val="203"/>
        </w:trPr>
        <w:tc>
          <w:tcPr>
            <w:tcW w:w="7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(13,935)</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31,155</w:t>
            </w: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Company entered into one lease that had not commenced at June 30, 2022. As a result, future lease payments of approximately $20,878 are not recorded on the Company’s consolidated balance sheets. The lease is expected to commence in July 2022 with a non-cancelable term of 10 years.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14—Income taxes</w:t>
      </w:r>
    </w:p>
    <w:p>
      <w:pPr>
        <w:spacing w:after="0" w:line="214"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During the six months ended June 30, 2022, the Company recorded no income tax benefits for the net operating losses incurred or for the research and development tax credits generated in the U.S. due to its uncertainty of realizing a benefit from those items. During the six months ended June 30, 2022, the Company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recorded a tax provision of less than $0.1 million, related to its income tax obligations of its operating company in Canada.</w:t>
      </w:r>
    </w:p>
    <w:p>
      <w:pPr>
        <w:spacing w:after="0" w:line="15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For the six months ended June 30, 2022, the Company excluded the U.S. from the calculation of the AETR as the Company anticipates an ordinary loss in these jurisdictions for which no tax benefit can be recognized.</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June 30, 2022, the Company has recorded a full valuation allowance against its net deferred tax assets in the U.S.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15—Basic and diluted net loss per common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(30,988)</w:t>
            </w:r>
          </w:p>
        </w:tc>
        <w:tc>
          <w:tcPr>
            <w:tcW w:w="6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(23,273)</w:t>
            </w:r>
          </w:p>
        </w:tc>
        <w:tc>
          <w:tcPr>
            <w:tcW w:w="3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(68,501)</w:t>
            </w:r>
          </w:p>
        </w:tc>
        <w:tc>
          <w:tcPr>
            <w:tcW w:w="3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(41,621)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6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Weighted-average common</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shares for basic and diluted net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57,685,006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12,044,610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57,370,022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6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Basic and diluted net loss per</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common share</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potentially dilutive securities, which include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six months ended June 30, 2022 and 2021 because including them would have had an anti-dilutive effect.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Six Months Ended</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June 30,</w:t>
            </w:r>
          </w:p>
        </w:tc>
        <w:tc>
          <w:tcPr>
            <w:tcW w:w="1240" w:type="dxa"/>
            <w:vAlign w:val="bottom"/>
            <w:gridSpan w:val="2"/>
          </w:tcPr>
          <w:p>
            <w:pPr>
              <w:ind w:left="5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9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7,827,149</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5,505,511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669,309</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1,161,937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384,206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Warrants on long term debt</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8,912,673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7,570,633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60" w:type="dxa"/>
            <w:vAlign w:val="bottom"/>
            <w:vMerge w:val="restart"/>
          </w:tcPr>
          <w:p>
            <w:pPr>
              <w:jc w:val="right"/>
              <w:ind w:right="1634"/>
              <w:spacing w:after="0"/>
              <w:rPr>
                <w:sz w:val="20"/>
                <w:szCs w:val="20"/>
                <w:color w:val="auto"/>
              </w:rPr>
            </w:pPr>
            <w:r>
              <w:rPr>
                <w:rFonts w:ascii="Arial" w:cs="Arial" w:eastAsia="Arial" w:hAnsi="Arial"/>
                <w:sz w:val="18"/>
                <w:szCs w:val="18"/>
                <w:color w:val="auto"/>
              </w:rPr>
              <w:t>29</w:t>
            </w: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3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16—Defined contribution plan</w:t>
      </w:r>
    </w:p>
    <w:p>
      <w:pPr>
        <w:spacing w:after="0" w:line="18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$237 and $149 for the three months ended June 30, 2022 and 2021, respectively, and $395 and $361 for the six months ended June 30, 2022 and 2021 respectively. Such contribution expense has been recognized in the consolidated statement of operations for each period.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17—Stock-based compensation</w:t>
      </w:r>
    </w:p>
    <w:p>
      <w:pPr>
        <w:spacing w:after="0" w:line="17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For performance-based awards, the Company reassesses at each reporting date whether achievement of the performance condition is probable and accrues compensation expense if and when achievement of the performance condition is probable. On June 17, 2021, this plan was replaced by the Century Therapeutics, Inc. 2021 Equity Incentive Plan (the “2021 Incentive Plan”) and future issuances of incentive awards will be governed by that plan.</w:t>
      </w:r>
    </w:p>
    <w:p>
      <w:pPr>
        <w:spacing w:after="0" w:line="15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33"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564,071 shares of common stock were initially reserved for issuance under this plan. No shares are issued or outstanding under the 2021 ESPP.</w:t>
      </w:r>
    </w:p>
    <w:p>
      <w:pPr>
        <w:spacing w:after="0" w:line="128"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On January 1, 2022, the Company was authorized to issue an additional 2,750,276 shares of Common Stock under the 2021 Incentive Plan and an additional 550,055 shares of Common Stock under the 2021 ESPP pursuant to “evergreen” provisions contained in each of the 2021 Incentive Plan and 2021 ESPP.</w:t>
      </w:r>
    </w:p>
    <w:p>
      <w:pPr>
        <w:spacing w:after="0" w:line="14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recognizes the costs of the stock-based payments as the employees vest in the awards. For the three months ended June 30, 2022, the Company recognized $2,771 of stock-based compensation expense of which $1,238 was general and administrative expense and $1,533 was research and development expenses recorded within the consolidated statement of operations and comprehensive loss. For the six months ended June 30, 2022, the Company recognized $5,151 of stock-based compensation expense of which $2,309 was general and administrative expense and $ 2,842 was research and development expenses recorded within the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period ended June 30,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3"/>
          </w:tcPr>
          <w:p>
            <w:pPr>
              <w:jc w:val="right"/>
              <w:ind w:right="317"/>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Remaining</w:t>
            </w: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Contractual</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112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800" w:type="dxa"/>
            <w:vAlign w:val="bottom"/>
          </w:tcPr>
          <w:p>
            <w:pPr>
              <w:jc w:val="right"/>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2,321,482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12.67</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 - vested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(116,777)</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(56,160)</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June 30,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7,827,149</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8.15</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21,722</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Exercisable at June 30, 2022</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2,802,895</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7.80</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weighted average grant date fair value of awards for options granted during the period ended June 30, 2022 was $8.30. As of June 30, 2022, there was $ 31,278 of total unrecognized compensation expense related to unvested stock options with time-based vesting terms, which is expected to be recognized over a weighted average period of 2.89 years.</w:t>
      </w:r>
    </w:p>
    <w:p>
      <w:pPr>
        <w:spacing w:after="0" w:line="133"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During 2020, the Company issued 213,624 performance-based awards, respectively, that vest upon contingent events. The performance condition for these awards were achieved as of June 30, 2021. As a result, the Company recorded compensation expense related to the performance-based awards of $227 in 2021.</w:t>
      </w:r>
    </w:p>
    <w:p>
      <w:pPr>
        <w:spacing w:after="0" w:line="111"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 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40" w:type="dxa"/>
            <w:vAlign w:val="bottom"/>
            <w:tcBorders>
              <w:top w:val="single" w:sz="8" w:color="auto"/>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June 30, 2022</w:t>
            </w:r>
          </w:p>
        </w:tc>
        <w:tc>
          <w:tcPr>
            <w:tcW w:w="28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280" w:type="dxa"/>
            <w:vAlign w:val="bottom"/>
          </w:tcPr>
          <w:p>
            <w:pPr>
              <w:spacing w:after="0"/>
              <w:rPr>
                <w:sz w:val="17"/>
                <w:szCs w:val="17"/>
                <w:color w:val="auto"/>
              </w:rPr>
            </w:pPr>
          </w:p>
        </w:tc>
      </w:tr>
      <w:tr>
        <w:trPr>
          <w:trHeight w:val="203"/>
        </w:trPr>
        <w:tc>
          <w:tcPr>
            <w:tcW w:w="7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73.41</w:t>
            </w:r>
          </w:p>
        </w:tc>
        <w:tc>
          <w:tcPr>
            <w:tcW w:w="2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87"/>
              </w:rPr>
              <w:t>%</w:t>
            </w:r>
          </w:p>
        </w:tc>
      </w:tr>
      <w:tr>
        <w:trPr>
          <w:trHeight w:val="239"/>
        </w:trPr>
        <w:tc>
          <w:tcPr>
            <w:tcW w:w="7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June 30, 2022 and December 31, 2021:</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8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2021</w:t>
            </w:r>
          </w:p>
        </w:tc>
        <w:tc>
          <w:tcPr>
            <w:tcW w:w="2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681,789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(297,583)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3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Unvested June 30, 2022</w:t>
            </w:r>
          </w:p>
        </w:tc>
        <w:tc>
          <w:tcPr>
            <w:tcW w:w="26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384,206</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80" w:type="dxa"/>
            <w:vAlign w:val="bottom"/>
            <w:vMerge w:val="restart"/>
          </w:tcPr>
          <w:p>
            <w:pPr>
              <w:jc w:val="right"/>
              <w:ind w:right="1630"/>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27"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As of June 30, 2022, there was $2,223 of total unrecognized compensation expense related to the unvested restricted stock with time-based vesting terms, which is expected to be recognized over a weighted average period of 1.22 years. All restricted stock vests over a four-year period.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of $2,077 was recorded as a deposit liability on the Company’s balance sheet as of June 30, 2022.</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18—Related party transactions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 of Equity Method Investor</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8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Company also acquired from Prior Century an exclusive license agreement with FCDI. The license provides the Company with patents and know-how related to human iPSC exclusively manufactured by FCDI.</w:t>
      </w:r>
    </w:p>
    <w:p>
      <w:pPr>
        <w:spacing w:after="0" w:line="90" w:lineRule="exact"/>
        <w:rPr>
          <w:sz w:val="20"/>
          <w:szCs w:val="20"/>
          <w:color w:val="auto"/>
        </w:rPr>
      </w:pPr>
    </w:p>
    <w:p>
      <w:pPr>
        <w:ind w:left="60" w:right="159"/>
        <w:spacing w:after="0" w:line="446"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Letter Agreement</w:t>
      </w:r>
    </w:p>
    <w:p>
      <w:pPr>
        <w:ind w:left="60" w:right="99"/>
        <w:spacing w:after="0"/>
        <w:rPr>
          <w:sz w:val="20"/>
          <w:szCs w:val="20"/>
          <w:color w:val="auto"/>
        </w:rPr>
      </w:pPr>
      <w:r>
        <w:rPr>
          <w:rFonts w:ascii="Arial" w:cs="Arial" w:eastAsia="Arial" w:hAnsi="Arial"/>
          <w:sz w:val="18"/>
          <w:szCs w:val="18"/>
          <w:color w:val="auto"/>
        </w:rPr>
        <w:t>On January 7, 2022, the Company and FCDI entered into a letter agreement (the “Letter Agreement”), which amended each of the license agreements with FCDI (the “FCDI Agreements”) such that (i) the definition of Territory under each of the FCDI Agreements, for purposes of the sublicenses under the FCDI Agreements pursuant to the Company’s Collaboration Agreement with Bristol-Myers Squibb, includes Japan, (ii) the licenses granted to the Company and its affiliates under the FCDI Agreements are sublicensable to Bristol -Myers Squibb, including with respect to Japan and (iii) Bristol-Myers Squibb is not subject to grant-back and option provisions under the reprogramming license.</w:t>
      </w:r>
    </w:p>
    <w:p>
      <w:pPr>
        <w:spacing w:after="0" w:line="144"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Pursuant to the Letter Agreement, and in consideration for amending the FCDI Agreements, the Company (i) paid to FCDI an upfront payment of $10,000,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budget. The initial research plan covers the period from October 2019 through March 31, 2022, with the related research budget totaling $31,400.</w:t>
      </w:r>
    </w:p>
    <w:p>
      <w:pPr>
        <w:spacing w:after="0" w:line="12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During the three and six months ended June 30, 2022, the Company made payments of $ 2,848 and $5,851 and incurred research and development expenses of $2,392 and $ 3,837 and legal fees of $61 and $91, recorded within general and administrative expenses in its consolidated statements of operations and comprehensive loss. As of June 30, 2022, there was $1,285 in accrued expenses related to this agreement on the consolidated balance sheets. As of December 31, 2021, there was $2,375 in accounts payable on the consolidated balance sheets.</w:t>
      </w:r>
    </w:p>
    <w:p>
      <w:pPr>
        <w:spacing w:after="0" w:line="138"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the three and six months ended June 30, 2021, the Company made payments of $4,561 and $7,784 and incurred research and development expenses of $5,071 and $ 7,852, and legal fees of $ 35 and $56, recorded within general and administrative expenses in its consolidated statements of operations and comprehensive loss.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 of Equity Method Investor</w:t>
      </w:r>
    </w:p>
    <w:p>
      <w:pPr>
        <w:spacing w:after="0" w:line="183"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incurred $19 and $38 related to these consulting arrangements that were included in research and development expenses in the consolidated statements of operations and comprehensive loss for the three and six months ended June 30, 2022, respectively. The Company incurred $18 and $56 related to these consulting arrangements that were included in research and development expenses in the consolidated statements of operations and comprehensive loss for the three and six months ended June 30, 2021, respectively. As of June 20, 2022 and December 31, 2021, there was $18 in accrued expenses related to this agreement on the consolidated balance sheets.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19—Subsequent Events</w:t>
      </w:r>
    </w:p>
    <w:p>
      <w:pPr>
        <w:spacing w:after="0" w:line="17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July 1, 2022, the Company entered into a Sales Agreement (the “Sales Agreement”) with Cowen and Company, LLC (“Cowen”), under which the Company may offer and sell, from time to time at its sole discretion, shares of its common stock, having an aggregate offering price of up to $150 million through Cowen as sales agent. No sales have been made under the Sales Agreement since its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which are contained in our Annual Report on Form 10-K filed with the Securities and Exchange Commission on March 17, 2022 (the “Annual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$456.7 million as of June 30, 2022. Substantially all of our losses have resulted from expenses incurred in connection with our research and development programs, the acquisition of in-process research and development and general and administrative costs associated with our operations. Included in our accumulated deficit, as noted above, is a non-cash expense of $225.9 million related to the fair value of the in-process research and development of Prior Century.</w:t>
      </w:r>
    </w:p>
    <w:p>
      <w:pPr>
        <w:spacing w:after="0" w:line="15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$221.4 million after deducting underwriting discounts, commissions, and other offering cost of $21.2 million in the aggregate. To date, we have funded our operations from the issuance and sale of our equity securities and have not generated any revenues. Since our inception, we have raised approximately $591 million in net proceeds from sales of our equity securities. As of June 30, 2022, we had cash and cash equivalents of $112.8 million and investments of $316.6 million. Based on our current business plans, we believe, our cash, cash equivalents and investments as of June 30, 2022, will be sufficient for us to fund our operating expenses and capital expenditures requirements into 2025.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345"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380" w:right="23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preclinical development of, and initiate clinical development of CNTY-101, CNTY-103, CNTY-102 and our other product candidates;</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74" w:lineRule="auto"/>
        <w:tabs>
          <w:tab w:leader="none" w:pos="3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26"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CNTY-103, and CNTY-102, and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ongoing pandemic has led to the implementation of various responses, including travel restrictions, mask mandates, social distancing requirements and other public health safety measures. Although many countries have re-opened, rises in new cases, including as the result of newly identified COVID-19 variants, have caused certain countries, states, and localities to re-initiate restrictions. In response, and in compliance with rapidly changing local and state regulations, we have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overall vaccination rate in the United States may have not reached the level required for herd immunity. Certain variants of COVID-19 have proven to be more easily spread than earlier variants. The incomplete vaccination rate, and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ongoing pandemic may affect our preclinical studies, clinical trials, supply chain, labor force, business, financial condition, and results of operations will depend on future developments, which are highly uncertain and cannot be predicted at this time.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 -clinical development, clinical development and commercialization on a worldwide basis, or the License Option. Following Bristol-Myers Squibb’s exercise of the License Option, we will be responsible for performing IND-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4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3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8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research plan covers the period from the date of execution of the FCDI Collaboration Agreement through March 31, 2022, with the related research budget of approximately $31.4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11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58"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During the three and six months ended June 30, 2022, the Company made payments of $2.8 million and $5.9 million and incurred research and development expenses of $2.4 million and $3.8 million and legal fees of $61 thousand and $91 thousand, recorded within general and administrative expenses in its consolidated statements of operations and comprehensive loss.</w:t>
      </w:r>
    </w:p>
    <w:p>
      <w:pPr>
        <w:spacing w:after="0" w:line="13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During the three and six months ended June 30, 2021, the Company made payments of $4.6 million and $ 7.8 million and incurred research and development expenses of $5.1 million and $7.9 million, and legal fees of $35 thousand and $56 thousand, recorded within general and administrative expenses in its consolidated statements of operations and comprehensive loss.</w:t>
      </w:r>
    </w:p>
    <w:p>
      <w:pPr>
        <w:spacing w:after="0" w:line="133" w:lineRule="exact"/>
        <w:rPr>
          <w:sz w:val="20"/>
          <w:szCs w:val="20"/>
          <w:color w:val="auto"/>
        </w:rPr>
      </w:pPr>
    </w:p>
    <w:p>
      <w:pPr>
        <w:ind w:left="60" w:right="879"/>
        <w:spacing w:after="0" w:line="446" w:lineRule="auto"/>
        <w:rPr>
          <w:sz w:val="20"/>
          <w:szCs w:val="20"/>
          <w:color w:val="auto"/>
        </w:rPr>
      </w:pPr>
      <w:r>
        <w:rPr>
          <w:rFonts w:ascii="Arial" w:cs="Arial" w:eastAsia="Arial" w:hAnsi="Arial"/>
          <w:sz w:val="18"/>
          <w:szCs w:val="18"/>
          <w:color w:val="auto"/>
        </w:rPr>
        <w:t xml:space="preserve">As of June 30, 2022, we incurred $34.8 million of expenses under the FCDI Collaboration Agreement. </w:t>
      </w:r>
      <w:r>
        <w:rPr>
          <w:rFonts w:ascii="Arial" w:cs="Arial" w:eastAsia="Arial" w:hAnsi="Arial"/>
          <w:sz w:val="18"/>
          <w:szCs w:val="18"/>
          <w:b w:val="1"/>
          <w:bCs w:val="1"/>
          <w:color w:val="auto"/>
        </w:rPr>
        <w:t>Empirica acquisition</w:t>
      </w:r>
    </w:p>
    <w:p>
      <w:pPr>
        <w:jc w:val="both"/>
        <w:ind w:left="60" w:right="99"/>
        <w:spacing w:after="0" w:line="247"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3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$4.5 million and transaction expenses of $0.2 million. In addition to the purchase price, $ 1.5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In July 2021, the first annual installment of $523 was released from escrow. In June 2022, the second annual installment of $517 was release from escrow. The Escrow Deposit is recognized as an asset and the promissory note is post- acquisition compensation expense, which will be accrued over the term of the promissory note. We recorded $0.2 million compensation in research and development expense for six months ended June 30, 2022. For further details regarding this acquisition, see Note 4 to our unaudited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69"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69"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11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8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Subsequent to the conversion of the LLC Entity to a C-Corp on February 25, 2021, we have incurred losses and recorded a full valuation allowance on all of our net deferred tax assets. As of June 30, 2022, the Company recorded $34 thousand in provisions for income taxes related to its subsidiary Century Therapeutics Canada ULC in the accompanying consolidated financial statements. There were no provisions or benefit for income taxes in 2021.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2022 and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620" w:type="dxa"/>
            <w:vAlign w:val="bottom"/>
            <w:tcBorders>
              <w:top w:val="single" w:sz="8" w:color="auto"/>
            </w:tcBorders>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June 30, 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3"/>
          </w:tcPr>
          <w:p>
            <w:pPr>
              <w:jc w:val="right"/>
              <w:ind w:right="652"/>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18,933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03"/>
        </w:trPr>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8,253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4,088</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4,165</w:t>
            </w:r>
          </w:p>
        </w:tc>
      </w:tr>
      <w:tr>
        <w:trPr>
          <w:trHeight w:val="203"/>
        </w:trPr>
        <w:tc>
          <w:tcPr>
            <w:tcW w:w="51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32,747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23,021</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9,726</w:t>
            </w: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(23,021)</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(8,330)</w:t>
            </w: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72"/>
              <w:spacing w:after="0" w:line="196" w:lineRule="exact"/>
              <w:rPr>
                <w:sz w:val="20"/>
                <w:szCs w:val="20"/>
                <w:color w:val="auto"/>
              </w:rPr>
            </w:pPr>
            <w:r>
              <w:rPr>
                <w:rFonts w:ascii="Arial" w:cs="Arial" w:eastAsia="Arial" w:hAnsi="Arial"/>
                <w:sz w:val="18"/>
                <w:szCs w:val="18"/>
                <w:color w:val="auto"/>
              </w:rPr>
              <w:t>(318)</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196"/>
        </w:trPr>
        <w:tc>
          <w:tcPr>
            <w:tcW w:w="5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(30,988)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(23,273)$</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(7,715)</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During the three months ended June 30, 2022, we recognized revenue of $1.4 million under our collaboration agreement with Bristol-Myers Squibb. There was no collaboration revenue recognized during the three months ended June 30,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June 30, 2021</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9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11,064</w:t>
            </w: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4,918</w:t>
            </w:r>
          </w:p>
        </w:tc>
      </w:tr>
      <w:tr>
        <w:trPr>
          <w:trHeight w:val="202"/>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3,255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1,166</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1,672</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2,571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r>
      <w:tr>
        <w:trPr>
          <w:trHeight w:val="203"/>
        </w:trPr>
        <w:tc>
          <w:tcPr>
            <w:tcW w:w="4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w:t>
            </w:r>
          </w:p>
        </w:tc>
      </w:tr>
      <w:tr>
        <w:trPr>
          <w:trHeight w:val="196"/>
        </w:trPr>
        <w:tc>
          <w:tcPr>
            <w:tcW w:w="49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2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24,494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18,933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5,561</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Research and development expenses were $24.5 million and $18.9 million for the three months ended June 30, 2022 and 2021. The increase of $5.6 million was primarily due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35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$4.9 million, including an increase of stock-based compensation of $0.5 million, which was primarily attributable to an increase in headcount to expand our research and development capabilities;</w:t>
      </w:r>
    </w:p>
    <w:p>
      <w:pPr>
        <w:spacing w:after="0" w:line="143" w:lineRule="exact"/>
        <w:rPr>
          <w:rFonts w:ascii="Times New Roman" w:cs="Times New Roman" w:eastAsia="Times New Roman" w:hAnsi="Times New Roman"/>
          <w:sz w:val="18"/>
          <w:szCs w:val="18"/>
          <w:color w:val="auto"/>
        </w:rPr>
      </w:pPr>
    </w:p>
    <w:p>
      <w:pPr>
        <w:ind w:left="380" w:right="19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$1.2 million of facility and other allocated costs, including rent and allocated overhead costs as a result of an expansion of our geographic footprint for office and lab space;</w:t>
      </w:r>
    </w:p>
    <w:p>
      <w:pPr>
        <w:spacing w:after="0" w:line="113" w:lineRule="exact"/>
        <w:rPr>
          <w:rFonts w:ascii="Times New Roman" w:cs="Times New Roman" w:eastAsia="Times New Roman" w:hAnsi="Times New Roman"/>
          <w:sz w:val="18"/>
          <w:szCs w:val="18"/>
          <w:color w:val="auto"/>
        </w:rPr>
      </w:pPr>
    </w:p>
    <w:p>
      <w:pPr>
        <w:ind w:left="380" w:right="67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$1.7 million in research and laboratory costs, including laboratory supplies, preclinical studies, and other external research expenses;</w:t>
      </w:r>
    </w:p>
    <w:p>
      <w:pPr>
        <w:spacing w:after="0" w:line="113" w:lineRule="exact"/>
        <w:rPr>
          <w:rFonts w:ascii="Times New Roman" w:cs="Times New Roman" w:eastAsia="Times New Roman" w:hAnsi="Times New Roman"/>
          <w:sz w:val="18"/>
          <w:szCs w:val="18"/>
          <w:color w:val="auto"/>
        </w:rPr>
      </w:pPr>
    </w:p>
    <w:p>
      <w:pPr>
        <w:ind w:left="380" w:right="25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$2.5 million related to our collaboration with FCDI. The decline was due to less in process development work in 2022 as the scope of work with FCDI has narrowed down to primarily manufacturing CNTY-101 clinical supply for us.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General and administrative expenses were $8.3 million for the three months ended June 30, 2022 and $4.1 million for three months ended June 30, 2021. The increase of $4.2 million was primarily due to increased personnel-related expenses of $1.1 million, and an increase of stock-based compensation of $0.5 million, primarily attributable to an increase in headcount to build our infrastructure, increased directors’ and officers’ insurance expense of $0.5 million, and increased professional fees of $0.6 million relating to accounting, audit and legal services as well as costs associated with ongoing business activities and operating as a public company, and increased information technology and facility costs, including rent, of $1.4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Interest expense was $0.3 million for the three months ended June 30, 2022 and 2021, which related to our Loan Agreement with Hercules.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Interest income was $0.7 million for the three months ended June 30, 2022 and $66 thousand for the three months ended June 30, 2021, which included interest earned on our cash, cash equivalents, and investment balances.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2022 and 2021</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Six Months Ended</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June 30, 2022</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June 30, 2021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02"/>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2,454</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11,383</w:t>
            </w: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6,776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8,775</w:t>
            </w:r>
          </w:p>
        </w:tc>
      </w:tr>
      <w:tr>
        <w:trPr>
          <w:trHeight w:val="203"/>
        </w:trPr>
        <w:tc>
          <w:tcPr>
            <w:tcW w:w="5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196"/>
        </w:trPr>
        <w:tc>
          <w:tcPr>
            <w:tcW w:w="52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71,241</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41,083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30,158</w:t>
            </w:r>
          </w:p>
        </w:tc>
      </w:tr>
      <w:tr>
        <w:trPr>
          <w:trHeight w:val="196"/>
        </w:trPr>
        <w:tc>
          <w:tcPr>
            <w:tcW w:w="5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(68,787)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(41,083)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(27,704)</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52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r>
      <w:tr>
        <w:trPr>
          <w:trHeight w:val="196"/>
        </w:trPr>
        <w:tc>
          <w:tcPr>
            <w:tcW w:w="5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(68,467)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(41,621)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(26,846)</w:t>
            </w:r>
          </w:p>
        </w:tc>
      </w:tr>
      <w:tr>
        <w:trPr>
          <w:trHeight w:val="203"/>
        </w:trPr>
        <w:tc>
          <w:tcPr>
            <w:tcW w:w="5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(68,501)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(41,621)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(26,880)</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During the six months ended June 30, 2022, we recognized revenue of $2.5 million under our collaboration agreement with Bristol-Myers Squibb. There was no collaboration revenue recognized during the six months ended June 30,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Six Months Ended</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June 30, 2021</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20,660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Facility and other allocated costs</w:t>
            </w:r>
          </w:p>
        </w:tc>
        <w:tc>
          <w:tcPr>
            <w:tcW w:w="1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5,896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laboratory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12,104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Collaborations</w:t>
            </w:r>
          </w:p>
        </w:tc>
        <w:tc>
          <w:tcPr>
            <w:tcW w:w="12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4,955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1,715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196"/>
        </w:trPr>
        <w:tc>
          <w:tcPr>
            <w:tcW w:w="53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45,690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34,307</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11,383</w:t>
            </w: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Research and development expenses were $ 45.7 million and $34.3 million for the six months ended June 30, 2022 and 2021. The increase of $11.4 million was primarily due to:</w:t>
      </w:r>
    </w:p>
    <w:p>
      <w:pPr>
        <w:spacing w:after="0" w:line="127" w:lineRule="exact"/>
        <w:rPr>
          <w:sz w:val="20"/>
          <w:szCs w:val="20"/>
          <w:color w:val="auto"/>
        </w:rPr>
      </w:pPr>
    </w:p>
    <w:p>
      <w:pPr>
        <w:ind w:left="380" w:right="35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$9.7 million, including an increase of stock-based compensation of $1.7 million, which was primarily attributable to an increase in headcount to expand our research and development capabilities;</w:t>
      </w:r>
    </w:p>
    <w:p>
      <w:pPr>
        <w:spacing w:after="0" w:line="130" w:lineRule="exact"/>
        <w:rPr>
          <w:rFonts w:ascii="Times New Roman" w:cs="Times New Roman" w:eastAsia="Times New Roman" w:hAnsi="Times New Roman"/>
          <w:sz w:val="18"/>
          <w:szCs w:val="18"/>
          <w:color w:val="auto"/>
        </w:rPr>
      </w:pPr>
    </w:p>
    <w:p>
      <w:pPr>
        <w:ind w:left="380" w:right="19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$1.8 million of facility and other allocated costs, including rent and allocated overhead costs as a result of an expansion of our geographic footprint for office and lab space;</w:t>
      </w:r>
    </w:p>
    <w:p>
      <w:pPr>
        <w:spacing w:after="0" w:line="113" w:lineRule="exact"/>
        <w:rPr>
          <w:rFonts w:ascii="Times New Roman" w:cs="Times New Roman" w:eastAsia="Times New Roman" w:hAnsi="Times New Roman"/>
          <w:sz w:val="18"/>
          <w:szCs w:val="18"/>
          <w:color w:val="auto"/>
        </w:rPr>
      </w:pPr>
    </w:p>
    <w:p>
      <w:pPr>
        <w:ind w:left="380" w:right="67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$3.0 million in research and laboratory costs, including laboratory supplies, preclinical studies, and other external research expenses;</w:t>
      </w:r>
    </w:p>
    <w:p>
      <w:pPr>
        <w:spacing w:after="0" w:line="127" w:lineRule="exact"/>
        <w:rPr>
          <w:rFonts w:ascii="Times New Roman" w:cs="Times New Roman" w:eastAsia="Times New Roman" w:hAnsi="Times New Roman"/>
          <w:sz w:val="18"/>
          <w:szCs w:val="18"/>
          <w:color w:val="auto"/>
        </w:rPr>
      </w:pPr>
    </w:p>
    <w:p>
      <w:pPr>
        <w:ind w:left="380" w:right="25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$2.9 million related to our collaboration with FCDI. The decline was due to less in process development work in 2022 as the scope of work with FCDI has narrowed down to primarily manufacturing CNTY-101 clinical supply for us.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General and administrative expenses were $15.6 million for the six months ended June 30, 2022 and $6.8 million for six months ended June 30, 2021. The increase of $8.8 million was primarily due to increased personnel-related expenses of $2.3 million, and an increase of stock-based compensation of $1.7 million, primarily attributable to an increase in headcount to build our infrastructure, increased directors’ and officers’ insurance expense of $1.2 million, and increased professional fees of $1.4 million relating to accounting, audit and legal services as well as costs associated with ongoing business activities and operating as a public company, and increased information technology and facility costs, including rent, of $2.1 million.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69"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In-process research and development expenses was $10 million for the six months ended June 30, 2022. As a direct result of the execution of the Collaboration Agreement with Bristol-Myers Squibb, the Company incurred $10 million in fees to amend the FCDI agreement to gain access to the territory rights of Japan. See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Note 11 to our consolidated financial statements. There was no in-process research and development expenses for the six months ended June 30, 2021.</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Interest expense was $0.6 million for the six months ended June 30, 2022 and 2021, which related to our Loan Agreement with Hercules.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3" w:lineRule="exact"/>
        <w:rPr>
          <w:sz w:val="20"/>
          <w:szCs w:val="20"/>
          <w:color w:val="auto"/>
        </w:rPr>
      </w:pPr>
    </w:p>
    <w:p>
      <w:pPr>
        <w:jc w:val="both"/>
        <w:ind w:left="60" w:right="179"/>
        <w:spacing w:after="0" w:line="301" w:lineRule="auto"/>
        <w:rPr>
          <w:sz w:val="20"/>
          <w:szCs w:val="20"/>
          <w:color w:val="auto"/>
        </w:rPr>
      </w:pPr>
      <w:r>
        <w:rPr>
          <w:rFonts w:ascii="Arial" w:cs="Arial" w:eastAsia="Arial" w:hAnsi="Arial"/>
          <w:sz w:val="17"/>
          <w:szCs w:val="17"/>
          <w:color w:val="auto"/>
        </w:rPr>
        <w:t>Interest income was $ 1.0 million for the six months ended June 30, 2022 and $94 thousand for the six months ended June 30, 2021, which included interest earned on our cash, cash equivalents, and investment balances.</w:t>
      </w:r>
    </w:p>
    <w:p>
      <w:pPr>
        <w:spacing w:after="0" w:line="293"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59"/>
        <w:spacing w:after="0" w:line="236"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$591 million in net proceeds from the sales of our equity securities. As of June 30, 2022, we had cash, and cash equivalents of $112.8 million and investments of $316.6 million. Based on our research and development plans, we believe our existing cash, cash equivalents and investments, will be sufficient to fund our operating expenses and capital expenditures requirements into 2025. Since our inception, we have incurred significant operating losses. We have not yet commercialized any products and we do not expect to generate revenue from sales of any product candidates for a number of years, if ever. We had an accumulated deficit of $456.7 million as of June 30, 2022. As further described in Note 3 of our consolidated financial statements, we obtained a cash capital commitment from Bayer totaling $215 million, from which net proceeds of $ 74.8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consolidated financial statements, we entered into a Loan Agreement with Hercules, pursuant to which net proceeds of $9.6 million were received by us in September 2020. As further described in Note 10 of our consolidated financial statements, in February 2021, we sold 24,721,999 shares of our Series C preferred stock to certain institutional investors for net proceeds of approximately $ 159.6 million. Upon the closing of our IPO, the Series C preferred stock automatically converted into 9,825,513 shares of common stock. On June 22, 2021, we closed our IPO in which we issued and sold 12,132,500 shares of our common stock at a public offering price of $20.00 per share. We received net proceeds of $ 221.2 million after deducting underwriting discounts and commissions and other expenses. As described in Note 11, in January 2022 we entered into a Collaboration Agreement with Bristol-Myers Squibb resulting in an upfront payment of $100 million. In connection with the Collaboration Agreement, Bristol-Myers Squibb also purchased 2,160,760 shares of our common stock at a price per share of $23.14, for an aggregate purchase price of $50 million.</w:t>
      </w:r>
    </w:p>
    <w:p>
      <w:pPr>
        <w:spacing w:after="0" w:line="15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No sales have been made under the Sales Agreement since its inception.</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our existing cash, cash equivalents,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investments, as of June 30, 2022 will be sufficient for us to fund our operating expenses and capital expenditure requirements for at least the next 12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380" w:right="31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right="29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27"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36" w:lineRule="exact"/>
        <w:rPr>
          <w:rFonts w:ascii="Times New Roman" w:cs="Times New Roman" w:eastAsia="Times New Roman" w:hAnsi="Times New Roman"/>
          <w:sz w:val="18"/>
          <w:szCs w:val="18"/>
          <w:color w:val="auto"/>
        </w:rPr>
      </w:pPr>
    </w:p>
    <w:p>
      <w:pPr>
        <w:ind w:left="380" w:right="139" w:hanging="330"/>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30"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8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27" w:lineRule="exact"/>
        <w:rPr>
          <w:rFonts w:ascii="Times New Roman" w:cs="Times New Roman" w:eastAsia="Times New Roman" w:hAnsi="Times New Roman"/>
          <w:sz w:val="18"/>
          <w:szCs w:val="18"/>
          <w:color w:val="auto"/>
        </w:rPr>
      </w:pPr>
    </w:p>
    <w:p>
      <w:pPr>
        <w:ind w:left="380" w:right="27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w:t>
      </w:r>
    </w:p>
    <w:p>
      <w:pPr>
        <w:spacing w:after="0" w:line="154"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inflationary pressures, political unrest and hostilities, war or other factors could adversely impact our ability to access capital as and when needed. We have no commitments for any additional financing and will likely be required to raise such financing through the sale of additional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jc w:val="right"/>
              <w:ind w:right="216"/>
              <w:spacing w:after="0"/>
              <w:rPr>
                <w:sz w:val="20"/>
                <w:szCs w:val="20"/>
                <w:color w:val="auto"/>
              </w:rPr>
            </w:pPr>
            <w:r>
              <w:rPr>
                <w:rFonts w:ascii="Arial" w:cs="Arial" w:eastAsia="Arial" w:hAnsi="Arial"/>
                <w:sz w:val="14"/>
                <w:szCs w:val="14"/>
                <w:color w:val="auto"/>
              </w:rPr>
              <w:t>Six months ended</w:t>
            </w:r>
          </w:p>
        </w:tc>
        <w:tc>
          <w:tcPr>
            <w:tcW w:w="260" w:type="dxa"/>
            <w:vAlign w:val="bottom"/>
          </w:tcPr>
          <w:p>
            <w:pPr>
              <w:spacing w:after="0"/>
              <w:rPr>
                <w:sz w:val="14"/>
                <w:szCs w:val="14"/>
                <w:color w:val="auto"/>
              </w:rPr>
            </w:pPr>
          </w:p>
        </w:tc>
        <w:tc>
          <w:tcPr>
            <w:tcW w:w="1360" w:type="dxa"/>
            <w:vAlign w:val="bottom"/>
          </w:tcPr>
          <w:p>
            <w:pPr>
              <w:jc w:val="right"/>
              <w:ind w:right="76"/>
              <w:spacing w:after="0"/>
              <w:rPr>
                <w:sz w:val="20"/>
                <w:szCs w:val="20"/>
                <w:color w:val="auto"/>
              </w:rPr>
            </w:pPr>
            <w:r>
              <w:rPr>
                <w:rFonts w:ascii="Arial" w:cs="Arial" w:eastAsia="Arial" w:hAnsi="Arial"/>
                <w:sz w:val="14"/>
                <w:szCs w:val="14"/>
                <w:color w:val="auto"/>
              </w:rPr>
              <w:t>Six months ended</w:t>
            </w:r>
          </w:p>
        </w:tc>
      </w:tr>
      <w:tr>
        <w:trPr>
          <w:trHeight w:val="171"/>
        </w:trPr>
        <w:tc>
          <w:tcPr>
            <w:tcW w:w="5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June 30, 2022</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June 30, 2021</w:t>
            </w:r>
          </w:p>
        </w:tc>
      </w:tr>
      <w:tr>
        <w:trPr>
          <w:trHeight w:val="155"/>
        </w:trPr>
        <w:tc>
          <w:tcPr>
            <w:tcW w:w="5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3"/>
        </w:trPr>
        <w:tc>
          <w:tcPr>
            <w:tcW w:w="5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61,198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(40,668)</w:t>
            </w:r>
          </w:p>
        </w:tc>
      </w:tr>
      <w:tr>
        <w:trPr>
          <w:trHeight w:val="203"/>
        </w:trPr>
        <w:tc>
          <w:tcPr>
            <w:tcW w:w="5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(31,519)</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(130,682)</w:t>
            </w:r>
          </w:p>
        </w:tc>
      </w:tr>
      <w:tr>
        <w:trPr>
          <w:trHeight w:val="203"/>
        </w:trPr>
        <w:tc>
          <w:tcPr>
            <w:tcW w:w="53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26,925</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418,134</w:t>
            </w:r>
          </w:p>
        </w:tc>
      </w:tr>
      <w:tr>
        <w:trPr>
          <w:trHeight w:val="196"/>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56,605</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246,784</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Net cash provided by (used in) operating activities was $61.2 million and ($40.7) million for the six months ended June 30, 2022 and 2021, respectively. Net cash provided by operating activities during the six months ended June 30, 2022 consisted primarily of our deferred revenue of $ 120.7 million from our collaboration agreement with Bristol-Myers Squibb, increase in our operating lease liability of $2.5 million, and non-cash charges of $8.8 million. The non-cash charges of $8.8 million consisted primarily of $2.8 million for depreciation expense, non-cash stock-based compensation expense of $5.2 million, and non-cash operating lease expense of $0.6 million. This increase was partially offset by our net loss of $68.5 million and net cash outflows from decreases in our accounts payable of $3.9 million.</w:t>
      </w:r>
    </w:p>
    <w:p>
      <w:pPr>
        <w:spacing w:after="0" w:line="15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Net cash used in operating activities during the six months ended June 30, 2021 consisted primarily of our net loss of $41.6 million and net cash outflows from decreases in our accounts payable of $3.6 million, increases in our prepaid expenses and other assets of $2.5 million, partially offset by increases in our accrued expenses and other liabilities of $ 2.3 million, and non-cash charges of $4.1 million. The non-cash charges of $4.1 million consisted primarily of $1.7 million for depreciation expense, non-cash stock-based compensation expense of $1.8 million, and non-cash operating lease expense of $0.4 million.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Net cash used in investing activities was $31.5 million and $130.7 million for the six months ended June 30, 2022 and 2021, respectively. Cash used in investing activities for the six months ended June 30, 2022 consisted primarily of net purchases of fixed maturity securities of $17.0 million and purchases of property and equipment of $14.5 million.</w:t>
      </w:r>
    </w:p>
    <w:p>
      <w:pPr>
        <w:spacing w:after="0" w:line="147"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Net cash used in investing activities for the six months ended June 30, 2021 consisted primarily of net purchases of fixed maturity securities of $118.2 million, and purchases of property and equipment of $12.5 million.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jc w:val="both"/>
        <w:ind w:left="60" w:right="319"/>
        <w:spacing w:after="0" w:line="275" w:lineRule="auto"/>
        <w:rPr>
          <w:sz w:val="20"/>
          <w:szCs w:val="20"/>
          <w:color w:val="auto"/>
        </w:rPr>
      </w:pPr>
      <w:r>
        <w:rPr>
          <w:rFonts w:ascii="Arial" w:cs="Arial" w:eastAsia="Arial" w:hAnsi="Arial"/>
          <w:sz w:val="17"/>
          <w:szCs w:val="17"/>
          <w:color w:val="auto"/>
        </w:rPr>
        <w:t>Net cash provided by financing activities was $26.9 million, and $418.1 million for the six months ended June 30, 2022 and 2021, respectively. Cash provided by financing activities consisted primarily of net proceeds of $26.8 million from Bristol-Myers Squibb for the purchase of our common stock, and cash of $113 thousand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from issuance of our common stock from equity incentive plans pursuant to the exercise of employee stock options.</w:t>
      </w:r>
    </w:p>
    <w:p>
      <w:pPr>
        <w:spacing w:after="0" w:line="8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Cash provided by financing activities was $418.1 million for the six months ended June 30, 2021 and consisted primarily of net proceeds from initial public offering of $221.9 million, net proceeds from collection of subscription receivable of $31.9 million and from sale of our Series C preferred shares of $159.6 million which upon initial public offering were converted to common stock, and cash of $2.3 million resulting from Prior Century merging with and into us.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June 30,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2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720" w:type="dxa"/>
            <w:vAlign w:val="bottom"/>
          </w:tcPr>
          <w:p>
            <w:pPr>
              <w:spacing w:after="0"/>
              <w:rPr>
                <w:sz w:val="13"/>
                <w:szCs w:val="13"/>
                <w:color w:val="auto"/>
              </w:rPr>
            </w:pPr>
          </w:p>
        </w:tc>
        <w:tc>
          <w:tcPr>
            <w:tcW w:w="88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1 to 3 Years</w:t>
            </w: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3 to 5 Years</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$ 1,476</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11,608</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$ 13,283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46,960</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$ 73,327</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680" w:type="dxa"/>
            <w:vAlign w:val="bottom"/>
          </w:tcPr>
          <w:p>
            <w:pPr>
              <w:jc w:val="right"/>
              <w:spacing w:after="0"/>
              <w:rPr>
                <w:sz w:val="20"/>
                <w:szCs w:val="20"/>
                <w:color w:val="auto"/>
              </w:rPr>
            </w:pPr>
            <w:r>
              <w:rPr>
                <w:rFonts w:ascii="Arial" w:cs="Arial" w:eastAsia="Arial" w:hAnsi="Arial"/>
                <w:sz w:val="18"/>
                <w:szCs w:val="18"/>
                <w:color w:val="auto"/>
              </w:rPr>
              <w:t>6,544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16"/>
        </w:trPr>
        <w:tc>
          <w:tcPr>
            <w:tcW w:w="37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5"/>
                <w:szCs w:val="25"/>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0" w:right="619" w:hanging="10"/>
        <w:spacing w:after="0" w:line="264" w:lineRule="auto"/>
        <w:tabs>
          <w:tab w:leader="none" w:pos="374"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3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June 30, 2022 are contingent upon future events such as our achievement of pre-specified development, regulatory, and commercial milestones, or royalties on net product sales. As of June 30, 2022,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 We entered into one lease that had not commenced at June 30, 2022. As a result, future lease payments of approximately $0.0 million in 1 year, $2.8 million in 1 to 3 years, $3.9 million in 3 to 5 years and $14.2 million in more than 5 years are not included within the table above.</w:t>
      </w:r>
    </w:p>
    <w:p>
      <w:pPr>
        <w:spacing w:after="0" w:line="143"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12 to our unaudited consolidated financial statements for additional information.</w:t>
      </w:r>
    </w:p>
    <w:p>
      <w:pPr>
        <w:spacing w:after="0" w:line="133"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unaudited consolidated financial statements for additional information.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85" w:lineRule="exact"/>
        <w:rPr>
          <w:sz w:val="20"/>
          <w:szCs w:val="20"/>
          <w:color w:val="auto"/>
        </w:rPr>
      </w:pPr>
    </w:p>
    <w:p>
      <w:pPr>
        <w:ind w:left="60" w:right="499"/>
        <w:spacing w:after="0" w:line="275"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otherwise generally applicable to public companies. As such, we may take advantage of reduced disclosure and other requirements otherwise generally applicable to public companies, including:</w:t>
      </w:r>
    </w:p>
    <w:p>
      <w:pPr>
        <w:spacing w:after="0" w:line="127" w:lineRule="exact"/>
        <w:rPr>
          <w:sz w:val="20"/>
          <w:szCs w:val="20"/>
          <w:color w:val="auto"/>
        </w:rPr>
      </w:pPr>
    </w:p>
    <w:p>
      <w:pPr>
        <w:ind w:left="380" w:right="6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3" w:lineRule="exact"/>
        <w:rPr>
          <w:rFonts w:ascii="Times New Roman" w:cs="Times New Roman" w:eastAsia="Times New Roman" w:hAnsi="Times New Roman"/>
          <w:sz w:val="18"/>
          <w:szCs w:val="18"/>
          <w:color w:val="auto"/>
        </w:rPr>
      </w:pPr>
    </w:p>
    <w:p>
      <w:pPr>
        <w:ind w:left="380" w:right="539" w:hanging="330"/>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5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13"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During the six months ended June 30, 2022, there were no material changes to our critical accounting policies from those described in our audited financial statements for the year ended December 31, 2021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406" w:lineRule="auto"/>
        <w:rPr>
          <w:sz w:val="20"/>
          <w:szCs w:val="20"/>
          <w:color w:val="auto"/>
        </w:rPr>
      </w:pPr>
      <w:r>
        <w:rPr>
          <w:rFonts w:ascii="Arial" w:cs="Arial" w:eastAsia="Arial" w:hAnsi="Arial"/>
          <w:sz w:val="18"/>
          <w:szCs w:val="18"/>
          <w:color w:val="auto"/>
        </w:rPr>
        <w:t xml:space="preserve">included in the our Annual Report on Form 10-K filed with the SEC on March 17, 2022, except as noted below. </w:t>
      </w:r>
      <w:r>
        <w:rPr>
          <w:rFonts w:ascii="Arial" w:cs="Arial" w:eastAsia="Arial" w:hAnsi="Arial"/>
          <w:sz w:val="18"/>
          <w:szCs w:val="18"/>
          <w:i w:val="1"/>
          <w:iCs w:val="1"/>
          <w:color w:val="auto"/>
        </w:rPr>
        <w:t>Collaboration Revenue</w:t>
      </w:r>
    </w:p>
    <w:p>
      <w:pPr>
        <w:spacing w:after="0" w:line="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39" w:hanging="10"/>
        <w:spacing w:after="0" w:line="24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w:t>
      </w:r>
    </w:p>
    <w:p>
      <w:pPr>
        <w:spacing w:after="0" w:line="2" w:lineRule="exact"/>
        <w:rPr>
          <w:rFonts w:ascii="Arial" w:cs="Arial" w:eastAsia="Arial" w:hAnsi="Arial"/>
          <w:sz w:val="17"/>
          <w:szCs w:val="17"/>
          <w:color w:val="auto"/>
        </w:rPr>
      </w:pPr>
    </w:p>
    <w:p>
      <w:pPr>
        <w:ind w:left="400" w:hanging="350"/>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recorded as collaboration revenue on the statements of operations.</w:t>
      </w:r>
    </w:p>
    <w:p>
      <w:pPr>
        <w:spacing w:after="0" w:line="8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promises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had cash, cash equivalents, and restricted cash of $114.8 million as of June 30, 2022, which consisted of bank deposits and money market funds. We also had investments of $316.6 million as of June 30, 2022.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3"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69"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119"/>
        <w:spacing w:after="0" w:line="236" w:lineRule="auto"/>
        <w:rPr>
          <w:sz w:val="20"/>
          <w:szCs w:val="20"/>
          <w:color w:val="auto"/>
        </w:rPr>
      </w:pPr>
      <w:r>
        <w:rPr>
          <w:rFonts w:ascii="Arial" w:cs="Arial" w:eastAsia="Arial" w:hAnsi="Arial"/>
          <w:sz w:val="18"/>
          <w:szCs w:val="18"/>
          <w:color w:val="auto"/>
        </w:rPr>
        <w:t>15(e) under the Exchange Act,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71" w:lineRule="auto"/>
        <w:rPr>
          <w:sz w:val="20"/>
          <w:szCs w:val="20"/>
          <w:color w:val="auto"/>
        </w:rPr>
      </w:pPr>
      <w:r>
        <w:rPr>
          <w:rFonts w:ascii="Arial" w:cs="Arial" w:eastAsia="Arial" w:hAnsi="Arial"/>
          <w:sz w:val="18"/>
          <w:szCs w:val="18"/>
          <w:color w:val="auto"/>
        </w:rPr>
        <w:t>June 30, 2022, our principal executive officer and principal financial officer concluded that, as of such date, our disclosure controls and procedures were effective at a reasonable assurance level.</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Management determined that, as of June 30, 2022, there were no changes in our internal control over financial reporting that occurred during the six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2021.</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Use of Proceeds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69"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13"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8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880" w:type="dxa"/>
            <w:vAlign w:val="bottom"/>
            <w:gridSpan w:val="10"/>
          </w:tcPr>
          <w:p>
            <w:pPr>
              <w:spacing w:after="0"/>
              <w:rPr>
                <w:sz w:val="20"/>
                <w:szCs w:val="20"/>
                <w:color w:val="auto"/>
              </w:rPr>
            </w:pPr>
            <w:r>
              <w:rPr>
                <w:rFonts w:ascii="Arial" w:cs="Arial" w:eastAsia="Arial" w:hAnsi="Arial"/>
                <w:sz w:val="18"/>
                <w:szCs w:val="18"/>
                <w:color w:val="0000EE"/>
              </w:rPr>
              <w:t>Amendment No. 1 to Loan and Security Agreement, by and between Century Therapeutics, Inc.</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and Hercules Capital, Inc., dated May 13, 2022</w:t>
            </w:r>
          </w:p>
        </w:tc>
        <w:tc>
          <w:tcPr>
            <w:tcW w:w="386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0"/>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0"/>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0"/>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0"/>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880" w:type="dxa"/>
            <w:vAlign w:val="bottom"/>
            <w:gridSpan w:val="10"/>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June 30, 2022,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9"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500" w:val="left"/>
          <w:tab w:leader="none" w:pos="58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Osvaldo Flores, Ph.D.</w:t>
      </w:r>
    </w:p>
    <w:p>
      <w:pPr>
        <w:jc w:val="center"/>
        <w:ind w:left="47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60"/>
        <w:spacing w:after="0"/>
        <w:tabs>
          <w:tab w:leader="none" w:pos="4500" w:val="left"/>
          <w:tab w:leader="none" w:pos="59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Michael Diem, M.D.</w:t>
      </w:r>
    </w:p>
    <w:p>
      <w:pPr>
        <w:jc w:val="center"/>
        <w:ind w:left="4760"/>
        <w:spacing w:after="0" w:line="234"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FIRST AMENDMENT TO LOAN AND SECURITY AGREEMENT</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FIRST AMENDMENT TO LOAN AND SECURITY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13, 2022, is entered into by and among CENTURY THERAPEUTICS, INC., a Delaware corporation and successor to Century Therapeutics, LLC, and each of its Subsidiaries (hereinafter collectively referred to as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several banks and other financial institutions or entities from time to time parties to the Loan Agreement (as defined below) (collectively, referred to as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HERCULES CAPITAL, INC., a Maryland corporation, in its capacity as administrative agent and collateral agent for the Lenders (in such capacity,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Borrower, Lenders and Agent are parties to that certain Loan and Security Agreement, dated as of September 14, 2020 (the “</w:t>
      </w:r>
      <w:r>
        <w:rPr>
          <w:rFonts w:ascii="Times New Roman" w:cs="Times New Roman" w:eastAsia="Times New Roman" w:hAnsi="Times New Roman"/>
          <w:sz w:val="18"/>
          <w:szCs w:val="18"/>
          <w:u w:val="single" w:color="auto"/>
          <w:color w:val="auto"/>
        </w:rPr>
        <w:t>Existing Loan Agreement</w:t>
      </w:r>
      <w:r>
        <w:rPr>
          <w:rFonts w:ascii="Times New Roman" w:cs="Times New Roman" w:eastAsia="Times New Roman" w:hAnsi="Times New Roman"/>
          <w:sz w:val="18"/>
          <w:szCs w:val="18"/>
          <w:color w:val="auto"/>
        </w:rPr>
        <w:t>”; and the Existing Loan Agreement, as amended by this Amendment and as further amended, restated,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Borrower has requested that the Lenders agree to certain amendments to the Loan and Security Agreement. Lenders have agreed to such request, subject to the terms and conditions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 Interpretation.</w:t>
      </w:r>
    </w:p>
    <w:p>
      <w:pPr>
        <w:spacing w:after="0" w:line="225" w:lineRule="exact"/>
        <w:rPr>
          <w:sz w:val="20"/>
          <w:szCs w:val="20"/>
          <w:color w:val="auto"/>
        </w:rPr>
      </w:pPr>
    </w:p>
    <w:p>
      <w:pPr>
        <w:ind w:right="380" w:firstLine="657"/>
        <w:spacing w:after="0" w:line="286"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Defined in Loan Agreement</w:t>
      </w:r>
      <w:r>
        <w:rPr>
          <w:rFonts w:ascii="Times New Roman" w:cs="Times New Roman" w:eastAsia="Times New Roman" w:hAnsi="Times New Roman"/>
          <w:sz w:val="18"/>
          <w:szCs w:val="18"/>
          <w:color w:val="auto"/>
        </w:rPr>
        <w:t>. All capitalized terms used in this Amendment (including in the recitals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not otherwise defined herein shall have the meanings assigned to them in the Loan Agreement.</w:t>
      </w:r>
    </w:p>
    <w:p>
      <w:pPr>
        <w:spacing w:after="0" w:line="168" w:lineRule="exact"/>
        <w:rPr>
          <w:rFonts w:ascii="Times New Roman" w:cs="Times New Roman" w:eastAsia="Times New Roman" w:hAnsi="Times New Roman"/>
          <w:sz w:val="18"/>
          <w:szCs w:val="18"/>
          <w:color w:val="auto"/>
        </w:rPr>
      </w:pPr>
    </w:p>
    <w:p>
      <w:pPr>
        <w:ind w:right="460" w:firstLine="657"/>
        <w:spacing w:after="0" w:line="286"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 The rules of construction that appear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Loan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this Amendment and are incorporated herein by this reference.</w:t>
      </w:r>
    </w:p>
    <w:p>
      <w:pPr>
        <w:spacing w:after="0" w:line="16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Amendments to the Loan Agreement.</w:t>
      </w:r>
    </w:p>
    <w:p>
      <w:pPr>
        <w:spacing w:after="0" w:line="229" w:lineRule="exact"/>
        <w:rPr>
          <w:sz w:val="20"/>
          <w:szCs w:val="20"/>
          <w:color w:val="auto"/>
        </w:rPr>
      </w:pPr>
    </w:p>
    <w:p>
      <w:pPr>
        <w:ind w:left="1300" w:hanging="643"/>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Existing Loan Agreement is hereby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follows:</w:t>
      </w:r>
    </w:p>
    <w:p>
      <w:pPr>
        <w:spacing w:after="0" w:line="288" w:lineRule="exact"/>
        <w:rPr>
          <w:sz w:val="20"/>
          <w:szCs w:val="20"/>
          <w:color w:val="auto"/>
        </w:rPr>
      </w:pPr>
    </w:p>
    <w:p>
      <w:pPr>
        <w:ind w:left="1940" w:hanging="649"/>
        <w:spacing w:after="0"/>
        <w:tabs>
          <w:tab w:leader="none" w:pos="1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Definitions. The following definition is added to Section 1.1 in its proper alphabetical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288" w:lineRule="exact"/>
        <w:rPr>
          <w:sz w:val="20"/>
          <w:szCs w:val="20"/>
          <w:color w:val="auto"/>
        </w:rPr>
      </w:pPr>
    </w:p>
    <w:p>
      <w:pPr>
        <w:jc w:val="both"/>
        <w:ind w:left="1300" w:firstLine="647"/>
        <w:spacing w:after="0" w:line="266" w:lineRule="auto"/>
        <w:rPr>
          <w:sz w:val="20"/>
          <w:szCs w:val="20"/>
          <w:color w:val="auto"/>
        </w:rPr>
      </w:pPr>
      <w:r>
        <w:rPr>
          <w:rFonts w:ascii="Times New Roman" w:cs="Times New Roman" w:eastAsia="Times New Roman" w:hAnsi="Times New Roman"/>
          <w:sz w:val="18"/>
          <w:szCs w:val="18"/>
          <w:color w:val="auto"/>
        </w:rPr>
        <w:t>“Monthly Reporting Waiver Condition” means, for any calendar month, Borrower maintained in Deposit Accounts subject to an Account Control Agreement in favor of Agent, at all times during such month, minimum unrestricted Cash of at least Twenty-Five Million Dollars.</w:t>
      </w:r>
    </w:p>
    <w:p>
      <w:pPr>
        <w:spacing w:after="0" w:line="270" w:lineRule="exact"/>
        <w:rPr>
          <w:sz w:val="20"/>
          <w:szCs w:val="20"/>
          <w:color w:val="auto"/>
        </w:rPr>
      </w:pPr>
    </w:p>
    <w:p>
      <w:pPr>
        <w:ind w:left="1940" w:hanging="649"/>
        <w:spacing w:after="0"/>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Definition. The following definition in Section 1.1 is amended and restated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“Amortization Date” means May 1, 2023.</w:t>
      </w:r>
    </w:p>
    <w:p>
      <w:pPr>
        <w:spacing w:after="0" w:line="239" w:lineRule="exact"/>
        <w:rPr>
          <w:sz w:val="20"/>
          <w:szCs w:val="20"/>
          <w:color w:val="auto"/>
        </w:rPr>
      </w:pPr>
    </w:p>
    <w:p>
      <w:pPr>
        <w:ind w:left="1940" w:hanging="649"/>
        <w:spacing w:after="0"/>
        <w:tabs>
          <w:tab w:leader="none" w:pos="1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 Section 7.1(a) is hereby amended and restated as follows:</w:t>
      </w:r>
    </w:p>
    <w:p>
      <w:pPr>
        <w:spacing w:after="0" w:line="238" w:lineRule="exact"/>
        <w:rPr>
          <w:rFonts w:ascii="Times New Roman" w:cs="Times New Roman" w:eastAsia="Times New Roman" w:hAnsi="Times New Roman"/>
          <w:sz w:val="18"/>
          <w:szCs w:val="18"/>
          <w:color w:val="auto"/>
        </w:rPr>
      </w:pPr>
    </w:p>
    <w:p>
      <w:pPr>
        <w:jc w:val="both"/>
        <w:ind w:left="1300" w:right="60" w:firstLine="652"/>
        <w:spacing w:after="0" w:line="254" w:lineRule="auto"/>
        <w:tabs>
          <w:tab w:leader="none" w:pos="25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in any event within thirty (30) days) after the end of each month, unless the Monthly Reporting Waiver Condition has been satisfied for such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476250</wp:posOffset>
            </wp:positionV>
            <wp:extent cx="61207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40"/>
          </w:cols>
          <w:pgMar w:left="1220" w:top="117" w:right="1139" w:bottom="1440" w:gutter="0" w:footer="0" w:header="0"/>
        </w:sectPr>
      </w:pPr>
    </w:p>
    <w:bookmarkStart w:id="54" w:name="page55"/>
    <w:bookmarkEnd w:id="54"/>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they do not contain certain non-cash items that are customarily included in quarterly and annual financial statements;</w:t>
      </w:r>
    </w:p>
    <w:p>
      <w:pPr>
        <w:spacing w:after="0" w:line="175" w:lineRule="exact"/>
        <w:rPr>
          <w:sz w:val="20"/>
          <w:szCs w:val="20"/>
          <w:color w:val="auto"/>
        </w:rPr>
      </w:pPr>
    </w:p>
    <w:p>
      <w:pPr>
        <w:ind w:left="1940" w:hanging="649"/>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 Section 7.1(d) is hereby amended and restated as follows:</w:t>
      </w:r>
    </w:p>
    <w:p>
      <w:pPr>
        <w:spacing w:after="0" w:line="23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(d) (i) as soon as practicable after the end of each month (and in any event within thirty (30) days after the end of each such month) and (ii) together with the financial statements delivered as required by Sections 7.1(b) through (c), a Compliance Certificate in the form of Exhibit E;</w:t>
      </w:r>
    </w:p>
    <w:p>
      <w:pPr>
        <w:spacing w:after="0" w:line="176" w:lineRule="exact"/>
        <w:rPr>
          <w:sz w:val="20"/>
          <w:szCs w:val="20"/>
          <w:color w:val="auto"/>
        </w:rPr>
      </w:pPr>
    </w:p>
    <w:p>
      <w:pPr>
        <w:ind w:left="1940" w:hanging="649"/>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E is replaced in its entirety with the Exhibit E attached hereto.</w:t>
      </w:r>
    </w:p>
    <w:p>
      <w:pPr>
        <w:spacing w:after="0" w:line="221"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References Within Existing Loan Agreement</w:t>
      </w:r>
      <w:r>
        <w:rPr>
          <w:rFonts w:ascii="Times New Roman" w:cs="Times New Roman" w:eastAsia="Times New Roman" w:hAnsi="Times New Roman"/>
          <w:sz w:val="18"/>
          <w:szCs w:val="18"/>
          <w:color w:val="auto"/>
        </w:rPr>
        <w:t>. Each reference in the Existing Loan Agreement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words “hereof,” “herein,” “hereunder,” or words of like import, shall mean and be a reference to the Existing Loan Agreement as amended by this Amendment.</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3 Conditions of Effectiveness</w:t>
      </w:r>
      <w:r>
        <w:rPr>
          <w:rFonts w:ascii="Times New Roman" w:cs="Times New Roman" w:eastAsia="Times New Roman" w:hAnsi="Times New Roman"/>
          <w:sz w:val="18"/>
          <w:szCs w:val="18"/>
          <w:color w:val="auto"/>
        </w:rPr>
        <w:t>. The effectiveness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 shall be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of the following conditions precedent:</w:t>
      </w:r>
    </w:p>
    <w:p>
      <w:pPr>
        <w:spacing w:after="0" w:line="172" w:lineRule="exact"/>
        <w:rPr>
          <w:sz w:val="20"/>
          <w:szCs w:val="20"/>
          <w:color w:val="auto"/>
        </w:rPr>
      </w:pPr>
    </w:p>
    <w:p>
      <w:pPr>
        <w:ind w:firstLine="656"/>
        <w:spacing w:after="0" w:line="282" w:lineRule="auto"/>
        <w:tabs>
          <w:tab w:leader="none" w:pos="1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(i) all invoiced costs and expenses then due in accordance with Section 5(e), and (ii) all other fees, costs and expenses, if any, due and payable as of the date hereof under the Loan Agreement.</w:t>
      </w:r>
    </w:p>
    <w:p>
      <w:pPr>
        <w:spacing w:after="0" w:line="161" w:lineRule="exact"/>
        <w:rPr>
          <w:rFonts w:ascii="Times New Roman" w:cs="Times New Roman" w:eastAsia="Times New Roman" w:hAnsi="Times New Roman"/>
          <w:sz w:val="18"/>
          <w:szCs w:val="18"/>
          <w:color w:val="auto"/>
        </w:rPr>
      </w:pPr>
    </w:p>
    <w:p>
      <w:pPr>
        <w:ind w:left="1300" w:hanging="657"/>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this Amendment, executed by Agent, Lenders and Borrower.</w:t>
      </w:r>
    </w:p>
    <w:p>
      <w:pPr>
        <w:spacing w:after="0" w:line="238"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after giving effect to the amendment of the Existing Loan Agreement contemplated hereby, there exist no Events of Default or events that with the passage of time would result in an Event of Default.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SECTION 4 Representations and Warranties</w:t>
      </w:r>
      <w:r>
        <w:rPr>
          <w:rFonts w:ascii="Times New Roman" w:cs="Times New Roman" w:eastAsia="Times New Roman" w:hAnsi="Times New Roman"/>
          <w:sz w:val="18"/>
          <w:szCs w:val="18"/>
          <w:color w:val="auto"/>
        </w:rPr>
        <w:t>. To induce Agent and Lenders to enter into this Amendment, each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confirms, as of the date hereof, that (a) the representations and warranties made by it in Section 5 of the Loan Agreement and in the other Loan Documents are true and correct in all material respects;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materiality qualifier shall not be applicable to any representations and warranties that already are qualified or modified by materiality in the text thereof provided, further, that to the extent such representations and warranties by their terms expressly relate only to a prior date such representations and warranties shall be true and correct as of such prior date; (b) there has not been and there does not exist a Material Adverse Effect; (c) that the information included in the Perfection Certificate delivered to Agent on the Closing Date remains true and correct; (d) Agent has and shall continue to have valid, enforceable and perfected first-priority liens, subject only to Permitted Liens, on and security interests in the Collateral and all other collateral heretofore granted by Borrower to Agent, pursuant to the Loan Documents or otherwise granted to or held by Agent;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and (g) no Event of Default has occurred and is continuing.</w:t>
      </w:r>
    </w:p>
    <w:p>
      <w:pPr>
        <w:spacing w:after="0" w:line="19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39" w:lineRule="exact"/>
        <w:rPr>
          <w:sz w:val="20"/>
          <w:szCs w:val="20"/>
          <w:color w:val="auto"/>
        </w:rPr>
      </w:pPr>
    </w:p>
    <w:p>
      <w:pPr>
        <w:ind w:left="1300" w:hanging="657"/>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Documents Otherwise Not Affected; Reaffirmation; No Novation.</w:t>
      </w:r>
    </w:p>
    <w:p>
      <w:pPr>
        <w:spacing w:after="0" w:line="242"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pursuant hereto or referenced herein, the Existing Loan Agreement and the other Loan Documents shall remain unchanged and in full force and effect and are hereby ratified and confirmed in all respects. Lenders’ and Agent’s execution and delivery of, or acceptance of, this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360045</wp:posOffset>
            </wp:positionV>
            <wp:extent cx="61207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40"/>
          </w:cols>
          <w:pgMar w:left="1220" w:top="405" w:right="11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shall not be deemed to create a course of dealing or otherwise create any express or implied duty by any of them to provide any other or further amendments, consents or waivers in the future.</w:t>
      </w:r>
    </w:p>
    <w:p>
      <w:pPr>
        <w:spacing w:after="0" w:line="175" w:lineRule="exact"/>
        <w:rPr>
          <w:sz w:val="20"/>
          <w:szCs w:val="20"/>
          <w:color w:val="auto"/>
        </w:rPr>
      </w:pPr>
    </w:p>
    <w:p>
      <w:pPr>
        <w:jc w:val="both"/>
        <w:ind w:firstLine="1304"/>
        <w:spacing w:after="0" w:line="254" w:lineRule="auto"/>
        <w:tabs>
          <w:tab w:leader="none" w:pos="19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expressly (1) reaffirms, ratifies and confirms its Secured Obligations under the Existing Loan Agreement and the other Loan Documents, (2) reaffirms, ratifies and confirms the grant of security under Section 3.1 of the Existing Loan Agreement, (3) reaffirms that such grant of security in the Collateral secures all Secured Obligations under the Existing Loan Agreement, including without limitation any Term Loans funded on or after the date hereof, as of the date hereof, and with effect from (and including) the date hereof, such grant of security in the Collateral: (x) remains in full force and effect notwithstanding the amendments expressly referenced herein; and (y) secures all Secured Obligations under the Existing Loan Agreement, as amended by this Amendment, and the other Loan Documents, and (4) agrees that the Existing Loan Agreement and each other Loan Document shall remain in full force and effect following any action contemplated in connection herewith.</w:t>
      </w:r>
    </w:p>
    <w:p>
      <w:pPr>
        <w:spacing w:after="0" w:line="19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9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Existing Loan Agreement and any other Loan Document or to modify, affect or impair the perfection or continuity of Agent’s security interest in, (on behalf of itself and Lenders) security titles to or other liens on any Collateral for the Secured Obligations.</w:t>
      </w:r>
    </w:p>
    <w:p>
      <w:pPr>
        <w:spacing w:after="0" w:line="192" w:lineRule="exact"/>
        <w:rPr>
          <w:rFonts w:ascii="Times New Roman" w:cs="Times New Roman" w:eastAsia="Times New Roman" w:hAnsi="Times New Roman"/>
          <w:sz w:val="18"/>
          <w:szCs w:val="18"/>
          <w:color w:val="auto"/>
        </w:rPr>
      </w:pPr>
    </w:p>
    <w:p>
      <w:pPr>
        <w:jc w:val="both"/>
        <w:ind w:firstLine="657"/>
        <w:spacing w:after="0" w:line="262" w:lineRule="auto"/>
        <w:tabs>
          <w:tab w:leader="none" w:pos="1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For purposes of determining compliance with the conditions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Lenders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this Amendment shall be deemed to have consented to, approved or accepted or to be satisfied with, each document or other matter required thereunder to be consented to or approved by or acceptable or satisfactory to Lenders unless Agent shall have received notice from Lenders prior to the date hereof specifying its objection thereto.</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In consideration of the agreements of Agent and Lenders contained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each Borrower, on behalf of itself and its successors, assigns, and other legal representatives, hereby fully, absolutely, unconditionally and irrevocably releases, remises and forever discharges Agent and Lenders,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Releasee</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the transactions thereunder or related thereto. Each Borrower waives the provisions of California Civil Code section 1542, which states:</w:t>
      </w:r>
    </w:p>
    <w:p>
      <w:pPr>
        <w:spacing w:after="0" w:line="20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Each Borrower agrees that no fact, event, circumstance, evidence or transaction which could now be asserted or which may hereafter be discovered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360045</wp:posOffset>
            </wp:positionV>
            <wp:extent cx="61207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40"/>
          </w:cols>
          <w:pgMar w:left="1220" w:top="405" w:right="1139" w:bottom="1440" w:gutter="0" w:footer="0" w:header="0"/>
        </w:sectPr>
      </w:pPr>
    </w:p>
    <w:bookmarkStart w:id="56" w:name="page57"/>
    <w:bookmarkEnd w:id="56"/>
    <w:p>
      <w:pPr>
        <w:jc w:val="both"/>
        <w:ind w:firstLine="656"/>
        <w:spacing w:after="0" w:line="268"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Reliance</w:t>
      </w:r>
      <w:r>
        <w:rPr>
          <w:rFonts w:ascii="Times New Roman" w:cs="Times New Roman" w:eastAsia="Times New Roman" w:hAnsi="Times New Roman"/>
          <w:sz w:val="18"/>
          <w:szCs w:val="18"/>
          <w:color w:val="auto"/>
        </w:rPr>
        <w:t>. Borrower hereby acknowledges and confirms to Agent and Lenders that Borrower is executing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on the basis of its own investigation and for its own reasons without reliance upon any agreement, representation, understanding or communication by or on behalf of any other Person.</w:t>
      </w:r>
    </w:p>
    <w:p>
      <w:pPr>
        <w:spacing w:after="0" w:line="184" w:lineRule="exact"/>
        <w:rPr>
          <w:rFonts w:ascii="Times New Roman" w:cs="Times New Roman" w:eastAsia="Times New Roman" w:hAnsi="Times New Roman"/>
          <w:sz w:val="18"/>
          <w:szCs w:val="18"/>
          <w:color w:val="auto"/>
        </w:rPr>
      </w:pPr>
    </w:p>
    <w:p>
      <w:pPr>
        <w:jc w:val="both"/>
        <w:ind w:firstLine="657"/>
        <w:spacing w:after="0" w:line="262" w:lineRule="auto"/>
        <w:tabs>
          <w:tab w:leader="none" w:pos="12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18"/>
          <w:szCs w:val="18"/>
          <w:color w:val="auto"/>
        </w:rPr>
        <w:t>. Borrower agrees to pay to Agent on the date hereof the out-of-pocket costs and expenses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Lenders party hereto, and the fees and disbursements of counsel to Agent and Lenders party hereto in connection with the negotiation, preparation, execution and delivery of this Amendment and any other documents to be delivered in connection herewith on the date hereof.</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Amendment binds and is for the benefit of the successors and permitted assigns of each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16" w:lineRule="exact"/>
        <w:rPr>
          <w:rFonts w:ascii="Times New Roman" w:cs="Times New Roman" w:eastAsia="Times New Roman" w:hAnsi="Times New Roman"/>
          <w:sz w:val="18"/>
          <w:szCs w:val="18"/>
          <w:color w:val="auto"/>
        </w:rPr>
      </w:pPr>
    </w:p>
    <w:p>
      <w:pPr>
        <w:jc w:val="both"/>
        <w:ind w:firstLine="655"/>
        <w:spacing w:after="0" w:line="268" w:lineRule="auto"/>
        <w:tabs>
          <w:tab w:leader="none" w:pos="12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other Loan Documents shall be governed by, and construed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enforced in accordance with, the laws of the State of California, excluding conflict of laws principles that would cause the application of laws of any other jurisdiction.</w:t>
      </w:r>
    </w:p>
    <w:p>
      <w:pPr>
        <w:spacing w:after="0" w:line="170" w:lineRule="exact"/>
        <w:rPr>
          <w:rFonts w:ascii="Times New Roman" w:cs="Times New Roman" w:eastAsia="Times New Roman" w:hAnsi="Times New Roman"/>
          <w:sz w:val="18"/>
          <w:szCs w:val="18"/>
          <w:color w:val="auto"/>
        </w:rPr>
      </w:pPr>
    </w:p>
    <w:p>
      <w:pPr>
        <w:jc w:val="both"/>
        <w:ind w:firstLine="655"/>
        <w:spacing w:after="0" w:line="262" w:lineRule="auto"/>
        <w:tabs>
          <w:tab w:leader="none" w:pos="12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 Agreement; Amendments</w:t>
      </w:r>
      <w:r>
        <w:rPr>
          <w:rFonts w:ascii="Times New Roman" w:cs="Times New Roman" w:eastAsia="Times New Roman" w:hAnsi="Times New Roman"/>
          <w:sz w:val="18"/>
          <w:szCs w:val="18"/>
          <w:color w:val="auto"/>
        </w:rPr>
        <w:t>. This Amendment and the Loan Documents represent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of Provisions. </w:t>
      </w:r>
      <w:r>
        <w:rPr>
          <w:rFonts w:ascii="Times New Roman" w:cs="Times New Roman" w:eastAsia="Times New Roman" w:hAnsi="Times New Roman"/>
          <w:sz w:val="18"/>
          <w:szCs w:val="18"/>
          <w:color w:val="auto"/>
        </w:rPr>
        <w:t>Each provision of this Amendment is severable from every other provision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enforceability of any provision.</w:t>
      </w:r>
    </w:p>
    <w:p>
      <w:pPr>
        <w:spacing w:after="0" w:line="168"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may be executed in any number of counterparts and by different parties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This Amendment and the documents related thereto shall constitute Loan Documents.</w:t>
      </w:r>
    </w:p>
    <w:p>
      <w:pPr>
        <w:spacing w:after="0" w:line="23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Execution of Certain Other Documents</w:t>
      </w:r>
      <w:r>
        <w:rPr>
          <w:rFonts w:ascii="Times New Roman" w:cs="Times New Roman" w:eastAsia="Times New Roman" w:hAnsi="Times New Roman"/>
          <w:sz w:val="18"/>
          <w:szCs w:val="18"/>
          <w:color w:val="auto"/>
        </w:rPr>
        <w:t>. The words “execution,” “execute”, “signed,”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360045</wp:posOffset>
            </wp:positionV>
            <wp:extent cx="61207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40"/>
          </w:cols>
          <w:pgMar w:left="1220" w:top="401" w:right="11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0" w:lineRule="exact"/>
        <w:rPr>
          <w:sz w:val="20"/>
          <w:szCs w:val="20"/>
          <w:color w:val="auto"/>
        </w:rPr>
      </w:pPr>
    </w:p>
    <w:p>
      <w:pPr>
        <w:spacing w:after="0" w:line="30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154305</wp:posOffset>
            </wp:positionV>
            <wp:extent cx="539750" cy="248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38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17145</wp:posOffset>
            </wp:positionV>
            <wp:extent cx="21856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19" w:lineRule="exact"/>
        <w:rPr>
          <w:sz w:val="20"/>
          <w:szCs w:val="20"/>
          <w:color w:val="auto"/>
        </w:rPr>
      </w:pPr>
    </w:p>
    <w:p>
      <w:pPr>
        <w:ind w:left="4960"/>
        <w:spacing w:after="0"/>
        <w:tabs>
          <w:tab w:leader="none" w:pos="606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Douglas Carr</w:t>
      </w:r>
    </w:p>
    <w:p>
      <w:pPr>
        <w:spacing w:after="0" w:line="225" w:lineRule="exact"/>
        <w:rPr>
          <w:sz w:val="20"/>
          <w:szCs w:val="20"/>
          <w:color w:val="auto"/>
        </w:rPr>
      </w:pPr>
    </w:p>
    <w:p>
      <w:pPr>
        <w:ind w:left="496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[SIGNATURES CONTINUE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360045</wp:posOffset>
            </wp:positionV>
            <wp:extent cx="61207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239"/>
          </w:cols>
          <w:pgMar w:left="1220" w:top="1161" w:right="1440" w:bottom="1440" w:gutter="0" w:footer="0" w:header="0"/>
        </w:sectPr>
      </w:pPr>
    </w:p>
    <w:bookmarkStart w:id="58" w:name="page59"/>
    <w:bookmarkEnd w:id="58"/>
    <w:p>
      <w:pPr>
        <w:ind w:left="4740"/>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00" w:lineRule="exact"/>
        <w:rPr>
          <w:sz w:val="20"/>
          <w:szCs w:val="20"/>
          <w:color w:val="auto"/>
        </w:rPr>
      </w:pPr>
    </w:p>
    <w:p>
      <w:pPr>
        <w:spacing w:after="0" w:line="214" w:lineRule="exact"/>
        <w:rPr>
          <w:sz w:val="20"/>
          <w:szCs w:val="20"/>
          <w:color w:val="auto"/>
        </w:rPr>
      </w:pPr>
    </w:p>
    <w:tbl>
      <w:tblPr>
        <w:tblLayout w:type="fixed"/>
        <w:tblInd w:w="47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Jennifer Choe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Associate General Counsel</w:t>
            </w:r>
          </w:p>
        </w:tc>
      </w:tr>
    </w:tbl>
    <w:p>
      <w:pPr>
        <w:spacing w:after="0" w:line="200" w:lineRule="exact"/>
        <w:rPr>
          <w:sz w:val="20"/>
          <w:szCs w:val="20"/>
          <w:color w:val="auto"/>
        </w:rPr>
      </w:pPr>
    </w:p>
    <w:p>
      <w:pPr>
        <w:spacing w:after="0" w:line="3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LENDERS: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HERCULES CAPITAL, INC.</w:t>
      </w:r>
    </w:p>
    <w:p>
      <w:pPr>
        <w:spacing w:after="0" w:line="200" w:lineRule="exact"/>
        <w:rPr>
          <w:sz w:val="20"/>
          <w:szCs w:val="20"/>
          <w:color w:val="auto"/>
        </w:rPr>
      </w:pPr>
    </w:p>
    <w:p>
      <w:pPr>
        <w:spacing w:after="0" w:line="201" w:lineRule="exact"/>
        <w:rPr>
          <w:sz w:val="20"/>
          <w:szCs w:val="20"/>
          <w:color w:val="auto"/>
        </w:rPr>
      </w:pPr>
    </w:p>
    <w:tbl>
      <w:tblPr>
        <w:tblLayout w:type="fixed"/>
        <w:tblInd w:w="47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Jennifer Choe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Associate General Counsel</w:t>
            </w:r>
          </w:p>
        </w:tc>
      </w:tr>
    </w:tbl>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360045</wp:posOffset>
            </wp:positionV>
            <wp:extent cx="61207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300"/>
          </w:cols>
          <w:pgMar w:left="1440" w:top="1161" w:right="11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Osvaldo Flores, certify that:</w:t>
      </w:r>
    </w:p>
    <w:p>
      <w:pPr>
        <w:spacing w:after="0" w:line="117" w:lineRule="exact"/>
        <w:rPr>
          <w:sz w:val="20"/>
          <w:szCs w:val="20"/>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June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June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606"/>
    </w:lvl>
  </w:abstractNum>
  <w:abstractNum w:abstractNumId="13">
    <w:nsid w:val="6763845E"/>
    <w:multiLevelType w:val="hybridMultilevel"/>
    <w:lvl w:ilvl="0">
      <w:lvlJc w:val="left"/>
      <w:lvlText w:val="%1"/>
      <w:numFmt w:val="decimal"/>
      <w:start w:val="606"/>
    </w:lvl>
  </w:abstractNum>
  <w:abstractNum w:abstractNumId="14">
    <w:nsid w:val="75A2A8D4"/>
    <w:multiLevelType w:val="hybridMultilevel"/>
    <w:lvl w:ilvl="0">
      <w:lvlJc w:val="left"/>
      <w:lvlText w:val="%1"/>
      <w:numFmt w:val="decimal"/>
      <w:start w:val="104"/>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lowerLetter"/>
      <w:start w:val="61"/>
    </w:lvl>
    <w:lvl w:ilvl="1">
      <w:lvlJc w:val="left"/>
      <w:lvlText w:val="(%2)"/>
      <w:numFmt w:val="lowerLetter"/>
      <w:start w:val="1"/>
    </w:lvl>
  </w:abstractNum>
  <w:abstractNum w:abstractNumId="21">
    <w:nsid w:val="71F32454"/>
    <w:multiLevelType w:val="hybridMultilevel"/>
    <w:lvl w:ilvl="0">
      <w:lvlJc w:val="left"/>
      <w:lvlText w:val="(%1)"/>
      <w:numFmt w:val="lowerRoman"/>
      <w:start w:val="4"/>
    </w:lvl>
  </w:abstractNum>
  <w:abstractNum w:abstractNumId="22">
    <w:nsid w:val="2CA88611"/>
    <w:multiLevelType w:val="hybridMultilevel"/>
    <w:lvl w:ilvl="0">
      <w:lvlJc w:val="left"/>
      <w:lvlText w:val="%1"/>
      <w:numFmt w:val="lowerLetter"/>
      <w:start w:val="1"/>
    </w:lvl>
    <w:lvl w:ilvl="1">
      <w:lvlJc w:val="left"/>
      <w:lvlText w:val="(%2)"/>
      <w:numFmt w:val="lowerLetter"/>
      <w:start w:val="22"/>
    </w:lvl>
  </w:abstractNum>
  <w:abstractNum w:abstractNumId="23">
    <w:nsid w:val="836C40E"/>
    <w:multiLevelType w:val="hybridMultilevel"/>
    <w:lvl w:ilvl="0">
      <w:lvlJc w:val="left"/>
      <w:lvlText w:val="(%1)"/>
      <w:numFmt w:val="lowerLetter"/>
      <w:start w:val="2"/>
    </w:lvl>
    <w:lvl w:ilvl="1">
      <w:lvlJc w:val="left"/>
      <w:lvlText w:val="%2"/>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lvl w:ilvl="1">
      <w:lvlJc w:val="left"/>
      <w:lvlText w:val="(%2)"/>
      <w:numFmt w:val="lowerLetter"/>
      <w:start w:val="9"/>
    </w:lvl>
  </w:abstractNum>
  <w:abstractNum w:abstractNumId="26">
    <w:nsid w:val="8138641"/>
    <w:multiLevelType w:val="hybridMultilevel"/>
    <w:lvl w:ilvl="0">
      <w:lvlJc w:val="left"/>
      <w:lvlText w:val="%1"/>
      <w:numFmt w:val="lowerLetter"/>
      <w:start w:val="1"/>
    </w:lvl>
    <w:lvl w:ilvl="1">
      <w:lvlJc w:val="left"/>
      <w:lvlText w:val="(%2)"/>
      <w:numFmt w:val="lowerRoman"/>
      <w:start w:val="2"/>
    </w:lvl>
  </w:abstractNum>
  <w:abstractNum w:abstractNumId="27">
    <w:nsid w:val="1E7FF521"/>
    <w:multiLevelType w:val="hybridMultilevel"/>
    <w:lvl w:ilvl="0">
      <w:lvlJc w:val="left"/>
      <w:lvlText w:val="(%1)"/>
      <w:numFmt w:val="lowerLetter"/>
      <w:start w:val="2"/>
    </w:lvl>
    <w:lvl w:ilvl="1">
      <w:lvlJc w:val="left"/>
      <w:lvlText w:val="%2"/>
      <w:numFmt w:val="lowerRoman"/>
      <w:start w:val="1"/>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2022-08-11T06:35:48Z</dcterms:created>
  <dcterms:modified xsi:type="dcterms:W3CDTF">2022-08-11T06:35:48Z</dcterms:modified>
</cp:coreProperties>
</file>