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00" w:right="339" w:bottom="1440" w:gutter="0" w:footer="0" w:header="0"/>
          <w:type w:val="continuous"/>
        </w:sectPr>
      </w:pPr>
    </w:p>
    <w:p>
      <w:pPr>
        <w:spacing w:after="0" w:line="3"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25 North 38th Street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11th Floor</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8320" w:space="720"/>
            <w:col w:w="220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IPSC</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tem 5.02 Departure of Directors or Certain Officers; Election of Directors; Appointment of Certain Officers; Compensatory Arrangements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Certain Officers.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15, 2026, Century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Amended and Restated Employment Agreement (the “</w:t>
      </w:r>
      <w:r>
        <w:rPr>
          <w:rFonts w:ascii="Times New Roman" w:cs="Times New Roman" w:eastAsia="Times New Roman" w:hAnsi="Times New Roman"/>
          <w:sz w:val="18"/>
          <w:szCs w:val="18"/>
          <w:u w:val="single" w:color="auto"/>
          <w:color w:val="auto"/>
        </w:rPr>
        <w:t>A&amp;R Agreement</w:t>
      </w:r>
      <w:r>
        <w:rPr>
          <w:rFonts w:ascii="Times New Roman" w:cs="Times New Roman" w:eastAsia="Times New Roman" w:hAnsi="Times New Roman"/>
          <w:sz w:val="18"/>
          <w:szCs w:val="18"/>
          <w:color w:val="auto"/>
        </w:rPr>
        <w:t>”) with Chad Cowan, Ph.D., the Company’s Chief Scientific Officer. Pursuant to the A&amp;R Agreement, Dr. Cowan will continue as the Company’s Chief Scientific Officer on a part-time basis, at a reduced annual salary of $296,150 and will be eligible for an annual performance-based target bonus on a pro-rated basis. In the event of termination of Dr. Cowan’s employment by the Company or Dr. Cowan’s resignation from the Company, Dr. Cowan will be entitled to all accrued and unpaid base salary through the date of cessation of his employment.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A&amp;R Agreement does not purport to be complete and is qualified in its entirety by reference to the A&amp;R Agreement, which will be filed as an exhibit to the Company’s Quarterly Report on Form 10-Q for the quarter ended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Brent Pfeiffenberger, Pharm.D., M.B.A.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Brent Pfeiffenberger, Pharm.D., M.B.A.</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 of</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2026-06-16T15:16:15Z</dcterms:created>
  <dcterms:modified xsi:type="dcterms:W3CDTF">2026-06-16T15:16:15Z</dcterms:modified>
</cp:coreProperties>
</file>