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365"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-206375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4"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SECURITIES AND EXCHANGE COMMISSION</w:t>
      </w:r>
    </w:p>
    <w:p>
      <w:pPr>
        <w:spacing w:after="0" w:line="1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62230</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38"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84455</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pacing w:after="0" w:line="243" w:lineRule="exact"/>
        <w:rPr>
          <w:sz w:val="24"/>
          <w:szCs w:val="24"/>
          <w:color w:val="auto"/>
        </w:rPr>
      </w:pPr>
    </w:p>
    <w:p>
      <w:pPr>
        <w:ind w:left="10"/>
        <w:spacing w:after="0"/>
        <w:rPr>
          <w:sz w:val="20"/>
          <w:szCs w:val="20"/>
          <w:color w:val="auto"/>
        </w:rPr>
      </w:pPr>
      <w:r>
        <w:rPr>
          <w:rFonts w:ascii="Arial" w:cs="Arial" w:eastAsia="Arial" w:hAnsi="Arial"/>
          <w:sz w:val="13"/>
          <w:szCs w:val="13"/>
          <w:b w:val="1"/>
          <w:bCs w:val="1"/>
          <w:color w:val="auto"/>
        </w:rPr>
        <w:t>(Mark One)</w:t>
      </w:r>
    </w:p>
    <w:p>
      <w:pPr>
        <w:spacing w:after="0" w:line="52" w:lineRule="exact"/>
        <w:rPr>
          <w:sz w:val="24"/>
          <w:szCs w:val="24"/>
          <w:color w:val="auto"/>
        </w:rPr>
      </w:pPr>
    </w:p>
    <w:p>
      <w:pPr>
        <w:ind w:left="370" w:hanging="370"/>
        <w:spacing w:after="0"/>
        <w:tabs>
          <w:tab w:leader="none" w:pos="37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81"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 the quarterly period ended September 30, 2025</w:t>
      </w:r>
    </w:p>
    <w:p>
      <w:pPr>
        <w:spacing w:after="0" w:line="21"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OR</w:t>
      </w:r>
    </w:p>
    <w:p>
      <w:pPr>
        <w:spacing w:after="0" w:line="15" w:lineRule="exact"/>
        <w:rPr>
          <w:sz w:val="24"/>
          <w:szCs w:val="24"/>
          <w:color w:val="auto"/>
        </w:rPr>
      </w:pPr>
    </w:p>
    <w:p>
      <w:pPr>
        <w:ind w:left="370" w:hanging="370"/>
        <w:spacing w:after="0"/>
        <w:tabs>
          <w:tab w:leader="none" w:pos="37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rFonts w:ascii="MS PGothic" w:cs="MS PGothic" w:eastAsia="MS PGothic" w:hAnsi="MS PGothic"/>
          <w:sz w:val="16"/>
          <w:szCs w:val="16"/>
          <w:color w:val="auto"/>
          <w:highlight w:val="black"/>
        </w:rPr>
      </w:pPr>
    </w:p>
    <w:p>
      <w:pPr>
        <w:ind w:left="271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For the transition period from _______ to _______</w:t>
      </w:r>
    </w:p>
    <w:p>
      <w:pPr>
        <w:spacing w:after="0" w:line="59" w:lineRule="exact"/>
        <w:rPr>
          <w:rFonts w:ascii="MS PGothic" w:cs="MS PGothic" w:eastAsia="MS PGothic" w:hAnsi="MS PGothic"/>
          <w:sz w:val="16"/>
          <w:szCs w:val="16"/>
          <w:color w:val="auto"/>
          <w:highlight w:val="black"/>
        </w:rPr>
      </w:pPr>
    </w:p>
    <w:p>
      <w:pPr>
        <w:ind w:left="371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001-40498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87"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Century Therapeutics, Inc.</w:t>
      </w:r>
    </w:p>
    <w:p>
      <w:pPr>
        <w:spacing w:after="0" w:line="4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91" w:lineRule="exact"/>
        <w:rPr>
          <w:sz w:val="24"/>
          <w:szCs w:val="24"/>
          <w:color w:val="auto"/>
        </w:rPr>
      </w:pPr>
    </w:p>
    <w:tbl>
      <w:tblPr>
        <w:tblLayout w:type="fixed"/>
        <w:tblInd w:w="1010" w:type="dxa"/>
        <w:tblCellMar>
          <w:top w:w="0" w:type="dxa"/>
          <w:left w:w="0" w:type="dxa"/>
          <w:bottom w:w="0" w:type="dxa"/>
          <w:right w:w="0" w:type="dxa"/>
        </w:tblCellMar>
      </w:tblPr>
      <w:tr>
        <w:trPr>
          <w:trHeight w:val="189"/>
        </w:trPr>
        <w:tc>
          <w:tcPr>
            <w:tcW w:w="4540" w:type="dxa"/>
            <w:vAlign w:val="bottom"/>
          </w:tcPr>
          <w:p>
            <w:pPr>
              <w:jc w:val="center"/>
              <w:ind w:right="1459"/>
              <w:spacing w:after="0"/>
              <w:rPr>
                <w:sz w:val="20"/>
                <w:szCs w:val="20"/>
                <w:color w:val="auto"/>
              </w:rPr>
            </w:pPr>
            <w:r>
              <w:rPr>
                <w:rFonts w:ascii="Arial" w:cs="Arial" w:eastAsia="Arial" w:hAnsi="Arial"/>
                <w:sz w:val="16"/>
                <w:szCs w:val="16"/>
                <w:b w:val="1"/>
                <w:bCs w:val="1"/>
                <w:color w:val="auto"/>
              </w:rPr>
              <w:t>Delaware</w:t>
            </w:r>
          </w:p>
        </w:tc>
        <w:tc>
          <w:tcPr>
            <w:tcW w:w="2880" w:type="dxa"/>
            <w:vAlign w:val="bottom"/>
          </w:tcPr>
          <w:p>
            <w:pPr>
              <w:jc w:val="right"/>
              <w:ind w:right="159"/>
              <w:spacing w:after="0"/>
              <w:rPr>
                <w:sz w:val="20"/>
                <w:szCs w:val="20"/>
                <w:color w:val="auto"/>
              </w:rPr>
            </w:pPr>
            <w:r>
              <w:rPr>
                <w:rFonts w:ascii="Arial" w:cs="Arial" w:eastAsia="Arial" w:hAnsi="Arial"/>
                <w:sz w:val="16"/>
                <w:szCs w:val="16"/>
                <w:b w:val="1"/>
                <w:bCs w:val="1"/>
                <w:color w:val="auto"/>
              </w:rPr>
              <w:t>84-2040295</w:t>
            </w:r>
          </w:p>
        </w:tc>
      </w:tr>
      <w:tr>
        <w:trPr>
          <w:trHeight w:val="189"/>
        </w:trPr>
        <w:tc>
          <w:tcPr>
            <w:tcW w:w="4540" w:type="dxa"/>
            <w:vAlign w:val="bottom"/>
          </w:tcPr>
          <w:p>
            <w:pPr>
              <w:jc w:val="center"/>
              <w:ind w:right="1439"/>
              <w:spacing w:after="0"/>
              <w:rPr>
                <w:sz w:val="20"/>
                <w:szCs w:val="20"/>
                <w:color w:val="auto"/>
              </w:rPr>
            </w:pPr>
            <w:r>
              <w:rPr>
                <w:rFonts w:ascii="Arial" w:cs="Arial" w:eastAsia="Arial" w:hAnsi="Arial"/>
                <w:sz w:val="16"/>
                <w:szCs w:val="16"/>
                <w:b w:val="1"/>
                <w:bCs w:val="1"/>
                <w:color w:val="auto"/>
              </w:rPr>
              <w:t>(State or other jurisdiction of</w:t>
            </w:r>
          </w:p>
        </w:tc>
        <w:tc>
          <w:tcPr>
            <w:tcW w:w="2880" w:type="dxa"/>
            <w:vAlign w:val="bottom"/>
          </w:tcPr>
          <w:p>
            <w:pPr>
              <w:jc w:val="center"/>
              <w:ind w:left="1439"/>
              <w:spacing w:after="0"/>
              <w:rPr>
                <w:sz w:val="20"/>
                <w:szCs w:val="20"/>
                <w:color w:val="auto"/>
              </w:rPr>
            </w:pPr>
            <w:r>
              <w:rPr>
                <w:rFonts w:ascii="Arial" w:cs="Arial" w:eastAsia="Arial" w:hAnsi="Arial"/>
                <w:sz w:val="16"/>
                <w:szCs w:val="16"/>
                <w:b w:val="1"/>
                <w:bCs w:val="1"/>
                <w:color w:val="auto"/>
              </w:rPr>
              <w:t>(I.R.S. Employer</w:t>
            </w:r>
          </w:p>
        </w:tc>
      </w:tr>
      <w:tr>
        <w:trPr>
          <w:trHeight w:val="176"/>
        </w:trPr>
        <w:tc>
          <w:tcPr>
            <w:tcW w:w="4540" w:type="dxa"/>
            <w:vAlign w:val="bottom"/>
          </w:tcPr>
          <w:p>
            <w:pPr>
              <w:jc w:val="center"/>
              <w:ind w:right="1459"/>
              <w:spacing w:after="0" w:line="176" w:lineRule="exact"/>
              <w:rPr>
                <w:sz w:val="20"/>
                <w:szCs w:val="20"/>
                <w:color w:val="auto"/>
              </w:rPr>
            </w:pPr>
            <w:r>
              <w:rPr>
                <w:rFonts w:ascii="Arial" w:cs="Arial" w:eastAsia="Arial" w:hAnsi="Arial"/>
                <w:sz w:val="16"/>
                <w:szCs w:val="16"/>
                <w:b w:val="1"/>
                <w:bCs w:val="1"/>
                <w:color w:val="auto"/>
              </w:rPr>
              <w:t>incorporation or organization)</w:t>
            </w:r>
          </w:p>
        </w:tc>
        <w:tc>
          <w:tcPr>
            <w:tcW w:w="2880" w:type="dxa"/>
            <w:vAlign w:val="bottom"/>
          </w:tcPr>
          <w:p>
            <w:pPr>
              <w:jc w:val="center"/>
              <w:ind w:left="1439"/>
              <w:spacing w:after="0" w:line="176" w:lineRule="exact"/>
              <w:rPr>
                <w:sz w:val="20"/>
                <w:szCs w:val="20"/>
                <w:color w:val="auto"/>
              </w:rPr>
            </w:pPr>
            <w:r>
              <w:rPr>
                <w:rFonts w:ascii="Arial" w:cs="Arial" w:eastAsia="Arial" w:hAnsi="Arial"/>
                <w:sz w:val="16"/>
                <w:szCs w:val="16"/>
                <w:b w:val="1"/>
                <w:bCs w:val="1"/>
                <w:color w:val="auto"/>
              </w:rPr>
              <w:t>Identification No.)</w:t>
            </w:r>
          </w:p>
        </w:tc>
      </w:tr>
      <w:tr>
        <w:trPr>
          <w:trHeight w:val="202"/>
        </w:trPr>
        <w:tc>
          <w:tcPr>
            <w:tcW w:w="4540" w:type="dxa"/>
            <w:vAlign w:val="bottom"/>
          </w:tcPr>
          <w:p>
            <w:pPr>
              <w:jc w:val="center"/>
              <w:ind w:right="1439"/>
              <w:spacing w:after="0" w:line="202" w:lineRule="exact"/>
              <w:rPr>
                <w:sz w:val="20"/>
                <w:szCs w:val="20"/>
                <w:color w:val="auto"/>
              </w:rPr>
            </w:pPr>
            <w:r>
              <w:rPr>
                <w:rFonts w:ascii="Arial" w:cs="Arial" w:eastAsia="Arial" w:hAnsi="Arial"/>
                <w:sz w:val="16"/>
                <w:szCs w:val="16"/>
                <w:b w:val="1"/>
                <w:bCs w:val="1"/>
                <w:color w:val="auto"/>
                <w:w w:val="98"/>
              </w:rPr>
              <w:t>25 N 38</w:t>
            </w:r>
            <w:r>
              <w:rPr>
                <w:rFonts w:ascii="Arial" w:cs="Arial" w:eastAsia="Arial" w:hAnsi="Arial"/>
                <w:sz w:val="23"/>
                <w:szCs w:val="23"/>
                <w:b w:val="1"/>
                <w:bCs w:val="1"/>
                <w:color w:val="auto"/>
                <w:w w:val="98"/>
                <w:vertAlign w:val="superscript"/>
              </w:rPr>
              <w:t>th</w:t>
            </w:r>
            <w:r>
              <w:rPr>
                <w:rFonts w:ascii="Arial" w:cs="Arial" w:eastAsia="Arial" w:hAnsi="Arial"/>
                <w:sz w:val="16"/>
                <w:szCs w:val="16"/>
                <w:b w:val="1"/>
                <w:bCs w:val="1"/>
                <w:color w:val="auto"/>
                <w:w w:val="98"/>
              </w:rPr>
              <w:t xml:space="preserve"> Street, 11</w:t>
            </w:r>
            <w:r>
              <w:rPr>
                <w:rFonts w:ascii="Arial" w:cs="Arial" w:eastAsia="Arial" w:hAnsi="Arial"/>
                <w:sz w:val="23"/>
                <w:szCs w:val="23"/>
                <w:b w:val="1"/>
                <w:bCs w:val="1"/>
                <w:color w:val="auto"/>
                <w:w w:val="98"/>
                <w:vertAlign w:val="superscript"/>
              </w:rPr>
              <w:t>th</w:t>
            </w:r>
            <w:r>
              <w:rPr>
                <w:rFonts w:ascii="Arial" w:cs="Arial" w:eastAsia="Arial" w:hAnsi="Arial"/>
                <w:sz w:val="16"/>
                <w:szCs w:val="16"/>
                <w:b w:val="1"/>
                <w:bCs w:val="1"/>
                <w:color w:val="auto"/>
                <w:w w:val="98"/>
              </w:rPr>
              <w:t xml:space="preserve"> Floor</w:t>
            </w:r>
          </w:p>
        </w:tc>
        <w:tc>
          <w:tcPr>
            <w:tcW w:w="2880" w:type="dxa"/>
            <w:vAlign w:val="bottom"/>
          </w:tcPr>
          <w:p>
            <w:pPr>
              <w:spacing w:after="0"/>
              <w:rPr>
                <w:sz w:val="17"/>
                <w:szCs w:val="17"/>
                <w:color w:val="auto"/>
              </w:rPr>
            </w:pPr>
          </w:p>
        </w:tc>
      </w:tr>
      <w:tr>
        <w:trPr>
          <w:trHeight w:val="189"/>
        </w:trPr>
        <w:tc>
          <w:tcPr>
            <w:tcW w:w="4540" w:type="dxa"/>
            <w:vAlign w:val="bottom"/>
          </w:tcPr>
          <w:p>
            <w:pPr>
              <w:jc w:val="center"/>
              <w:ind w:right="1459"/>
              <w:spacing w:after="0"/>
              <w:rPr>
                <w:sz w:val="20"/>
                <w:szCs w:val="20"/>
                <w:color w:val="auto"/>
              </w:rPr>
            </w:pPr>
            <w:r>
              <w:rPr>
                <w:rFonts w:ascii="Arial" w:cs="Arial" w:eastAsia="Arial" w:hAnsi="Arial"/>
                <w:sz w:val="16"/>
                <w:szCs w:val="16"/>
                <w:b w:val="1"/>
                <w:bCs w:val="1"/>
                <w:color w:val="auto"/>
              </w:rPr>
              <w:t>Philadelphia, Pennsylvania</w:t>
            </w:r>
          </w:p>
        </w:tc>
        <w:tc>
          <w:tcPr>
            <w:tcW w:w="2880" w:type="dxa"/>
            <w:vAlign w:val="bottom"/>
          </w:tcPr>
          <w:p>
            <w:pPr>
              <w:jc w:val="right"/>
              <w:ind w:right="379"/>
              <w:spacing w:after="0"/>
              <w:rPr>
                <w:sz w:val="20"/>
                <w:szCs w:val="20"/>
                <w:color w:val="auto"/>
              </w:rPr>
            </w:pPr>
            <w:r>
              <w:rPr>
                <w:rFonts w:ascii="Arial" w:cs="Arial" w:eastAsia="Arial" w:hAnsi="Arial"/>
                <w:sz w:val="16"/>
                <w:szCs w:val="16"/>
                <w:b w:val="1"/>
                <w:bCs w:val="1"/>
                <w:color w:val="auto"/>
              </w:rPr>
              <w:t>19104</w:t>
            </w:r>
          </w:p>
        </w:tc>
      </w:tr>
      <w:tr>
        <w:trPr>
          <w:trHeight w:val="223"/>
        </w:trPr>
        <w:tc>
          <w:tcPr>
            <w:tcW w:w="4540" w:type="dxa"/>
            <w:vAlign w:val="bottom"/>
          </w:tcPr>
          <w:p>
            <w:pPr>
              <w:jc w:val="center"/>
              <w:ind w:right="1439"/>
              <w:spacing w:after="0"/>
              <w:rPr>
                <w:sz w:val="20"/>
                <w:szCs w:val="20"/>
                <w:color w:val="auto"/>
              </w:rPr>
            </w:pPr>
            <w:r>
              <w:rPr>
                <w:rFonts w:ascii="Arial" w:cs="Arial" w:eastAsia="Arial" w:hAnsi="Arial"/>
                <w:sz w:val="16"/>
                <w:szCs w:val="16"/>
                <w:b w:val="1"/>
                <w:bCs w:val="1"/>
                <w:color w:val="auto"/>
              </w:rPr>
              <w:t>(Address of principal executive offices)</w:t>
            </w:r>
          </w:p>
        </w:tc>
        <w:tc>
          <w:tcPr>
            <w:tcW w:w="2880" w:type="dxa"/>
            <w:vAlign w:val="bottom"/>
          </w:tcPr>
          <w:p>
            <w:pPr>
              <w:jc w:val="center"/>
              <w:ind w:left="1439"/>
              <w:spacing w:after="0"/>
              <w:rPr>
                <w:sz w:val="20"/>
                <w:szCs w:val="20"/>
                <w:color w:val="auto"/>
              </w:rPr>
            </w:pPr>
            <w:r>
              <w:rPr>
                <w:rFonts w:ascii="Arial" w:cs="Arial" w:eastAsia="Arial" w:hAnsi="Arial"/>
                <w:sz w:val="16"/>
                <w:szCs w:val="16"/>
                <w:b w:val="1"/>
                <w:bCs w:val="1"/>
                <w:color w:val="auto"/>
              </w:rPr>
              <w:t>(Zip Code)</w:t>
            </w:r>
          </w:p>
        </w:tc>
      </w:tr>
    </w:tbl>
    <w:p>
      <w:pPr>
        <w:spacing w:after="0" w:line="34"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(267) 817-5790</w:t>
      </w:r>
    </w:p>
    <w:p>
      <w:pPr>
        <w:spacing w:after="0" w:line="21"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34"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Not applicable</w:t>
      </w:r>
    </w:p>
    <w:p>
      <w:pPr>
        <w:spacing w:after="0" w:line="4" w:lineRule="exact"/>
        <w:rPr>
          <w:sz w:val="24"/>
          <w:szCs w:val="24"/>
          <w:color w:val="auto"/>
        </w:rPr>
      </w:pPr>
    </w:p>
    <w:p>
      <w:pPr>
        <w:ind w:left="2650"/>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6497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79" w:lineRule="exact"/>
        <w:rPr>
          <w:sz w:val="24"/>
          <w:szCs w:val="24"/>
          <w:color w:val="auto"/>
        </w:rPr>
      </w:pPr>
    </w:p>
    <w:p>
      <w:pPr>
        <w:ind w:left="1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68" w:lineRule="exact"/>
        <w:rPr>
          <w:sz w:val="24"/>
          <w:szCs w:val="24"/>
          <w:color w:val="auto"/>
        </w:rPr>
      </w:pPr>
    </w:p>
    <w:tbl>
      <w:tblPr>
        <w:tblLayout w:type="fixed"/>
        <w:tblInd w:w="10" w:type="dxa"/>
        <w:tblCellMar>
          <w:top w:w="0" w:type="dxa"/>
          <w:left w:w="0" w:type="dxa"/>
          <w:bottom w:w="0" w:type="dxa"/>
          <w:right w:w="0" w:type="dxa"/>
        </w:tblCellMar>
      </w:tblPr>
      <w:tr>
        <w:trPr>
          <w:trHeight w:val="149"/>
        </w:trPr>
        <w:tc>
          <w:tcPr>
            <w:tcW w:w="3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200" w:type="dxa"/>
            <w:vAlign w:val="bottom"/>
            <w:vMerge w:val="restart"/>
          </w:tcPr>
          <w:p>
            <w:pPr>
              <w:spacing w:after="0"/>
              <w:rPr>
                <w:sz w:val="12"/>
                <w:szCs w:val="12"/>
                <w:color w:val="auto"/>
              </w:rPr>
            </w:pPr>
          </w:p>
        </w:tc>
        <w:tc>
          <w:tcPr>
            <w:tcW w:w="37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Trading</w:t>
            </w:r>
          </w:p>
        </w:tc>
        <w:tc>
          <w:tcPr>
            <w:tcW w:w="3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53"/>
        </w:trPr>
        <w:tc>
          <w:tcPr>
            <w:tcW w:w="314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Symbol(s)</w:t>
            </w:r>
          </w:p>
        </w:tc>
        <w:tc>
          <w:tcPr>
            <w:tcW w:w="200" w:type="dxa"/>
            <w:vAlign w:val="bottom"/>
          </w:tcPr>
          <w:p>
            <w:pPr>
              <w:spacing w:after="0"/>
              <w:rPr>
                <w:sz w:val="13"/>
                <w:szCs w:val="13"/>
                <w:color w:val="auto"/>
              </w:rPr>
            </w:pPr>
          </w:p>
        </w:tc>
        <w:tc>
          <w:tcPr>
            <w:tcW w:w="3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34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Common Stock, $0.0001 par value per share</w:t>
            </w:r>
          </w:p>
        </w:tc>
        <w:tc>
          <w:tcPr>
            <w:tcW w:w="3700" w:type="dxa"/>
            <w:vAlign w:val="bottom"/>
            <w:gridSpan w:val="2"/>
          </w:tcPr>
          <w:p>
            <w:pPr>
              <w:jc w:val="center"/>
              <w:ind w:right="220"/>
              <w:spacing w:after="0"/>
              <w:rPr>
                <w:sz w:val="20"/>
                <w:szCs w:val="20"/>
                <w:color w:val="auto"/>
              </w:rPr>
            </w:pPr>
            <w:r>
              <w:rPr>
                <w:rFonts w:ascii="Arial" w:cs="Arial" w:eastAsia="Arial" w:hAnsi="Arial"/>
                <w:sz w:val="13"/>
                <w:szCs w:val="13"/>
                <w:color w:val="auto"/>
                <w:w w:val="92"/>
              </w:rPr>
              <w:t>IPSC</w:t>
            </w:r>
          </w:p>
        </w:tc>
        <w:tc>
          <w:tcPr>
            <w:tcW w:w="3180" w:type="dxa"/>
            <w:vAlign w:val="bottom"/>
          </w:tcPr>
          <w:p>
            <w:pPr>
              <w:jc w:val="center"/>
              <w:spacing w:after="0"/>
              <w:rPr>
                <w:sz w:val="20"/>
                <w:szCs w:val="20"/>
                <w:color w:val="auto"/>
              </w:rPr>
            </w:pPr>
            <w:r>
              <w:rPr>
                <w:rFonts w:ascii="Arial" w:cs="Arial" w:eastAsia="Arial" w:hAnsi="Arial"/>
                <w:sz w:val="13"/>
                <w:szCs w:val="13"/>
                <w:color w:val="auto"/>
                <w:w w:val="96"/>
              </w:rPr>
              <w:t>The Nasdaq Capital Market</w:t>
            </w:r>
          </w:p>
        </w:tc>
        <w:tc>
          <w:tcPr>
            <w:tcW w:w="0" w:type="dxa"/>
            <w:vAlign w:val="bottom"/>
          </w:tcPr>
          <w:p>
            <w:pPr>
              <w:spacing w:after="0"/>
              <w:rPr>
                <w:sz w:val="1"/>
                <w:szCs w:val="1"/>
                <w:color w:val="auto"/>
              </w:rPr>
            </w:pPr>
          </w:p>
        </w:tc>
      </w:tr>
    </w:tbl>
    <w:p>
      <w:pPr>
        <w:spacing w:after="0" w:line="81" w:lineRule="exact"/>
        <w:rPr>
          <w:sz w:val="24"/>
          <w:szCs w:val="24"/>
          <w:color w:val="auto"/>
        </w:rPr>
      </w:pPr>
    </w:p>
    <w:p>
      <w:pPr>
        <w:ind w:left="10" w:right="4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left="10" w:right="360"/>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left="10" w:right="10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6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4520" w:type="dxa"/>
            <w:vAlign w:val="bottom"/>
          </w:tcPr>
          <w:p>
            <w:pPr>
              <w:ind w:left="2940"/>
              <w:spacing w:after="0"/>
              <w:rPr>
                <w:sz w:val="20"/>
                <w:szCs w:val="20"/>
                <w:color w:val="auto"/>
              </w:rPr>
            </w:pPr>
            <w:r>
              <w:rPr>
                <w:rFonts w:ascii="Arial" w:cs="Arial" w:eastAsia="Arial" w:hAnsi="Arial"/>
                <w:sz w:val="16"/>
                <w:szCs w:val="16"/>
                <w:color w:val="auto"/>
              </w:rPr>
              <w:t>Accelerated filer</w:t>
            </w:r>
          </w:p>
        </w:tc>
        <w:tc>
          <w:tcPr>
            <w:tcW w:w="54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6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gridSpan w:val="2"/>
          </w:tcPr>
          <w:p>
            <w:pPr>
              <w:jc w:val="right"/>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tc>
      </w:tr>
      <w:tr>
        <w:trPr>
          <w:trHeight w:val="272"/>
        </w:trPr>
        <w:tc>
          <w:tcPr>
            <w:tcW w:w="19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6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452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33" w:lineRule="exact"/>
        <w:rPr>
          <w:sz w:val="24"/>
          <w:szCs w:val="24"/>
          <w:color w:val="auto"/>
        </w:rPr>
      </w:pPr>
    </w:p>
    <w:p>
      <w:pPr>
        <w:ind w:left="10" w:right="30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10" w:right="1140"/>
        <w:spacing w:after="0" w:line="24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1, 2025 the registrant had 87,307,091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481330</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35560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78740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260" w:type="dxa"/>
            <w:vAlign w:val="bottom"/>
            <w:gridSpan w:val="26"/>
            <w:vMerge w:val="restart"/>
          </w:tcPr>
          <w:p>
            <w:pPr>
              <w:spacing w:after="0"/>
              <w:rPr>
                <w:sz w:val="20"/>
                <w:szCs w:val="20"/>
                <w:color w:val="auto"/>
              </w:rPr>
            </w:pPr>
            <w:r>
              <w:rPr>
                <w:rFonts w:ascii="Arial" w:cs="Arial" w:eastAsia="Arial" w:hAnsi="Arial"/>
                <w:sz w:val="18"/>
                <w:szCs w:val="18"/>
                <w:b w:val="1"/>
                <w:bCs w:val="1"/>
                <w:color w:val="0000EE"/>
              </w:rPr>
              <w:t>PART I. FINANCIAL INFORMATION</w:t>
            </w: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8260" w:type="dxa"/>
            <w:vAlign w:val="bottom"/>
            <w:gridSpan w:val="26"/>
            <w:vMerge w:val="continue"/>
          </w:tcPr>
          <w:p>
            <w:pPr>
              <w:spacing w:after="0"/>
              <w:rPr>
                <w:sz w:val="15"/>
                <w:szCs w:val="15"/>
                <w:color w:val="auto"/>
              </w:rPr>
            </w:pPr>
          </w:p>
        </w:tc>
        <w:tc>
          <w:tcPr>
            <w:tcW w:w="640" w:type="dxa"/>
            <w:vAlign w:val="bottom"/>
          </w:tcPr>
          <w:p>
            <w:pPr>
              <w:jc w:val="center"/>
              <w:spacing w:after="0" w:line="182"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4"/>
              </w:rPr>
              <w:t>Item 1.</w:t>
            </w:r>
          </w:p>
        </w:tc>
        <w:tc>
          <w:tcPr>
            <w:tcW w:w="180" w:type="dxa"/>
            <w:vAlign w:val="bottom"/>
            <w:gridSpan w:val="2"/>
          </w:tcPr>
          <w:p>
            <w:pPr>
              <w:spacing w:after="0"/>
              <w:rPr>
                <w:sz w:val="17"/>
                <w:szCs w:val="17"/>
                <w:color w:val="auto"/>
              </w:rPr>
            </w:pPr>
          </w:p>
        </w:tc>
        <w:tc>
          <w:tcPr>
            <w:tcW w:w="7520" w:type="dxa"/>
            <w:vAlign w:val="bottom"/>
            <w:gridSpan w:val="23"/>
          </w:tcPr>
          <w:p>
            <w:pPr>
              <w:spacing w:after="0" w:line="196" w:lineRule="exact"/>
              <w:rPr>
                <w:sz w:val="20"/>
                <w:szCs w:val="20"/>
                <w:color w:val="auto"/>
              </w:rPr>
            </w:pPr>
            <w:r>
              <w:rPr>
                <w:rFonts w:ascii="Arial" w:cs="Arial" w:eastAsia="Arial" w:hAnsi="Arial"/>
                <w:sz w:val="18"/>
                <w:szCs w:val="18"/>
                <w:color w:val="0000EE"/>
              </w:rPr>
              <w:t>Unaudited Consolidated Financial Statements:</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gridSpan w:val="23"/>
          </w:tcPr>
          <w:p>
            <w:pPr>
              <w:spacing w:after="0" w:line="196" w:lineRule="exact"/>
              <w:rPr>
                <w:sz w:val="20"/>
                <w:szCs w:val="20"/>
                <w:color w:val="auto"/>
              </w:rPr>
            </w:pPr>
            <w:r>
              <w:rPr>
                <w:rFonts w:ascii="Arial" w:cs="Arial" w:eastAsia="Arial" w:hAnsi="Arial"/>
                <w:sz w:val="18"/>
                <w:szCs w:val="18"/>
                <w:color w:val="0000EE"/>
              </w:rPr>
              <w:t>Consolidated Balance Sheets as of September 30, 2025 (unaudited) and December 31, 2024</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20" w:type="dxa"/>
            <w:vAlign w:val="bottom"/>
            <w:tcBorders>
              <w:top w:val="single" w:sz="8" w:color="0000EE"/>
            </w:tcBorders>
            <w:gridSpan w:val="22"/>
          </w:tcPr>
          <w:p>
            <w:pPr>
              <w:spacing w:after="0" w:line="196" w:lineRule="exact"/>
              <w:rPr>
                <w:sz w:val="20"/>
                <w:szCs w:val="20"/>
                <w:color w:val="auto"/>
              </w:rPr>
            </w:pPr>
            <w:r>
              <w:rPr>
                <w:rFonts w:ascii="Arial" w:cs="Arial" w:eastAsia="Arial" w:hAnsi="Arial"/>
                <w:sz w:val="18"/>
                <w:szCs w:val="18"/>
                <w:color w:val="0000EE"/>
              </w:rPr>
              <w:t>Consolidated Statements of Operations and Comprehensive Income (Loss) for the three and</w:t>
            </w:r>
          </w:p>
        </w:tc>
        <w:tc>
          <w:tcPr>
            <w:tcW w:w="100" w:type="dxa"/>
            <w:vAlign w:val="bottom"/>
          </w:tcPr>
          <w:p>
            <w:pPr>
              <w:spacing w:after="0"/>
              <w:rPr>
                <w:sz w:val="17"/>
                <w:szCs w:val="17"/>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980" w:type="dxa"/>
            <w:vAlign w:val="bottom"/>
            <w:tcBorders>
              <w:top w:val="single" w:sz="8" w:color="0000EE"/>
              <w:bottom w:val="single" w:sz="8" w:color="0000EE"/>
            </w:tcBorders>
            <w:gridSpan w:val="16"/>
          </w:tcPr>
          <w:p>
            <w:pPr>
              <w:spacing w:after="0" w:line="182" w:lineRule="exact"/>
              <w:rPr>
                <w:sz w:val="20"/>
                <w:szCs w:val="20"/>
                <w:color w:val="auto"/>
              </w:rPr>
            </w:pPr>
            <w:r>
              <w:rPr>
                <w:rFonts w:ascii="Arial" w:cs="Arial" w:eastAsia="Arial" w:hAnsi="Arial"/>
                <w:sz w:val="18"/>
                <w:szCs w:val="18"/>
                <w:color w:val="0000EE"/>
                <w:w w:val="99"/>
              </w:rPr>
              <w:t>nine months ended September 30, 2025 and 2024 (unaudited)</w:t>
            </w:r>
          </w:p>
        </w:tc>
        <w:tc>
          <w:tcPr>
            <w:tcW w:w="2380" w:type="dxa"/>
            <w:vAlign w:val="bottom"/>
            <w:tcBorders>
              <w:top w:val="single" w:sz="8" w:color="0000EE"/>
            </w:tcBorders>
            <w:gridSpan w:val="4"/>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gridSpan w:val="23"/>
          </w:tcPr>
          <w:p>
            <w:pPr>
              <w:spacing w:after="0" w:line="196" w:lineRule="exact"/>
              <w:rPr>
                <w:sz w:val="20"/>
                <w:szCs w:val="20"/>
                <w:color w:val="auto"/>
              </w:rPr>
            </w:pPr>
            <w:r>
              <w:rPr>
                <w:rFonts w:ascii="Arial" w:cs="Arial" w:eastAsia="Arial" w:hAnsi="Arial"/>
                <w:sz w:val="18"/>
                <w:szCs w:val="18"/>
                <w:color w:val="0000EE"/>
              </w:rPr>
              <w:t>Consolidated Statements of Changes in Stockholders’ Equity for the three and nine months</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6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ended September 30, 2025 and 2024 (unaudited)</w:t>
            </w:r>
          </w:p>
        </w:tc>
        <w:tc>
          <w:tcPr>
            <w:tcW w:w="12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gridSpan w:val="23"/>
          </w:tcPr>
          <w:p>
            <w:pPr>
              <w:spacing w:after="0" w:line="196" w:lineRule="exact"/>
              <w:rPr>
                <w:sz w:val="20"/>
                <w:szCs w:val="20"/>
                <w:color w:val="auto"/>
              </w:rPr>
            </w:pPr>
            <w:r>
              <w:rPr>
                <w:rFonts w:ascii="Arial" w:cs="Arial" w:eastAsia="Arial" w:hAnsi="Arial"/>
                <w:sz w:val="18"/>
                <w:szCs w:val="18"/>
                <w:color w:val="0000EE"/>
              </w:rPr>
              <w:t>Consolidated Statements of Cash Flows for the nine months ended September 30, 2025 and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38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2024 (unaudited)</w:t>
            </w:r>
          </w:p>
        </w:tc>
        <w:tc>
          <w:tcPr>
            <w:tcW w:w="140" w:type="dxa"/>
            <w:vAlign w:val="bottom"/>
            <w:gridSpan w:val="2"/>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8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9"/>
              </w:rPr>
              <w:t>Notes to Unaudited Consolidated Financial Statements</w:t>
            </w:r>
          </w:p>
        </w:tc>
        <w:tc>
          <w:tcPr>
            <w:tcW w:w="3140" w:type="dxa"/>
            <w:vAlign w:val="bottom"/>
            <w:gridSpan w:val="9"/>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4"/>
              </w:rPr>
              <w:t>Item 2.</w:t>
            </w:r>
          </w:p>
        </w:tc>
        <w:tc>
          <w:tcPr>
            <w:tcW w:w="180" w:type="dxa"/>
            <w:vAlign w:val="bottom"/>
            <w:gridSpan w:val="2"/>
          </w:tcPr>
          <w:p>
            <w:pPr>
              <w:spacing w:after="0"/>
              <w:rPr>
                <w:sz w:val="17"/>
                <w:szCs w:val="17"/>
                <w:color w:val="auto"/>
              </w:rPr>
            </w:pPr>
          </w:p>
        </w:tc>
        <w:tc>
          <w:tcPr>
            <w:tcW w:w="7520" w:type="dxa"/>
            <w:vAlign w:val="bottom"/>
            <w:gridSpan w:val="23"/>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32</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45</w:t>
            </w: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4"/>
              </w:rPr>
              <w:t>Item 3.</w:t>
            </w:r>
          </w:p>
        </w:tc>
        <w:tc>
          <w:tcPr>
            <w:tcW w:w="180" w:type="dxa"/>
            <w:vAlign w:val="bottom"/>
            <w:gridSpan w:val="2"/>
          </w:tcPr>
          <w:p>
            <w:pPr>
              <w:spacing w:after="0"/>
              <w:rPr>
                <w:sz w:val="17"/>
                <w:szCs w:val="17"/>
                <w:color w:val="auto"/>
              </w:rPr>
            </w:pPr>
          </w:p>
        </w:tc>
        <w:tc>
          <w:tcPr>
            <w:tcW w:w="7520" w:type="dxa"/>
            <w:vAlign w:val="bottom"/>
            <w:gridSpan w:val="23"/>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45</w:t>
            </w: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4"/>
              </w:rPr>
              <w:t>Item 4.</w:t>
            </w:r>
          </w:p>
        </w:tc>
        <w:tc>
          <w:tcPr>
            <w:tcW w:w="180" w:type="dxa"/>
            <w:vAlign w:val="bottom"/>
            <w:gridSpan w:val="2"/>
          </w:tcPr>
          <w:p>
            <w:pPr>
              <w:spacing w:after="0"/>
              <w:rPr>
                <w:sz w:val="17"/>
                <w:szCs w:val="17"/>
                <w:color w:val="auto"/>
              </w:rPr>
            </w:pPr>
          </w:p>
        </w:tc>
        <w:tc>
          <w:tcPr>
            <w:tcW w:w="7520" w:type="dxa"/>
            <w:vAlign w:val="bottom"/>
            <w:gridSpan w:val="23"/>
          </w:tcPr>
          <w:p>
            <w:pPr>
              <w:spacing w:after="0" w:line="196" w:lineRule="exact"/>
              <w:rPr>
                <w:sz w:val="20"/>
                <w:szCs w:val="20"/>
                <w:color w:val="auto"/>
              </w:rPr>
            </w:pPr>
            <w:r>
              <w:rPr>
                <w:rFonts w:ascii="Arial" w:cs="Arial" w:eastAsia="Arial" w:hAnsi="Arial"/>
                <w:sz w:val="18"/>
                <w:szCs w:val="18"/>
                <w:color w:val="0000EE"/>
              </w:rPr>
              <w:t>Controls and Procedures</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260" w:type="dxa"/>
            <w:vAlign w:val="bottom"/>
            <w:gridSpan w:val="26"/>
          </w:tcPr>
          <w:p>
            <w:pPr>
              <w:spacing w:after="0"/>
              <w:rPr>
                <w:sz w:val="20"/>
                <w:szCs w:val="20"/>
                <w:color w:val="auto"/>
              </w:rPr>
            </w:pPr>
            <w:r>
              <w:rPr>
                <w:rFonts w:ascii="Arial" w:cs="Arial" w:eastAsia="Arial" w:hAnsi="Arial"/>
                <w:sz w:val="18"/>
                <w:szCs w:val="18"/>
                <w:b w:val="1"/>
                <w:bCs w:val="1"/>
                <w:color w:val="0000EE"/>
              </w:rPr>
              <w:t>PART II. OTHER INFORMATION</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4"/>
              </w:rPr>
              <w:t>Item 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20" w:type="dxa"/>
            <w:vAlign w:val="bottom"/>
            <w:gridSpan w:val="23"/>
          </w:tcPr>
          <w:p>
            <w:pPr>
              <w:spacing w:after="0" w:line="196" w:lineRule="exact"/>
              <w:rPr>
                <w:sz w:val="20"/>
                <w:szCs w:val="20"/>
                <w:color w:val="auto"/>
              </w:rPr>
            </w:pPr>
            <w:r>
              <w:rPr>
                <w:rFonts w:ascii="Arial" w:cs="Arial" w:eastAsia="Arial" w:hAnsi="Arial"/>
                <w:sz w:val="18"/>
                <w:szCs w:val="18"/>
                <w:color w:val="0000EE"/>
              </w:rPr>
              <w:t>Legal Proceedings</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line="20" w:lineRule="exact"/>
              <w:rPr>
                <w:sz w:val="1"/>
                <w:szCs w:val="1"/>
                <w:color w:val="auto"/>
              </w:rPr>
            </w:pPr>
          </w:p>
        </w:tc>
      </w:tr>
      <w:tr>
        <w:trPr>
          <w:trHeight w:val="196"/>
        </w:trPr>
        <w:tc>
          <w:tcPr>
            <w:tcW w:w="680" w:type="dxa"/>
            <w:vAlign w:val="bottom"/>
            <w:gridSpan w:val="2"/>
          </w:tcPr>
          <w:p>
            <w:pPr>
              <w:spacing w:after="0" w:line="196" w:lineRule="exact"/>
              <w:rPr>
                <w:sz w:val="20"/>
                <w:szCs w:val="20"/>
                <w:color w:val="auto"/>
              </w:rPr>
            </w:pPr>
            <w:r>
              <w:rPr>
                <w:rFonts w:ascii="Arial" w:cs="Arial" w:eastAsia="Arial" w:hAnsi="Arial"/>
                <w:sz w:val="18"/>
                <w:szCs w:val="18"/>
                <w:color w:val="0000EE"/>
                <w:w w:val="95"/>
              </w:rPr>
              <w:t>Item 1A.</w:t>
            </w:r>
          </w:p>
        </w:tc>
        <w:tc>
          <w:tcPr>
            <w:tcW w:w="60" w:type="dxa"/>
            <w:vAlign w:val="bottom"/>
          </w:tcPr>
          <w:p>
            <w:pPr>
              <w:spacing w:after="0"/>
              <w:rPr>
                <w:sz w:val="17"/>
                <w:szCs w:val="17"/>
                <w:color w:val="auto"/>
              </w:rPr>
            </w:pPr>
          </w:p>
        </w:tc>
        <w:tc>
          <w:tcPr>
            <w:tcW w:w="7520" w:type="dxa"/>
            <w:vAlign w:val="bottom"/>
            <w:gridSpan w:val="23"/>
          </w:tcPr>
          <w:p>
            <w:pPr>
              <w:spacing w:after="0" w:line="196" w:lineRule="exact"/>
              <w:rPr>
                <w:sz w:val="20"/>
                <w:szCs w:val="20"/>
                <w:color w:val="auto"/>
              </w:rPr>
            </w:pPr>
            <w:r>
              <w:rPr>
                <w:rFonts w:ascii="Arial" w:cs="Arial" w:eastAsia="Arial" w:hAnsi="Arial"/>
                <w:sz w:val="18"/>
                <w:szCs w:val="18"/>
                <w:color w:val="0000EE"/>
              </w:rPr>
              <w:t>Risk Factors</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vMerge w:val="restart"/>
          </w:tcPr>
          <w:p>
            <w:pPr>
              <w:spacing w:after="0"/>
              <w:rPr>
                <w:sz w:val="20"/>
                <w:szCs w:val="20"/>
                <w:color w:val="auto"/>
              </w:rPr>
            </w:pPr>
            <w:r>
              <w:rPr>
                <w:rFonts w:ascii="Arial" w:cs="Arial" w:eastAsia="Arial" w:hAnsi="Arial"/>
                <w:sz w:val="18"/>
                <w:szCs w:val="18"/>
                <w:color w:val="0000EE"/>
              </w:rPr>
              <w:t>Item 2.</w:t>
            </w:r>
          </w:p>
        </w:tc>
        <w:tc>
          <w:tcPr>
            <w:tcW w:w="60" w:type="dxa"/>
            <w:vAlign w:val="bottom"/>
            <w:vMerge w:val="restart"/>
          </w:tcPr>
          <w:p>
            <w:pPr>
              <w:spacing w:after="0"/>
              <w:rPr>
                <w:sz w:val="17"/>
                <w:szCs w:val="17"/>
                <w:color w:val="auto"/>
              </w:rPr>
            </w:pPr>
          </w:p>
        </w:tc>
        <w:tc>
          <w:tcPr>
            <w:tcW w:w="7140" w:type="dxa"/>
            <w:vAlign w:val="bottom"/>
            <w:tcBorders>
              <w:bottom w:val="single" w:sz="8" w:color="0000EE"/>
            </w:tcBorders>
            <w:gridSpan w:val="18"/>
          </w:tcPr>
          <w:p>
            <w:pPr>
              <w:spacing w:after="0" w:line="182" w:lineRule="exact"/>
              <w:rPr>
                <w:sz w:val="20"/>
                <w:szCs w:val="20"/>
                <w:color w:val="auto"/>
              </w:rPr>
            </w:pPr>
            <w:r>
              <w:rPr>
                <w:rFonts w:ascii="Arial" w:cs="Arial" w:eastAsia="Arial" w:hAnsi="Arial"/>
                <w:sz w:val="18"/>
                <w:szCs w:val="18"/>
                <w:color w:val="0000EE"/>
                <w:w w:val="99"/>
              </w:rPr>
              <w:t>Unregistered Sales of Equity Securities, Use of Proceeds, and Issuer Purchases of Equity</w:t>
            </w:r>
          </w:p>
        </w:tc>
        <w:tc>
          <w:tcPr>
            <w:tcW w:w="380" w:type="dxa"/>
            <w:vAlign w:val="bottom"/>
            <w:gridSpan w:val="5"/>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680" w:type="dxa"/>
            <w:vAlign w:val="bottom"/>
            <w:gridSpan w:val="2"/>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7520" w:type="dxa"/>
            <w:vAlign w:val="bottom"/>
            <w:gridSpan w:val="23"/>
            <w:vMerge w:val="restart"/>
          </w:tcPr>
          <w:p>
            <w:pPr>
              <w:spacing w:after="0" w:line="182" w:lineRule="exact"/>
              <w:rPr>
                <w:sz w:val="20"/>
                <w:szCs w:val="20"/>
                <w:color w:val="auto"/>
              </w:rPr>
            </w:pPr>
            <w:r>
              <w:rPr>
                <w:rFonts w:ascii="Arial" w:cs="Arial" w:eastAsia="Arial" w:hAnsi="Arial"/>
                <w:sz w:val="18"/>
                <w:szCs w:val="18"/>
                <w:color w:val="0000EE"/>
              </w:rPr>
              <w:t>Securities</w:t>
            </w:r>
          </w:p>
        </w:tc>
        <w:tc>
          <w:tcPr>
            <w:tcW w:w="640" w:type="dxa"/>
            <w:vAlign w:val="bottom"/>
            <w:vMerge w:val="restart"/>
          </w:tcPr>
          <w:p>
            <w:pPr>
              <w:jc w:val="center"/>
              <w:spacing w:after="0" w:line="182" w:lineRule="exact"/>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88"/>
        </w:trPr>
        <w:tc>
          <w:tcPr>
            <w:tcW w:w="560" w:type="dxa"/>
            <w:vAlign w:val="bottom"/>
            <w:tcBorders>
              <w:top w:val="single" w:sz="8" w:color="0000EE"/>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520" w:type="dxa"/>
            <w:vAlign w:val="bottom"/>
            <w:gridSpan w:val="23"/>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rPr>
                <w:sz w:val="20"/>
                <w:szCs w:val="20"/>
                <w:color w:val="auto"/>
              </w:rPr>
            </w:pPr>
            <w:r>
              <w:rPr>
                <w:rFonts w:ascii="Arial" w:cs="Arial" w:eastAsia="Arial" w:hAnsi="Arial"/>
                <w:sz w:val="18"/>
                <w:szCs w:val="18"/>
                <w:color w:val="0000EE"/>
                <w:w w:val="94"/>
              </w:rPr>
              <w:t>Item 3.</w:t>
            </w:r>
          </w:p>
        </w:tc>
        <w:tc>
          <w:tcPr>
            <w:tcW w:w="18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960" w:type="dxa"/>
            <w:vAlign w:val="bottom"/>
            <w:gridSpan w:val="12"/>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line="20" w:lineRule="exact"/>
              <w:rPr>
                <w:sz w:val="1"/>
                <w:szCs w:val="1"/>
                <w:color w:val="auto"/>
              </w:rPr>
            </w:pPr>
          </w:p>
        </w:tc>
      </w:tr>
      <w:tr>
        <w:trPr>
          <w:trHeight w:val="196"/>
        </w:trPr>
        <w:tc>
          <w:tcPr>
            <w:tcW w:w="560" w:type="dxa"/>
            <w:vAlign w:val="bottom"/>
            <w:vMerge w:val="continue"/>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7520" w:type="dxa"/>
            <w:vAlign w:val="bottom"/>
            <w:gridSpan w:val="23"/>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4960" w:type="dxa"/>
            <w:vAlign w:val="bottom"/>
            <w:gridSpan w:val="12"/>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4"/>
              </w:rPr>
              <w:t>Item 4.</w:t>
            </w:r>
          </w:p>
        </w:tc>
        <w:tc>
          <w:tcPr>
            <w:tcW w:w="180" w:type="dxa"/>
            <w:vAlign w:val="bottom"/>
            <w:gridSpan w:val="2"/>
          </w:tcPr>
          <w:p>
            <w:pPr>
              <w:spacing w:after="0"/>
              <w:rPr>
                <w:sz w:val="17"/>
                <w:szCs w:val="17"/>
                <w:color w:val="auto"/>
              </w:rPr>
            </w:pPr>
          </w:p>
        </w:tc>
        <w:tc>
          <w:tcPr>
            <w:tcW w:w="7520" w:type="dxa"/>
            <w:vAlign w:val="bottom"/>
            <w:gridSpan w:val="23"/>
          </w:tcPr>
          <w:p>
            <w:pPr>
              <w:spacing w:after="0" w:line="196" w:lineRule="exact"/>
              <w:rPr>
                <w:sz w:val="20"/>
                <w:szCs w:val="20"/>
                <w:color w:val="auto"/>
              </w:rPr>
            </w:pPr>
            <w:r>
              <w:rPr>
                <w:rFonts w:ascii="Arial" w:cs="Arial" w:eastAsia="Arial" w:hAnsi="Arial"/>
                <w:sz w:val="18"/>
                <w:szCs w:val="18"/>
                <w:color w:val="0000EE"/>
              </w:rPr>
              <w:t>Mine Safety Disclosures</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580" w:type="dxa"/>
            <w:vAlign w:val="bottom"/>
            <w:gridSpan w:val="14"/>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4"/>
              </w:rPr>
              <w:t>Item 5.</w:t>
            </w:r>
          </w:p>
        </w:tc>
        <w:tc>
          <w:tcPr>
            <w:tcW w:w="180" w:type="dxa"/>
            <w:vAlign w:val="bottom"/>
            <w:gridSpan w:val="2"/>
          </w:tcPr>
          <w:p>
            <w:pPr>
              <w:spacing w:after="0"/>
              <w:rPr>
                <w:sz w:val="17"/>
                <w:szCs w:val="17"/>
                <w:color w:val="auto"/>
              </w:rPr>
            </w:pPr>
          </w:p>
        </w:tc>
        <w:tc>
          <w:tcPr>
            <w:tcW w:w="7520" w:type="dxa"/>
            <w:vAlign w:val="bottom"/>
            <w:gridSpan w:val="23"/>
          </w:tcPr>
          <w:p>
            <w:pPr>
              <w:spacing w:after="0" w:line="196" w:lineRule="exact"/>
              <w:rPr>
                <w:sz w:val="20"/>
                <w:szCs w:val="20"/>
                <w:color w:val="auto"/>
              </w:rPr>
            </w:pPr>
            <w:r>
              <w:rPr>
                <w:rFonts w:ascii="Arial" w:cs="Arial" w:eastAsia="Arial" w:hAnsi="Arial"/>
                <w:sz w:val="18"/>
                <w:szCs w:val="18"/>
                <w:color w:val="0000EE"/>
              </w:rPr>
              <w:t>Other Information</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6120" w:type="dxa"/>
            <w:vAlign w:val="bottom"/>
            <w:gridSpan w:val="16"/>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47</w:t>
            </w: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0000EE"/>
                <w:w w:val="94"/>
              </w:rPr>
              <w:t>Item 6.</w:t>
            </w:r>
          </w:p>
        </w:tc>
        <w:tc>
          <w:tcPr>
            <w:tcW w:w="180" w:type="dxa"/>
            <w:vAlign w:val="bottom"/>
            <w:gridSpan w:val="2"/>
          </w:tcPr>
          <w:p>
            <w:pPr>
              <w:spacing w:after="0"/>
              <w:rPr>
                <w:sz w:val="17"/>
                <w:szCs w:val="17"/>
                <w:color w:val="auto"/>
              </w:rPr>
            </w:pPr>
          </w:p>
        </w:tc>
        <w:tc>
          <w:tcPr>
            <w:tcW w:w="7520" w:type="dxa"/>
            <w:vAlign w:val="bottom"/>
            <w:gridSpan w:val="23"/>
          </w:tcPr>
          <w:p>
            <w:pPr>
              <w:spacing w:after="0" w:line="196" w:lineRule="exact"/>
              <w:rPr>
                <w:sz w:val="20"/>
                <w:szCs w:val="20"/>
                <w:color w:val="auto"/>
              </w:rPr>
            </w:pPr>
            <w:r>
              <w:rPr>
                <w:rFonts w:ascii="Arial" w:cs="Arial" w:eastAsia="Arial" w:hAnsi="Arial"/>
                <w:sz w:val="18"/>
                <w:szCs w:val="18"/>
                <w:color w:val="0000EE"/>
              </w:rPr>
              <w:t>Exhibits</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80" w:type="dxa"/>
            <w:vAlign w:val="bottom"/>
            <w:gridSpan w:val="20"/>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48</w:t>
            </w:r>
          </w:p>
        </w:tc>
        <w:tc>
          <w:tcPr>
            <w:tcW w:w="0" w:type="dxa"/>
            <w:vAlign w:val="bottom"/>
          </w:tcPr>
          <w:p>
            <w:pPr>
              <w:spacing w:after="0" w:line="20" w:lineRule="exact"/>
              <w:rPr>
                <w:sz w:val="1"/>
                <w:szCs w:val="1"/>
                <w:color w:val="auto"/>
              </w:rPr>
            </w:pPr>
          </w:p>
        </w:tc>
      </w:tr>
      <w:tr>
        <w:trPr>
          <w:trHeight w:val="196"/>
        </w:trPr>
        <w:tc>
          <w:tcPr>
            <w:tcW w:w="8260" w:type="dxa"/>
            <w:vAlign w:val="bottom"/>
            <w:gridSpan w:val="26"/>
          </w:tcPr>
          <w:p>
            <w:pPr>
              <w:spacing w:after="0" w:line="196" w:lineRule="exact"/>
              <w:rPr>
                <w:sz w:val="20"/>
                <w:szCs w:val="20"/>
                <w:color w:val="auto"/>
              </w:rPr>
            </w:pPr>
            <w:r>
              <w:rPr>
                <w:rFonts w:ascii="Arial" w:cs="Arial" w:eastAsia="Arial" w:hAnsi="Arial"/>
                <w:sz w:val="18"/>
                <w:szCs w:val="18"/>
                <w:color w:val="0000EE"/>
              </w:rPr>
              <w:t>Signatures</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This Quarterly Report on Form 10-Q and the documents incorporated by reference herein contain forward-looking statements that involve substantial risks and uncertainties. All statements, other than statements of historical facts, included in this Quarterly Report on Form 10-Q or the documents incorporated by reference herein regarding our strategy, future operations, future financial position, future revenues, projected costs, prospects, plans and objectives of management are forward-looking statements. The words “anticipate,” “believe,” “estimate,” “expect,” “intend,” “may,” “plan,” “predict,” “project,” “will,” “would,” “could,” “should,” “potential,” “seek,” “evaluate,” “pursue,” “continue,” “design,” “impact,” “affect,” “forecast,” “target,” “outlook,” “initiative,” “objective,” “designed,” “priorities,” “goal,”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spacing w:after="0" w:line="183"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54" w:lineRule="exact"/>
        <w:rPr>
          <w:sz w:val="20"/>
          <w:szCs w:val="20"/>
          <w:color w:val="auto"/>
        </w:rPr>
      </w:pPr>
    </w:p>
    <w:p>
      <w:pPr>
        <w:ind w:left="720" w:right="1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raise additional capital to fund our operations and continue the development of our current and future product candidates;</w:t>
      </w:r>
    </w:p>
    <w:p>
      <w:pPr>
        <w:spacing w:after="0" w:line="154" w:lineRule="exact"/>
        <w:rPr>
          <w:rFonts w:ascii="Times New Roman" w:cs="Times New Roman" w:eastAsia="Times New Roman" w:hAnsi="Times New Roman"/>
          <w:sz w:val="18"/>
          <w:szCs w:val="18"/>
          <w:color w:val="auto"/>
        </w:rPr>
      </w:pPr>
    </w:p>
    <w:p>
      <w:pPr>
        <w:ind w:left="720" w:right="27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early clinical nature of our business and our ability to successfully advance our current and future product candidates, through development activities, preclinical studies, and clinical trials;</w:t>
      </w:r>
    </w:p>
    <w:p>
      <w:pPr>
        <w:spacing w:after="0" w:line="154" w:lineRule="exact"/>
        <w:rPr>
          <w:rFonts w:ascii="Times New Roman" w:cs="Times New Roman" w:eastAsia="Times New Roman" w:hAnsi="Times New Roman"/>
          <w:sz w:val="18"/>
          <w:szCs w:val="18"/>
          <w:color w:val="auto"/>
        </w:rPr>
      </w:pPr>
    </w:p>
    <w:p>
      <w:pPr>
        <w:ind w:left="720" w:right="69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spacing w:after="0" w:line="154" w:lineRule="exact"/>
        <w:rPr>
          <w:rFonts w:ascii="Times New Roman" w:cs="Times New Roman" w:eastAsia="Times New Roman" w:hAnsi="Times New Roman"/>
          <w:sz w:val="18"/>
          <w:szCs w:val="18"/>
          <w:color w:val="auto"/>
        </w:rPr>
      </w:pPr>
    </w:p>
    <w:p>
      <w:pPr>
        <w:ind w:left="720" w:right="53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accuracy of our projections and estimates regarding our expenses, capital requirements, cash utilization, and need for additional financing;</w:t>
      </w:r>
    </w:p>
    <w:p>
      <w:pPr>
        <w:spacing w:after="0" w:line="154" w:lineRule="exact"/>
        <w:rPr>
          <w:rFonts w:ascii="Times New Roman" w:cs="Times New Roman" w:eastAsia="Times New Roman" w:hAnsi="Times New Roman"/>
          <w:sz w:val="18"/>
          <w:szCs w:val="18"/>
          <w:color w:val="auto"/>
        </w:rPr>
      </w:pPr>
    </w:p>
    <w:p>
      <w:pPr>
        <w:jc w:val="both"/>
        <w:ind w:left="720" w:right="27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novelty of our approach to immuno-oncology and autoimmune treatments, utilizing iPSC-derived natural killer cells, or iNK cells, iPSC-derived T cells, or iT cells, and iPSC -derived non-immune cells and the challenges we will face due to the novel nature of such technology;</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may become available;</w:t>
      </w:r>
    </w:p>
    <w:p>
      <w:pPr>
        <w:spacing w:after="0" w:line="224" w:lineRule="exact"/>
        <w:rPr>
          <w:rFonts w:ascii="Times New Roman" w:cs="Times New Roman" w:eastAsia="Times New Roman" w:hAnsi="Times New Roman"/>
          <w:sz w:val="18"/>
          <w:szCs w:val="18"/>
          <w:color w:val="auto"/>
        </w:rPr>
      </w:pPr>
    </w:p>
    <w:p>
      <w:pPr>
        <w:ind w:left="720" w:right="7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the maintenance of our collaborative relationship with FUJIFILM Cellular Dynamics Inc., or FCDI, for access to key differentiation and reprogramming technology for the manufacturing and development of our product candidates;</w:t>
      </w:r>
    </w:p>
    <w:p>
      <w:pPr>
        <w:spacing w:after="0" w:line="170" w:lineRule="exact"/>
        <w:rPr>
          <w:rFonts w:ascii="Times New Roman" w:cs="Times New Roman" w:eastAsia="Times New Roman" w:hAnsi="Times New Roman"/>
          <w:sz w:val="18"/>
          <w:szCs w:val="18"/>
          <w:color w:val="auto"/>
        </w:rPr>
      </w:pPr>
    </w:p>
    <w:p>
      <w:pPr>
        <w:ind w:left="720" w:right="2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progress, success, cost, and timing of our development activities, preclinical studies and clinical trials;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future investigational new drug, or IND, applications and the likelihood of, and our ability to obtain and maintain, regulatory clearance of IND applications for our product candidates;</w:t>
      </w:r>
    </w:p>
    <w:p>
      <w:pPr>
        <w:spacing w:after="0" w:line="154" w:lineRule="exact"/>
        <w:rPr>
          <w:rFonts w:ascii="Times New Roman" w:cs="Times New Roman" w:eastAsia="Times New Roman" w:hAnsi="Times New Roman"/>
          <w:sz w:val="18"/>
          <w:szCs w:val="18"/>
          <w:color w:val="auto"/>
        </w:rPr>
      </w:pPr>
    </w:p>
    <w:p>
      <w:pPr>
        <w:ind w:left="720" w:right="25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spacing w:after="0" w:line="154" w:lineRule="exact"/>
        <w:rPr>
          <w:rFonts w:ascii="Times New Roman" w:cs="Times New Roman" w:eastAsia="Times New Roman" w:hAnsi="Times New Roman"/>
          <w:sz w:val="18"/>
          <w:szCs w:val="18"/>
          <w:color w:val="auto"/>
        </w:rPr>
      </w:pPr>
    </w:p>
    <w:p>
      <w:pPr>
        <w:ind w:left="720" w:right="33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manufacture certain of our product candidates, and the timing and costs of such manufacturing activities;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9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performance of third parties in connection with the development of our product candidates, including third parties conducting our current and future clinical trials as well as third-party suppliers and manufacturers;</w:t>
      </w:r>
    </w:p>
    <w:p>
      <w:pPr>
        <w:spacing w:after="0" w:line="170" w:lineRule="exact"/>
        <w:rPr>
          <w:rFonts w:ascii="Times New Roman" w:cs="Times New Roman" w:eastAsia="Times New Roman" w:hAnsi="Times New Roman"/>
          <w:sz w:val="18"/>
          <w:szCs w:val="18"/>
          <w:color w:val="auto"/>
        </w:rPr>
      </w:pPr>
    </w:p>
    <w:p>
      <w:pPr>
        <w:ind w:left="720" w:right="13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strategic collaborators with development, regulatory, and commercialization expertise;</w:t>
      </w:r>
    </w:p>
    <w:p>
      <w:pPr>
        <w:spacing w:after="0" w:line="154" w:lineRule="exact"/>
        <w:rPr>
          <w:rFonts w:ascii="Times New Roman" w:cs="Times New Roman" w:eastAsia="Times New Roman" w:hAnsi="Times New Roman"/>
          <w:sz w:val="18"/>
          <w:szCs w:val="18"/>
          <w:color w:val="auto"/>
        </w:rPr>
      </w:pPr>
    </w:p>
    <w:p>
      <w:pPr>
        <w:ind w:left="720" w:right="519" w:hanging="319"/>
        <w:spacing w:after="0" w:line="300" w:lineRule="auto"/>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public opinion and scrutiny of cell-based immuno-oncology and autoimmune and inflammatory therapies and its potential impact on public perception of our company and product candidates;</w:t>
      </w:r>
    </w:p>
    <w:p>
      <w:pPr>
        <w:spacing w:after="0" w:line="131" w:lineRule="exact"/>
        <w:rPr>
          <w:rFonts w:ascii="Times New Roman" w:cs="Times New Roman" w:eastAsia="Times New Roman" w:hAnsi="Times New Roman"/>
          <w:sz w:val="17"/>
          <w:szCs w:val="17"/>
          <w:color w:val="auto"/>
        </w:rPr>
      </w:pPr>
    </w:p>
    <w:p>
      <w:pPr>
        <w:ind w:left="720" w:right="53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commercialize our product candidates and develop sales and marketing capabilities, if our product candidates are approved;</w:t>
      </w:r>
    </w:p>
    <w:p>
      <w:pPr>
        <w:spacing w:after="0" w:line="154" w:lineRule="exact"/>
        <w:rPr>
          <w:rFonts w:ascii="Times New Roman" w:cs="Times New Roman" w:eastAsia="Times New Roman" w:hAnsi="Times New Roman"/>
          <w:sz w:val="18"/>
          <w:szCs w:val="18"/>
          <w:color w:val="auto"/>
        </w:rPr>
      </w:pPr>
    </w:p>
    <w:p>
      <w:pPr>
        <w:ind w:left="720" w:right="31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of the potential markets for our product candidates and our ability to serve those markets;</w:t>
      </w:r>
    </w:p>
    <w:p>
      <w:pPr>
        <w:spacing w:after="0" w:line="154" w:lineRule="exact"/>
        <w:rPr>
          <w:rFonts w:ascii="Times New Roman" w:cs="Times New Roman" w:eastAsia="Times New Roman" w:hAnsi="Times New Roman"/>
          <w:sz w:val="18"/>
          <w:szCs w:val="18"/>
          <w:color w:val="auto"/>
        </w:rPr>
      </w:pPr>
    </w:p>
    <w:p>
      <w:pPr>
        <w:ind w:left="720" w:right="4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and approval pathways in the United States and foreign countries for our product candidates;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scope and value of our intellectual property and proprietary rights;</w:t>
      </w:r>
    </w:p>
    <w:p>
      <w:pPr>
        <w:spacing w:after="0" w:line="224" w:lineRule="exact"/>
        <w:rPr>
          <w:rFonts w:ascii="Times New Roman" w:cs="Times New Roman" w:eastAsia="Times New Roman" w:hAnsi="Times New Roman"/>
          <w:sz w:val="18"/>
          <w:szCs w:val="18"/>
          <w:color w:val="auto"/>
        </w:rPr>
      </w:pPr>
    </w:p>
    <w:p>
      <w:pPr>
        <w:ind w:left="720" w:right="17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spacing w:after="0" w:line="17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recruit and retain key members of management and other clinical and scientific personnel;</w:t>
      </w:r>
    </w:p>
    <w:p>
      <w:pPr>
        <w:spacing w:after="0" w:line="235" w:lineRule="exact"/>
        <w:rPr>
          <w:rFonts w:ascii="Times New Roman" w:cs="Times New Roman" w:eastAsia="Times New Roman" w:hAnsi="Times New Roman"/>
          <w:sz w:val="17"/>
          <w:szCs w:val="17"/>
          <w:color w:val="auto"/>
        </w:rPr>
      </w:pPr>
    </w:p>
    <w:p>
      <w:pPr>
        <w:ind w:left="720" w:right="35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volatility of capital markets and other macroeconomic factors, including due to inflationary pressures, trade disputes and tariffs, banking instability, global health crises, geopolitical tensions or the outbreak of hostilities or war; and</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relating to our competitors and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You should refer to the section titled “Risk Factors” set forth in Part II, Item 1A of this Quarterly Report on Form 10-Q, the section titled “Risk Factors” set forth in Part I, Item 1A of our Annual Report on Form 10-K for the year ended December 31, 2024 and the section titled “Risk Factors” set forth in Part II, Item 1A of our subsequent Quarterly Reports on Form 10-Q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spacing w:after="0" w:line="161"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spacing w:after="0" w:line="169"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You should read this Quarterly Report on Form 10-Q completely and with the understanding that our actual future results may be materially different from what we expect. We intend the forward-looking statements contained in this Quarterly Report on Form 10-Q to be covered by the safe harbor provisions for forward-looking statements contained in Section 27A of the Securities Act of 1933, as amended, or the Securities Act, and Section 21E of the Securities Exchange Act of 1934,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680"/>
        <w:spacing w:after="0"/>
        <w:rPr>
          <w:sz w:val="20"/>
          <w:szCs w:val="20"/>
          <w:color w:val="auto"/>
        </w:rPr>
      </w:pPr>
      <w:r>
        <w:rPr>
          <w:rFonts w:ascii="Arial" w:cs="Arial" w:eastAsia="Arial" w:hAnsi="Arial"/>
          <w:sz w:val="22"/>
          <w:szCs w:val="22"/>
          <w:b w:val="1"/>
          <w:bCs w:val="1"/>
          <w:color w:val="auto"/>
        </w:rPr>
        <w:t>PART I—FINANCIAL INFORMATION</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12"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CONSOLIDATED BALANCE SHEETS</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21"/>
          <w:szCs w:val="21"/>
          <w:b w:val="1"/>
          <w:bCs w:val="1"/>
          <w:color w:val="auto"/>
        </w:rPr>
        <w:t>In thousands, except share amounts)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8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4"/>
                <w:szCs w:val="14"/>
                <w:color w:val="auto"/>
              </w:rPr>
              <w:t>September 30, 2025</w:t>
            </w:r>
          </w:p>
        </w:tc>
        <w:tc>
          <w:tcPr>
            <w:tcW w:w="16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4"/>
                <w:szCs w:val="14"/>
                <w:color w:val="auto"/>
              </w:rPr>
              <w:t>December 31, 2024</w:t>
            </w:r>
          </w:p>
        </w:tc>
      </w:tr>
      <w:tr>
        <w:trPr>
          <w:trHeight w:val="171"/>
        </w:trPr>
        <w:tc>
          <w:tcPr>
            <w:tcW w:w="4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4"/>
                <w:szCs w:val="14"/>
                <w:color w:val="auto"/>
              </w:rPr>
              <w:t>(unaudited)</w:t>
            </w: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28"/>
        </w:trPr>
        <w:tc>
          <w:tcPr>
            <w:tcW w:w="48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Assets</w:t>
            </w:r>
          </w:p>
        </w:tc>
        <w:tc>
          <w:tcPr>
            <w:tcW w:w="16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r>
      <w:tr>
        <w:trPr>
          <w:trHeight w:val="135"/>
        </w:trPr>
        <w:tc>
          <w:tcPr>
            <w:tcW w:w="4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48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Current assets</w:t>
            </w: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4860" w:type="dxa"/>
            <w:vAlign w:val="bottom"/>
          </w:tcPr>
          <w:p>
            <w:pPr>
              <w:ind w:left="120"/>
              <w:spacing w:after="0" w:line="135" w:lineRule="exact"/>
              <w:rPr>
                <w:sz w:val="20"/>
                <w:szCs w:val="20"/>
                <w:color w:val="auto"/>
              </w:rPr>
            </w:pPr>
            <w:r>
              <w:rPr>
                <w:rFonts w:ascii="Arial" w:cs="Arial" w:eastAsia="Arial" w:hAnsi="Arial"/>
                <w:sz w:val="13"/>
                <w:szCs w:val="13"/>
                <w:color w:val="auto"/>
              </w:rPr>
              <w:t>Cash and cash equivalents</w:t>
            </w:r>
          </w:p>
        </w:tc>
        <w:tc>
          <w:tcPr>
            <w:tcW w:w="16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55,515</w:t>
            </w:r>
          </w:p>
        </w:tc>
        <w:tc>
          <w:tcPr>
            <w:tcW w:w="260" w:type="dxa"/>
            <w:vAlign w:val="bottom"/>
          </w:tcPr>
          <w:p>
            <w:pPr>
              <w:spacing w:after="0"/>
              <w:rPr>
                <w:sz w:val="11"/>
                <w:szCs w:val="11"/>
                <w:color w:val="auto"/>
              </w:rPr>
            </w:pPr>
          </w:p>
        </w:tc>
        <w:tc>
          <w:tcPr>
            <w:tcW w:w="16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58,441</w:t>
            </w:r>
          </w:p>
        </w:tc>
        <w:tc>
          <w:tcPr>
            <w:tcW w:w="280" w:type="dxa"/>
            <w:vAlign w:val="bottom"/>
          </w:tcPr>
          <w:p>
            <w:pPr>
              <w:spacing w:after="0"/>
              <w:rPr>
                <w:sz w:val="11"/>
                <w:szCs w:val="11"/>
                <w:color w:val="auto"/>
              </w:rPr>
            </w:pPr>
          </w:p>
        </w:tc>
      </w:tr>
      <w:tr>
        <w:trPr>
          <w:trHeight w:val="135"/>
        </w:trPr>
        <w:tc>
          <w:tcPr>
            <w:tcW w:w="4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Short-term investments</w:t>
            </w: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77,234</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130,851</w:t>
            </w:r>
          </w:p>
        </w:tc>
        <w:tc>
          <w:tcPr>
            <w:tcW w:w="280" w:type="dxa"/>
            <w:vAlign w:val="bottom"/>
            <w:shd w:val="clear" w:color="auto" w:fill="CCEEFF"/>
          </w:tcPr>
          <w:p>
            <w:pPr>
              <w:spacing w:after="0"/>
              <w:rPr>
                <w:sz w:val="11"/>
                <w:szCs w:val="11"/>
                <w:color w:val="auto"/>
              </w:rPr>
            </w:pPr>
          </w:p>
        </w:tc>
      </w:tr>
      <w:tr>
        <w:trPr>
          <w:trHeight w:val="135"/>
        </w:trPr>
        <w:tc>
          <w:tcPr>
            <w:tcW w:w="486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3"/>
                <w:szCs w:val="13"/>
                <w:color w:val="auto"/>
              </w:rPr>
              <w:t>Prepaid expenses and other current assets</w:t>
            </w:r>
          </w:p>
        </w:tc>
        <w:tc>
          <w:tcPr>
            <w:tcW w:w="1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4,960</w:t>
            </w:r>
          </w:p>
        </w:tc>
        <w:tc>
          <w:tcPr>
            <w:tcW w:w="2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4,759</w:t>
            </w:r>
          </w:p>
        </w:tc>
        <w:tc>
          <w:tcPr>
            <w:tcW w:w="280" w:type="dxa"/>
            <w:vAlign w:val="bottom"/>
            <w:tcBorders>
              <w:bottom w:val="single" w:sz="8" w:color="CCEEFF"/>
            </w:tcBorders>
          </w:tcPr>
          <w:p>
            <w:pPr>
              <w:spacing w:after="0"/>
              <w:rPr>
                <w:sz w:val="11"/>
                <w:szCs w:val="11"/>
                <w:color w:val="auto"/>
              </w:rPr>
            </w:pPr>
          </w:p>
        </w:tc>
      </w:tr>
      <w:tr>
        <w:trPr>
          <w:trHeight w:val="128"/>
        </w:trPr>
        <w:tc>
          <w:tcPr>
            <w:tcW w:w="48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current assets</w:t>
            </w: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137,709</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194,051</w:t>
            </w:r>
          </w:p>
        </w:tc>
        <w:tc>
          <w:tcPr>
            <w:tcW w:w="280" w:type="dxa"/>
            <w:vAlign w:val="bottom"/>
            <w:shd w:val="clear" w:color="auto" w:fill="CCEEFF"/>
          </w:tcPr>
          <w:p>
            <w:pPr>
              <w:spacing w:after="0"/>
              <w:rPr>
                <w:sz w:val="11"/>
                <w:szCs w:val="11"/>
                <w:color w:val="auto"/>
              </w:rPr>
            </w:pPr>
          </w:p>
        </w:tc>
      </w:tr>
      <w:tr>
        <w:trPr>
          <w:trHeight w:val="135"/>
        </w:trPr>
        <w:tc>
          <w:tcPr>
            <w:tcW w:w="4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48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Property and equipment, net</w:t>
            </w: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53,715</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62,141</w:t>
            </w:r>
          </w:p>
        </w:tc>
        <w:tc>
          <w:tcPr>
            <w:tcW w:w="280" w:type="dxa"/>
            <w:vAlign w:val="bottom"/>
            <w:shd w:val="clear" w:color="auto" w:fill="CCEEFF"/>
          </w:tcPr>
          <w:p>
            <w:pPr>
              <w:spacing w:after="0"/>
              <w:rPr>
                <w:sz w:val="11"/>
                <w:szCs w:val="11"/>
                <w:color w:val="auto"/>
              </w:rPr>
            </w:pPr>
          </w:p>
        </w:tc>
      </w:tr>
      <w:tr>
        <w:trPr>
          <w:trHeight w:val="135"/>
        </w:trPr>
        <w:tc>
          <w:tcPr>
            <w:tcW w:w="4860" w:type="dxa"/>
            <w:vAlign w:val="bottom"/>
          </w:tcPr>
          <w:p>
            <w:pPr>
              <w:ind w:left="20"/>
              <w:spacing w:after="0" w:line="135" w:lineRule="exact"/>
              <w:rPr>
                <w:sz w:val="20"/>
                <w:szCs w:val="20"/>
                <w:color w:val="auto"/>
              </w:rPr>
            </w:pPr>
            <w:r>
              <w:rPr>
                <w:rFonts w:ascii="Arial" w:cs="Arial" w:eastAsia="Arial" w:hAnsi="Arial"/>
                <w:sz w:val="13"/>
                <w:szCs w:val="13"/>
                <w:color w:val="auto"/>
              </w:rPr>
              <w:t>Operating lease right-of-use assets</w:t>
            </w: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16,566</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28,706</w:t>
            </w:r>
          </w:p>
        </w:tc>
        <w:tc>
          <w:tcPr>
            <w:tcW w:w="280" w:type="dxa"/>
            <w:vAlign w:val="bottom"/>
          </w:tcPr>
          <w:p>
            <w:pPr>
              <w:spacing w:after="0"/>
              <w:rPr>
                <w:sz w:val="11"/>
                <w:szCs w:val="11"/>
                <w:color w:val="auto"/>
              </w:rPr>
            </w:pPr>
          </w:p>
        </w:tc>
      </w:tr>
      <w:tr>
        <w:trPr>
          <w:trHeight w:val="135"/>
        </w:trPr>
        <w:tc>
          <w:tcPr>
            <w:tcW w:w="48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Restricted cash</w:t>
            </w: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2,314</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2,772</w:t>
            </w:r>
          </w:p>
        </w:tc>
        <w:tc>
          <w:tcPr>
            <w:tcW w:w="280" w:type="dxa"/>
            <w:vAlign w:val="bottom"/>
            <w:shd w:val="clear" w:color="auto" w:fill="CCEEFF"/>
          </w:tcPr>
          <w:p>
            <w:pPr>
              <w:spacing w:after="0"/>
              <w:rPr>
                <w:sz w:val="11"/>
                <w:szCs w:val="11"/>
                <w:color w:val="auto"/>
              </w:rPr>
            </w:pPr>
          </w:p>
        </w:tc>
      </w:tr>
      <w:tr>
        <w:trPr>
          <w:trHeight w:val="135"/>
        </w:trPr>
        <w:tc>
          <w:tcPr>
            <w:tcW w:w="4860" w:type="dxa"/>
            <w:vAlign w:val="bottom"/>
          </w:tcPr>
          <w:p>
            <w:pPr>
              <w:ind w:left="20"/>
              <w:spacing w:after="0" w:line="135" w:lineRule="exact"/>
              <w:rPr>
                <w:sz w:val="20"/>
                <w:szCs w:val="20"/>
                <w:color w:val="auto"/>
              </w:rPr>
            </w:pPr>
            <w:r>
              <w:rPr>
                <w:rFonts w:ascii="Arial" w:cs="Arial" w:eastAsia="Arial" w:hAnsi="Arial"/>
                <w:sz w:val="13"/>
                <w:szCs w:val="13"/>
                <w:color w:val="auto"/>
              </w:rPr>
              <w:t>Long-term investments</w:t>
            </w:r>
          </w:p>
        </w:tc>
        <w:tc>
          <w:tcPr>
            <w:tcW w:w="160" w:type="dxa"/>
            <w:vAlign w:val="bottom"/>
          </w:tcPr>
          <w:p>
            <w:pPr>
              <w:spacing w:after="0"/>
              <w:rPr>
                <w:sz w:val="11"/>
                <w:szCs w:val="11"/>
                <w:color w:val="auto"/>
              </w:rPr>
            </w:pPr>
          </w:p>
        </w:tc>
        <w:tc>
          <w:tcPr>
            <w:tcW w:w="18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30,818</w:t>
            </w:r>
          </w:p>
        </w:tc>
        <w:tc>
          <w:tcPr>
            <w:tcW w:w="280" w:type="dxa"/>
            <w:vAlign w:val="bottom"/>
          </w:tcPr>
          <w:p>
            <w:pPr>
              <w:spacing w:after="0"/>
              <w:rPr>
                <w:sz w:val="11"/>
                <w:szCs w:val="11"/>
                <w:color w:val="auto"/>
              </w:rPr>
            </w:pPr>
          </w:p>
        </w:tc>
      </w:tr>
      <w:tr>
        <w:trPr>
          <w:trHeight w:val="135"/>
        </w:trPr>
        <w:tc>
          <w:tcPr>
            <w:tcW w:w="48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Intangible assets</w:t>
            </w: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34,200</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34,200</w:t>
            </w:r>
          </w:p>
        </w:tc>
        <w:tc>
          <w:tcPr>
            <w:tcW w:w="280" w:type="dxa"/>
            <w:vAlign w:val="bottom"/>
            <w:shd w:val="clear" w:color="auto" w:fill="CCEEFF"/>
          </w:tcPr>
          <w:p>
            <w:pPr>
              <w:spacing w:after="0"/>
              <w:rPr>
                <w:sz w:val="11"/>
                <w:szCs w:val="11"/>
                <w:color w:val="auto"/>
              </w:rPr>
            </w:pPr>
          </w:p>
        </w:tc>
      </w:tr>
      <w:tr>
        <w:trPr>
          <w:trHeight w:val="135"/>
        </w:trPr>
        <w:tc>
          <w:tcPr>
            <w:tcW w:w="486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color w:val="auto"/>
              </w:rPr>
              <w:t>Security deposits and non-current assets</w:t>
            </w:r>
          </w:p>
        </w:tc>
        <w:tc>
          <w:tcPr>
            <w:tcW w:w="1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213</w:t>
            </w:r>
          </w:p>
        </w:tc>
        <w:tc>
          <w:tcPr>
            <w:tcW w:w="2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528</w:t>
            </w:r>
          </w:p>
        </w:tc>
        <w:tc>
          <w:tcPr>
            <w:tcW w:w="280" w:type="dxa"/>
            <w:vAlign w:val="bottom"/>
            <w:tcBorders>
              <w:bottom w:val="single" w:sz="8" w:color="CCEEFF"/>
            </w:tcBorders>
          </w:tcPr>
          <w:p>
            <w:pPr>
              <w:spacing w:after="0"/>
              <w:rPr>
                <w:sz w:val="11"/>
                <w:szCs w:val="11"/>
                <w:color w:val="auto"/>
              </w:rPr>
            </w:pPr>
          </w:p>
        </w:tc>
      </w:tr>
      <w:tr>
        <w:trPr>
          <w:trHeight w:val="128"/>
        </w:trPr>
        <w:tc>
          <w:tcPr>
            <w:tcW w:w="486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assets</w:t>
            </w:r>
          </w:p>
        </w:tc>
        <w:tc>
          <w:tcPr>
            <w:tcW w:w="16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b w:val="1"/>
                <w:bCs w:val="1"/>
                <w:color w:val="auto"/>
                <w:w w:val="82"/>
              </w:rPr>
              <w:t>$</w:t>
            </w:r>
          </w:p>
        </w:tc>
        <w:tc>
          <w:tcPr>
            <w:tcW w:w="1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244,717</w:t>
            </w:r>
          </w:p>
        </w:tc>
        <w:tc>
          <w:tcPr>
            <w:tcW w:w="2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b w:val="1"/>
                <w:bCs w:val="1"/>
                <w:color w:val="auto"/>
                <w:w w:val="82"/>
              </w:rPr>
              <w:t>$</w:t>
            </w:r>
          </w:p>
        </w:tc>
        <w:tc>
          <w:tcPr>
            <w:tcW w:w="1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353,216</w:t>
            </w:r>
          </w:p>
        </w:tc>
        <w:tc>
          <w:tcPr>
            <w:tcW w:w="280" w:type="dxa"/>
            <w:vAlign w:val="bottom"/>
            <w:tcBorders>
              <w:bottom w:val="single" w:sz="8" w:color="CCEEFF"/>
            </w:tcBorders>
            <w:shd w:val="clear" w:color="auto" w:fill="CCEEFF"/>
          </w:tcPr>
          <w:p>
            <w:pPr>
              <w:spacing w:after="0"/>
              <w:rPr>
                <w:sz w:val="11"/>
                <w:szCs w:val="1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16"/>
        </w:trPr>
        <w:tc>
          <w:tcPr>
            <w:tcW w:w="4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135"/>
        </w:trPr>
        <w:tc>
          <w:tcPr>
            <w:tcW w:w="48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Liabilities and stockholders’ equity</w:t>
            </w: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4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48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Current liabilities</w:t>
            </w: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4860" w:type="dxa"/>
            <w:vAlign w:val="bottom"/>
          </w:tcPr>
          <w:p>
            <w:pPr>
              <w:ind w:left="120"/>
              <w:spacing w:after="0" w:line="135" w:lineRule="exact"/>
              <w:rPr>
                <w:sz w:val="20"/>
                <w:szCs w:val="20"/>
                <w:color w:val="auto"/>
              </w:rPr>
            </w:pPr>
            <w:r>
              <w:rPr>
                <w:rFonts w:ascii="Arial" w:cs="Arial" w:eastAsia="Arial" w:hAnsi="Arial"/>
                <w:sz w:val="13"/>
                <w:szCs w:val="13"/>
                <w:color w:val="auto"/>
              </w:rPr>
              <w:t>Accounts payable</w:t>
            </w:r>
          </w:p>
        </w:tc>
        <w:tc>
          <w:tcPr>
            <w:tcW w:w="16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2,617</w:t>
            </w:r>
          </w:p>
        </w:tc>
        <w:tc>
          <w:tcPr>
            <w:tcW w:w="260" w:type="dxa"/>
            <w:vAlign w:val="bottom"/>
          </w:tcPr>
          <w:p>
            <w:pPr>
              <w:spacing w:after="0"/>
              <w:rPr>
                <w:sz w:val="11"/>
                <w:szCs w:val="11"/>
                <w:color w:val="auto"/>
              </w:rPr>
            </w:pPr>
          </w:p>
        </w:tc>
        <w:tc>
          <w:tcPr>
            <w:tcW w:w="16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3,075</w:t>
            </w:r>
          </w:p>
        </w:tc>
        <w:tc>
          <w:tcPr>
            <w:tcW w:w="280" w:type="dxa"/>
            <w:vAlign w:val="bottom"/>
          </w:tcPr>
          <w:p>
            <w:pPr>
              <w:spacing w:after="0"/>
              <w:rPr>
                <w:sz w:val="11"/>
                <w:szCs w:val="11"/>
                <w:color w:val="auto"/>
              </w:rPr>
            </w:pPr>
          </w:p>
        </w:tc>
      </w:tr>
      <w:tr>
        <w:trPr>
          <w:trHeight w:val="135"/>
        </w:trPr>
        <w:tc>
          <w:tcPr>
            <w:tcW w:w="4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Accrued expenses and other liabilities</w:t>
            </w: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11,051</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17,461</w:t>
            </w:r>
          </w:p>
        </w:tc>
        <w:tc>
          <w:tcPr>
            <w:tcW w:w="280" w:type="dxa"/>
            <w:vAlign w:val="bottom"/>
            <w:shd w:val="clear" w:color="auto" w:fill="CCEEFF"/>
          </w:tcPr>
          <w:p>
            <w:pPr>
              <w:spacing w:after="0"/>
              <w:rPr>
                <w:sz w:val="11"/>
                <w:szCs w:val="11"/>
                <w:color w:val="auto"/>
              </w:rPr>
            </w:pPr>
          </w:p>
        </w:tc>
      </w:tr>
      <w:tr>
        <w:trPr>
          <w:trHeight w:val="135"/>
        </w:trPr>
        <w:tc>
          <w:tcPr>
            <w:tcW w:w="4860" w:type="dxa"/>
            <w:vAlign w:val="bottom"/>
          </w:tcPr>
          <w:p>
            <w:pPr>
              <w:ind w:left="120"/>
              <w:spacing w:after="0" w:line="135" w:lineRule="exact"/>
              <w:rPr>
                <w:sz w:val="20"/>
                <w:szCs w:val="20"/>
                <w:color w:val="auto"/>
              </w:rPr>
            </w:pPr>
            <w:r>
              <w:rPr>
                <w:rFonts w:ascii="Arial" w:cs="Arial" w:eastAsia="Arial" w:hAnsi="Arial"/>
                <w:sz w:val="13"/>
                <w:szCs w:val="13"/>
                <w:color w:val="auto"/>
              </w:rPr>
              <w:t>Contingent consideration liability, short-term</w:t>
            </w: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8,338</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r>
      <w:tr>
        <w:trPr>
          <w:trHeight w:val="135"/>
        </w:trPr>
        <w:tc>
          <w:tcPr>
            <w:tcW w:w="48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Deposit liability</w:t>
            </w: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w:t>
            </w:r>
          </w:p>
        </w:tc>
        <w:tc>
          <w:tcPr>
            <w:tcW w:w="280" w:type="dxa"/>
            <w:vAlign w:val="bottom"/>
            <w:shd w:val="clear" w:color="auto" w:fill="CCEEFF"/>
          </w:tcPr>
          <w:p>
            <w:pPr>
              <w:spacing w:after="0"/>
              <w:rPr>
                <w:sz w:val="11"/>
                <w:szCs w:val="11"/>
                <w:color w:val="auto"/>
              </w:rPr>
            </w:pPr>
          </w:p>
        </w:tc>
      </w:tr>
      <w:tr>
        <w:trPr>
          <w:trHeight w:val="135"/>
        </w:trPr>
        <w:tc>
          <w:tcPr>
            <w:tcW w:w="4860" w:type="dxa"/>
            <w:vAlign w:val="bottom"/>
          </w:tcPr>
          <w:p>
            <w:pPr>
              <w:ind w:left="120"/>
              <w:spacing w:after="0" w:line="135" w:lineRule="exact"/>
              <w:rPr>
                <w:sz w:val="20"/>
                <w:szCs w:val="20"/>
                <w:color w:val="auto"/>
              </w:rPr>
            </w:pPr>
            <w:r>
              <w:rPr>
                <w:rFonts w:ascii="Arial" w:cs="Arial" w:eastAsia="Arial" w:hAnsi="Arial"/>
                <w:sz w:val="13"/>
                <w:szCs w:val="13"/>
                <w:color w:val="auto"/>
              </w:rPr>
              <w:t>Deferred revenue, current</w:t>
            </w:r>
          </w:p>
        </w:tc>
        <w:tc>
          <w:tcPr>
            <w:tcW w:w="160" w:type="dxa"/>
            <w:vAlign w:val="bottom"/>
          </w:tcPr>
          <w:p>
            <w:pPr>
              <w:spacing w:after="0"/>
              <w:rPr>
                <w:sz w:val="11"/>
                <w:szCs w:val="11"/>
                <w:color w:val="auto"/>
              </w:rPr>
            </w:pPr>
          </w:p>
        </w:tc>
        <w:tc>
          <w:tcPr>
            <w:tcW w:w="18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109,164</w:t>
            </w:r>
          </w:p>
        </w:tc>
        <w:tc>
          <w:tcPr>
            <w:tcW w:w="280" w:type="dxa"/>
            <w:vAlign w:val="bottom"/>
          </w:tcPr>
          <w:p>
            <w:pPr>
              <w:spacing w:after="0"/>
              <w:rPr>
                <w:sz w:val="11"/>
                <w:szCs w:val="11"/>
                <w:color w:val="auto"/>
              </w:rPr>
            </w:pPr>
          </w:p>
        </w:tc>
      </w:tr>
      <w:tr>
        <w:trPr>
          <w:trHeight w:val="129"/>
        </w:trPr>
        <w:tc>
          <w:tcPr>
            <w:tcW w:w="48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Total current liabilities</w:t>
            </w:r>
          </w:p>
        </w:tc>
        <w:tc>
          <w:tcPr>
            <w:tcW w:w="16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22,026</w:t>
            </w: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129,782</w:t>
            </w:r>
          </w:p>
        </w:tc>
        <w:tc>
          <w:tcPr>
            <w:tcW w:w="280" w:type="dxa"/>
            <w:vAlign w:val="bottom"/>
            <w:tcBorders>
              <w:top w:val="single" w:sz="8" w:color="CCEEFF"/>
            </w:tcBorders>
            <w:shd w:val="clear" w:color="auto" w:fill="CCEEFF"/>
          </w:tcPr>
          <w:p>
            <w:pPr>
              <w:spacing w:after="0"/>
              <w:rPr>
                <w:sz w:val="11"/>
                <w:szCs w:val="11"/>
                <w:color w:val="auto"/>
              </w:rPr>
            </w:pPr>
          </w:p>
        </w:tc>
      </w:tr>
      <w:tr>
        <w:trPr>
          <w:trHeight w:val="135"/>
        </w:trPr>
        <w:tc>
          <w:tcPr>
            <w:tcW w:w="4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48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Operating lease liability, long term</w:t>
            </w: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41,185</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48,960</w:t>
            </w:r>
          </w:p>
        </w:tc>
        <w:tc>
          <w:tcPr>
            <w:tcW w:w="280" w:type="dxa"/>
            <w:vAlign w:val="bottom"/>
            <w:shd w:val="clear" w:color="auto" w:fill="CCEEFF"/>
          </w:tcPr>
          <w:p>
            <w:pPr>
              <w:spacing w:after="0"/>
              <w:rPr>
                <w:sz w:val="11"/>
                <w:szCs w:val="11"/>
                <w:color w:val="auto"/>
              </w:rPr>
            </w:pPr>
          </w:p>
        </w:tc>
      </w:tr>
      <w:tr>
        <w:trPr>
          <w:trHeight w:val="135"/>
        </w:trPr>
        <w:tc>
          <w:tcPr>
            <w:tcW w:w="4860" w:type="dxa"/>
            <w:vAlign w:val="bottom"/>
          </w:tcPr>
          <w:p>
            <w:pPr>
              <w:ind w:left="20"/>
              <w:spacing w:after="0" w:line="135" w:lineRule="exact"/>
              <w:rPr>
                <w:sz w:val="20"/>
                <w:szCs w:val="20"/>
                <w:color w:val="auto"/>
              </w:rPr>
            </w:pPr>
            <w:r>
              <w:rPr>
                <w:rFonts w:ascii="Arial" w:cs="Arial" w:eastAsia="Arial" w:hAnsi="Arial"/>
                <w:sz w:val="13"/>
                <w:szCs w:val="13"/>
                <w:color w:val="auto"/>
              </w:rPr>
              <w:t>Contingent consideration liability, long-term</w:t>
            </w: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784</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3"/>
                <w:szCs w:val="13"/>
                <w:color w:val="auto"/>
              </w:rPr>
              <w:t>8,738</w:t>
            </w:r>
          </w:p>
        </w:tc>
        <w:tc>
          <w:tcPr>
            <w:tcW w:w="280" w:type="dxa"/>
            <w:vAlign w:val="bottom"/>
          </w:tcPr>
          <w:p>
            <w:pPr>
              <w:spacing w:after="0"/>
              <w:rPr>
                <w:sz w:val="11"/>
                <w:szCs w:val="11"/>
                <w:color w:val="auto"/>
              </w:rPr>
            </w:pPr>
          </w:p>
        </w:tc>
      </w:tr>
      <w:tr>
        <w:trPr>
          <w:trHeight w:val="135"/>
        </w:trPr>
        <w:tc>
          <w:tcPr>
            <w:tcW w:w="48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Deferred tax liability</w:t>
            </w:r>
          </w:p>
        </w:tc>
        <w:tc>
          <w:tcPr>
            <w:tcW w:w="160" w:type="dxa"/>
            <w:vAlign w:val="bottom"/>
            <w:tcBorders>
              <w:bottom w:val="single" w:sz="8" w:color="auto"/>
            </w:tcBorders>
            <w:shd w:val="clear" w:color="auto" w:fill="CCEEFF"/>
          </w:tcPr>
          <w:p>
            <w:pPr>
              <w:spacing w:after="0"/>
              <w:rPr>
                <w:sz w:val="11"/>
                <w:szCs w:val="11"/>
                <w:color w:val="auto"/>
              </w:rPr>
            </w:pPr>
          </w:p>
        </w:tc>
        <w:tc>
          <w:tcPr>
            <w:tcW w:w="1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4,374</w:t>
            </w:r>
          </w:p>
        </w:tc>
        <w:tc>
          <w:tcPr>
            <w:tcW w:w="2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5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4,374</w:t>
            </w:r>
          </w:p>
        </w:tc>
        <w:tc>
          <w:tcPr>
            <w:tcW w:w="280" w:type="dxa"/>
            <w:vAlign w:val="bottom"/>
            <w:shd w:val="clear" w:color="auto" w:fill="CCEEFF"/>
          </w:tcPr>
          <w:p>
            <w:pPr>
              <w:spacing w:after="0"/>
              <w:rPr>
                <w:sz w:val="11"/>
                <w:szCs w:val="11"/>
                <w:color w:val="auto"/>
              </w:rPr>
            </w:pPr>
          </w:p>
        </w:tc>
      </w:tr>
      <w:tr>
        <w:trPr>
          <w:trHeight w:val="129"/>
        </w:trPr>
        <w:tc>
          <w:tcPr>
            <w:tcW w:w="4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48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Total liabilities</w:t>
            </w:r>
          </w:p>
        </w:tc>
        <w:tc>
          <w:tcPr>
            <w:tcW w:w="160" w:type="dxa"/>
            <w:vAlign w:val="bottom"/>
            <w:tcBorders>
              <w:bottom w:val="single" w:sz="8" w:color="auto"/>
            </w:tcBorders>
            <w:shd w:val="clear" w:color="auto" w:fill="CCEEFF"/>
          </w:tcPr>
          <w:p>
            <w:pPr>
              <w:spacing w:after="0"/>
              <w:rPr>
                <w:sz w:val="11"/>
                <w:szCs w:val="11"/>
                <w:color w:val="auto"/>
              </w:rPr>
            </w:pPr>
          </w:p>
        </w:tc>
        <w:tc>
          <w:tcPr>
            <w:tcW w:w="1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68,369</w:t>
            </w:r>
          </w:p>
        </w:tc>
        <w:tc>
          <w:tcPr>
            <w:tcW w:w="2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5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191,854</w:t>
            </w:r>
          </w:p>
        </w:tc>
        <w:tc>
          <w:tcPr>
            <w:tcW w:w="280" w:type="dxa"/>
            <w:vAlign w:val="bottom"/>
            <w:shd w:val="clear" w:color="auto" w:fill="CCEEFF"/>
          </w:tcPr>
          <w:p>
            <w:pPr>
              <w:spacing w:after="0"/>
              <w:rPr>
                <w:sz w:val="11"/>
                <w:szCs w:val="11"/>
                <w:color w:val="auto"/>
              </w:rPr>
            </w:pPr>
          </w:p>
        </w:tc>
      </w:tr>
      <w:tr>
        <w:trPr>
          <w:trHeight w:val="128"/>
        </w:trPr>
        <w:tc>
          <w:tcPr>
            <w:tcW w:w="4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48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Commitments and contingencies (Note 8)</w:t>
            </w: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4860" w:type="dxa"/>
            <w:vAlign w:val="bottom"/>
          </w:tcPr>
          <w:p>
            <w:pPr>
              <w:ind w:left="20"/>
              <w:spacing w:after="0" w:line="135" w:lineRule="exact"/>
              <w:rPr>
                <w:sz w:val="20"/>
                <w:szCs w:val="20"/>
                <w:color w:val="auto"/>
              </w:rPr>
            </w:pPr>
            <w:r>
              <w:rPr>
                <w:rFonts w:ascii="Arial" w:cs="Arial" w:eastAsia="Arial" w:hAnsi="Arial"/>
                <w:sz w:val="13"/>
                <w:szCs w:val="13"/>
                <w:color w:val="auto"/>
              </w:rPr>
              <w:t>Stockholders' equity:</w:t>
            </w: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17"/>
        </w:trPr>
        <w:tc>
          <w:tcPr>
            <w:tcW w:w="486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color w:val="auto"/>
              </w:rPr>
              <w:t>Preferred stock, $ 0.0001 par value, 10,000,000 shares authorized and 0 shares</w:t>
            </w:r>
          </w:p>
        </w:tc>
        <w:tc>
          <w:tcPr>
            <w:tcW w:w="16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r>
      <w:tr>
        <w:trPr>
          <w:trHeight w:val="135"/>
        </w:trPr>
        <w:tc>
          <w:tcPr>
            <w:tcW w:w="48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issued and outstanding at September 30, 2025 and December 31, 2024,</w:t>
            </w: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53"/>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respectively</w:t>
            </w:r>
          </w:p>
        </w:tc>
        <w:tc>
          <w:tcPr>
            <w:tcW w:w="16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r>
      <w:tr>
        <w:trPr>
          <w:trHeight w:val="117"/>
        </w:trPr>
        <w:tc>
          <w:tcPr>
            <w:tcW w:w="4860" w:type="dxa"/>
            <w:vAlign w:val="bottom"/>
          </w:tcPr>
          <w:p>
            <w:pPr>
              <w:ind w:left="20"/>
              <w:spacing w:after="0" w:line="117" w:lineRule="exact"/>
              <w:rPr>
                <w:sz w:val="20"/>
                <w:szCs w:val="20"/>
                <w:color w:val="auto"/>
              </w:rPr>
            </w:pPr>
            <w:r>
              <w:rPr>
                <w:rFonts w:ascii="Arial" w:cs="Arial" w:eastAsia="Arial" w:hAnsi="Arial"/>
                <w:sz w:val="13"/>
                <w:szCs w:val="13"/>
                <w:color w:val="auto"/>
              </w:rPr>
              <w:t>Common stock, $0.0001 par value, 300,000,000 shares authorized; 86,527,767</w:t>
            </w:r>
          </w:p>
        </w:tc>
        <w:tc>
          <w:tcPr>
            <w:tcW w:w="1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135"/>
        </w:trPr>
        <w:tc>
          <w:tcPr>
            <w:tcW w:w="4860" w:type="dxa"/>
            <w:vAlign w:val="bottom"/>
          </w:tcPr>
          <w:p>
            <w:pPr>
              <w:ind w:left="20"/>
              <w:spacing w:after="0" w:line="135" w:lineRule="exact"/>
              <w:rPr>
                <w:sz w:val="20"/>
                <w:szCs w:val="20"/>
                <w:color w:val="auto"/>
              </w:rPr>
            </w:pPr>
            <w:r>
              <w:rPr>
                <w:rFonts w:ascii="Arial" w:cs="Arial" w:eastAsia="Arial" w:hAnsi="Arial"/>
                <w:sz w:val="13"/>
                <w:szCs w:val="13"/>
                <w:color w:val="auto"/>
              </w:rPr>
              <w:t>and 85,836,429 shares issued and outstanding at September 30, 2025 and</w:t>
            </w: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53"/>
        </w:trPr>
        <w:tc>
          <w:tcPr>
            <w:tcW w:w="4860" w:type="dxa"/>
            <w:vAlign w:val="bottom"/>
          </w:tcPr>
          <w:p>
            <w:pPr>
              <w:ind w:left="20"/>
              <w:spacing w:after="0"/>
              <w:rPr>
                <w:sz w:val="20"/>
                <w:szCs w:val="20"/>
                <w:color w:val="auto"/>
              </w:rPr>
            </w:pPr>
            <w:r>
              <w:rPr>
                <w:rFonts w:ascii="Arial" w:cs="Arial" w:eastAsia="Arial" w:hAnsi="Arial"/>
                <w:sz w:val="13"/>
                <w:szCs w:val="13"/>
                <w:color w:val="auto"/>
              </w:rPr>
              <w:t>December 31, 2024, respectively</w:t>
            </w:r>
          </w:p>
        </w:tc>
        <w:tc>
          <w:tcPr>
            <w:tcW w:w="1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9</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9</w:t>
            </w:r>
          </w:p>
        </w:tc>
        <w:tc>
          <w:tcPr>
            <w:tcW w:w="280" w:type="dxa"/>
            <w:vAlign w:val="bottom"/>
          </w:tcPr>
          <w:p>
            <w:pPr>
              <w:spacing w:after="0"/>
              <w:rPr>
                <w:sz w:val="13"/>
                <w:szCs w:val="13"/>
                <w:color w:val="auto"/>
              </w:rPr>
            </w:pPr>
          </w:p>
        </w:tc>
      </w:tr>
      <w:tr>
        <w:trPr>
          <w:trHeight w:val="135"/>
        </w:trPr>
        <w:tc>
          <w:tcPr>
            <w:tcW w:w="48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Additional paid-in capital</w:t>
            </w: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949,015</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943,366</w:t>
            </w:r>
          </w:p>
        </w:tc>
        <w:tc>
          <w:tcPr>
            <w:tcW w:w="280" w:type="dxa"/>
            <w:vAlign w:val="bottom"/>
            <w:shd w:val="clear" w:color="auto" w:fill="CCEEFF"/>
          </w:tcPr>
          <w:p>
            <w:pPr>
              <w:spacing w:after="0"/>
              <w:rPr>
                <w:sz w:val="11"/>
                <w:szCs w:val="11"/>
                <w:color w:val="auto"/>
              </w:rPr>
            </w:pPr>
          </w:p>
        </w:tc>
      </w:tr>
      <w:tr>
        <w:trPr>
          <w:trHeight w:val="135"/>
        </w:trPr>
        <w:tc>
          <w:tcPr>
            <w:tcW w:w="4860" w:type="dxa"/>
            <w:vAlign w:val="bottom"/>
          </w:tcPr>
          <w:p>
            <w:pPr>
              <w:ind w:left="20"/>
              <w:spacing w:after="0" w:line="135" w:lineRule="exact"/>
              <w:rPr>
                <w:sz w:val="20"/>
                <w:szCs w:val="20"/>
                <w:color w:val="auto"/>
              </w:rPr>
            </w:pPr>
            <w:r>
              <w:rPr>
                <w:rFonts w:ascii="Arial" w:cs="Arial" w:eastAsia="Arial" w:hAnsi="Arial"/>
                <w:sz w:val="13"/>
                <w:szCs w:val="13"/>
                <w:color w:val="auto"/>
              </w:rPr>
              <w:t>Accumulated deficit</w:t>
            </w:r>
          </w:p>
        </w:tc>
        <w:tc>
          <w:tcPr>
            <w:tcW w:w="160" w:type="dxa"/>
            <w:vAlign w:val="bottom"/>
          </w:tcPr>
          <w:p>
            <w:pPr>
              <w:spacing w:after="0"/>
              <w:rPr>
                <w:sz w:val="11"/>
                <w:szCs w:val="11"/>
                <w:color w:val="auto"/>
              </w:rPr>
            </w:pPr>
          </w:p>
        </w:tc>
        <w:tc>
          <w:tcPr>
            <w:tcW w:w="1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(772,740)</w:t>
            </w:r>
          </w:p>
        </w:tc>
        <w:tc>
          <w:tcPr>
            <w:tcW w:w="160" w:type="dxa"/>
            <w:vAlign w:val="bottom"/>
          </w:tcPr>
          <w:p>
            <w:pPr>
              <w:spacing w:after="0"/>
              <w:rPr>
                <w:sz w:val="11"/>
                <w:szCs w:val="11"/>
                <w:color w:val="auto"/>
              </w:rPr>
            </w:pPr>
          </w:p>
        </w:tc>
        <w:tc>
          <w:tcPr>
            <w:tcW w:w="18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(782,337)</w:t>
            </w:r>
          </w:p>
        </w:tc>
      </w:tr>
      <w:tr>
        <w:trPr>
          <w:trHeight w:val="135"/>
        </w:trPr>
        <w:tc>
          <w:tcPr>
            <w:tcW w:w="48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Accumulated other comprehensive income</w:t>
            </w:r>
          </w:p>
        </w:tc>
        <w:tc>
          <w:tcPr>
            <w:tcW w:w="160" w:type="dxa"/>
            <w:vAlign w:val="bottom"/>
            <w:tcBorders>
              <w:bottom w:val="single" w:sz="8" w:color="auto"/>
            </w:tcBorders>
            <w:shd w:val="clear" w:color="auto" w:fill="CCEEFF"/>
          </w:tcPr>
          <w:p>
            <w:pPr>
              <w:spacing w:after="0"/>
              <w:rPr>
                <w:sz w:val="11"/>
                <w:szCs w:val="11"/>
                <w:color w:val="auto"/>
              </w:rPr>
            </w:pPr>
          </w:p>
        </w:tc>
        <w:tc>
          <w:tcPr>
            <w:tcW w:w="1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64</w:t>
            </w:r>
          </w:p>
        </w:tc>
        <w:tc>
          <w:tcPr>
            <w:tcW w:w="2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5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324</w:t>
            </w:r>
          </w:p>
        </w:tc>
        <w:tc>
          <w:tcPr>
            <w:tcW w:w="280" w:type="dxa"/>
            <w:vAlign w:val="bottom"/>
            <w:shd w:val="clear" w:color="auto" w:fill="CCEEFF"/>
          </w:tcPr>
          <w:p>
            <w:pPr>
              <w:spacing w:after="0"/>
              <w:rPr>
                <w:sz w:val="11"/>
                <w:szCs w:val="11"/>
                <w:color w:val="auto"/>
              </w:rPr>
            </w:pPr>
          </w:p>
        </w:tc>
      </w:tr>
      <w:tr>
        <w:trPr>
          <w:trHeight w:val="128"/>
        </w:trPr>
        <w:tc>
          <w:tcPr>
            <w:tcW w:w="486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b w:val="1"/>
                <w:bCs w:val="1"/>
                <w:color w:val="auto"/>
              </w:rPr>
              <w:t>Total stockholders’ equity</w:t>
            </w:r>
          </w:p>
        </w:tc>
        <w:tc>
          <w:tcPr>
            <w:tcW w:w="1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176,348</w:t>
            </w:r>
          </w:p>
        </w:tc>
        <w:tc>
          <w:tcPr>
            <w:tcW w:w="2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161,362</w:t>
            </w:r>
          </w:p>
        </w:tc>
        <w:tc>
          <w:tcPr>
            <w:tcW w:w="280" w:type="dxa"/>
            <w:vAlign w:val="bottom"/>
            <w:tcBorders>
              <w:bottom w:val="single" w:sz="8" w:color="CCEEFF"/>
            </w:tcBorders>
          </w:tcPr>
          <w:p>
            <w:pPr>
              <w:spacing w:after="0"/>
              <w:rPr>
                <w:sz w:val="11"/>
                <w:szCs w:val="11"/>
                <w:color w:val="auto"/>
              </w:rPr>
            </w:pPr>
          </w:p>
        </w:tc>
      </w:tr>
      <w:tr>
        <w:trPr>
          <w:trHeight w:val="129"/>
        </w:trPr>
        <w:tc>
          <w:tcPr>
            <w:tcW w:w="486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liabilities and stockholders’ equity</w:t>
            </w:r>
          </w:p>
        </w:tc>
        <w:tc>
          <w:tcPr>
            <w:tcW w:w="16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b w:val="1"/>
                <w:bCs w:val="1"/>
                <w:color w:val="auto"/>
                <w:w w:val="82"/>
              </w:rPr>
              <w:t>$</w:t>
            </w:r>
          </w:p>
        </w:tc>
        <w:tc>
          <w:tcPr>
            <w:tcW w:w="1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244,717</w:t>
            </w:r>
          </w:p>
        </w:tc>
        <w:tc>
          <w:tcPr>
            <w:tcW w:w="2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b w:val="1"/>
                <w:bCs w:val="1"/>
                <w:color w:val="auto"/>
                <w:w w:val="82"/>
              </w:rPr>
              <w:t>$</w:t>
            </w:r>
          </w:p>
        </w:tc>
        <w:tc>
          <w:tcPr>
            <w:tcW w:w="1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353,216</w:t>
            </w:r>
          </w:p>
        </w:tc>
        <w:tc>
          <w:tcPr>
            <w:tcW w:w="280" w:type="dxa"/>
            <w:vAlign w:val="bottom"/>
            <w:tcBorders>
              <w:bottom w:val="single" w:sz="8" w:color="CCEEFF"/>
            </w:tcBorders>
            <w:shd w:val="clear" w:color="auto" w:fill="CCEEFF"/>
          </w:tcPr>
          <w:p>
            <w:pPr>
              <w:spacing w:after="0"/>
              <w:rPr>
                <w:sz w:val="11"/>
                <w:szCs w:val="1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OPERATIONS AND COMPREHENSIVE INCOME</w:t>
      </w:r>
    </w:p>
    <w:p>
      <w:pPr>
        <w:jc w:val="center"/>
        <w:ind w:right="19"/>
        <w:spacing w:after="0" w:line="230" w:lineRule="auto"/>
        <w:rPr>
          <w:sz w:val="20"/>
          <w:szCs w:val="20"/>
          <w:color w:val="auto"/>
        </w:rPr>
      </w:pPr>
      <w:r>
        <w:rPr>
          <w:rFonts w:ascii="Arial" w:cs="Arial" w:eastAsia="Arial" w:hAnsi="Arial"/>
          <w:sz w:val="22"/>
          <w:szCs w:val="22"/>
          <w:b w:val="1"/>
          <w:bCs w:val="1"/>
          <w:color w:val="auto"/>
        </w:rPr>
        <w:t>(LOSS)</w:t>
      </w:r>
    </w:p>
    <w:p>
      <w:pPr>
        <w:jc w:val="center"/>
        <w:ind w:right="19"/>
        <w:spacing w:after="0" w:line="231" w:lineRule="auto"/>
        <w:rPr>
          <w:sz w:val="20"/>
          <w:szCs w:val="20"/>
          <w:color w:val="auto"/>
        </w:rPr>
      </w:pPr>
      <w:r>
        <w:rPr>
          <w:rFonts w:ascii="Arial" w:cs="Arial" w:eastAsia="Arial" w:hAnsi="Arial"/>
          <w:sz w:val="22"/>
          <w:szCs w:val="22"/>
          <w:b w:val="1"/>
          <w:bCs w:val="1"/>
          <w:color w:val="auto"/>
        </w:rPr>
        <w:t>(Unaudited)</w:t>
      </w:r>
    </w:p>
    <w:p>
      <w:pPr>
        <w:jc w:val="center"/>
        <w:ind w:right="19"/>
        <w:spacing w:after="0"/>
        <w:rPr>
          <w:sz w:val="20"/>
          <w:szCs w:val="20"/>
          <w:color w:val="auto"/>
        </w:rPr>
      </w:pPr>
      <w:r>
        <w:rPr>
          <w:rFonts w:ascii="Arial" w:cs="Arial" w:eastAsia="Arial" w:hAnsi="Arial"/>
          <w:sz w:val="22"/>
          <w:szCs w:val="22"/>
          <w:b w:val="1"/>
          <w:bCs w:val="1"/>
          <w:color w:val="auto"/>
        </w:rPr>
        <w:t>(In thousands, except share and per share amounts)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8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Three Months Ended</w:t>
            </w:r>
          </w:p>
        </w:tc>
        <w:tc>
          <w:tcPr>
            <w:tcW w:w="13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Three Months Ended</w:t>
            </w:r>
          </w:p>
        </w:tc>
        <w:tc>
          <w:tcPr>
            <w:tcW w:w="26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Nine Months Ended</w:t>
            </w:r>
          </w:p>
        </w:tc>
        <w:tc>
          <w:tcPr>
            <w:tcW w:w="1420" w:type="dxa"/>
            <w:vAlign w:val="bottom"/>
            <w:tcBorders>
              <w:top w:val="single" w:sz="8" w:color="auto"/>
              <w:right w:val="single" w:sz="8" w:color="auto"/>
            </w:tcBorders>
            <w:gridSpan w:val="2"/>
          </w:tcPr>
          <w:p>
            <w:pPr>
              <w:jc w:val="right"/>
              <w:spacing w:after="0"/>
              <w:rPr>
                <w:sz w:val="20"/>
                <w:szCs w:val="20"/>
                <w:color w:val="auto"/>
              </w:rPr>
            </w:pPr>
            <w:r>
              <w:rPr>
                <w:rFonts w:ascii="Arial" w:cs="Arial" w:eastAsia="Arial" w:hAnsi="Arial"/>
                <w:sz w:val="14"/>
                <w:szCs w:val="14"/>
                <w:color w:val="auto"/>
              </w:rPr>
              <w:t>Nine Months Ended</w:t>
            </w:r>
          </w:p>
        </w:tc>
      </w:tr>
      <w:tr>
        <w:trPr>
          <w:trHeight w:val="171"/>
        </w:trPr>
        <w:tc>
          <w:tcPr>
            <w:tcW w:w="282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color w:val="auto"/>
              </w:rPr>
              <w:t>September 30, 2025</w:t>
            </w:r>
          </w:p>
        </w:tc>
        <w:tc>
          <w:tcPr>
            <w:tcW w:w="1380" w:type="dxa"/>
            <w:vAlign w:val="bottom"/>
            <w:gridSpan w:val="2"/>
          </w:tcPr>
          <w:p>
            <w:pPr>
              <w:ind w:left="40"/>
              <w:spacing w:after="0"/>
              <w:rPr>
                <w:sz w:val="20"/>
                <w:szCs w:val="20"/>
                <w:color w:val="auto"/>
              </w:rPr>
            </w:pPr>
            <w:r>
              <w:rPr>
                <w:rFonts w:ascii="Arial" w:cs="Arial" w:eastAsia="Arial" w:hAnsi="Arial"/>
                <w:sz w:val="14"/>
                <w:szCs w:val="14"/>
                <w:color w:val="auto"/>
              </w:rPr>
              <w:t>September 30, 2024</w:t>
            </w:r>
          </w:p>
        </w:tc>
        <w:tc>
          <w:tcPr>
            <w:tcW w:w="260" w:type="dxa"/>
            <w:vAlign w:val="bottom"/>
          </w:tcPr>
          <w:p>
            <w:pPr>
              <w:spacing w:after="0"/>
              <w:rPr>
                <w:sz w:val="14"/>
                <w:szCs w:val="14"/>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4"/>
                <w:szCs w:val="14"/>
                <w:color w:val="auto"/>
              </w:rPr>
              <w:t>September 30, 2025</w:t>
            </w:r>
          </w:p>
        </w:tc>
        <w:tc>
          <w:tcPr>
            <w:tcW w:w="142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September 30, 2024</w:t>
            </w:r>
          </w:p>
        </w:tc>
      </w:tr>
      <w:tr>
        <w:trPr>
          <w:trHeight w:val="155"/>
        </w:trPr>
        <w:tc>
          <w:tcPr>
            <w:tcW w:w="28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right w:val="single" w:sz="8" w:color="auto"/>
            </w:tcBorders>
          </w:tcPr>
          <w:p>
            <w:pPr>
              <w:spacing w:after="0"/>
              <w:rPr>
                <w:sz w:val="13"/>
                <w:szCs w:val="13"/>
                <w:color w:val="auto"/>
              </w:rPr>
            </w:pP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Collaboration revenue</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791</w:t>
            </w: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109,164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2,416</w:t>
            </w:r>
          </w:p>
        </w:tc>
      </w:tr>
      <w:tr>
        <w:trPr>
          <w:trHeight w:val="203"/>
        </w:trPr>
        <w:tc>
          <w:tcPr>
            <w:tcW w:w="2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spacing w:after="0"/>
              <w:rPr>
                <w:sz w:val="17"/>
                <w:szCs w:val="17"/>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22,526</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27,228</w:t>
            </w:r>
          </w:p>
        </w:tc>
        <w:tc>
          <w:tcPr>
            <w:tcW w:w="26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75,972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77,869</w:t>
            </w: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6,835</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8,352</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23,047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25,400</w:t>
            </w:r>
          </w:p>
        </w:tc>
      </w:tr>
      <w:tr>
        <w:trPr>
          <w:trHeight w:val="203"/>
        </w:trPr>
        <w:tc>
          <w:tcPr>
            <w:tcW w:w="28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Impairment of long-lived assets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6,763</w:t>
            </w: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6,763</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28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36,124</w:t>
            </w:r>
          </w:p>
        </w:tc>
        <w:tc>
          <w:tcPr>
            <w:tcW w:w="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35,580</w:t>
            </w:r>
          </w:p>
        </w:tc>
        <w:tc>
          <w:tcPr>
            <w:tcW w:w="2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105,782</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right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103,269</w:t>
            </w:r>
          </w:p>
        </w:tc>
      </w:tr>
      <w:tr>
        <w:trPr>
          <w:trHeight w:val="196"/>
        </w:trPr>
        <w:tc>
          <w:tcPr>
            <w:tcW w:w="2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Income (loss) from operations</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(36,124)</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(34,789)</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3,382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(100,853)</w:t>
            </w:r>
          </w:p>
        </w:tc>
      </w:tr>
      <w:tr>
        <w:trPr>
          <w:trHeight w:val="203"/>
        </w:trPr>
        <w:tc>
          <w:tcPr>
            <w:tcW w:w="2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1,605</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3,305</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6,037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10,126</w:t>
            </w:r>
          </w:p>
        </w:tc>
      </w:tr>
      <w:tr>
        <w:trPr>
          <w:trHeight w:val="203"/>
        </w:trPr>
        <w:tc>
          <w:tcPr>
            <w:tcW w:w="28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w:t>
            </w: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w:t>
            </w: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248</w:t>
            </w:r>
          </w:p>
        </w:tc>
      </w:tr>
      <w:tr>
        <w:trPr>
          <w:trHeight w:val="196"/>
        </w:trPr>
        <w:tc>
          <w:tcPr>
            <w:tcW w:w="28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Total other income</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1,702</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3,555</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6,209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10,374</w:t>
            </w:r>
          </w:p>
        </w:tc>
      </w:tr>
      <w:tr>
        <w:trPr>
          <w:trHeight w:val="184"/>
        </w:trPr>
        <w:tc>
          <w:tcPr>
            <w:tcW w:w="282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Income (loss) before provision</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221"/>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for income taxes</w:t>
            </w: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(34,422)</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(31,234)</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9,591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(90,479)</w:t>
            </w: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36"/>
        </w:trPr>
        <w:tc>
          <w:tcPr>
            <w:tcW w:w="282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b w:val="1"/>
                <w:bCs w:val="1"/>
                <w:color w:val="auto"/>
              </w:rPr>
              <w:t>Net income (loss)</w:t>
            </w:r>
          </w:p>
        </w:tc>
        <w:tc>
          <w:tcPr>
            <w:tcW w:w="2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(34,422)</w:t>
            </w:r>
          </w:p>
        </w:tc>
        <w:tc>
          <w:tcPr>
            <w:tcW w:w="6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1380" w:type="dxa"/>
            <w:vAlign w:val="bottom"/>
            <w:tcBorders>
              <w:top w:val="single" w:sz="8" w:color="auto"/>
              <w:bottom w:val="single" w:sz="8" w:color="auto"/>
            </w:tcBorders>
            <w:gridSpan w:val="2"/>
          </w:tcPr>
          <w:p>
            <w:pPr>
              <w:jc w:val="right"/>
              <w:ind w:right="70"/>
              <w:spacing w:after="0" w:line="196" w:lineRule="exact"/>
              <w:rPr>
                <w:sz w:val="20"/>
                <w:szCs w:val="20"/>
                <w:color w:val="auto"/>
              </w:rPr>
            </w:pPr>
            <w:r>
              <w:rPr>
                <w:rFonts w:ascii="Arial" w:cs="Arial" w:eastAsia="Arial" w:hAnsi="Arial"/>
                <w:sz w:val="18"/>
                <w:szCs w:val="18"/>
                <w:b w:val="1"/>
                <w:bCs w:val="1"/>
                <w:color w:val="auto"/>
              </w:rPr>
              <w:t>(31,226)$</w:t>
            </w:r>
          </w:p>
        </w:tc>
        <w:tc>
          <w:tcPr>
            <w:tcW w:w="1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9,591</w:t>
            </w:r>
          </w:p>
        </w:tc>
        <w:tc>
          <w:tcPr>
            <w:tcW w:w="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6"/>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(90,493)</w:t>
            </w:r>
          </w:p>
        </w:tc>
      </w:tr>
      <w:tr>
        <w:trPr>
          <w:trHeight w:val="183"/>
        </w:trPr>
        <w:tc>
          <w:tcPr>
            <w:tcW w:w="2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tcBorders>
              <w:right w:val="single" w:sz="8" w:color="auto"/>
            </w:tcBorders>
            <w:shd w:val="clear" w:color="auto" w:fill="CCEEFF"/>
          </w:tcPr>
          <w:p>
            <w:pPr>
              <w:spacing w:after="0"/>
              <w:rPr>
                <w:sz w:val="15"/>
                <w:szCs w:val="15"/>
                <w:color w:val="auto"/>
              </w:rPr>
            </w:pPr>
          </w:p>
        </w:tc>
      </w:tr>
      <w:tr>
        <w:trPr>
          <w:trHeight w:val="184"/>
        </w:trPr>
        <w:tc>
          <w:tcPr>
            <w:tcW w:w="2820" w:type="dxa"/>
            <w:vAlign w:val="bottom"/>
          </w:tcPr>
          <w:p>
            <w:pPr>
              <w:ind w:left="20"/>
              <w:spacing w:after="0" w:line="183" w:lineRule="exact"/>
              <w:rPr>
                <w:sz w:val="20"/>
                <w:szCs w:val="20"/>
                <w:color w:val="auto"/>
              </w:rPr>
            </w:pPr>
            <w:r>
              <w:rPr>
                <w:rFonts w:ascii="Arial" w:cs="Arial" w:eastAsia="Arial" w:hAnsi="Arial"/>
                <w:sz w:val="18"/>
                <w:szCs w:val="18"/>
                <w:color w:val="auto"/>
              </w:rPr>
              <w:t>Net income (loss) per common</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share</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r>
      <w:tr>
        <w:trPr>
          <w:trHeight w:val="221"/>
        </w:trPr>
        <w:tc>
          <w:tcPr>
            <w:tcW w:w="2820" w:type="dxa"/>
            <w:vAlign w:val="bottom"/>
          </w:tcPr>
          <w:p>
            <w:pPr>
              <w:ind w:left="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(0.40)</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(0.37)</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184"/>
        </w:trPr>
        <w:tc>
          <w:tcPr>
            <w:tcW w:w="28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Net income (loss) per common</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tcBorders>
              <w:right w:val="single" w:sz="8" w:color="auto"/>
            </w:tcBorders>
            <w:shd w:val="clear" w:color="auto" w:fill="CCEEFF"/>
          </w:tcPr>
          <w:p>
            <w:pPr>
              <w:spacing w:after="0"/>
              <w:rPr>
                <w:sz w:val="15"/>
                <w:szCs w:val="15"/>
                <w:color w:val="auto"/>
              </w:rPr>
            </w:pP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share</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spacing w:after="0"/>
              <w:rPr>
                <w:sz w:val="17"/>
                <w:szCs w:val="17"/>
                <w:color w:val="auto"/>
              </w:rPr>
            </w:pPr>
          </w:p>
        </w:tc>
      </w:tr>
      <w:tr>
        <w:trPr>
          <w:trHeight w:val="221"/>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(0.40)</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184"/>
        </w:trPr>
        <w:tc>
          <w:tcPr>
            <w:tcW w:w="2820" w:type="dxa"/>
            <w:vAlign w:val="bottom"/>
          </w:tcPr>
          <w:p>
            <w:pPr>
              <w:ind w:left="20"/>
              <w:spacing w:after="0" w:line="183" w:lineRule="exact"/>
              <w:rPr>
                <w:sz w:val="20"/>
                <w:szCs w:val="20"/>
                <w:color w:val="auto"/>
              </w:rPr>
            </w:pPr>
            <w:r>
              <w:rPr>
                <w:rFonts w:ascii="Arial" w:cs="Arial" w:eastAsia="Arial" w:hAnsi="Arial"/>
                <w:sz w:val="18"/>
                <w:szCs w:val="18"/>
                <w:color w:val="auto"/>
              </w:rPr>
              <w:t>Weighted average common</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shares outstanding</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r>
      <w:tr>
        <w:trPr>
          <w:trHeight w:val="221"/>
        </w:trPr>
        <w:tc>
          <w:tcPr>
            <w:tcW w:w="2820" w:type="dxa"/>
            <w:vAlign w:val="bottom"/>
          </w:tcPr>
          <w:p>
            <w:pPr>
              <w:ind w:left="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86,464,066</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84,704,352</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86,312,863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76,394,266</w:t>
            </w:r>
          </w:p>
        </w:tc>
      </w:tr>
      <w:tr>
        <w:trPr>
          <w:trHeight w:val="184"/>
        </w:trPr>
        <w:tc>
          <w:tcPr>
            <w:tcW w:w="28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Weighted average common</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tcBorders>
              <w:right w:val="single" w:sz="8" w:color="auto"/>
            </w:tcBorders>
            <w:shd w:val="clear" w:color="auto" w:fill="CCEEFF"/>
          </w:tcPr>
          <w:p>
            <w:pPr>
              <w:spacing w:after="0"/>
              <w:rPr>
                <w:sz w:val="15"/>
                <w:szCs w:val="15"/>
                <w:color w:val="auto"/>
              </w:rPr>
            </w:pP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shares outstanding</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tcBorders>
              <w:right w:val="single" w:sz="8" w:color="auto"/>
            </w:tcBorders>
            <w:shd w:val="clear" w:color="auto" w:fill="CCEEFF"/>
          </w:tcPr>
          <w:p>
            <w:pPr>
              <w:spacing w:after="0"/>
              <w:rPr>
                <w:sz w:val="17"/>
                <w:szCs w:val="17"/>
                <w:color w:val="auto"/>
              </w:rPr>
            </w:pPr>
          </w:p>
        </w:tc>
      </w:tr>
      <w:tr>
        <w:trPr>
          <w:trHeight w:val="221"/>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86,464,066</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84,704,352</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86,390,294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76,394,266</w:t>
            </w:r>
          </w:p>
        </w:tc>
      </w:tr>
      <w:tr>
        <w:trPr>
          <w:trHeight w:val="184"/>
        </w:trPr>
        <w:tc>
          <w:tcPr>
            <w:tcW w:w="2820" w:type="dxa"/>
            <w:vAlign w:val="bottom"/>
          </w:tcPr>
          <w:p>
            <w:pPr>
              <w:ind w:left="20"/>
              <w:spacing w:after="0" w:line="183" w:lineRule="exact"/>
              <w:rPr>
                <w:sz w:val="20"/>
                <w:szCs w:val="20"/>
                <w:color w:val="auto"/>
              </w:rPr>
            </w:pPr>
            <w:r>
              <w:rPr>
                <w:rFonts w:ascii="Arial" w:cs="Arial" w:eastAsia="Arial" w:hAnsi="Arial"/>
                <w:sz w:val="18"/>
                <w:szCs w:val="18"/>
                <w:color w:val="auto"/>
              </w:rPr>
              <w:t>Other comprehensive income</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221"/>
        </w:trPr>
        <w:tc>
          <w:tcPr>
            <w:tcW w:w="2820" w:type="dxa"/>
            <w:vAlign w:val="bottom"/>
          </w:tcPr>
          <w:p>
            <w:pPr>
              <w:ind w:left="20"/>
              <w:spacing w:after="0"/>
              <w:rPr>
                <w:sz w:val="20"/>
                <w:szCs w:val="20"/>
                <w:color w:val="auto"/>
              </w:rPr>
            </w:pPr>
            <w:r>
              <w:rPr>
                <w:rFonts w:ascii="Arial" w:cs="Arial" w:eastAsia="Arial" w:hAnsi="Arial"/>
                <w:sz w:val="18"/>
                <w:szCs w:val="18"/>
                <w:color w:val="auto"/>
              </w:rPr>
              <w:t>(loss)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r>
      <w:tr>
        <w:trPr>
          <w:trHeight w:val="203"/>
        </w:trPr>
        <w:tc>
          <w:tcPr>
            <w:tcW w:w="2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(34,422)</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(31,226)$</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9,591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(90,493)</w:t>
            </w:r>
          </w:p>
        </w:tc>
      </w:tr>
      <w:tr>
        <w:trPr>
          <w:trHeight w:val="184"/>
        </w:trPr>
        <w:tc>
          <w:tcPr>
            <w:tcW w:w="2820" w:type="dxa"/>
            <w:vAlign w:val="bottom"/>
          </w:tcPr>
          <w:p>
            <w:pPr>
              <w:ind w:left="120"/>
              <w:spacing w:after="0" w:line="183" w:lineRule="exact"/>
              <w:rPr>
                <w:sz w:val="20"/>
                <w:szCs w:val="20"/>
                <w:color w:val="auto"/>
              </w:rPr>
            </w:pPr>
            <w:r>
              <w:rPr>
                <w:rFonts w:ascii="Arial" w:cs="Arial" w:eastAsia="Arial" w:hAnsi="Arial"/>
                <w:sz w:val="18"/>
                <w:szCs w:val="18"/>
                <w:color w:val="auto"/>
              </w:rPr>
              <w:t>Unrealized gain (loss) on</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221"/>
        </w:trPr>
        <w:tc>
          <w:tcPr>
            <w:tcW w:w="2820" w:type="dxa"/>
            <w:vAlign w:val="bottom"/>
          </w:tcPr>
          <w:p>
            <w:pPr>
              <w:ind w:left="12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1,075</w:t>
            </w:r>
          </w:p>
        </w:tc>
        <w:tc>
          <w:tcPr>
            <w:tcW w:w="260" w:type="dxa"/>
            <w:vAlign w:val="bottom"/>
          </w:tcPr>
          <w:p>
            <w:pPr>
              <w:spacing w:after="0"/>
              <w:rPr>
                <w:sz w:val="19"/>
                <w:szCs w:val="19"/>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(260)</w:t>
            </w:r>
          </w:p>
        </w:tc>
        <w:tc>
          <w:tcPr>
            <w:tcW w:w="280" w:type="dxa"/>
            <w:vAlign w:val="bottom"/>
          </w:tcPr>
          <w:p>
            <w:pPr>
              <w:spacing w:after="0"/>
              <w:rPr>
                <w:sz w:val="19"/>
                <w:szCs w:val="19"/>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622</w:t>
            </w:r>
          </w:p>
        </w:tc>
      </w:tr>
      <w:tr>
        <w:trPr>
          <w:trHeight w:val="184"/>
        </w:trPr>
        <w:tc>
          <w:tcPr>
            <w:tcW w:w="282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Foreign currency translation gain</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tcBorders>
              <w:right w:val="single" w:sz="8" w:color="auto"/>
            </w:tcBorders>
            <w:shd w:val="clear" w:color="auto" w:fill="CCEEFF"/>
          </w:tcPr>
          <w:p>
            <w:pPr>
              <w:spacing w:after="0"/>
              <w:rPr>
                <w:sz w:val="15"/>
                <w:szCs w:val="15"/>
                <w:color w:val="auto"/>
              </w:rPr>
            </w:pPr>
          </w:p>
        </w:tc>
      </w:tr>
      <w:tr>
        <w:trPr>
          <w:trHeight w:val="221"/>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196"/>
        </w:trPr>
        <w:tc>
          <w:tcPr>
            <w:tcW w:w="2820" w:type="dxa"/>
            <w:vAlign w:val="bottom"/>
          </w:tcPr>
          <w:p>
            <w:pPr>
              <w:ind w:left="20"/>
              <w:spacing w:after="0" w:line="196" w:lineRule="exact"/>
              <w:rPr>
                <w:sz w:val="20"/>
                <w:szCs w:val="20"/>
                <w:color w:val="auto"/>
              </w:rPr>
            </w:pPr>
            <w:r>
              <w:rPr>
                <w:rFonts w:ascii="Arial" w:cs="Arial" w:eastAsia="Arial" w:hAnsi="Arial"/>
                <w:sz w:val="18"/>
                <w:szCs w:val="18"/>
                <w:color w:val="auto"/>
              </w:rPr>
              <w:t>Comprehensive income (loss)</w:t>
            </w:r>
          </w:p>
        </w:tc>
        <w:tc>
          <w:tcPr>
            <w:tcW w:w="2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(34,441)</w:t>
            </w:r>
          </w:p>
        </w:tc>
        <w:tc>
          <w:tcPr>
            <w:tcW w:w="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gridSpan w:val="2"/>
          </w:tcPr>
          <w:p>
            <w:pPr>
              <w:jc w:val="right"/>
              <w:ind w:right="70"/>
              <w:spacing w:after="0" w:line="196" w:lineRule="exact"/>
              <w:rPr>
                <w:sz w:val="20"/>
                <w:szCs w:val="20"/>
                <w:color w:val="auto"/>
              </w:rPr>
            </w:pPr>
            <w:r>
              <w:rPr>
                <w:rFonts w:ascii="Arial" w:cs="Arial" w:eastAsia="Arial" w:hAnsi="Arial"/>
                <w:sz w:val="18"/>
                <w:szCs w:val="18"/>
                <w:color w:val="auto"/>
              </w:rPr>
              <w:t>(30,159)$</w:t>
            </w:r>
          </w:p>
        </w:tc>
        <w:tc>
          <w:tcPr>
            <w:tcW w:w="1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9,331</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6"/>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(89,843)</w:t>
            </w:r>
          </w:p>
        </w:tc>
      </w:tr>
      <w:tr>
        <w:trPr>
          <w:trHeight w:val="20"/>
        </w:trPr>
        <w:tc>
          <w:tcPr>
            <w:tcW w:w="2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jc w:val="center"/>
        <w:ind w:right="19"/>
        <w:spacing w:after="0" w:line="186" w:lineRule="auto"/>
        <w:rPr>
          <w:sz w:val="20"/>
          <w:szCs w:val="20"/>
          <w:color w:val="auto"/>
        </w:rPr>
      </w:pPr>
      <w:r>
        <w:rPr>
          <w:rFonts w:ascii="Arial" w:cs="Arial" w:eastAsia="Arial" w:hAnsi="Arial"/>
          <w:sz w:val="22"/>
          <w:szCs w:val="22"/>
          <w:b w:val="1"/>
          <w:bCs w:val="1"/>
          <w:color w:val="auto"/>
        </w:rPr>
        <w:t>CONSOLIDATED STATEMENTS OF CHANGES IN STOCKHOLDERS’ EQUITY</w:t>
      </w:r>
    </w:p>
    <w:p>
      <w:pPr>
        <w:jc w:val="center"/>
        <w:ind w:right="19"/>
        <w:spacing w:after="0" w:line="181" w:lineRule="auto"/>
        <w:rPr>
          <w:sz w:val="20"/>
          <w:szCs w:val="20"/>
          <w:color w:val="auto"/>
        </w:rPr>
      </w:pPr>
      <w:r>
        <w:rPr>
          <w:rFonts w:ascii="Arial" w:cs="Arial" w:eastAsia="Arial" w:hAnsi="Arial"/>
          <w:sz w:val="25"/>
          <w:szCs w:val="25"/>
          <w:b w:val="1"/>
          <w:bCs w:val="1"/>
          <w:color w:val="auto"/>
        </w:rPr>
        <w:t>(Unaudited)</w:t>
      </w:r>
    </w:p>
    <w:p>
      <w:pPr>
        <w:jc w:val="center"/>
        <w:ind w:right="19"/>
        <w:spacing w:after="0"/>
        <w:rPr>
          <w:sz w:val="20"/>
          <w:szCs w:val="20"/>
          <w:color w:val="auto"/>
        </w:rPr>
      </w:pPr>
      <w:r>
        <w:rPr>
          <w:rFonts w:ascii="Arial" w:cs="Arial" w:eastAsia="Arial" w:hAnsi="Arial"/>
          <w:sz w:val="25"/>
          <w:szCs w:val="25"/>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116840</wp:posOffset>
            </wp:positionV>
            <wp:extent cx="56489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4"/>
                <w:szCs w:val="14"/>
                <w:color w:val="auto"/>
              </w:rPr>
              <w:t>Additional</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color w:val="auto"/>
              </w:rPr>
              <w:t>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5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color w:val="auto"/>
              </w:rPr>
              <w:t>Paid-in</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rPr>
              <w:t>Accumulated</w:t>
            </w:r>
          </w:p>
        </w:tc>
        <w:tc>
          <w:tcPr>
            <w:tcW w:w="4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color w:val="auto"/>
              </w:rPr>
              <w:t>Comprehensive</w:t>
            </w:r>
          </w:p>
        </w:tc>
        <w:tc>
          <w:tcPr>
            <w:tcW w:w="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780" w:type="dxa"/>
            <w:vAlign w:val="bottom"/>
          </w:tcPr>
          <w:p>
            <w:pPr>
              <w:ind w:left="280"/>
              <w:spacing w:after="0" w:line="155" w:lineRule="exact"/>
              <w:rPr>
                <w:sz w:val="20"/>
                <w:szCs w:val="20"/>
                <w:color w:val="auto"/>
              </w:rPr>
            </w:pPr>
            <w:r>
              <w:rPr>
                <w:rFonts w:ascii="Arial" w:cs="Arial" w:eastAsia="Arial" w:hAnsi="Arial"/>
                <w:sz w:val="14"/>
                <w:szCs w:val="14"/>
                <w:color w:val="auto"/>
              </w:rPr>
              <w:t>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5"/>
              <w:spacing w:after="0" w:line="155" w:lineRule="exact"/>
              <w:rPr>
                <w:sz w:val="20"/>
                <w:szCs w:val="20"/>
                <w:color w:val="auto"/>
              </w:rPr>
            </w:pPr>
            <w:r>
              <w:rPr>
                <w:rFonts w:ascii="Arial" w:cs="Arial" w:eastAsia="Arial" w:hAnsi="Arial"/>
                <w:sz w:val="14"/>
                <w:szCs w:val="14"/>
                <w:color w:val="auto"/>
              </w:rPr>
              <w:t>Amount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140"/>
              <w:spacing w:after="0" w:line="155" w:lineRule="exact"/>
              <w:rPr>
                <w:sz w:val="20"/>
                <w:szCs w:val="20"/>
                <w:color w:val="auto"/>
              </w:rPr>
            </w:pPr>
            <w:r>
              <w:rPr>
                <w:rFonts w:ascii="Arial" w:cs="Arial" w:eastAsia="Arial" w:hAnsi="Arial"/>
                <w:sz w:val="14"/>
                <w:szCs w:val="14"/>
                <w:color w:val="auto"/>
              </w:rPr>
              <w:t>Capital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center"/>
              <w:ind w:right="100"/>
              <w:spacing w:after="0" w:line="155" w:lineRule="exact"/>
              <w:rPr>
                <w:sz w:val="20"/>
                <w:szCs w:val="20"/>
                <w:color w:val="auto"/>
              </w:rPr>
            </w:pPr>
            <w:r>
              <w:rPr>
                <w:rFonts w:ascii="Arial" w:cs="Arial" w:eastAsia="Arial" w:hAnsi="Arial"/>
                <w:sz w:val="14"/>
                <w:szCs w:val="14"/>
                <w:color w:val="auto"/>
              </w:rPr>
              <w:t>Deficit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center"/>
              <w:ind w:right="140"/>
              <w:spacing w:after="0" w:line="155" w:lineRule="exact"/>
              <w:rPr>
                <w:sz w:val="20"/>
                <w:szCs w:val="20"/>
                <w:color w:val="auto"/>
              </w:rPr>
            </w:pPr>
            <w:r>
              <w:rPr>
                <w:rFonts w:ascii="Arial" w:cs="Arial" w:eastAsia="Arial" w:hAnsi="Arial"/>
                <w:sz w:val="14"/>
                <w:szCs w:val="14"/>
                <w:color w:val="auto"/>
              </w:rPr>
              <w:t>Income (Loss)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60"/>
              <w:spacing w:after="0" w:line="155"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15"/>
        </w:trPr>
        <w:tc>
          <w:tcPr>
            <w:tcW w:w="3420" w:type="dxa"/>
            <w:vAlign w:val="bottom"/>
            <w:tcBorders>
              <w:top w:val="single" w:sz="8" w:color="CCEEFF"/>
            </w:tcBorders>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Balance, December 31, 2024</w:t>
            </w:r>
          </w:p>
        </w:tc>
        <w:tc>
          <w:tcPr>
            <w:tcW w:w="7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85,836,429</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7"/>
              </w:rPr>
              <w:t>$</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943,366</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(782,337)</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324</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161,362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20" w:type="dxa"/>
            <w:vAlign w:val="bottom"/>
          </w:tcPr>
          <w:p>
            <w:pPr>
              <w:ind w:left="20"/>
              <w:spacing w:after="0" w:line="109" w:lineRule="exact"/>
              <w:rPr>
                <w:sz w:val="20"/>
                <w:szCs w:val="20"/>
                <w:color w:val="auto"/>
              </w:rPr>
            </w:pPr>
            <w:r>
              <w:rPr>
                <w:rFonts w:ascii="Arial" w:cs="Arial" w:eastAsia="Arial" w:hAnsi="Arial"/>
                <w:sz w:val="11"/>
                <w:szCs w:val="11"/>
                <w:color w:val="auto"/>
              </w:rPr>
              <w:t>Issuance of common stock upon the exercise of stock options and</w:t>
            </w: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20"/>
              <w:spacing w:after="0"/>
              <w:rPr>
                <w:sz w:val="20"/>
                <w:szCs w:val="20"/>
                <w:color w:val="auto"/>
              </w:rPr>
            </w:pPr>
            <w:r>
              <w:rPr>
                <w:rFonts w:ascii="Arial" w:cs="Arial" w:eastAsia="Arial" w:hAnsi="Arial"/>
                <w:sz w:val="11"/>
                <w:szCs w:val="11"/>
                <w:color w:val="auto"/>
              </w:rPr>
              <w:t>2021 ESPP</w:t>
            </w:r>
          </w:p>
        </w:tc>
        <w:tc>
          <w:tcPr>
            <w:tcW w:w="780" w:type="dxa"/>
            <w:vAlign w:val="bottom"/>
          </w:tcPr>
          <w:p>
            <w:pPr>
              <w:jc w:val="right"/>
              <w:spacing w:after="0"/>
              <w:rPr>
                <w:sz w:val="20"/>
                <w:szCs w:val="20"/>
                <w:color w:val="auto"/>
              </w:rPr>
            </w:pPr>
            <w:r>
              <w:rPr>
                <w:rFonts w:ascii="Arial" w:cs="Arial" w:eastAsia="Arial" w:hAnsi="Arial"/>
                <w:sz w:val="11"/>
                <w:szCs w:val="11"/>
                <w:color w:val="auto"/>
              </w:rPr>
              <w:t>116,488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120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4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Vesting of restricted stock</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24,734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20" w:type="dxa"/>
            <w:vAlign w:val="bottom"/>
          </w:tcPr>
          <w:p>
            <w:pPr>
              <w:ind w:left="20"/>
              <w:spacing w:after="0" w:line="122" w:lineRule="exact"/>
              <w:rPr>
                <w:sz w:val="20"/>
                <w:szCs w:val="20"/>
                <w:color w:val="auto"/>
              </w:rPr>
            </w:pPr>
            <w:r>
              <w:rPr>
                <w:rFonts w:ascii="Arial" w:cs="Arial" w:eastAsia="Arial" w:hAnsi="Arial"/>
                <w:sz w:val="11"/>
                <w:szCs w:val="11"/>
                <w:color w:val="auto"/>
              </w:rPr>
              <w:t>Vesting of early exercise stock options</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11,321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84</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84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Vesting of restricted stock units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157,077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(94)</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(94)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20" w:type="dxa"/>
            <w:vAlign w:val="bottom"/>
          </w:tcPr>
          <w:p>
            <w:pPr>
              <w:ind w:left="20"/>
              <w:spacing w:after="0" w:line="122" w:lineRule="exact"/>
              <w:rPr>
                <w:sz w:val="20"/>
                <w:szCs w:val="20"/>
                <w:color w:val="auto"/>
              </w:rPr>
            </w:pPr>
            <w:r>
              <w:rPr>
                <w:rFonts w:ascii="Arial" w:cs="Arial" w:eastAsia="Arial" w:hAnsi="Arial"/>
                <w:sz w:val="11"/>
                <w:szCs w:val="11"/>
                <w:color w:val="auto"/>
              </w:rPr>
              <w:t>Unrealized loss on investments</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(19)</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Stock based compensation</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2,426</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2,426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20" w:type="dxa"/>
            <w:vAlign w:val="bottom"/>
          </w:tcPr>
          <w:p>
            <w:pPr>
              <w:ind w:left="20"/>
              <w:spacing w:after="0" w:line="122" w:lineRule="exact"/>
              <w:rPr>
                <w:sz w:val="20"/>
                <w:szCs w:val="20"/>
                <w:color w:val="auto"/>
              </w:rPr>
            </w:pPr>
            <w:r>
              <w:rPr>
                <w:rFonts w:ascii="Arial" w:cs="Arial" w:eastAsia="Arial" w:hAnsi="Arial"/>
                <w:sz w:val="11"/>
                <w:szCs w:val="11"/>
                <w:color w:val="auto"/>
              </w:rPr>
              <w:t>Net income</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76,560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76,560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420" w:type="dxa"/>
            <w:vAlign w:val="bottom"/>
            <w:tcBorders>
              <w:top w:val="single" w:sz="8" w:color="CCEEFF"/>
              <w:bottom w:val="single" w:sz="8" w:color="CCEEFF"/>
            </w:tcBorders>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Balance, March 31, 2025</w:t>
            </w:r>
          </w:p>
        </w:tc>
        <w:tc>
          <w:tcPr>
            <w:tcW w:w="7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86,146,049</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7"/>
              </w:rPr>
              <w:t>$</w:t>
            </w: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945,902</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(705,777)</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305</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240,439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ind w:left="20"/>
              <w:spacing w:after="0"/>
              <w:rPr>
                <w:sz w:val="20"/>
                <w:szCs w:val="20"/>
                <w:color w:val="auto"/>
              </w:rPr>
            </w:pPr>
            <w:r>
              <w:rPr>
                <w:rFonts w:ascii="Arial" w:cs="Arial" w:eastAsia="Arial" w:hAnsi="Arial"/>
                <w:sz w:val="11"/>
                <w:szCs w:val="11"/>
                <w:color w:val="auto"/>
              </w:rPr>
              <w:t>Vesting of restricted stock units</w:t>
            </w: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420" w:type="dxa"/>
            <w:vAlign w:val="bottom"/>
            <w:vMerge w:val="continue"/>
          </w:tcPr>
          <w:p>
            <w:pPr>
              <w:spacing w:after="0"/>
              <w:rPr>
                <w:sz w:val="8"/>
                <w:szCs w:val="8"/>
                <w:color w:val="auto"/>
              </w:rPr>
            </w:pPr>
          </w:p>
        </w:tc>
        <w:tc>
          <w:tcPr>
            <w:tcW w:w="7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176,022</w:t>
            </w: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4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Unrealized loss on investments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(222)</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(222)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20" w:type="dxa"/>
            <w:vAlign w:val="bottom"/>
          </w:tcPr>
          <w:p>
            <w:pPr>
              <w:ind w:left="20"/>
              <w:spacing w:after="0" w:line="122" w:lineRule="exact"/>
              <w:rPr>
                <w:sz w:val="20"/>
                <w:szCs w:val="20"/>
                <w:color w:val="auto"/>
              </w:rPr>
            </w:pPr>
            <w:r>
              <w:rPr>
                <w:rFonts w:ascii="Arial" w:cs="Arial" w:eastAsia="Arial" w:hAnsi="Arial"/>
                <w:sz w:val="11"/>
                <w:szCs w:val="11"/>
                <w:color w:val="auto"/>
              </w:rPr>
              <w:t>Stock based compensation</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2,222</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2,222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Net loss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(32,541)</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(32,541)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420" w:type="dxa"/>
            <w:vAlign w:val="bottom"/>
            <w:tcBorders>
              <w:bottom w:val="single" w:sz="8" w:color="CCEEFF"/>
            </w:tcBorders>
          </w:tcPr>
          <w:p>
            <w:pPr>
              <w:ind w:left="20"/>
              <w:spacing w:after="0" w:line="115" w:lineRule="exact"/>
              <w:rPr>
                <w:sz w:val="20"/>
                <w:szCs w:val="20"/>
                <w:color w:val="auto"/>
              </w:rPr>
            </w:pPr>
            <w:r>
              <w:rPr>
                <w:rFonts w:ascii="Arial" w:cs="Arial" w:eastAsia="Arial" w:hAnsi="Arial"/>
                <w:sz w:val="11"/>
                <w:szCs w:val="11"/>
                <w:b w:val="1"/>
                <w:bCs w:val="1"/>
                <w:color w:val="auto"/>
              </w:rPr>
              <w:t>Balance, June 30, 2025</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86,322,071</w:t>
            </w: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7"/>
              </w:rPr>
              <w:t>$</w:t>
            </w: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9</w:t>
            </w: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948,124</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(738,318)</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83</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209,898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3420" w:type="dxa"/>
            <w:vAlign w:val="bottom"/>
            <w:shd w:val="clear" w:color="auto" w:fill="CCEEFF"/>
          </w:tcPr>
          <w:p>
            <w:pPr>
              <w:ind w:left="20"/>
              <w:spacing w:after="0" w:line="62" w:lineRule="exact"/>
              <w:rPr>
                <w:sz w:val="20"/>
                <w:szCs w:val="20"/>
                <w:color w:val="auto"/>
              </w:rPr>
            </w:pPr>
            <w:r>
              <w:rPr>
                <w:rFonts w:ascii="Arial" w:cs="Arial" w:eastAsia="Arial" w:hAnsi="Arial"/>
                <w:sz w:val="6"/>
                <w:szCs w:val="6"/>
                <w:color w:val="auto"/>
              </w:rPr>
              <w:t>Issuance of common stock upon the exercise of stock options and</w:t>
            </w:r>
          </w:p>
        </w:tc>
        <w:tc>
          <w:tcPr>
            <w:tcW w:w="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2021 ESPP</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105,773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420" w:type="dxa"/>
            <w:vAlign w:val="bottom"/>
          </w:tcPr>
          <w:p>
            <w:pPr>
              <w:ind w:left="20"/>
              <w:spacing w:after="0" w:line="122" w:lineRule="exact"/>
              <w:rPr>
                <w:sz w:val="20"/>
                <w:szCs w:val="20"/>
                <w:color w:val="auto"/>
              </w:rPr>
            </w:pPr>
            <w:r>
              <w:rPr>
                <w:rFonts w:ascii="Arial" w:cs="Arial" w:eastAsia="Arial" w:hAnsi="Arial"/>
                <w:sz w:val="11"/>
                <w:szCs w:val="11"/>
                <w:color w:val="auto"/>
              </w:rPr>
              <w:t>Vesting of restricted stock units</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99,923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Unrealized loss on investments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(19)</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20" w:type="dxa"/>
            <w:vAlign w:val="bottom"/>
          </w:tcPr>
          <w:p>
            <w:pPr>
              <w:ind w:left="20"/>
              <w:spacing w:after="0" w:line="122" w:lineRule="exact"/>
              <w:rPr>
                <w:sz w:val="20"/>
                <w:szCs w:val="20"/>
                <w:color w:val="auto"/>
              </w:rPr>
            </w:pPr>
            <w:r>
              <w:rPr>
                <w:rFonts w:ascii="Arial" w:cs="Arial" w:eastAsia="Arial" w:hAnsi="Arial"/>
                <w:sz w:val="11"/>
                <w:szCs w:val="11"/>
                <w:color w:val="auto"/>
              </w:rPr>
              <w:t>Stock based compensation</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891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891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Net income</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(34,422)</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(34,422)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420" w:type="dxa"/>
            <w:vAlign w:val="bottom"/>
          </w:tcPr>
          <w:p>
            <w:pPr>
              <w:ind w:left="20"/>
              <w:spacing w:after="0" w:line="115" w:lineRule="exact"/>
              <w:rPr>
                <w:sz w:val="20"/>
                <w:szCs w:val="20"/>
                <w:color w:val="auto"/>
              </w:rPr>
            </w:pPr>
            <w:r>
              <w:rPr>
                <w:rFonts w:ascii="Arial" w:cs="Arial" w:eastAsia="Arial" w:hAnsi="Arial"/>
                <w:sz w:val="11"/>
                <w:szCs w:val="11"/>
                <w:b w:val="1"/>
                <w:bCs w:val="1"/>
                <w:color w:val="auto"/>
              </w:rPr>
              <w:t>Balance, September 30, 2025</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86,527,767</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7"/>
              </w:rPr>
              <w:t>$</w:t>
            </w: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9</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949,015</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(772,740)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64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176,348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3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rPr>
              <w:t>Accumulated</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4"/>
                <w:szCs w:val="14"/>
                <w:color w:val="auto"/>
              </w:rPr>
              <w:t>Additional</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color w:val="auto"/>
              </w:rPr>
              <w:t>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5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color w:val="auto"/>
              </w:rPr>
              <w:t>Paid-in</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rPr>
              <w:t>Accumulated</w:t>
            </w:r>
          </w:p>
        </w:tc>
        <w:tc>
          <w:tcPr>
            <w:tcW w:w="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color w:val="auto"/>
              </w:rPr>
              <w:t>Comprehensive</w:t>
            </w:r>
          </w:p>
        </w:tc>
        <w:tc>
          <w:tcPr>
            <w:tcW w:w="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780" w:type="dxa"/>
            <w:vAlign w:val="bottom"/>
          </w:tcPr>
          <w:p>
            <w:pPr>
              <w:ind w:left="280"/>
              <w:spacing w:after="0" w:line="155" w:lineRule="exact"/>
              <w:rPr>
                <w:sz w:val="20"/>
                <w:szCs w:val="20"/>
                <w:color w:val="auto"/>
              </w:rPr>
            </w:pPr>
            <w:r>
              <w:rPr>
                <w:rFonts w:ascii="Arial" w:cs="Arial" w:eastAsia="Arial" w:hAnsi="Arial"/>
                <w:sz w:val="14"/>
                <w:szCs w:val="14"/>
                <w:color w:val="auto"/>
              </w:rPr>
              <w:t>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5"/>
              <w:spacing w:after="0" w:line="155" w:lineRule="exact"/>
              <w:rPr>
                <w:sz w:val="20"/>
                <w:szCs w:val="20"/>
                <w:color w:val="auto"/>
              </w:rPr>
            </w:pPr>
            <w:r>
              <w:rPr>
                <w:rFonts w:ascii="Arial" w:cs="Arial" w:eastAsia="Arial" w:hAnsi="Arial"/>
                <w:sz w:val="14"/>
                <w:szCs w:val="14"/>
                <w:color w:val="auto"/>
              </w:rPr>
              <w:t>Amount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140"/>
              <w:spacing w:after="0" w:line="155" w:lineRule="exact"/>
              <w:rPr>
                <w:sz w:val="20"/>
                <w:szCs w:val="20"/>
                <w:color w:val="auto"/>
              </w:rPr>
            </w:pPr>
            <w:r>
              <w:rPr>
                <w:rFonts w:ascii="Arial" w:cs="Arial" w:eastAsia="Arial" w:hAnsi="Arial"/>
                <w:sz w:val="14"/>
                <w:szCs w:val="14"/>
                <w:color w:val="auto"/>
              </w:rPr>
              <w:t>Capital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center"/>
              <w:ind w:right="100"/>
              <w:spacing w:after="0" w:line="155" w:lineRule="exact"/>
              <w:rPr>
                <w:sz w:val="20"/>
                <w:szCs w:val="20"/>
                <w:color w:val="auto"/>
              </w:rPr>
            </w:pPr>
            <w:r>
              <w:rPr>
                <w:rFonts w:ascii="Arial" w:cs="Arial" w:eastAsia="Arial" w:hAnsi="Arial"/>
                <w:sz w:val="14"/>
                <w:szCs w:val="14"/>
                <w:color w:val="auto"/>
              </w:rPr>
              <w:t>Deficit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center"/>
              <w:ind w:right="160"/>
              <w:spacing w:after="0" w:line="155" w:lineRule="exact"/>
              <w:rPr>
                <w:sz w:val="20"/>
                <w:szCs w:val="20"/>
                <w:color w:val="auto"/>
              </w:rPr>
            </w:pPr>
            <w:r>
              <w:rPr>
                <w:rFonts w:ascii="Arial" w:cs="Arial" w:eastAsia="Arial" w:hAnsi="Arial"/>
                <w:sz w:val="14"/>
                <w:szCs w:val="14"/>
                <w:color w:val="auto"/>
              </w:rPr>
              <w:t>Income (Loss)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60"/>
              <w:spacing w:after="0" w:line="155"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15"/>
        </w:trPr>
        <w:tc>
          <w:tcPr>
            <w:tcW w:w="34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2023</w:t>
            </w:r>
          </w:p>
        </w:tc>
        <w:tc>
          <w:tcPr>
            <w:tcW w:w="7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60,335,701</w:t>
            </w:r>
          </w:p>
        </w:tc>
        <w:tc>
          <w:tcPr>
            <w:tcW w:w="18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840,407</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(655,771)</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108</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184,750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20" w:type="dxa"/>
            <w:vAlign w:val="bottom"/>
          </w:tcPr>
          <w:p>
            <w:pPr>
              <w:spacing w:after="0" w:line="109" w:lineRule="exact"/>
              <w:rPr>
                <w:sz w:val="20"/>
                <w:szCs w:val="20"/>
                <w:color w:val="auto"/>
              </w:rPr>
            </w:pPr>
            <w:r>
              <w:rPr>
                <w:rFonts w:ascii="Arial" w:cs="Arial" w:eastAsia="Arial" w:hAnsi="Arial"/>
                <w:sz w:val="11"/>
                <w:szCs w:val="11"/>
                <w:color w:val="auto"/>
              </w:rPr>
              <w:t>Issuance of common stock upon the exercise of stock options and</w:t>
            </w: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20"/>
                <w:szCs w:val="20"/>
                <w:color w:val="auto"/>
              </w:rPr>
            </w:pPr>
            <w:r>
              <w:rPr>
                <w:rFonts w:ascii="Arial" w:cs="Arial" w:eastAsia="Arial" w:hAnsi="Arial"/>
                <w:sz w:val="11"/>
                <w:szCs w:val="11"/>
                <w:color w:val="auto"/>
              </w:rPr>
              <w:t>2021 ESPP</w:t>
            </w:r>
          </w:p>
        </w:tc>
        <w:tc>
          <w:tcPr>
            <w:tcW w:w="780" w:type="dxa"/>
            <w:vAlign w:val="bottom"/>
          </w:tcPr>
          <w:p>
            <w:pPr>
              <w:jc w:val="right"/>
              <w:spacing w:after="0"/>
              <w:rPr>
                <w:sz w:val="20"/>
                <w:szCs w:val="20"/>
                <w:color w:val="auto"/>
              </w:rPr>
            </w:pPr>
            <w:r>
              <w:rPr>
                <w:rFonts w:ascii="Arial" w:cs="Arial" w:eastAsia="Arial" w:hAnsi="Arial"/>
                <w:sz w:val="11"/>
                <w:szCs w:val="11"/>
                <w:color w:val="auto"/>
              </w:rPr>
              <w:t>220,647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366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24,734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34,900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142</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142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 units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109,108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20" w:type="dxa"/>
            <w:vAlign w:val="bottom"/>
          </w:tcPr>
          <w:p>
            <w:pPr>
              <w:spacing w:after="0" w:line="109" w:lineRule="exact"/>
              <w:rPr>
                <w:sz w:val="20"/>
                <w:szCs w:val="20"/>
                <w:color w:val="auto"/>
              </w:rPr>
            </w:pPr>
            <w:r>
              <w:rPr>
                <w:rFonts w:ascii="Arial" w:cs="Arial" w:eastAsia="Arial" w:hAnsi="Arial"/>
                <w:sz w:val="11"/>
                <w:szCs w:val="11"/>
                <w:color w:val="auto"/>
              </w:rPr>
              <w:t>Issuance of common stock upon the exercise of ATM, net of</w:t>
            </w: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20"/>
                <w:szCs w:val="20"/>
                <w:color w:val="auto"/>
              </w:rPr>
            </w:pPr>
            <w:r>
              <w:rPr>
                <w:rFonts w:ascii="Arial" w:cs="Arial" w:eastAsia="Arial" w:hAnsi="Arial"/>
                <w:sz w:val="11"/>
                <w:szCs w:val="11"/>
                <w:color w:val="auto"/>
              </w:rPr>
              <w:t>underwriting discounts and commissions and other issuance costs</w:t>
            </w:r>
          </w:p>
        </w:tc>
        <w:tc>
          <w:tcPr>
            <w:tcW w:w="780" w:type="dxa"/>
            <w:vAlign w:val="bottom"/>
          </w:tcPr>
          <w:p>
            <w:pPr>
              <w:jc w:val="right"/>
              <w:spacing w:after="0"/>
              <w:rPr>
                <w:sz w:val="20"/>
                <w:szCs w:val="20"/>
                <w:color w:val="auto"/>
              </w:rPr>
            </w:pPr>
            <w:r>
              <w:rPr>
                <w:rFonts w:ascii="Arial" w:cs="Arial" w:eastAsia="Arial" w:hAnsi="Arial"/>
                <w:sz w:val="11"/>
                <w:szCs w:val="11"/>
                <w:color w:val="auto"/>
              </w:rPr>
              <w:t>4,084,502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17,829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17,829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Unrealized loss on investments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(351)</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 based compensation</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3,207</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3,207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(28,062)</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(28,062)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42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March 31, 2024</w:t>
            </w:r>
          </w:p>
        </w:tc>
        <w:tc>
          <w:tcPr>
            <w:tcW w:w="7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64,809,592</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861,951</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(683,833)</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(241)</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177,883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line="102" w:lineRule="exact"/>
              <w:rPr>
                <w:sz w:val="20"/>
                <w:szCs w:val="20"/>
                <w:color w:val="auto"/>
              </w:rPr>
            </w:pPr>
            <w:r>
              <w:rPr>
                <w:rFonts w:ascii="Arial" w:cs="Arial" w:eastAsia="Arial" w:hAnsi="Arial"/>
                <w:sz w:val="11"/>
                <w:szCs w:val="11"/>
                <w:color w:val="auto"/>
              </w:rPr>
              <w:t>Issuance of common stock upon the exercise of stock options and</w:t>
            </w: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34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20"/>
                <w:szCs w:val="20"/>
                <w:color w:val="auto"/>
              </w:rPr>
            </w:pPr>
            <w:r>
              <w:rPr>
                <w:rFonts w:ascii="Arial" w:cs="Arial" w:eastAsia="Arial" w:hAnsi="Arial"/>
                <w:sz w:val="11"/>
                <w:szCs w:val="11"/>
                <w:color w:val="auto"/>
              </w:rPr>
              <w:t>2021 ESPP</w:t>
            </w:r>
          </w:p>
        </w:tc>
        <w:tc>
          <w:tcPr>
            <w:tcW w:w="780" w:type="dxa"/>
            <w:vAlign w:val="bottom"/>
          </w:tcPr>
          <w:p>
            <w:pPr>
              <w:jc w:val="right"/>
              <w:spacing w:after="0"/>
              <w:rPr>
                <w:sz w:val="20"/>
                <w:szCs w:val="20"/>
                <w:color w:val="auto"/>
              </w:rPr>
            </w:pPr>
            <w:r>
              <w:rPr>
                <w:rFonts w:ascii="Arial" w:cs="Arial" w:eastAsia="Arial" w:hAnsi="Arial"/>
                <w:sz w:val="11"/>
                <w:szCs w:val="11"/>
                <w:color w:val="auto"/>
              </w:rPr>
              <w:t>100,305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27,169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141</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line="122" w:lineRule="exact"/>
              <w:rPr>
                <w:sz w:val="20"/>
                <w:szCs w:val="20"/>
                <w:color w:val="auto"/>
              </w:rPr>
            </w:pPr>
            <w:r>
              <w:rPr>
                <w:rFonts w:ascii="Arial" w:cs="Arial" w:eastAsia="Arial" w:hAnsi="Arial"/>
                <w:sz w:val="11"/>
                <w:szCs w:val="11"/>
                <w:color w:val="auto"/>
              </w:rPr>
              <w:t>Issuance of common stock in connection with the transaction</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3,741,646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15,154</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15,154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2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Issuance of common stock upon the exercise of PIPE, net of</w:t>
            </w: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rPr>
                <w:sz w:val="20"/>
                <w:szCs w:val="20"/>
                <w:color w:val="auto"/>
              </w:rPr>
            </w:pPr>
            <w:r>
              <w:rPr>
                <w:rFonts w:ascii="Arial" w:cs="Arial" w:eastAsia="Arial" w:hAnsi="Arial"/>
                <w:sz w:val="11"/>
                <w:szCs w:val="11"/>
                <w:color w:val="auto"/>
              </w:rPr>
              <w:t>underwriting discounts and commissions and other issuance costs</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15,873,011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56,593</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56,595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420" w:type="dxa"/>
            <w:vAlign w:val="bottom"/>
          </w:tcPr>
          <w:p>
            <w:pPr>
              <w:spacing w:after="0" w:line="122" w:lineRule="exact"/>
              <w:rPr>
                <w:sz w:val="20"/>
                <w:szCs w:val="20"/>
                <w:color w:val="auto"/>
              </w:rPr>
            </w:pPr>
            <w:r>
              <w:rPr>
                <w:rFonts w:ascii="Arial" w:cs="Arial" w:eastAsia="Arial" w:hAnsi="Arial"/>
                <w:sz w:val="11"/>
                <w:szCs w:val="11"/>
                <w:color w:val="auto"/>
              </w:rPr>
              <w:t>Unrealized loss on investments</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Arial" w:cs="Arial" w:eastAsia="Arial" w:hAnsi="Arial"/>
                <w:sz w:val="11"/>
                <w:szCs w:val="11"/>
                <w:color w:val="auto"/>
              </w:rPr>
              <w:t>(102)</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20" w:type="dxa"/>
            <w:vAlign w:val="bottom"/>
          </w:tcPr>
          <w:p>
            <w:pPr>
              <w:spacing w:after="0" w:line="122" w:lineRule="exact"/>
              <w:rPr>
                <w:sz w:val="20"/>
                <w:szCs w:val="20"/>
                <w:color w:val="auto"/>
              </w:rPr>
            </w:pPr>
            <w:r>
              <w:rPr>
                <w:rFonts w:ascii="Arial" w:cs="Arial" w:eastAsia="Arial" w:hAnsi="Arial"/>
                <w:sz w:val="11"/>
                <w:szCs w:val="11"/>
                <w:color w:val="auto"/>
              </w:rPr>
              <w:t>Stock based compensation</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3,503</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3,503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(31,207)</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(31,207)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420" w:type="dxa"/>
            <w:vAlign w:val="bottom"/>
            <w:tcBorders>
              <w:bottom w:val="single" w:sz="8" w:color="CCEEFF"/>
            </w:tcBorders>
          </w:tcPr>
          <w:p>
            <w:pPr>
              <w:spacing w:after="0" w:line="115" w:lineRule="exact"/>
              <w:rPr>
                <w:sz w:val="20"/>
                <w:szCs w:val="20"/>
                <w:color w:val="auto"/>
              </w:rPr>
            </w:pPr>
            <w:r>
              <w:rPr>
                <w:rFonts w:ascii="Arial" w:cs="Arial" w:eastAsia="Arial" w:hAnsi="Arial"/>
                <w:sz w:val="11"/>
                <w:szCs w:val="11"/>
                <w:b w:val="1"/>
                <w:bCs w:val="1"/>
                <w:color w:val="auto"/>
              </w:rPr>
              <w:t>Balance, June 30, 2024</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84,551,723</w:t>
            </w: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w:t>
            </w: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937,445</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(715,040)</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(309)</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222,104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3420" w:type="dxa"/>
            <w:vAlign w:val="bottom"/>
            <w:shd w:val="clear" w:color="auto" w:fill="CCEEFF"/>
          </w:tcPr>
          <w:p>
            <w:pPr>
              <w:spacing w:after="0" w:line="62" w:lineRule="exact"/>
              <w:rPr>
                <w:sz w:val="20"/>
                <w:szCs w:val="20"/>
                <w:color w:val="auto"/>
              </w:rPr>
            </w:pPr>
            <w:r>
              <w:rPr>
                <w:rFonts w:ascii="Arial" w:cs="Arial" w:eastAsia="Arial" w:hAnsi="Arial"/>
                <w:sz w:val="6"/>
                <w:szCs w:val="6"/>
                <w:color w:val="auto"/>
              </w:rPr>
              <w:t>Issuance of common stock upon the exercise of stock options and</w:t>
            </w:r>
          </w:p>
        </w:tc>
        <w:tc>
          <w:tcPr>
            <w:tcW w:w="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rPr>
                <w:sz w:val="20"/>
                <w:szCs w:val="20"/>
                <w:color w:val="auto"/>
              </w:rPr>
            </w:pPr>
            <w:r>
              <w:rPr>
                <w:rFonts w:ascii="Arial" w:cs="Arial" w:eastAsia="Arial" w:hAnsi="Arial"/>
                <w:sz w:val="11"/>
                <w:szCs w:val="11"/>
                <w:color w:val="auto"/>
              </w:rPr>
              <w:t>2021 ESPP</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159,428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281</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420" w:type="dxa"/>
            <w:vAlign w:val="bottom"/>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27,169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141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141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 units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23,629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20" w:type="dxa"/>
            <w:vAlign w:val="bottom"/>
          </w:tcPr>
          <w:p>
            <w:pPr>
              <w:spacing w:after="0" w:line="122" w:lineRule="exact"/>
              <w:rPr>
                <w:sz w:val="20"/>
                <w:szCs w:val="20"/>
                <w:color w:val="auto"/>
              </w:rPr>
            </w:pPr>
            <w:r>
              <w:rPr>
                <w:rFonts w:ascii="Arial" w:cs="Arial" w:eastAsia="Arial" w:hAnsi="Arial"/>
                <w:sz w:val="11"/>
                <w:szCs w:val="11"/>
                <w:color w:val="auto"/>
              </w:rPr>
              <w:t>Unrealized gain on investments</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Arial" w:cs="Arial" w:eastAsia="Arial" w:hAnsi="Arial"/>
                <w:sz w:val="11"/>
                <w:szCs w:val="11"/>
                <w:color w:val="auto"/>
              </w:rPr>
              <w:t>1,075</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1,075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20" w:type="dxa"/>
            <w:vAlign w:val="bottom"/>
          </w:tcPr>
          <w:p>
            <w:pPr>
              <w:spacing w:after="0" w:line="122" w:lineRule="exact"/>
              <w:rPr>
                <w:sz w:val="20"/>
                <w:szCs w:val="20"/>
                <w:color w:val="auto"/>
              </w:rPr>
            </w:pPr>
            <w:r>
              <w:rPr>
                <w:rFonts w:ascii="Arial" w:cs="Arial" w:eastAsia="Arial" w:hAnsi="Arial"/>
                <w:sz w:val="11"/>
                <w:szCs w:val="11"/>
                <w:color w:val="auto"/>
              </w:rPr>
              <w:t>Stock based compensation</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3,318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3,318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(31,226)</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(31,226)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420" w:type="dxa"/>
            <w:vAlign w:val="bottom"/>
          </w:tcPr>
          <w:p>
            <w:pPr>
              <w:spacing w:after="0" w:line="115" w:lineRule="exact"/>
              <w:rPr>
                <w:sz w:val="20"/>
                <w:szCs w:val="20"/>
                <w:color w:val="auto"/>
              </w:rPr>
            </w:pPr>
            <w:r>
              <w:rPr>
                <w:rFonts w:ascii="Arial" w:cs="Arial" w:eastAsia="Arial" w:hAnsi="Arial"/>
                <w:sz w:val="11"/>
                <w:szCs w:val="11"/>
                <w:b w:val="1"/>
                <w:bCs w:val="1"/>
                <w:color w:val="auto"/>
              </w:rPr>
              <w:t>Balance, September 30, 2024</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84,761,949</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9</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941,185</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(746,266)</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758</w:t>
            </w:r>
          </w:p>
        </w:tc>
        <w:tc>
          <w:tcPr>
            <w:tcW w:w="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195,686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CASH FLOWS</w:t>
      </w:r>
    </w:p>
    <w:p>
      <w:pPr>
        <w:jc w:val="center"/>
        <w:ind w:right="1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color w:val="auto"/>
              </w:rPr>
              <w:t>Nine Months Ended</w:t>
            </w:r>
          </w:p>
        </w:tc>
        <w:tc>
          <w:tcPr>
            <w:tcW w:w="100" w:type="dxa"/>
            <w:vAlign w:val="bottom"/>
          </w:tcPr>
          <w:p>
            <w:pPr>
              <w:spacing w:after="0"/>
              <w:rPr>
                <w:sz w:val="14"/>
                <w:szCs w:val="1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color w:val="auto"/>
              </w:rPr>
              <w:t>Nine Months Ended</w:t>
            </w:r>
          </w:p>
        </w:tc>
      </w:tr>
      <w:tr>
        <w:trPr>
          <w:trHeight w:val="171"/>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color w:val="auto"/>
              </w:rPr>
              <w:t>September 30, 2025</w:t>
            </w:r>
          </w:p>
        </w:tc>
        <w:tc>
          <w:tcPr>
            <w:tcW w:w="100" w:type="dxa"/>
            <w:vAlign w:val="bottom"/>
          </w:tcPr>
          <w:p>
            <w:pPr>
              <w:spacing w:after="0"/>
              <w:rPr>
                <w:sz w:val="14"/>
                <w:szCs w:val="1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color w:val="auto"/>
              </w:rPr>
              <w:t>September 30, 2024</w:t>
            </w:r>
          </w:p>
        </w:tc>
      </w:tr>
      <w:tr>
        <w:trPr>
          <w:trHeight w:val="162"/>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162"/>
        </w:trPr>
        <w:tc>
          <w:tcPr>
            <w:tcW w:w="524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9,591</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780" w:type="dxa"/>
            <w:vAlign w:val="bottom"/>
            <w:gridSpan w:val="2"/>
          </w:tcPr>
          <w:p>
            <w:pPr>
              <w:jc w:val="right"/>
              <w:ind w:right="340"/>
              <w:spacing w:after="0"/>
              <w:rPr>
                <w:sz w:val="20"/>
                <w:szCs w:val="20"/>
                <w:color w:val="auto"/>
              </w:rPr>
            </w:pPr>
            <w:r>
              <w:rPr>
                <w:rFonts w:ascii="Arial" w:cs="Arial" w:eastAsia="Arial" w:hAnsi="Arial"/>
                <w:sz w:val="14"/>
                <w:szCs w:val="14"/>
                <w:color w:val="auto"/>
              </w:rPr>
              <w:t>(90,493)</w:t>
            </w:r>
          </w:p>
        </w:tc>
      </w:tr>
      <w:tr>
        <w:trPr>
          <w:trHeight w:val="153"/>
        </w:trPr>
        <w:tc>
          <w:tcPr>
            <w:tcW w:w="524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b w:val="1"/>
                <w:bCs w:val="1"/>
                <w:color w:val="auto"/>
              </w:rPr>
              <w:t>Adjustments to reconcile net income (loss) to net cash used in</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r>
      <w:tr>
        <w:trPr>
          <w:trHeight w:val="171"/>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operating activities:</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162"/>
        </w:trPr>
        <w:tc>
          <w:tcPr>
            <w:tcW w:w="524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9,551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9,986</w:t>
            </w:r>
          </w:p>
        </w:tc>
        <w:tc>
          <w:tcPr>
            <w:tcW w:w="340" w:type="dxa"/>
            <w:vAlign w:val="bottom"/>
          </w:tcPr>
          <w:p>
            <w:pPr>
              <w:spacing w:after="0"/>
              <w:rPr>
                <w:sz w:val="14"/>
                <w:szCs w:val="14"/>
                <w:color w:val="auto"/>
              </w:rPr>
            </w:pPr>
          </w:p>
        </w:tc>
      </w:tr>
      <w:tr>
        <w:trPr>
          <w:trHeight w:val="162"/>
        </w:trPr>
        <w:tc>
          <w:tcPr>
            <w:tcW w:w="5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Non-cash operating lease expense (benefit)</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(394)</w:t>
            </w:r>
          </w:p>
        </w:tc>
      </w:tr>
      <w:tr>
        <w:trPr>
          <w:trHeight w:val="162"/>
        </w:trPr>
        <w:tc>
          <w:tcPr>
            <w:tcW w:w="5240" w:type="dxa"/>
            <w:vAlign w:val="bottom"/>
          </w:tcPr>
          <w:p>
            <w:pPr>
              <w:ind w:left="220"/>
              <w:spacing w:after="0"/>
              <w:rPr>
                <w:sz w:val="20"/>
                <w:szCs w:val="20"/>
                <w:color w:val="auto"/>
              </w:rPr>
            </w:pPr>
            <w:r>
              <w:rPr>
                <w:rFonts w:ascii="Arial" w:cs="Arial" w:eastAsia="Arial" w:hAnsi="Arial"/>
                <w:sz w:val="14"/>
                <w:szCs w:val="14"/>
                <w:color w:val="auto"/>
              </w:rPr>
              <w:t>Stock based compensation</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5,540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10,028</w:t>
            </w:r>
          </w:p>
        </w:tc>
        <w:tc>
          <w:tcPr>
            <w:tcW w:w="340" w:type="dxa"/>
            <w:vAlign w:val="bottom"/>
          </w:tcPr>
          <w:p>
            <w:pPr>
              <w:spacing w:after="0"/>
              <w:rPr>
                <w:sz w:val="14"/>
                <w:szCs w:val="14"/>
                <w:color w:val="auto"/>
              </w:rPr>
            </w:pPr>
          </w:p>
        </w:tc>
      </w:tr>
      <w:tr>
        <w:trPr>
          <w:trHeight w:val="162"/>
        </w:trPr>
        <w:tc>
          <w:tcPr>
            <w:tcW w:w="5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Impairment of long-lived asset</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6,763</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r>
      <w:tr>
        <w:trPr>
          <w:trHeight w:val="162"/>
        </w:trPr>
        <w:tc>
          <w:tcPr>
            <w:tcW w:w="5240" w:type="dxa"/>
            <w:vAlign w:val="bottom"/>
          </w:tcPr>
          <w:p>
            <w:pPr>
              <w:ind w:left="220"/>
              <w:spacing w:after="0"/>
              <w:rPr>
                <w:sz w:val="20"/>
                <w:szCs w:val="20"/>
                <w:color w:val="auto"/>
              </w:rPr>
            </w:pPr>
            <w:r>
              <w:rPr>
                <w:rFonts w:ascii="Arial" w:cs="Arial" w:eastAsia="Arial" w:hAnsi="Arial"/>
                <w:sz w:val="14"/>
                <w:szCs w:val="14"/>
                <w:color w:val="auto"/>
              </w:rPr>
              <w:t>Accretion of investments</w:t>
            </w:r>
          </w:p>
        </w:tc>
        <w:tc>
          <w:tcPr>
            <w:tcW w:w="100" w:type="dxa"/>
            <w:vAlign w:val="bottom"/>
          </w:tcPr>
          <w:p>
            <w:pPr>
              <w:spacing w:after="0"/>
              <w:rPr>
                <w:sz w:val="14"/>
                <w:szCs w:val="14"/>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4"/>
                <w:szCs w:val="14"/>
                <w:color w:val="auto"/>
              </w:rPr>
              <w:t>(3,779)</w:t>
            </w:r>
          </w:p>
        </w:tc>
      </w:tr>
      <w:tr>
        <w:trPr>
          <w:trHeight w:val="162"/>
        </w:trPr>
        <w:tc>
          <w:tcPr>
            <w:tcW w:w="5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 in fair value of contingent liabilities</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(1,111)</w:t>
            </w:r>
          </w:p>
        </w:tc>
      </w:tr>
      <w:tr>
        <w:trPr>
          <w:trHeight w:val="162"/>
        </w:trPr>
        <w:tc>
          <w:tcPr>
            <w:tcW w:w="5240" w:type="dxa"/>
            <w:vAlign w:val="bottom"/>
          </w:tcPr>
          <w:p>
            <w:pPr>
              <w:ind w:left="220"/>
              <w:spacing w:after="0"/>
              <w:rPr>
                <w:sz w:val="20"/>
                <w:szCs w:val="20"/>
                <w:color w:val="auto"/>
              </w:rPr>
            </w:pPr>
            <w:r>
              <w:rPr>
                <w:rFonts w:ascii="Arial" w:cs="Arial" w:eastAsia="Arial" w:hAnsi="Arial"/>
                <w:sz w:val="14"/>
                <w:szCs w:val="14"/>
                <w:color w:val="auto"/>
              </w:rPr>
              <w:t>Gain on reduction in lease liability due to lease termination</w:t>
            </w:r>
          </w:p>
        </w:tc>
        <w:tc>
          <w:tcPr>
            <w:tcW w:w="100" w:type="dxa"/>
            <w:vAlign w:val="bottom"/>
          </w:tcPr>
          <w:p>
            <w:pPr>
              <w:spacing w:after="0"/>
              <w:rPr>
                <w:sz w:val="14"/>
                <w:szCs w:val="14"/>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4"/>
                <w:szCs w:val="14"/>
                <w:color w:val="auto"/>
              </w:rPr>
              <w:t>(1,395)</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959</w:t>
            </w:r>
          </w:p>
        </w:tc>
        <w:tc>
          <w:tcPr>
            <w:tcW w:w="340" w:type="dxa"/>
            <w:vAlign w:val="bottom"/>
          </w:tcPr>
          <w:p>
            <w:pPr>
              <w:spacing w:after="0"/>
              <w:rPr>
                <w:sz w:val="14"/>
                <w:szCs w:val="14"/>
                <w:color w:val="auto"/>
              </w:rPr>
            </w:pPr>
          </w:p>
        </w:tc>
      </w:tr>
      <w:tr>
        <w:trPr>
          <w:trHeight w:val="162"/>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Change in operating assets and liabilities:</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162"/>
        </w:trPr>
        <w:tc>
          <w:tcPr>
            <w:tcW w:w="5240" w:type="dxa"/>
            <w:vAlign w:val="bottom"/>
          </w:tcPr>
          <w:p>
            <w:pPr>
              <w:ind w:left="220"/>
              <w:spacing w:after="0"/>
              <w:rPr>
                <w:sz w:val="20"/>
                <w:szCs w:val="20"/>
                <w:color w:val="auto"/>
              </w:rPr>
            </w:pPr>
            <w:r>
              <w:rPr>
                <w:rFonts w:ascii="Arial" w:cs="Arial" w:eastAsia="Arial" w:hAnsi="Arial"/>
                <w:sz w:val="14"/>
                <w:szCs w:val="14"/>
                <w:color w:val="auto"/>
              </w:rPr>
              <w:t>Prepaid expenses and other assets</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1,021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4"/>
                <w:szCs w:val="14"/>
                <w:color w:val="auto"/>
              </w:rPr>
              <w:t>(2,863)</w:t>
            </w:r>
          </w:p>
        </w:tc>
      </w:tr>
      <w:tr>
        <w:trPr>
          <w:trHeight w:val="162"/>
        </w:trPr>
        <w:tc>
          <w:tcPr>
            <w:tcW w:w="5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lease liability</w:t>
            </w:r>
          </w:p>
        </w:tc>
        <w:tc>
          <w:tcPr>
            <w:tcW w:w="10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(3,579)</w:t>
            </w:r>
          </w:p>
        </w:tc>
        <w:tc>
          <w:tcPr>
            <w:tcW w:w="1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(2,599)</w:t>
            </w:r>
          </w:p>
        </w:tc>
      </w:tr>
      <w:tr>
        <w:trPr>
          <w:trHeight w:val="162"/>
        </w:trPr>
        <w:tc>
          <w:tcPr>
            <w:tcW w:w="5240" w:type="dxa"/>
            <w:vAlign w:val="bottom"/>
          </w:tcPr>
          <w:p>
            <w:pPr>
              <w:ind w:left="220"/>
              <w:spacing w:after="0"/>
              <w:rPr>
                <w:sz w:val="20"/>
                <w:szCs w:val="20"/>
                <w:color w:val="auto"/>
              </w:rPr>
            </w:pPr>
            <w:r>
              <w:rPr>
                <w:rFonts w:ascii="Arial" w:cs="Arial" w:eastAsia="Arial" w:hAnsi="Arial"/>
                <w:sz w:val="14"/>
                <w:szCs w:val="14"/>
                <w:color w:val="auto"/>
              </w:rPr>
              <w:t>Deferred revenue</w:t>
            </w:r>
          </w:p>
        </w:tc>
        <w:tc>
          <w:tcPr>
            <w:tcW w:w="100" w:type="dxa"/>
            <w:vAlign w:val="bottom"/>
          </w:tcPr>
          <w:p>
            <w:pPr>
              <w:spacing w:after="0"/>
              <w:rPr>
                <w:sz w:val="14"/>
                <w:szCs w:val="14"/>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4"/>
                <w:szCs w:val="14"/>
                <w:color w:val="auto"/>
              </w:rPr>
              <w:t>(109,164)</w:t>
            </w:r>
          </w:p>
        </w:tc>
        <w:tc>
          <w:tcPr>
            <w:tcW w:w="100" w:type="dxa"/>
            <w:vAlign w:val="bottom"/>
          </w:tcPr>
          <w:p>
            <w:pPr>
              <w:spacing w:after="0"/>
              <w:rPr>
                <w:sz w:val="14"/>
                <w:szCs w:val="14"/>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4"/>
                <w:szCs w:val="14"/>
                <w:color w:val="auto"/>
              </w:rPr>
              <w:t>(2,416)</w:t>
            </w:r>
          </w:p>
        </w:tc>
      </w:tr>
      <w:tr>
        <w:trPr>
          <w:trHeight w:val="162"/>
        </w:trPr>
        <w:tc>
          <w:tcPr>
            <w:tcW w:w="5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(595)</w:t>
            </w:r>
          </w:p>
        </w:tc>
        <w:tc>
          <w:tcPr>
            <w:tcW w:w="1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(1,946)</w:t>
            </w:r>
          </w:p>
        </w:tc>
      </w:tr>
      <w:tr>
        <w:trPr>
          <w:trHeight w:val="162"/>
        </w:trPr>
        <w:tc>
          <w:tcPr>
            <w:tcW w:w="5240" w:type="dxa"/>
            <w:vAlign w:val="bottom"/>
          </w:tcPr>
          <w:p>
            <w:pPr>
              <w:ind w:left="220"/>
              <w:spacing w:after="0"/>
              <w:rPr>
                <w:sz w:val="20"/>
                <w:szCs w:val="20"/>
                <w:color w:val="auto"/>
              </w:rPr>
            </w:pPr>
            <w:r>
              <w:rPr>
                <w:rFonts w:ascii="Arial" w:cs="Arial" w:eastAsia="Arial" w:hAnsi="Arial"/>
                <w:sz w:val="14"/>
                <w:szCs w:val="14"/>
                <w:color w:val="auto"/>
              </w:rPr>
              <w:t>Accrued expenses and other liabilities</w:t>
            </w:r>
          </w:p>
        </w:tc>
        <w:tc>
          <w:tcPr>
            <w:tcW w:w="100" w:type="dxa"/>
            <w:vAlign w:val="bottom"/>
          </w:tcPr>
          <w:p>
            <w:pPr>
              <w:spacing w:after="0"/>
              <w:rPr>
                <w:sz w:val="14"/>
                <w:szCs w:val="14"/>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4"/>
                <w:szCs w:val="14"/>
                <w:color w:val="auto"/>
              </w:rPr>
              <w:t>(5,394)</w:t>
            </w:r>
          </w:p>
        </w:tc>
        <w:tc>
          <w:tcPr>
            <w:tcW w:w="100" w:type="dxa"/>
            <w:vAlign w:val="bottom"/>
          </w:tcPr>
          <w:p>
            <w:pPr>
              <w:spacing w:after="0"/>
              <w:rPr>
                <w:sz w:val="14"/>
                <w:szCs w:val="14"/>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4"/>
                <w:szCs w:val="14"/>
                <w:color w:val="auto"/>
              </w:rPr>
              <w:t>(1,304)</w:t>
            </w:r>
          </w:p>
        </w:tc>
      </w:tr>
      <w:tr>
        <w:trPr>
          <w:trHeight w:val="162"/>
        </w:trPr>
        <w:tc>
          <w:tcPr>
            <w:tcW w:w="5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Security deposit</w:t>
            </w:r>
          </w:p>
        </w:tc>
        <w:tc>
          <w:tcPr>
            <w:tcW w:w="10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340" w:type="dxa"/>
            <w:vAlign w:val="bottom"/>
            <w:shd w:val="clear" w:color="auto" w:fill="CCEEFF"/>
          </w:tcPr>
          <w:p>
            <w:pPr>
              <w:spacing w:after="0"/>
              <w:rPr>
                <w:sz w:val="14"/>
                <w:szCs w:val="14"/>
                <w:color w:val="auto"/>
              </w:rPr>
            </w:pPr>
          </w:p>
        </w:tc>
      </w:tr>
      <w:tr>
        <w:trPr>
          <w:trHeight w:val="155"/>
        </w:trPr>
        <w:tc>
          <w:tcPr>
            <w:tcW w:w="5240" w:type="dxa"/>
            <w:vAlign w:val="bottom"/>
            <w:tcBorders>
              <w:bottom w:val="single" w:sz="8" w:color="CCEEFF"/>
            </w:tcBorders>
          </w:tcPr>
          <w:p>
            <w:pPr>
              <w:ind w:left="340"/>
              <w:spacing w:after="0" w:line="155" w:lineRule="exact"/>
              <w:rPr>
                <w:sz w:val="20"/>
                <w:szCs w:val="20"/>
                <w:color w:val="auto"/>
              </w:rPr>
            </w:pPr>
            <w:r>
              <w:rPr>
                <w:rFonts w:ascii="Arial" w:cs="Arial" w:eastAsia="Arial" w:hAnsi="Arial"/>
                <w:sz w:val="14"/>
                <w:szCs w:val="14"/>
                <w:b w:val="1"/>
                <w:bCs w:val="1"/>
                <w:color w:val="auto"/>
              </w:rPr>
              <w:t>Net cash used in operating activities</w:t>
            </w:r>
          </w:p>
        </w:tc>
        <w:tc>
          <w:tcPr>
            <w:tcW w:w="1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(87,799)</w:t>
            </w:r>
          </w:p>
        </w:tc>
        <w:tc>
          <w:tcPr>
            <w:tcW w:w="2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(85,912)</w:t>
            </w:r>
          </w:p>
        </w:tc>
        <w:tc>
          <w:tcPr>
            <w:tcW w:w="340" w:type="dxa"/>
            <w:vAlign w:val="bottom"/>
            <w:tcBorders>
              <w:bottom w:val="single" w:sz="8" w:color="CCEEFF"/>
            </w:tcBorders>
          </w:tcPr>
          <w:p>
            <w:pPr>
              <w:spacing w:after="0"/>
              <w:rPr>
                <w:sz w:val="13"/>
                <w:szCs w:val="13"/>
                <w:color w:val="auto"/>
              </w:rPr>
            </w:pPr>
          </w:p>
        </w:tc>
      </w:tr>
      <w:tr>
        <w:trPr>
          <w:trHeight w:val="156"/>
        </w:trPr>
        <w:tc>
          <w:tcPr>
            <w:tcW w:w="5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r>
      <w:tr>
        <w:trPr>
          <w:trHeight w:val="162"/>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2"/>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of property and equipment</w:t>
            </w:r>
          </w:p>
        </w:tc>
        <w:tc>
          <w:tcPr>
            <w:tcW w:w="10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(987)</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340" w:type="dxa"/>
            <w:vAlign w:val="bottom"/>
            <w:shd w:val="clear" w:color="auto" w:fill="CCEEFF"/>
          </w:tcPr>
          <w:p>
            <w:pPr>
              <w:spacing w:after="0"/>
              <w:rPr>
                <w:sz w:val="14"/>
                <w:szCs w:val="14"/>
                <w:color w:val="auto"/>
              </w:rPr>
            </w:pPr>
          </w:p>
        </w:tc>
      </w:tr>
      <w:tr>
        <w:trPr>
          <w:trHeight w:val="162"/>
        </w:trPr>
        <w:tc>
          <w:tcPr>
            <w:tcW w:w="5240" w:type="dxa"/>
            <w:vAlign w:val="bottom"/>
          </w:tcPr>
          <w:p>
            <w:pPr>
              <w:ind w:left="120"/>
              <w:spacing w:after="0"/>
              <w:rPr>
                <w:sz w:val="20"/>
                <w:szCs w:val="20"/>
                <w:color w:val="auto"/>
              </w:rPr>
            </w:pPr>
            <w:r>
              <w:rPr>
                <w:rFonts w:ascii="Arial" w:cs="Arial" w:eastAsia="Arial" w:hAnsi="Arial"/>
                <w:sz w:val="14"/>
                <w:szCs w:val="14"/>
                <w:color w:val="auto"/>
              </w:rPr>
              <w:t>Acquisition of fixed maturity securities, available for sale</w:t>
            </w:r>
          </w:p>
        </w:tc>
        <w:tc>
          <w:tcPr>
            <w:tcW w:w="100" w:type="dxa"/>
            <w:vAlign w:val="bottom"/>
          </w:tcPr>
          <w:p>
            <w:pPr>
              <w:spacing w:after="0"/>
              <w:rPr>
                <w:sz w:val="14"/>
                <w:szCs w:val="14"/>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4"/>
                <w:szCs w:val="14"/>
                <w:color w:val="auto"/>
              </w:rPr>
              <w:t>(35,575)</w:t>
            </w:r>
          </w:p>
        </w:tc>
        <w:tc>
          <w:tcPr>
            <w:tcW w:w="100" w:type="dxa"/>
            <w:vAlign w:val="bottom"/>
          </w:tcPr>
          <w:p>
            <w:pPr>
              <w:spacing w:after="0"/>
              <w:rPr>
                <w:sz w:val="14"/>
                <w:szCs w:val="14"/>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4"/>
                <w:szCs w:val="14"/>
                <w:color w:val="auto"/>
              </w:rPr>
              <w:t>(102,145)</w:t>
            </w:r>
          </w:p>
        </w:tc>
      </w:tr>
      <w:tr>
        <w:trPr>
          <w:trHeight w:val="162"/>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Sale of fixed maturity securities, available for sale</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121,702</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128,608</w:t>
            </w:r>
          </w:p>
        </w:tc>
        <w:tc>
          <w:tcPr>
            <w:tcW w:w="340" w:type="dxa"/>
            <w:vAlign w:val="bottom"/>
            <w:shd w:val="clear" w:color="auto" w:fill="CCEEFF"/>
          </w:tcPr>
          <w:p>
            <w:pPr>
              <w:spacing w:after="0"/>
              <w:rPr>
                <w:sz w:val="14"/>
                <w:szCs w:val="14"/>
                <w:color w:val="auto"/>
              </w:rPr>
            </w:pPr>
          </w:p>
        </w:tc>
      </w:tr>
      <w:tr>
        <w:trPr>
          <w:trHeight w:val="162"/>
        </w:trPr>
        <w:tc>
          <w:tcPr>
            <w:tcW w:w="5240" w:type="dxa"/>
            <w:vAlign w:val="bottom"/>
          </w:tcPr>
          <w:p>
            <w:pPr>
              <w:ind w:left="120"/>
              <w:spacing w:after="0"/>
              <w:rPr>
                <w:sz w:val="20"/>
                <w:szCs w:val="20"/>
                <w:color w:val="auto"/>
              </w:rPr>
            </w:pPr>
            <w:r>
              <w:rPr>
                <w:rFonts w:ascii="Arial" w:cs="Arial" w:eastAsia="Arial" w:hAnsi="Arial"/>
                <w:sz w:val="14"/>
                <w:szCs w:val="14"/>
                <w:color w:val="auto"/>
              </w:rPr>
              <w:t>Acquisition of Clade Therapeutics, Inc., net of cash acquired</w:t>
            </w:r>
          </w:p>
        </w:tc>
        <w:tc>
          <w:tcPr>
            <w:tcW w:w="100" w:type="dxa"/>
            <w:vAlign w:val="bottom"/>
          </w:tcPr>
          <w:p>
            <w:pPr>
              <w:spacing w:after="0"/>
              <w:rPr>
                <w:sz w:val="14"/>
                <w:szCs w:val="14"/>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4"/>
                <w:szCs w:val="14"/>
                <w:color w:val="auto"/>
              </w:rPr>
              <w:t>(9,608)</w:t>
            </w:r>
          </w:p>
        </w:tc>
      </w:tr>
      <w:tr>
        <w:trPr>
          <w:trHeight w:val="155"/>
        </w:trPr>
        <w:tc>
          <w:tcPr>
            <w:tcW w:w="524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Net cash provided by investing activities</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85,140</w:t>
            </w: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16,876</w:t>
            </w:r>
          </w:p>
        </w:tc>
        <w:tc>
          <w:tcPr>
            <w:tcW w:w="340" w:type="dxa"/>
            <w:vAlign w:val="bottom"/>
            <w:tcBorders>
              <w:top w:val="single" w:sz="8" w:color="CCEEFF"/>
            </w:tcBorders>
            <w:shd w:val="clear" w:color="auto" w:fill="CCEEFF"/>
          </w:tcPr>
          <w:p>
            <w:pPr>
              <w:spacing w:after="0"/>
              <w:rPr>
                <w:sz w:val="13"/>
                <w:szCs w:val="13"/>
                <w:color w:val="auto"/>
              </w:rPr>
            </w:pPr>
          </w:p>
        </w:tc>
      </w:tr>
      <w:tr>
        <w:trPr>
          <w:trHeight w:val="155"/>
        </w:trPr>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62"/>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162"/>
        </w:trPr>
        <w:tc>
          <w:tcPr>
            <w:tcW w:w="5240" w:type="dxa"/>
            <w:vAlign w:val="bottom"/>
          </w:tcPr>
          <w:p>
            <w:pPr>
              <w:ind w:left="120"/>
              <w:spacing w:after="0"/>
              <w:rPr>
                <w:sz w:val="20"/>
                <w:szCs w:val="20"/>
                <w:color w:val="auto"/>
              </w:rPr>
            </w:pPr>
            <w:r>
              <w:rPr>
                <w:rFonts w:ascii="Arial" w:cs="Arial" w:eastAsia="Arial" w:hAnsi="Arial"/>
                <w:sz w:val="14"/>
                <w:szCs w:val="14"/>
                <w:color w:val="auto"/>
              </w:rPr>
              <w:t>Proceeds from issuance of common stock and ESPP</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743</w:t>
            </w:r>
          </w:p>
        </w:tc>
        <w:tc>
          <w:tcPr>
            <w:tcW w:w="340" w:type="dxa"/>
            <w:vAlign w:val="bottom"/>
          </w:tcPr>
          <w:p>
            <w:pPr>
              <w:spacing w:after="0"/>
              <w:rPr>
                <w:sz w:val="14"/>
                <w:szCs w:val="14"/>
                <w:color w:val="auto"/>
              </w:rPr>
            </w:pPr>
          </w:p>
        </w:tc>
      </w:tr>
      <w:tr>
        <w:trPr>
          <w:trHeight w:val="162"/>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ATM, net of issuance costs</w:t>
            </w:r>
          </w:p>
        </w:tc>
        <w:tc>
          <w:tcPr>
            <w:tcW w:w="10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17,829</w:t>
            </w:r>
          </w:p>
        </w:tc>
        <w:tc>
          <w:tcPr>
            <w:tcW w:w="340" w:type="dxa"/>
            <w:vAlign w:val="bottom"/>
            <w:shd w:val="clear" w:color="auto" w:fill="CCEEFF"/>
          </w:tcPr>
          <w:p>
            <w:pPr>
              <w:spacing w:after="0"/>
              <w:rPr>
                <w:sz w:val="14"/>
                <w:szCs w:val="14"/>
                <w:color w:val="auto"/>
              </w:rPr>
            </w:pPr>
          </w:p>
        </w:tc>
      </w:tr>
      <w:tr>
        <w:trPr>
          <w:trHeight w:val="162"/>
        </w:trPr>
        <w:tc>
          <w:tcPr>
            <w:tcW w:w="5240" w:type="dxa"/>
            <w:vAlign w:val="bottom"/>
          </w:tcPr>
          <w:p>
            <w:pPr>
              <w:ind w:left="120"/>
              <w:spacing w:after="0"/>
              <w:rPr>
                <w:sz w:val="20"/>
                <w:szCs w:val="20"/>
                <w:color w:val="auto"/>
              </w:rPr>
            </w:pPr>
            <w:r>
              <w:rPr>
                <w:rFonts w:ascii="Arial" w:cs="Arial" w:eastAsia="Arial" w:hAnsi="Arial"/>
                <w:sz w:val="14"/>
                <w:szCs w:val="14"/>
                <w:color w:val="auto"/>
              </w:rPr>
              <w:t>Proceeds from PIPE, net of issuance costs</w:t>
            </w:r>
          </w:p>
        </w:tc>
        <w:tc>
          <w:tcPr>
            <w:tcW w:w="100" w:type="dxa"/>
            <w:vAlign w:val="bottom"/>
          </w:tcPr>
          <w:p>
            <w:pPr>
              <w:spacing w:after="0"/>
              <w:rPr>
                <w:sz w:val="14"/>
                <w:szCs w:val="14"/>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56,593</w:t>
            </w:r>
          </w:p>
        </w:tc>
        <w:tc>
          <w:tcPr>
            <w:tcW w:w="340" w:type="dxa"/>
            <w:vAlign w:val="bottom"/>
          </w:tcPr>
          <w:p>
            <w:pPr>
              <w:spacing w:after="0"/>
              <w:rPr>
                <w:sz w:val="14"/>
                <w:szCs w:val="14"/>
                <w:color w:val="auto"/>
              </w:rPr>
            </w:pPr>
          </w:p>
        </w:tc>
      </w:tr>
      <w:tr>
        <w:trPr>
          <w:trHeight w:val="155"/>
        </w:trPr>
        <w:tc>
          <w:tcPr>
            <w:tcW w:w="5240" w:type="dxa"/>
            <w:vAlign w:val="bottom"/>
            <w:tcBorders>
              <w:top w:val="single" w:sz="8" w:color="CCEEFF"/>
            </w:tcBorders>
            <w:shd w:val="clear" w:color="auto" w:fill="CCEEFF"/>
          </w:tcPr>
          <w:p>
            <w:pPr>
              <w:ind w:left="120"/>
              <w:spacing w:after="0" w:line="155" w:lineRule="exact"/>
              <w:rPr>
                <w:sz w:val="20"/>
                <w:szCs w:val="20"/>
                <w:color w:val="auto"/>
              </w:rPr>
            </w:pPr>
            <w:r>
              <w:rPr>
                <w:rFonts w:ascii="Arial" w:cs="Arial" w:eastAsia="Arial" w:hAnsi="Arial"/>
                <w:sz w:val="14"/>
                <w:szCs w:val="14"/>
                <w:b w:val="1"/>
                <w:bCs w:val="1"/>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120</w:t>
            </w: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4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75,165</w:t>
            </w:r>
          </w:p>
        </w:tc>
        <w:tc>
          <w:tcPr>
            <w:tcW w:w="340" w:type="dxa"/>
            <w:vAlign w:val="bottom"/>
            <w:tcBorders>
              <w:top w:val="single" w:sz="8" w:color="CCEEFF"/>
            </w:tcBorders>
            <w:shd w:val="clear" w:color="auto" w:fill="CCEEFF"/>
          </w:tcPr>
          <w:p>
            <w:pPr>
              <w:spacing w:after="0"/>
              <w:rPr>
                <w:sz w:val="13"/>
                <w:szCs w:val="13"/>
                <w:color w:val="auto"/>
              </w:rPr>
            </w:pPr>
          </w:p>
        </w:tc>
      </w:tr>
      <w:tr>
        <w:trPr>
          <w:trHeight w:val="156"/>
        </w:trPr>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53"/>
        </w:trPr>
        <w:tc>
          <w:tcPr>
            <w:tcW w:w="5240" w:type="dxa"/>
            <w:vAlign w:val="bottom"/>
            <w:shd w:val="clear" w:color="auto" w:fill="CCEEFF"/>
          </w:tcPr>
          <w:p>
            <w:pPr>
              <w:ind w:left="340"/>
              <w:spacing w:after="0" w:line="153" w:lineRule="exact"/>
              <w:rPr>
                <w:sz w:val="20"/>
                <w:szCs w:val="20"/>
                <w:color w:val="auto"/>
              </w:rPr>
            </w:pPr>
            <w:r>
              <w:rPr>
                <w:rFonts w:ascii="Arial" w:cs="Arial" w:eastAsia="Arial" w:hAnsi="Arial"/>
                <w:sz w:val="14"/>
                <w:szCs w:val="14"/>
                <w:b w:val="1"/>
                <w:bCs w:val="1"/>
                <w:color w:val="auto"/>
              </w:rPr>
              <w:t>Net (decrease) increase in cash, cash equivalents, and restricted</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r>
      <w:tr>
        <w:trPr>
          <w:trHeight w:val="171"/>
        </w:trPr>
        <w:tc>
          <w:tcPr>
            <w:tcW w:w="524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cash</w:t>
            </w:r>
          </w:p>
        </w:tc>
        <w:tc>
          <w:tcPr>
            <w:tcW w:w="10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(2,539)</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6,129</w:t>
            </w:r>
          </w:p>
        </w:tc>
        <w:tc>
          <w:tcPr>
            <w:tcW w:w="340" w:type="dxa"/>
            <w:vAlign w:val="bottom"/>
            <w:shd w:val="clear" w:color="auto" w:fill="CCEEFF"/>
          </w:tcPr>
          <w:p>
            <w:pPr>
              <w:spacing w:after="0"/>
              <w:rPr>
                <w:sz w:val="14"/>
                <w:szCs w:val="14"/>
                <w:color w:val="auto"/>
              </w:rPr>
            </w:pPr>
          </w:p>
        </w:tc>
      </w:tr>
      <w:tr>
        <w:trPr>
          <w:trHeight w:val="162"/>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2"/>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61,213</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49,303</w:t>
            </w:r>
          </w:p>
        </w:tc>
        <w:tc>
          <w:tcPr>
            <w:tcW w:w="340" w:type="dxa"/>
            <w:vAlign w:val="bottom"/>
            <w:shd w:val="clear" w:color="auto" w:fill="CCEEFF"/>
          </w:tcPr>
          <w:p>
            <w:pPr>
              <w:spacing w:after="0"/>
              <w:rPr>
                <w:sz w:val="14"/>
                <w:szCs w:val="14"/>
                <w:color w:val="auto"/>
              </w:rPr>
            </w:pPr>
          </w:p>
        </w:tc>
      </w:tr>
      <w:tr>
        <w:trPr>
          <w:trHeight w:val="162"/>
        </w:trPr>
        <w:tc>
          <w:tcPr>
            <w:tcW w:w="5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r>
      <w:tr>
        <w:trPr>
          <w:trHeight w:val="156"/>
        </w:trPr>
        <w:tc>
          <w:tcPr>
            <w:tcW w:w="5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r>
      <w:tr>
        <w:trPr>
          <w:trHeight w:val="202"/>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58,674</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55,432</w:t>
            </w:r>
          </w:p>
        </w:tc>
        <w:tc>
          <w:tcPr>
            <w:tcW w:w="340" w:type="dxa"/>
            <w:vAlign w:val="bottom"/>
            <w:tcBorders>
              <w:bottom w:val="single" w:sz="8" w:color="CCEEFF"/>
            </w:tcBorders>
          </w:tcPr>
          <w:p>
            <w:pPr>
              <w:spacing w:after="0"/>
              <w:rPr>
                <w:sz w:val="17"/>
                <w:szCs w:val="17"/>
                <w:color w:val="auto"/>
              </w:rPr>
            </w:pPr>
          </w:p>
        </w:tc>
      </w:tr>
      <w:tr>
        <w:trPr>
          <w:trHeight w:val="143"/>
        </w:trPr>
        <w:tc>
          <w:tcPr>
            <w:tcW w:w="5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r>
    </w:tbl>
    <w:p>
      <w:pPr>
        <w:spacing w:after="0" w:line="1" w:lineRule="exact"/>
        <w:rPr>
          <w:sz w:val="20"/>
          <w:szCs w:val="20"/>
          <w:color w:val="auto"/>
        </w:rPr>
      </w:pPr>
    </w:p>
    <w:p>
      <w:pPr>
        <w:sectPr>
          <w:pgSz w:w="11900" w:h="16838" w:orient="portrait"/>
          <w:cols w:equalWidth="0" w:num="1">
            <w:col w:w="9019"/>
          </w:cols>
          <w:pgMar w:left="1440" w:top="512" w:right="1440" w:bottom="1440" w:gutter="0" w:footer="0" w:header="0"/>
        </w:sectPr>
      </w:pPr>
    </w:p>
    <w:p>
      <w:pPr>
        <w:ind w:left="60"/>
        <w:spacing w:after="0"/>
        <w:rPr>
          <w:sz w:val="20"/>
          <w:szCs w:val="20"/>
          <w:color w:val="auto"/>
        </w:rPr>
      </w:pPr>
      <w:r>
        <w:rPr>
          <w:rFonts w:ascii="Arial" w:cs="Arial" w:eastAsia="Arial" w:hAnsi="Arial"/>
          <w:sz w:val="14"/>
          <w:szCs w:val="14"/>
          <w:b w:val="1"/>
          <w:bCs w:val="1"/>
          <w:color w:val="auto"/>
        </w:rPr>
        <w:t>Supplemental disclosure of cash and non-cash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5648960"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20574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Reduction of ROU asset and lease liability due to non-cash lease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modification</w:t>
      </w:r>
    </w:p>
    <w:p>
      <w:pPr>
        <w:ind w:left="180"/>
        <w:spacing w:after="0" w:line="235" w:lineRule="auto"/>
        <w:rPr>
          <w:sz w:val="20"/>
          <w:szCs w:val="20"/>
          <w:color w:val="auto"/>
        </w:rPr>
      </w:pPr>
      <w:r>
        <w:rPr>
          <w:rFonts w:ascii="Arial" w:cs="Arial" w:eastAsia="Arial" w:hAnsi="Arial"/>
          <w:sz w:val="14"/>
          <w:szCs w:val="14"/>
          <w:color w:val="auto"/>
        </w:rPr>
        <w:t>Cash paid for income tax</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tabs>
          <w:tab w:leader="none" w:pos="1980" w:val="left"/>
        </w:tabs>
        <w:rPr>
          <w:sz w:val="20"/>
          <w:szCs w:val="20"/>
          <w:color w:val="auto"/>
        </w:rPr>
      </w:pPr>
      <w:r>
        <w:rPr>
          <w:rFonts w:ascii="Arial" w:cs="Arial" w:eastAsia="Arial" w:hAnsi="Arial"/>
          <w:sz w:val="14"/>
          <w:szCs w:val="14"/>
          <w:b w:val="1"/>
          <w:bCs w:val="1"/>
          <w:color w:val="auto"/>
        </w:rPr>
        <w:t>3,892</w:t>
      </w:r>
      <w:r>
        <w:rPr>
          <w:sz w:val="20"/>
          <w:szCs w:val="20"/>
          <w:color w:val="auto"/>
        </w:rPr>
        <w:tab/>
      </w:r>
      <w:r>
        <w:rPr>
          <w:rFonts w:ascii="Arial" w:cs="Arial" w:eastAsia="Arial" w:hAnsi="Arial"/>
          <w:sz w:val="14"/>
          <w:szCs w:val="14"/>
          <w:b w:val="1"/>
          <w:bCs w:val="1"/>
          <w:color w:val="auto"/>
        </w:rPr>
        <w:t>—</w:t>
      </w:r>
    </w:p>
    <w:p>
      <w:pPr>
        <w:spacing w:after="0" w:line="11" w:lineRule="exact"/>
        <w:rPr>
          <w:sz w:val="20"/>
          <w:szCs w:val="20"/>
          <w:color w:val="auto"/>
        </w:rPr>
      </w:pPr>
    </w:p>
    <w:p>
      <w:pPr>
        <w:jc w:val="both"/>
        <w:ind w:left="220"/>
        <w:spacing w:after="0"/>
        <w:tabs>
          <w:tab w:leader="none" w:pos="196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13</w:t>
      </w:r>
    </w:p>
    <w:p>
      <w:pPr>
        <w:spacing w:after="0" w:line="1" w:lineRule="exact"/>
        <w:rPr>
          <w:sz w:val="20"/>
          <w:szCs w:val="20"/>
          <w:color w:val="auto"/>
        </w:rPr>
      </w:pPr>
    </w:p>
    <w:p>
      <w:pPr>
        <w:sectPr>
          <w:pgSz w:w="11900" w:h="16838" w:orient="portrait"/>
          <w:cols w:equalWidth="0" w:num="2">
            <w:col w:w="5680" w:space="720"/>
            <w:col w:w="2619"/>
          </w:cols>
          <w:pgMar w:left="1440" w:top="512" w:right="1440" w:bottom="1440" w:gutter="0" w:footer="0" w:header="0"/>
          <w:type w:val="continuous"/>
        </w:sectPr>
      </w:pPr>
    </w:p>
    <w:tbl>
      <w:tblPr>
        <w:tblLayout w:type="fixed"/>
        <w:tblInd w:w="40" w:type="dxa"/>
        <w:tblCellMar>
          <w:top w:w="0" w:type="dxa"/>
          <w:left w:w="0" w:type="dxa"/>
          <w:bottom w:w="0" w:type="dxa"/>
          <w:right w:w="0" w:type="dxa"/>
        </w:tblCellMar>
      </w:tblPr>
      <w:tr>
        <w:trPr>
          <w:trHeight w:val="183"/>
        </w:trPr>
        <w:tc>
          <w:tcPr>
            <w:tcW w:w="524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3,892</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4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Stock issued in connection with the Acquisition</w:t>
            </w:r>
          </w:p>
        </w:tc>
        <w:tc>
          <w:tcPr>
            <w:tcW w:w="60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15,154</w:t>
            </w:r>
          </w:p>
        </w:tc>
        <w:tc>
          <w:tcPr>
            <w:tcW w:w="3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ind w:left="120"/>
              <w:spacing w:after="0"/>
              <w:rPr>
                <w:sz w:val="20"/>
                <w:szCs w:val="20"/>
                <w:color w:val="auto"/>
              </w:rPr>
            </w:pPr>
            <w:r>
              <w:rPr>
                <w:rFonts w:ascii="Arial" w:cs="Arial" w:eastAsia="Arial" w:hAnsi="Arial"/>
                <w:sz w:val="14"/>
                <w:szCs w:val="14"/>
                <w:color w:val="auto"/>
              </w:rPr>
              <w:t>Landlord paid leasehold improvements</w:t>
            </w:r>
          </w:p>
        </w:tc>
        <w:tc>
          <w:tcPr>
            <w:tcW w:w="6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40" w:type="dxa"/>
            <w:vAlign w:val="bottom"/>
            <w:vMerge w:val="continue"/>
          </w:tcPr>
          <w:p>
            <w:pPr>
              <w:spacing w:after="0"/>
              <w:rPr>
                <w:sz w:val="12"/>
                <w:szCs w:val="12"/>
                <w:color w:val="auto"/>
              </w:rPr>
            </w:pPr>
          </w:p>
        </w:tc>
        <w:tc>
          <w:tcPr>
            <w:tcW w:w="600" w:type="dxa"/>
            <w:vAlign w:val="bottom"/>
            <w:tcBorders>
              <w:top w:val="single" w:sz="8" w:color="auto"/>
              <w:bottom w:val="single" w:sz="8" w:color="auto"/>
            </w:tcBorders>
          </w:tcPr>
          <w:p>
            <w:pPr>
              <w:jc w:val="right"/>
              <w:ind w:right="448"/>
              <w:spacing w:after="0" w:line="143"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408"/>
              <w:spacing w:after="0" w:line="143" w:lineRule="exact"/>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934</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34"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1—Organization and description of the business</w:t>
      </w:r>
    </w:p>
    <w:p>
      <w:pPr>
        <w:spacing w:after="0" w:line="173"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Century Therapeutics, Inc. (the “Company”) is an innovative biotechnology company developing transformative allogeneic cell therapies to create products for the treatment of both solid tumor and hematological malignancies and autoimmune diseases with significant unmet medical need. Since inception, the Company has devoted substantially all of its time and efforts to performing research and development activities, building infrastructure and raising capital. The Company is incorporated in the state of Delaware.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Principles of Consolidation</w:t>
      </w:r>
    </w:p>
    <w:p>
      <w:pPr>
        <w:spacing w:after="0" w:line="210" w:lineRule="exact"/>
        <w:rPr>
          <w:sz w:val="20"/>
          <w:szCs w:val="20"/>
          <w:color w:val="auto"/>
        </w:rPr>
      </w:pPr>
    </w:p>
    <w:p>
      <w:pPr>
        <w:ind w:left="60" w:right="399"/>
        <w:spacing w:after="0" w:line="247" w:lineRule="auto"/>
        <w:rPr>
          <w:sz w:val="20"/>
          <w:szCs w:val="20"/>
          <w:color w:val="auto"/>
        </w:rPr>
      </w:pPr>
      <w:r>
        <w:rPr>
          <w:rFonts w:ascii="Arial" w:cs="Arial" w:eastAsia="Arial" w:hAnsi="Arial"/>
          <w:sz w:val="18"/>
          <w:szCs w:val="18"/>
          <w:color w:val="auto"/>
        </w:rPr>
        <w:t>The consolidated financial statements include the consolidated financial position and consolidated results of operations of the Company and the Company’s subsidiaries, Century Therapeutics Canada ULC (“Century Canada”), Clade Therapeutics (“Clade”) and Gadeta B.V. (“Gadeta”). All intercompany balances and transactions have been eliminated in consolidation.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169"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biotechnology and pharmaceutical industries. These risks include, but are not limited to, the uncertainty of availability of additional financing and the uncertainty of achieving future profitability.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Since inception, the Company has incurred negative cash flows from operations and net losses in most periods.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During the three and nine months ended September 30, 2025, the Company recognized a net loss of $34,422</w:t>
      </w:r>
    </w:p>
    <w:p>
      <w:pPr>
        <w:ind w:left="60"/>
        <w:spacing w:after="0" w:line="234" w:lineRule="auto"/>
        <w:rPr>
          <w:sz w:val="20"/>
          <w:szCs w:val="20"/>
          <w:color w:val="auto"/>
        </w:rPr>
      </w:pPr>
      <w:r>
        <w:rPr>
          <w:rFonts w:ascii="Arial" w:cs="Arial" w:eastAsia="Arial" w:hAnsi="Arial"/>
          <w:sz w:val="18"/>
          <w:szCs w:val="18"/>
          <w:color w:val="auto"/>
        </w:rPr>
        <w:t>and net income of $9,591, respectively, with the net income in the nine month period driven primarily by</w:t>
      </w:r>
    </w:p>
    <w:p>
      <w:pPr>
        <w:ind w:left="60"/>
        <w:spacing w:after="0" w:line="235" w:lineRule="auto"/>
        <w:rPr>
          <w:sz w:val="20"/>
          <w:szCs w:val="20"/>
          <w:color w:val="auto"/>
        </w:rPr>
      </w:pPr>
      <w:r>
        <w:rPr>
          <w:rFonts w:ascii="Arial" w:cs="Arial" w:eastAsia="Arial" w:hAnsi="Arial"/>
          <w:sz w:val="18"/>
          <w:szCs w:val="18"/>
          <w:color w:val="auto"/>
        </w:rPr>
        <w:t>$109,164 of collaboration revenue recognized during the first quarter upon the termination of the collaboration</w:t>
      </w:r>
    </w:p>
    <w:p>
      <w:pPr>
        <w:ind w:left="60"/>
        <w:spacing w:after="0" w:line="235" w:lineRule="auto"/>
        <w:rPr>
          <w:sz w:val="20"/>
          <w:szCs w:val="20"/>
          <w:color w:val="auto"/>
        </w:rPr>
      </w:pPr>
      <w:r>
        <w:rPr>
          <w:rFonts w:ascii="Arial" w:cs="Arial" w:eastAsia="Arial" w:hAnsi="Arial"/>
          <w:sz w:val="18"/>
          <w:szCs w:val="18"/>
          <w:color w:val="auto"/>
        </w:rPr>
        <w:t>agreement with Bristol-Myers Squibb (Note 7). During the nine months ended September 30, 2025, the</w:t>
      </w:r>
    </w:p>
    <w:p>
      <w:pPr>
        <w:ind w:left="60"/>
        <w:spacing w:after="0" w:line="235" w:lineRule="auto"/>
        <w:rPr>
          <w:sz w:val="20"/>
          <w:szCs w:val="20"/>
          <w:color w:val="auto"/>
        </w:rPr>
      </w:pPr>
      <w:r>
        <w:rPr>
          <w:rFonts w:ascii="Arial" w:cs="Arial" w:eastAsia="Arial" w:hAnsi="Arial"/>
          <w:sz w:val="18"/>
          <w:szCs w:val="18"/>
          <w:color w:val="auto"/>
        </w:rPr>
        <w:t>Company used $87,799 of cash in operations. Cash and cash equivalents and investments were $132,748 at</w:t>
      </w:r>
    </w:p>
    <w:p>
      <w:pPr>
        <w:ind w:left="60"/>
        <w:spacing w:after="0" w:line="235" w:lineRule="auto"/>
        <w:rPr>
          <w:sz w:val="20"/>
          <w:szCs w:val="20"/>
          <w:color w:val="auto"/>
        </w:rPr>
      </w:pPr>
      <w:r>
        <w:rPr>
          <w:rFonts w:ascii="Arial" w:cs="Arial" w:eastAsia="Arial" w:hAnsi="Arial"/>
          <w:sz w:val="18"/>
          <w:szCs w:val="18"/>
          <w:color w:val="auto"/>
        </w:rPr>
        <w:t>September 30, 2025. Management expects to incur additional losses in the future to fund its operations and</w:t>
      </w:r>
    </w:p>
    <w:p>
      <w:pPr>
        <w:ind w:left="60"/>
        <w:spacing w:after="0" w:line="234" w:lineRule="auto"/>
        <w:rPr>
          <w:sz w:val="20"/>
          <w:szCs w:val="20"/>
          <w:color w:val="auto"/>
        </w:rPr>
      </w:pPr>
      <w:r>
        <w:rPr>
          <w:rFonts w:ascii="Arial" w:cs="Arial" w:eastAsia="Arial" w:hAnsi="Arial"/>
          <w:sz w:val="18"/>
          <w:szCs w:val="18"/>
          <w:color w:val="auto"/>
        </w:rPr>
        <w:t>conduct product research and preclinical and clinical development and recognizes the need to raise additional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capital to fully implement its business plan. The Company believes it has adequate cash and financial resources</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operate for at least the next 12 months from the date of issuance of these consolidated financial statements.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2—Summary of significant accounting policies and basis of presentation</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169"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(“U.S. GAAP”) for interim financial information and with the interim period reporting requirements of Form 10-Q and Article 10 of Regulation S-X. The consolidated balance sheet as of September 30, 2025, the consolidated statements of operations and comprehensive income (loss) and consolidated statements of changes in stockholders’ equity for the three and nine months ended September 30, 2025 and 2024, and the consolidated statements of cash flows for the nine months ended September 30, 2025 and 2024, are unaudited, but, in the opinion of management, include all adjustments, consisting only of normal recurring adjustments, which the Company considers necessary for a fair presentation of the financial position, operating results and cash flows for the periods presented. The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results for any interim period are not necessarily indicative of results for the year ending December 31, 2025 or for any other subsequent interim period. The consolidated balance sheet at December 31, 2024 has been derived from the Company’s audited consolidated financial statements.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w:t>
      </w:r>
    </w:p>
    <w:p>
      <w:pPr>
        <w:spacing w:after="0" w:line="183"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the estimation of the incremental borrowing rate for operating leases, sublease income assumptions for right of use asset impairment calculations, intangible assets acquired in business combinations and standalone selling prices of performance obligations in collaboration agreements. If actual results differ from the Company’s estimates, or to the extent these estimates are adjusted in future periods, the Company’s results of operations could either benefit from, or be adversely affected by, any such change in estimate.</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210"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 limited number of financial institutions. At times, such deposits may be in excess of insured limits. As of September 30, 2025 and December 31, 2024, the Company has not experienced any losses on its deposits of cash and cash equivalents.</w:t>
      </w:r>
    </w:p>
    <w:p>
      <w:pPr>
        <w:spacing w:after="0" w:line="138" w:lineRule="exact"/>
        <w:rPr>
          <w:sz w:val="20"/>
          <w:szCs w:val="20"/>
          <w:color w:val="auto"/>
        </w:rPr>
      </w:pPr>
    </w:p>
    <w:p>
      <w:pPr>
        <w:ind w:left="60" w:right="459"/>
        <w:spacing w:after="0" w:line="244"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spacing w:after="0" w:line="149"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Products developed by the Company require clearances from the U.S. Food and Drug Administration (the “FDA”) or other international regulatory agencies prior to commercial sales. There can be no assurance the Company’s future products will receive the necessary clearances. If the Company was denied clearance, clearance was delayed, or if the Company was unable to maintain clearance, it could have a material adverse impact on the Company.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10"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44" w:lineRule="exact"/>
        <w:rPr>
          <w:sz w:val="20"/>
          <w:szCs w:val="20"/>
          <w:color w:val="auto"/>
        </w:rPr>
      </w:pPr>
    </w:p>
    <w:p>
      <w:pPr>
        <w:ind w:left="760" w:right="299" w:hanging="701"/>
        <w:spacing w:after="0" w:line="271" w:lineRule="auto"/>
        <w:rPr>
          <w:sz w:val="20"/>
          <w:szCs w:val="20"/>
          <w:color w:val="auto"/>
        </w:rPr>
      </w:pPr>
      <w:r>
        <w:rPr>
          <w:rFonts w:ascii="Arial" w:cs="Arial" w:eastAsia="Arial" w:hAnsi="Arial"/>
          <w:sz w:val="18"/>
          <w:szCs w:val="18"/>
          <w:color w:val="auto"/>
        </w:rPr>
        <w:t>Level 1 Inputs that reflect unadjusted quoted prices in active markets for identical assets or liabilities that the Company has the ability to access at the measurement date;</w:t>
      </w:r>
    </w:p>
    <w:p>
      <w:pPr>
        <w:spacing w:after="0" w:line="113" w:lineRule="exact"/>
        <w:rPr>
          <w:sz w:val="20"/>
          <w:szCs w:val="20"/>
          <w:color w:val="auto"/>
        </w:rPr>
      </w:pPr>
    </w:p>
    <w:p>
      <w:pPr>
        <w:ind w:left="760" w:right="219" w:hanging="701"/>
        <w:spacing w:after="0" w:line="271" w:lineRule="auto"/>
        <w:rPr>
          <w:sz w:val="20"/>
          <w:szCs w:val="20"/>
          <w:color w:val="auto"/>
        </w:rPr>
      </w:pPr>
      <w:r>
        <w:rPr>
          <w:rFonts w:ascii="Arial" w:cs="Arial" w:eastAsia="Arial" w:hAnsi="Arial"/>
          <w:sz w:val="18"/>
          <w:szCs w:val="18"/>
          <w:color w:val="auto"/>
        </w:rPr>
        <w:t>Level 2 Inputs other than quoted prices that are observable for the asset or liability either directly or indirectly, including inputs in markets that are not considered to be active;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60" w:right="179" w:hanging="701"/>
        <w:spacing w:after="0" w:line="271" w:lineRule="auto"/>
        <w:rPr>
          <w:sz w:val="20"/>
          <w:szCs w:val="20"/>
          <w:color w:val="auto"/>
        </w:rPr>
      </w:pPr>
      <w:r>
        <w:rPr>
          <w:rFonts w:ascii="Arial" w:cs="Arial" w:eastAsia="Arial" w:hAnsi="Arial"/>
          <w:sz w:val="18"/>
          <w:szCs w:val="18"/>
          <w:color w:val="auto"/>
        </w:rPr>
        <w:t>Level 3 Inputs are unobservable in which there is little or no market data available, which require the reporting entity to develop its own assumptions that are unobservable.</w:t>
      </w:r>
    </w:p>
    <w:p>
      <w:pPr>
        <w:spacing w:after="0" w:line="113"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183"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Management considers all highly liquid investments with an insignificant interest rate risk and original maturities of three months or less to be cash equivalents.</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w:t>
      </w:r>
    </w:p>
    <w:p>
      <w:pPr>
        <w:spacing w:after="0" w:line="169"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As of September 30, 2025 and December 31, 2024, the Company had $3,159 and $2,772, respectively, in cash on deposit to secure certain lease commitments. Restricted cash is recorded separately in the Company’s consolidated balance sheets.</w:t>
      </w:r>
    </w:p>
    <w:p>
      <w:pPr>
        <w:spacing w:after="0" w:line="142"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auto"/>
        </w:rPr>
        <w:t>The following provides a reconciliation of the Company’s cash, cash equivalents, and restricted cash as reported in the consolidated balance sheets to the amounts reported in the consolidated statements of cash flows: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0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color w:val="auto"/>
              </w:rPr>
              <w:t>September 30, 2025</w:t>
            </w:r>
          </w:p>
        </w:tc>
        <w:tc>
          <w:tcPr>
            <w:tcW w:w="2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ind w:right="174"/>
              <w:spacing w:after="0"/>
              <w:rPr>
                <w:sz w:val="20"/>
                <w:szCs w:val="20"/>
                <w:color w:val="auto"/>
              </w:rPr>
            </w:pPr>
            <w:r>
              <w:rPr>
                <w:rFonts w:ascii="Arial" w:cs="Arial" w:eastAsia="Arial" w:hAnsi="Arial"/>
                <w:sz w:val="14"/>
                <w:szCs w:val="14"/>
                <w:color w:val="auto"/>
              </w:rPr>
              <w:t>December 31, 2024</w:t>
            </w:r>
          </w:p>
        </w:tc>
      </w:tr>
      <w:tr>
        <w:trPr>
          <w:trHeight w:val="196"/>
        </w:trPr>
        <w:tc>
          <w:tcPr>
            <w:tcW w:w="50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55,515</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58,441</w:t>
            </w: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2,314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2,772</w:t>
            </w:r>
          </w:p>
        </w:tc>
      </w:tr>
      <w:tr>
        <w:trPr>
          <w:trHeight w:val="203"/>
        </w:trPr>
        <w:tc>
          <w:tcPr>
            <w:tcW w:w="50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Restricted cash included in prepaid and other current assets</w:t>
            </w: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845</w:t>
            </w:r>
          </w:p>
        </w:tc>
        <w:tc>
          <w:tcPr>
            <w:tcW w:w="2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080" w:type="dxa"/>
            <w:vAlign w:val="bottom"/>
          </w:tcPr>
          <w:p>
            <w:pPr>
              <w:ind w:left="20"/>
              <w:spacing w:after="0" w:line="196" w:lineRule="exact"/>
              <w:rPr>
                <w:sz w:val="20"/>
                <w:szCs w:val="20"/>
                <w:color w:val="auto"/>
              </w:rPr>
            </w:pPr>
            <w:r>
              <w:rPr>
                <w:rFonts w:ascii="Arial" w:cs="Arial" w:eastAsia="Arial" w:hAnsi="Arial"/>
                <w:sz w:val="18"/>
                <w:szCs w:val="18"/>
                <w:color w:val="auto"/>
              </w:rPr>
              <w:t>Cash, cash equivalents, and restricted cash</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58,674</w:t>
            </w:r>
          </w:p>
        </w:tc>
        <w:tc>
          <w:tcPr>
            <w:tcW w:w="26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61,213</w:t>
            </w: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Investments</w:t>
      </w:r>
    </w:p>
    <w:p>
      <w:pPr>
        <w:spacing w:after="0" w:line="169"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Unrealized gains and losses on investments are recorded in other comprehensive income (loss) on the consolidated statements of operations and comprehensive income (loss).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w:t>
      </w:r>
    </w:p>
    <w:p>
      <w:pPr>
        <w:spacing w:after="0" w:line="1" w:lineRule="exact"/>
        <w:rPr>
          <w:sz w:val="20"/>
          <w:szCs w:val="20"/>
          <w:color w:val="auto"/>
        </w:rPr>
      </w:pPr>
    </w:p>
    <w:p>
      <w:pPr>
        <w:ind w:left="60" w:right="899"/>
        <w:spacing w:after="0" w:line="250" w:lineRule="auto"/>
        <w:rPr>
          <w:sz w:val="20"/>
          <w:szCs w:val="20"/>
          <w:color w:val="auto"/>
        </w:rPr>
      </w:pPr>
      <w:r>
        <w:rPr>
          <w:rFonts w:ascii="Arial" w:cs="Arial" w:eastAsia="Arial" w:hAnsi="Arial"/>
          <w:sz w:val="18"/>
          <w:szCs w:val="18"/>
          <w:color w:val="auto"/>
        </w:rPr>
        <w:t>three months that mature within one year of the balance sheet date are classified as short-term, while investments with a maturity date greater than one year are classified as long-term.</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Property and equipment, net</w:t>
      </w:r>
    </w:p>
    <w:p>
      <w:pPr>
        <w:spacing w:after="0" w:line="169"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 Construction in progress includes direct cost related to the construction of leasehold improvements and is stated at original cost. Such costs are not depreciated until the asset is completed and placed into service. Once the asset is placed into service, these capitalized costs will be allocated to leasehold improvements and will be depreciated over the shorter of the asset’s useful life or the remaining term of the lease. Computer software and equipment includes implementation costs for cloud-based software and network equipment.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69"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stock compensation, materials, supplies, rent, depreciation on and maintenance of research equipment with alternative future use, and the cost of services provided by outside contractors. All costs associated with research and development are expensed as incurred.</w:t>
      </w:r>
    </w:p>
    <w:p>
      <w:pPr>
        <w:spacing w:after="0" w:line="17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18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Employees, consultants, and members of the Board of Directors of the Company have received stock options and restricted stock of the Company. The Company recognizes the cost of the stock-based compensation incurred as its employees and board members vest in the awards. The Company accounts for stock-based compensation arrangements in accordance with provisions of Accounting Standards Codification (“ASC”) 718, Compensation—Stock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option-pricing model. The Company uses the Black-Scholes option-pricing model (“Black Scholes”) to determine the fair value of options granted. The Company’s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performance-based awards, the Company reassesses at each reporting date whether achievement of the performance condition is probable and accrues compensation expense if and when achievement of the performance condition is probable.</w:t>
      </w:r>
    </w:p>
    <w:p>
      <w:pPr>
        <w:spacing w:after="0" w:line="188"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Black Scholes requires inputs based on certain subjective assumptions, including (i) the expected stock price volatility, (ii) the expected term of the award, (iii) the risk-free interest rate and (iv) expected dividends. The historical volatility is calculated based on a period of time commensurate with expected term assumption.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Forfeitures are recognized as they occur.</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currency translation</w:t>
      </w:r>
    </w:p>
    <w:p>
      <w:pPr>
        <w:spacing w:after="0" w:line="169"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reporting currency of the Company is the U.S. dollar. The functional currency of Century Canada is the Canadian dollar. The functional currency of Gadeta is the Euro. Assets and liabilities of Century Canada and Gadeta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 consolidated statements of operations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and comprehensive income (loss). The Company has not utilized any foreign currency hedging strategies to mitigate the effect of its foreign currency exposure.</w:t>
      </w:r>
    </w:p>
    <w:p>
      <w:pPr>
        <w:spacing w:after="0" w:line="113"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auto"/>
        </w:rPr>
        <w:t>Intercompany payables and receivables are considered to be long-term in nature and any change in balance due to foreign currency fluctuation is included as a component of the Company’s consolidated comprehensive income (loss) and accumulated other comprehensive income within the Company’s consolidated balance sheets.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Basic and diluted net income (loss) per common share</w:t>
      </w:r>
    </w:p>
    <w:p>
      <w:pPr>
        <w:spacing w:after="0" w:line="169"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Basic net income (loss) per common share is computed by dividing net income (loss) applicable to common shareholders by the weighted-average number of common shares outstanding during the period. The Company computes diluted net income (loss) per common share by dividing the net income (loss) applicable to common shareholders by the sum of the weighted-average number of common shares outstanding during the period plus the potential dilutive effects of its warrants, restricted stock and stock options to purchase common shares, but such items are excluded if their effect is anti-dilutive.</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revenue</w:t>
      </w:r>
    </w:p>
    <w:p>
      <w:pPr>
        <w:spacing w:after="0" w:line="183"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The Company may enter into collaboration and licensing agreements with strategic partners for research and development, manufacturing, and commercialization of its product candidates. Payments under these arrangements may include non-refundable, upfront fees; reimbursement of certain costs; customer option fees for additional goods or services; payments upon the achievement of development, regulatory, and commercial milestones; sales of product at certain agreed-upon amounts; and royalties on product sales.</w:t>
      </w:r>
    </w:p>
    <w:p>
      <w:pPr>
        <w:spacing w:after="0" w:line="136"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The Company recognizes revenue in accordance with ASC Topic 606, Revenue from Contracts with Customers, (“ASC 606”). This standard applies to all contracts with customers. When an agreement falls under the scope of other standards, such as ASC Topic 808, Collaborative Arrangements, or (“ASC 808”), the Company will apply the recognition, measurement, presentation, and disclosure guidance in ASC 606 to the performance obligations in the agreements if those performance obligations are with a customer. Revenue recognized by analogizing to ASC 606 is recorded as collaboration revenue on the statements of operations.</w:t>
      </w:r>
    </w:p>
    <w:p>
      <w:pPr>
        <w:spacing w:after="0" w:line="138"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In determining the appropriate amount of revenue to be recognized as it fulfills its obligations under a collaboration agreement,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on a relative stand-alone selling price basis; and (v) recognition of revenue when (or as) the Company satisfies each performance obligation.</w:t>
      </w:r>
    </w:p>
    <w:p>
      <w:pPr>
        <w:spacing w:after="0" w:line="156" w:lineRule="exact"/>
        <w:rPr>
          <w:sz w:val="20"/>
          <w:szCs w:val="20"/>
          <w:color w:val="auto"/>
        </w:rPr>
      </w:pPr>
    </w:p>
    <w:p>
      <w:pPr>
        <w:ind w:left="60" w:right="159"/>
        <w:spacing w:after="0" w:line="253" w:lineRule="auto"/>
        <w:rPr>
          <w:sz w:val="20"/>
          <w:szCs w:val="20"/>
          <w:color w:val="auto"/>
        </w:rPr>
      </w:pPr>
      <w:r>
        <w:rPr>
          <w:rFonts w:ascii="Arial" w:cs="Arial" w:eastAsia="Arial" w:hAnsi="Arial"/>
          <w:sz w:val="17"/>
          <w:szCs w:val="17"/>
          <w:color w:val="auto"/>
        </w:rPr>
        <w:t>As part of the accounting for these arrangements, the Company must use its judgment to determine the stand-alone selling price for each performance obligation identified in the contract for the allocation of transaction price. The estimation of the stand-alone selling price may include such estimates as forecasted revenues and costs, development timelines, discount rates, and probabilities of regulatory and commercial success. The Company also applies significant judgment when evaluating whether contractual obligations represent distinct performance obligations, allocating transaction price to performance obligations within a contract, determining when performance obligations have been met, assessing the recognition and future reversal of variable consideration and determining and applying appropriate methods of measuring progress for performance obligations satisfied over time. Amounts expected to be recognized as revenue within the 12 months following the balance sheet date are classified as deferred revenue, current. Amounts not expected to be recognized as revenue within the 12 months following the balance sheet date are classified as deferred revenue, non-current.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not determined to represent a material right, no transaction price is allocated to these options and the Company will account for these options at that time they are exercised. If the customer options are determined to represent a material right, the material right is recognized as a separate performance obligation at the outset of the arrangement.</w:t>
      </w:r>
    </w:p>
    <w:p>
      <w:pPr>
        <w:spacing w:after="0" w:line="140" w:lineRule="exact"/>
        <w:rPr>
          <w:sz w:val="20"/>
          <w:szCs w:val="20"/>
          <w:color w:val="auto"/>
        </w:rPr>
      </w:pPr>
    </w:p>
    <w:p>
      <w:pPr>
        <w:ind w:left="60" w:right="159"/>
        <w:spacing w:after="0" w:line="261" w:lineRule="auto"/>
        <w:rPr>
          <w:sz w:val="20"/>
          <w:szCs w:val="20"/>
          <w:color w:val="auto"/>
        </w:rPr>
      </w:pPr>
      <w:r>
        <w:rPr>
          <w:rFonts w:ascii="Arial" w:cs="Arial" w:eastAsia="Arial" w:hAnsi="Arial"/>
          <w:sz w:val="17"/>
          <w:szCs w:val="17"/>
          <w:color w:val="auto"/>
        </w:rPr>
        <w:t>The obligations under the Company’s collaboration agreements may include research and development services to be performed by the Company for or on behalf of the customer. Amounts allocated to these performance obligations are recognized as the Company performs these obligations, and revenue is measured based on an inputs method of costs incurred to date of budgeted costs. Under certain circumstances, the Company may be reimbursed for certain expenses incurred under the research and development services.</w:t>
      </w:r>
    </w:p>
    <w:p>
      <w:pPr>
        <w:spacing w:after="0" w:line="166"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At the inception of each arrangement that includes development milestone 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in the statements of operations in the period of adjustment.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Acquisition-Related Contingent Consideration</w:t>
      </w:r>
    </w:p>
    <w:p>
      <w:pPr>
        <w:spacing w:after="0" w:line="21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Acquisition-related contingent consideration consist of our future obligation owed to shareholders of Clade and Gadeta and includes contingent milestone payments, earn out considerations, and indemnification obligations. Acquisition-related contingent consideration was recorded on the acquisition date at the estimated fair value of the obligation, in accordance with the acquisition method of accounting. The fair value measurement is based on significant inputs that are unobservable in the market and thus represents a Level 3 fair value measurement. The fair value of the acquisition-related contingent considerations are remeasured each reporting period, with changes in fair value recorded in the consolidated statements of operations and comprehensive income (loss) with general and administrative expense.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Business Combinations</w:t>
      </w:r>
    </w:p>
    <w:p>
      <w:pPr>
        <w:spacing w:after="0" w:line="21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The Company accounts for business combinations using the acquisition method of accounting in accordance with ASC 805, Business Combinations. Identifiable assets acquired and liabilities assumed are recorded at their acquisition date fair values. The excess of the fair value of purchase consideration over the fair values of the identifiable assets and liabilities is recorded as goodwill. Acquisition related costs are expensed as incurred. Upon acquisition, the accounts and results of operations are consolidated as of and subsequent to the acquisition date.</w:t>
      </w:r>
    </w:p>
    <w:p>
      <w:pPr>
        <w:spacing w:after="0" w:line="179"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When determining the fair values of assets acquired and liabilities assumed, management makes significant estimates and assumptions, especially with respect to intangible assets. The Company utilizes commonly accepted valuation techniques, such as the income approach in establishing the fair value of intangible assets. See “Note 3 – Business combination” for additional detail.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Intangible Assets</w:t>
      </w:r>
    </w:p>
    <w:p>
      <w:pPr>
        <w:spacing w:after="0" w:line="21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Indefinite-lived intangibles are carried at the initially recorded fair value less any recognized impairment. Indefinite-lived intangibles are tested at least annually for impairment. Impairment assessments are conducted more frequently if certain conditions exist, including a change in the competitive landscape, any internal decisions to pursue new or different technology strategies, or a significant change in the marketplace, including changes in the size of the market for the Company’s products. In performing the impairment test, the Company estimates the fair value of the indefinite-lived intangible asset and compares it to the carrying value. If they carrying value exceeds the estimated fair value, the Company records an impairment loss for the difference. For the three and nine months ended September 30, 2025, there were no impairment charges. For further discussion of identified intangible assets, see “Note 3 – Business combination”.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In July 2025, the FASB issued ASU 2025-05, “Financial Instruments - Credit Losses (Topic 326): Measurement of Credit Losses for Accounts Receivable and Contract Assets”. The ASU provides a practical expedient to assume that conditions as of the balance sheet date remain unchanged over the life of the asset when estimating expected credit losses for current accounts receivable and current contract assets arising from transactions accounted for under Topic 606. This guidance is effective for annual reporting periods beginning after December 15, 2025, and for interim periods within those annual reporting periods, with early adoption permitted. The amendments in ASU 2025-05 should be applied prospectively. The Company is currently evaluating the impact of this ASU and believes that the adoption will not have a material impact on the Company’s consolidated financial statements and related disclosures.</w:t>
      </w:r>
    </w:p>
    <w:p>
      <w:pPr>
        <w:spacing w:after="0" w:line="18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November 2024, the Financial Accounting Standards Board (“FASB”) issued Accounting Standards Update (“ASU”) 2024-03, Income Statement-Reporting Comprehensive Income-Expense Disaggregation Disclosures (Subtopic 220-40) (“ASU 2024-03”). The ASU includes enhanced disclosure requirements, which mandate transparency in financial statements by requiring detailed disclosures of specific expenses like inventory purchases, employee compensation, depreciation, and intangible asset amortization. In January 2025, the FASB issued ASU 2025-01, Income Statement – Reporting Comprehensive Income – Expense Disaggregation Disclosures (Subtopic 220-40) An Amendment of the FASB Accounting Standards Codification (“ASC”), Clarifying the Effective Date, which clarifies that public business entities are required to adopt the ASU 2024-03 guidance in annual reporting periods beginning after December 15, 2026. And interim reporting periods within annual reporting periods beginning after December 15, 2027. Early adoption is permitted. The Company is currently evaluating the impact of adopting this pronouncement on the Company’s consolidated financial statements and disclosures.</w:t>
      </w:r>
    </w:p>
    <w:p>
      <w:pPr>
        <w:spacing w:after="0" w:line="18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 presented. The Company has not early adopted this ASU and is currently examining the potential impact it will have. However, the Company does not expect it to impact results of operations, cash flows, or financial condition and should only impact certain income tax disclosures.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3</w:t>
      </w:r>
      <w:r>
        <w:rPr>
          <w:rFonts w:ascii="Arial" w:cs="Arial" w:eastAsia="Arial" w:hAnsi="Arial"/>
          <w:sz w:val="17"/>
          <w:szCs w:val="17"/>
          <w:color w:val="auto"/>
        </w:rPr>
        <w:t>—</w:t>
      </w:r>
      <w:r>
        <w:rPr>
          <w:rFonts w:ascii="Arial" w:cs="Arial" w:eastAsia="Arial" w:hAnsi="Arial"/>
          <w:sz w:val="22"/>
          <w:szCs w:val="22"/>
          <w:color w:val="auto"/>
        </w:rPr>
        <w:t>Business combination</w:t>
      </w:r>
    </w:p>
    <w:p>
      <w:pPr>
        <w:spacing w:after="0" w:line="214" w:lineRule="exact"/>
        <w:rPr>
          <w:sz w:val="20"/>
          <w:szCs w:val="20"/>
          <w:color w:val="auto"/>
        </w:rPr>
      </w:pPr>
    </w:p>
    <w:p>
      <w:pPr>
        <w:ind w:left="60" w:right="139"/>
        <w:spacing w:after="0" w:line="241" w:lineRule="auto"/>
        <w:rPr>
          <w:sz w:val="20"/>
          <w:szCs w:val="20"/>
          <w:color w:val="auto"/>
        </w:rPr>
      </w:pPr>
      <w:r>
        <w:rPr>
          <w:rFonts w:ascii="Arial" w:cs="Arial" w:eastAsia="Arial" w:hAnsi="Arial"/>
          <w:sz w:val="18"/>
          <w:szCs w:val="18"/>
          <w:color w:val="auto"/>
        </w:rPr>
        <w:t>On April 11, 2024, the Company acquired 100% of Clade, a privately held biotechnology company focused on discovering and delivering engineerable, off-the-shelf, scalable, and consistent stem cell-based medicines, with a focus on iPSC-derived αβ T cells. The acquisition expanded the Company’s pipeline by</w:t>
      </w:r>
    </w:p>
    <w:p>
      <w:pPr>
        <w:spacing w:after="0" w:line="2" w:lineRule="exact"/>
        <w:rPr>
          <w:sz w:val="20"/>
          <w:szCs w:val="20"/>
          <w:color w:val="auto"/>
        </w:rPr>
      </w:pPr>
    </w:p>
    <w:p>
      <w:pPr>
        <w:jc w:val="both"/>
        <w:ind w:left="60" w:right="239"/>
        <w:spacing w:after="0"/>
        <w:rPr>
          <w:sz w:val="20"/>
          <w:szCs w:val="20"/>
          <w:color w:val="auto"/>
        </w:rPr>
      </w:pPr>
      <w:r>
        <w:rPr>
          <w:rFonts w:ascii="Arial" w:cs="Arial" w:eastAsia="Arial" w:hAnsi="Arial"/>
          <w:sz w:val="18"/>
          <w:szCs w:val="18"/>
          <w:color w:val="auto"/>
        </w:rPr>
        <w:t>incorporating three additional preclinical-stage programs from Clade’s αβ iT platform spanning across cancer and autoimmune diseases. The results of Clade’s operations have been included in the consolidated financial statements since that date. A total of 3,741,646 common shares were issued to the Clade stockholders on the date of close, which were valued based on the closing price of common stock on that date.</w:t>
      </w:r>
    </w:p>
    <w:p>
      <w:pPr>
        <w:spacing w:after="0" w:line="18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Contingent consideration was estimated at fair value on the date of the close and consists of both additional stock consideration (“Holdback Shares”) as well as a contingent milestone payment of $10,000 (“Clade Milestone”). The Holdback Shares totaled 784,128 shares of common stock consideration that were issued and delivered to the Clade shareholders on October 15, 2025. This contingent consideration was recorded at fair value as of the closing date, based on the closing stock price on that date, adjusted for a discount for lack of marketability, and totaled $2,600. Contingent consideration also includes the Clade Milestone, which consists of one potential clinical development milestone payment of $10,000, which may be paid in cash, shares, or a combination thereof, upon the achievement of the milestone. The fair value of this contingent consideration was estimated based on the probability of milestone achievement, and an estimated discount rate, and totaled $8,883 on the date of acquisition.</w:t>
      </w:r>
    </w:p>
    <w:p>
      <w:pPr>
        <w:spacing w:after="0" w:line="180"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The Company recognized $895 of acquisition-related costs during the nine months ended September 30, 2024, which were expensed as incurred in the consolidated statement of operations. No such expenses were recorded during the nine months ended September 30, 2025.</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The following table summarizes the fair values of the assets acquired and liabilities assumed at the date of the acquisition:</w:t>
      </w:r>
    </w:p>
    <w:p>
      <w:pPr>
        <w:spacing w:after="0" w:line="14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Consideration transferred:</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03"/>
        </w:trPr>
        <w:tc>
          <w:tcPr>
            <w:tcW w:w="6740" w:type="dxa"/>
            <w:vAlign w:val="bottom"/>
          </w:tcPr>
          <w:p>
            <w:pPr>
              <w:ind w:left="100"/>
              <w:spacing w:after="0" w:line="202" w:lineRule="exact"/>
              <w:rPr>
                <w:sz w:val="20"/>
                <w:szCs w:val="20"/>
                <w:color w:val="auto"/>
              </w:rPr>
            </w:pPr>
            <w:r>
              <w:rPr>
                <w:rFonts w:ascii="Arial" w:cs="Arial" w:eastAsia="Arial" w:hAnsi="Arial"/>
                <w:sz w:val="18"/>
                <w:szCs w:val="18"/>
                <w:color w:val="auto"/>
              </w:rPr>
              <w:t>Cash consideration</w:t>
            </w:r>
          </w:p>
        </w:tc>
        <w:tc>
          <w:tcPr>
            <w:tcW w:w="820" w:type="dxa"/>
            <w:vAlign w:val="bottom"/>
            <w:gridSpan w:val="2"/>
          </w:tcPr>
          <w:p>
            <w:pPr>
              <w:jc w:val="right"/>
              <w:ind w:right="647"/>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14,854</w:t>
            </w:r>
          </w:p>
        </w:tc>
      </w:tr>
      <w:tr>
        <w:trPr>
          <w:trHeight w:val="203"/>
        </w:trPr>
        <w:tc>
          <w:tcPr>
            <w:tcW w:w="6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Fair value of common stock (3,741,646 at closing price of $4.05)</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15,154</w:t>
            </w:r>
          </w:p>
        </w:tc>
      </w:tr>
      <w:tr>
        <w:trPr>
          <w:trHeight w:val="203"/>
        </w:trPr>
        <w:tc>
          <w:tcPr>
            <w:tcW w:w="674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Contingent consideration</w:t>
            </w:r>
          </w:p>
        </w:tc>
        <w:tc>
          <w:tcPr>
            <w:tcW w:w="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9,722</w:t>
            </w:r>
          </w:p>
        </w:tc>
      </w:tr>
      <w:tr>
        <w:trPr>
          <w:trHeight w:val="196"/>
        </w:trPr>
        <w:tc>
          <w:tcPr>
            <w:tcW w:w="674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consideration transferred</w:t>
            </w:r>
          </w:p>
        </w:tc>
        <w:tc>
          <w:tcPr>
            <w:tcW w:w="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39,730</w:t>
            </w: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3"/>
        </w:trPr>
        <w:tc>
          <w:tcPr>
            <w:tcW w:w="6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3"/>
        </w:trPr>
        <w:tc>
          <w:tcPr>
            <w:tcW w:w="6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Assets acquired:</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03"/>
        </w:trPr>
        <w:tc>
          <w:tcPr>
            <w:tcW w:w="6740" w:type="dxa"/>
            <w:vAlign w:val="bottom"/>
          </w:tcPr>
          <w:p>
            <w:pPr>
              <w:ind w:left="100"/>
              <w:spacing w:after="0" w:line="202" w:lineRule="exact"/>
              <w:rPr>
                <w:sz w:val="20"/>
                <w:szCs w:val="20"/>
                <w:color w:val="auto"/>
              </w:rPr>
            </w:pPr>
            <w:r>
              <w:rPr>
                <w:rFonts w:ascii="Arial" w:cs="Arial" w:eastAsia="Arial" w:hAnsi="Arial"/>
                <w:sz w:val="18"/>
                <w:szCs w:val="18"/>
                <w:color w:val="auto"/>
              </w:rPr>
              <w:t>Cash and restricted cash</w:t>
            </w:r>
          </w:p>
        </w:tc>
        <w:tc>
          <w:tcPr>
            <w:tcW w:w="820" w:type="dxa"/>
            <w:vAlign w:val="bottom"/>
            <w:gridSpan w:val="2"/>
          </w:tcPr>
          <w:p>
            <w:pPr>
              <w:jc w:val="right"/>
              <w:ind w:right="647"/>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5,246</w:t>
            </w:r>
          </w:p>
        </w:tc>
      </w:tr>
      <w:tr>
        <w:trPr>
          <w:trHeight w:val="203"/>
        </w:trPr>
        <w:tc>
          <w:tcPr>
            <w:tcW w:w="6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w:t>
            </w:r>
          </w:p>
        </w:tc>
      </w:tr>
      <w:tr>
        <w:trPr>
          <w:trHeight w:val="203"/>
        </w:trPr>
        <w:tc>
          <w:tcPr>
            <w:tcW w:w="6740" w:type="dxa"/>
            <w:vAlign w:val="bottom"/>
          </w:tcPr>
          <w:p>
            <w:pPr>
              <w:ind w:left="100"/>
              <w:spacing w:after="0" w:line="202" w:lineRule="exact"/>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2,652</w:t>
            </w:r>
          </w:p>
        </w:tc>
      </w:tr>
      <w:tr>
        <w:trPr>
          <w:trHeight w:val="203"/>
        </w:trPr>
        <w:tc>
          <w:tcPr>
            <w:tcW w:w="6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Right-of-use operating lease</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8,065</w:t>
            </w:r>
          </w:p>
        </w:tc>
      </w:tr>
      <w:tr>
        <w:trPr>
          <w:trHeight w:val="203"/>
        </w:trPr>
        <w:tc>
          <w:tcPr>
            <w:tcW w:w="6740" w:type="dxa"/>
            <w:vAlign w:val="bottom"/>
          </w:tcPr>
          <w:p>
            <w:pPr>
              <w:ind w:left="100"/>
              <w:spacing w:after="0" w:line="202" w:lineRule="exact"/>
              <w:rPr>
                <w:sz w:val="20"/>
                <w:szCs w:val="20"/>
                <w:color w:val="auto"/>
              </w:rPr>
            </w:pPr>
            <w:r>
              <w:rPr>
                <w:rFonts w:ascii="Arial" w:cs="Arial" w:eastAsia="Arial" w:hAnsi="Arial"/>
                <w:sz w:val="18"/>
                <w:szCs w:val="18"/>
                <w:color w:val="auto"/>
              </w:rPr>
              <w:t>In-process research and development ("IPR&amp;D")</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34,200</w:t>
            </w:r>
          </w:p>
        </w:tc>
      </w:tr>
      <w:tr>
        <w:trPr>
          <w:trHeight w:val="203"/>
        </w:trPr>
        <w:tc>
          <w:tcPr>
            <w:tcW w:w="6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4,327</w:t>
            </w:r>
          </w:p>
        </w:tc>
      </w:tr>
      <w:tr>
        <w:trPr>
          <w:trHeight w:val="236"/>
        </w:trPr>
        <w:tc>
          <w:tcPr>
            <w:tcW w:w="674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assets acquired</w:t>
            </w:r>
          </w:p>
        </w:tc>
        <w:tc>
          <w:tcPr>
            <w:tcW w:w="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54,890</w:t>
            </w:r>
          </w:p>
        </w:tc>
      </w:tr>
      <w:tr>
        <w:trPr>
          <w:trHeight w:val="183"/>
        </w:trPr>
        <w:tc>
          <w:tcPr>
            <w:tcW w:w="6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03"/>
        </w:trPr>
        <w:tc>
          <w:tcPr>
            <w:tcW w:w="6740" w:type="dxa"/>
            <w:vAlign w:val="bottom"/>
          </w:tcPr>
          <w:p>
            <w:pPr>
              <w:ind w:left="100"/>
              <w:spacing w:after="0" w:line="202" w:lineRule="exact"/>
              <w:rPr>
                <w:sz w:val="20"/>
                <w:szCs w:val="20"/>
                <w:color w:val="auto"/>
              </w:rPr>
            </w:pPr>
            <w:r>
              <w:rPr>
                <w:rFonts w:ascii="Arial" w:cs="Arial" w:eastAsia="Arial" w:hAnsi="Arial"/>
                <w:sz w:val="18"/>
                <w:szCs w:val="18"/>
                <w:color w:val="auto"/>
              </w:rPr>
              <w:t>Liabilities assumed:</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6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820" w:type="dxa"/>
            <w:vAlign w:val="bottom"/>
            <w:gridSpan w:val="2"/>
            <w:shd w:val="clear" w:color="auto" w:fill="CCEEFF"/>
          </w:tcPr>
          <w:p>
            <w:pPr>
              <w:jc w:val="right"/>
              <w:ind w:right="647"/>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868</w:t>
            </w:r>
          </w:p>
        </w:tc>
      </w:tr>
      <w:tr>
        <w:trPr>
          <w:trHeight w:val="203"/>
        </w:trPr>
        <w:tc>
          <w:tcPr>
            <w:tcW w:w="6740" w:type="dxa"/>
            <w:vAlign w:val="bottom"/>
          </w:tcPr>
          <w:p>
            <w:pPr>
              <w:ind w:left="1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2,352</w:t>
            </w:r>
          </w:p>
        </w:tc>
      </w:tr>
      <w:tr>
        <w:trPr>
          <w:trHeight w:val="203"/>
        </w:trPr>
        <w:tc>
          <w:tcPr>
            <w:tcW w:w="6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Lease liabilities - operating lease</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8,065</w:t>
            </w:r>
          </w:p>
        </w:tc>
      </w:tr>
      <w:tr>
        <w:trPr>
          <w:trHeight w:val="203"/>
        </w:trPr>
        <w:tc>
          <w:tcPr>
            <w:tcW w:w="6740" w:type="dxa"/>
            <w:vAlign w:val="bottom"/>
          </w:tcPr>
          <w:p>
            <w:pPr>
              <w:ind w:left="100"/>
              <w:spacing w:after="0" w:line="202" w:lineRule="exact"/>
              <w:rPr>
                <w:sz w:val="20"/>
                <w:szCs w:val="20"/>
                <w:color w:val="auto"/>
              </w:rPr>
            </w:pPr>
            <w:r>
              <w:rPr>
                <w:rFonts w:ascii="Arial" w:cs="Arial" w:eastAsia="Arial" w:hAnsi="Arial"/>
                <w:sz w:val="18"/>
                <w:szCs w:val="18"/>
                <w:color w:val="auto"/>
              </w:rPr>
              <w:t>Contingent consideration</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372</w:t>
            </w:r>
          </w:p>
        </w:tc>
      </w:tr>
      <w:tr>
        <w:trPr>
          <w:trHeight w:val="203"/>
        </w:trPr>
        <w:tc>
          <w:tcPr>
            <w:tcW w:w="6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Deferred tax liability</w:t>
            </w:r>
          </w:p>
        </w:tc>
        <w:tc>
          <w:tcPr>
            <w:tcW w:w="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3,503</w:t>
            </w:r>
          </w:p>
        </w:tc>
      </w:tr>
      <w:tr>
        <w:trPr>
          <w:trHeight w:val="196"/>
        </w:trPr>
        <w:tc>
          <w:tcPr>
            <w:tcW w:w="674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liabilities assumed</w:t>
            </w:r>
          </w:p>
        </w:tc>
        <w:tc>
          <w:tcPr>
            <w:tcW w:w="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15,160</w:t>
            </w:r>
          </w:p>
        </w:tc>
      </w:tr>
      <w:tr>
        <w:trPr>
          <w:trHeight w:val="196"/>
        </w:trPr>
        <w:tc>
          <w:tcPr>
            <w:tcW w:w="6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r>
      <w:tr>
        <w:trPr>
          <w:trHeight w:val="196"/>
        </w:trPr>
        <w:tc>
          <w:tcPr>
            <w:tcW w:w="6740" w:type="dxa"/>
            <w:vAlign w:val="bottom"/>
          </w:tcPr>
          <w:p>
            <w:pPr>
              <w:ind w:left="100"/>
              <w:spacing w:after="0" w:line="196" w:lineRule="exact"/>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39,730</w:t>
            </w: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212529"/>
        </w:rPr>
        <w:t>As of December 31, 2024, the purchase price was final and changes from the preliminary purchase price were immaterial. The purchase price was allocated to the tangible assets and identifiable intangible assets acquired and liabilities assumed based on their acquisition date estimated fair values. The identifiable intangible assets consist of IPR&amp;D which were assigned fair values of $34,200. The fair value of the IPR&amp;D was estimated using the multi-period excess earnings method, which the Company estimates future cash flows attributable to the technology and applies a probability of success and a discount rate of 26.9%.</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212529"/>
        </w:rPr>
        <w:t>These nonrecurring fair value measurements are Level 3 measurements within the fair value hierarchy.</w:t>
      </w:r>
    </w:p>
    <w:p>
      <w:pPr>
        <w:spacing w:after="0" w:line="212"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212529"/>
        </w:rPr>
        <w:t>Goodwill represents the excess of the purchase price over the net identifiable tangible and intangible assets acquired. The Company believes the goodwill related to the acquisition was attributable to the expected synergies and value of the assembled workforce as well as the collective experience of the management team with regards to its operations. The goodwill is not expected to be tax deductible.</w:t>
      </w:r>
    </w:p>
    <w:p>
      <w:pPr>
        <w:spacing w:after="0" w:line="174"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color w:val="212529"/>
        </w:rPr>
        <w:t>As of December 31, 2024, given the sustained decrease of the Company’s market capitalization, the carrying value of the single, entity-wide reporting unit exceeded its fair value, and accordingly, the Company recorded a goodwill impairment charge of $4,327 to write off the goodwill balance.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4—Financial instruments and fair value measurements</w:t>
      </w:r>
    </w:p>
    <w:p>
      <w:pPr>
        <w:spacing w:after="0" w:line="173"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following table sets forth the Company’s assets that were measured at fair value as of September 30, 2025 by level within the fair value hierarchy:</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66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color w:val="auto"/>
              </w:rPr>
              <w:t>Level 1</w:t>
            </w:r>
          </w:p>
        </w:tc>
        <w:tc>
          <w:tcPr>
            <w:tcW w:w="2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color w:val="auto"/>
              </w:rPr>
              <w:t>Level 2</w:t>
            </w:r>
          </w:p>
        </w:tc>
        <w:tc>
          <w:tcPr>
            <w:tcW w:w="2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color w:val="auto"/>
              </w:rPr>
              <w:t>Level 3</w:t>
            </w:r>
          </w:p>
        </w:tc>
        <w:tc>
          <w:tcPr>
            <w:tcW w:w="2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3"/>
        </w:trPr>
        <w:tc>
          <w:tcPr>
            <w:tcW w:w="36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Cash equivalents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49,734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49,734</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U.S. Treasury</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17,997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17,997</w:t>
            </w: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59,237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59,237</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49,734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77,234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126,968</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Contingent consideration, short-term</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8,338</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8,338</w:t>
            </w: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Contingent consideration, long-term</w:t>
            </w:r>
          </w:p>
        </w:tc>
        <w:tc>
          <w:tcPr>
            <w:tcW w:w="20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784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9,122</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9,122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119"/>
        <w:spacing w:after="0" w:line="271" w:lineRule="auto"/>
        <w:rPr>
          <w:sz w:val="20"/>
          <w:szCs w:val="20"/>
          <w:color w:val="auto"/>
        </w:rPr>
      </w:pPr>
      <w:r>
        <w:rPr>
          <w:rFonts w:ascii="Arial" w:cs="Arial" w:eastAsia="Arial" w:hAnsi="Arial"/>
          <w:sz w:val="18"/>
          <w:szCs w:val="18"/>
          <w:color w:val="auto"/>
        </w:rPr>
        <w:t>The following table sets forth the Company’s assets that were measured at fair value as of December 31, 2024, by level within the fair value hierarchy:</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66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color w:val="auto"/>
              </w:rPr>
              <w:t>Level 1</w:t>
            </w:r>
          </w:p>
        </w:tc>
        <w:tc>
          <w:tcPr>
            <w:tcW w:w="2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color w:val="auto"/>
              </w:rPr>
              <w:t>Level 2</w:t>
            </w:r>
          </w:p>
        </w:tc>
        <w:tc>
          <w:tcPr>
            <w:tcW w:w="2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color w:val="auto"/>
              </w:rPr>
              <w:t>Level 3</w:t>
            </w:r>
          </w:p>
        </w:tc>
        <w:tc>
          <w:tcPr>
            <w:tcW w:w="2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color w:val="auto"/>
              </w:rPr>
              <w:t>Total</w:t>
            </w:r>
          </w:p>
        </w:tc>
      </w:tr>
      <w:tr>
        <w:trPr>
          <w:trHeight w:val="196"/>
        </w:trPr>
        <w:tc>
          <w:tcPr>
            <w:tcW w:w="3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50,884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50,884</w:t>
            </w: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U.S. Treasury</w:t>
            </w:r>
          </w:p>
        </w:tc>
        <w:tc>
          <w:tcPr>
            <w:tcW w:w="20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29,994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29,994</w:t>
            </w:r>
          </w:p>
        </w:tc>
      </w:tr>
      <w:tr>
        <w:trPr>
          <w:trHeight w:val="203"/>
        </w:trPr>
        <w:tc>
          <w:tcPr>
            <w:tcW w:w="3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131,675</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131,675</w:t>
            </w:r>
          </w:p>
        </w:tc>
      </w:tr>
      <w:tr>
        <w:trPr>
          <w:trHeight w:val="236"/>
        </w:trPr>
        <w:tc>
          <w:tcPr>
            <w:tcW w:w="366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50,884</w:t>
            </w:r>
          </w:p>
        </w:tc>
        <w:tc>
          <w:tcPr>
            <w:tcW w:w="2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161,669</w:t>
            </w:r>
          </w:p>
        </w:tc>
        <w:tc>
          <w:tcPr>
            <w:tcW w:w="2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212,553</w:t>
            </w:r>
          </w:p>
        </w:tc>
      </w:tr>
      <w:tr>
        <w:trPr>
          <w:trHeight w:val="183"/>
        </w:trPr>
        <w:tc>
          <w:tcPr>
            <w:tcW w:w="36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Contingent consideration</w:t>
            </w:r>
          </w:p>
        </w:tc>
        <w:tc>
          <w:tcPr>
            <w:tcW w:w="20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8,738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8,738</w:t>
            </w:r>
          </w:p>
        </w:tc>
      </w:tr>
      <w:tr>
        <w:trPr>
          <w:trHeight w:val="196"/>
        </w:trPr>
        <w:tc>
          <w:tcPr>
            <w:tcW w:w="36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8,738</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8,738</w:t>
            </w:r>
          </w:p>
        </w:tc>
      </w:tr>
      <w:tr>
        <w:trPr>
          <w:trHeight w:val="20"/>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219"/>
        <w:spacing w:after="0" w:line="253" w:lineRule="auto"/>
        <w:rPr>
          <w:sz w:val="20"/>
          <w:szCs w:val="20"/>
          <w:color w:val="auto"/>
        </w:rPr>
      </w:pPr>
      <w:r>
        <w:rPr>
          <w:rFonts w:ascii="Arial" w:cs="Arial" w:eastAsia="Arial" w:hAnsi="Arial"/>
          <w:sz w:val="18"/>
          <w:szCs w:val="18"/>
          <w:color w:val="auto"/>
        </w:rPr>
        <w:t>There were no transfers between levels during the period ended September 30, 2025. The Company uses the services of its investment manager, which uses widely accepted models for assumptions in valuing securities with inputs from major third-party data providers.</w:t>
      </w:r>
    </w:p>
    <w:p>
      <w:pPr>
        <w:spacing w:after="0" w:line="169" w:lineRule="exact"/>
        <w:rPr>
          <w:sz w:val="20"/>
          <w:szCs w:val="20"/>
          <w:color w:val="auto"/>
        </w:rPr>
      </w:pPr>
    </w:p>
    <w:p>
      <w:pPr>
        <w:ind w:left="60" w:right="799"/>
        <w:spacing w:after="0" w:line="271" w:lineRule="auto"/>
        <w:rPr>
          <w:sz w:val="20"/>
          <w:szCs w:val="20"/>
          <w:color w:val="auto"/>
        </w:rPr>
      </w:pPr>
      <w:r>
        <w:rPr>
          <w:rFonts w:ascii="Arial" w:cs="Arial" w:eastAsia="Arial" w:hAnsi="Arial"/>
          <w:sz w:val="18"/>
          <w:szCs w:val="18"/>
          <w:color w:val="auto"/>
        </w:rPr>
        <w:t>The Company classifies all of its investments in fixed maturity debt securities as available-for-sale and, accordingly, are carried at estimated fair value.</w:t>
      </w:r>
    </w:p>
    <w:p>
      <w:pPr>
        <w:spacing w:after="0" w:line="154"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September 30, 2025:</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0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tcPr>
          <w:p>
            <w:pPr>
              <w:ind w:left="380"/>
              <w:spacing w:after="0"/>
              <w:rPr>
                <w:sz w:val="20"/>
                <w:szCs w:val="20"/>
                <w:color w:val="auto"/>
              </w:rPr>
            </w:pPr>
            <w:r>
              <w:rPr>
                <w:rFonts w:ascii="Arial" w:cs="Arial" w:eastAsia="Arial" w:hAnsi="Arial"/>
                <w:sz w:val="14"/>
                <w:szCs w:val="14"/>
                <w:color w:val="auto"/>
              </w:rPr>
              <w:t>Gross</w:t>
            </w: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Gross</w:t>
            </w: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r>
      <w:tr>
        <w:trPr>
          <w:trHeight w:val="162"/>
        </w:trPr>
        <w:tc>
          <w:tcPr>
            <w:tcW w:w="4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Unrealized</w:t>
            </w:r>
          </w:p>
        </w:tc>
        <w:tc>
          <w:tcPr>
            <w:tcW w:w="18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Amortized Cost</w:t>
            </w:r>
          </w:p>
        </w:tc>
        <w:tc>
          <w:tcPr>
            <w:tcW w:w="20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Gains</w:t>
            </w:r>
          </w:p>
        </w:tc>
        <w:tc>
          <w:tcPr>
            <w:tcW w:w="1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Losses</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Fair Value</w:t>
            </w: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U.S. Treasury</w:t>
            </w: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17,989</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17,997</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59,129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59,237</w:t>
            </w:r>
          </w:p>
        </w:tc>
      </w:tr>
      <w:tr>
        <w:trPr>
          <w:trHeight w:val="196"/>
        </w:trPr>
        <w:tc>
          <w:tcPr>
            <w:tcW w:w="40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77,118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77,234</w:t>
            </w:r>
          </w:p>
        </w:tc>
      </w:tr>
      <w:tr>
        <w:trPr>
          <w:trHeight w:val="20"/>
        </w:trPr>
        <w:tc>
          <w:tcPr>
            <w:tcW w:w="4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December 31, 2024:</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0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tcPr>
          <w:p>
            <w:pPr>
              <w:ind w:left="380"/>
              <w:spacing w:after="0"/>
              <w:rPr>
                <w:sz w:val="20"/>
                <w:szCs w:val="20"/>
                <w:color w:val="auto"/>
              </w:rPr>
            </w:pPr>
            <w:r>
              <w:rPr>
                <w:rFonts w:ascii="Arial" w:cs="Arial" w:eastAsia="Arial" w:hAnsi="Arial"/>
                <w:sz w:val="14"/>
                <w:szCs w:val="14"/>
                <w:color w:val="auto"/>
              </w:rPr>
              <w:t>Gross</w:t>
            </w: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tcPr>
          <w:p>
            <w:pPr>
              <w:ind w:left="360"/>
              <w:spacing w:after="0"/>
              <w:rPr>
                <w:sz w:val="20"/>
                <w:szCs w:val="20"/>
                <w:color w:val="auto"/>
              </w:rPr>
            </w:pPr>
            <w:r>
              <w:rPr>
                <w:rFonts w:ascii="Arial" w:cs="Arial" w:eastAsia="Arial" w:hAnsi="Arial"/>
                <w:sz w:val="14"/>
                <w:szCs w:val="14"/>
                <w:color w:val="auto"/>
              </w:rPr>
              <w:t>Gross</w:t>
            </w: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Amortized Cost</w:t>
            </w:r>
          </w:p>
        </w:tc>
        <w:tc>
          <w:tcPr>
            <w:tcW w:w="20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Gains</w:t>
            </w:r>
          </w:p>
        </w:tc>
        <w:tc>
          <w:tcPr>
            <w:tcW w:w="2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Losses</w:t>
            </w:r>
          </w:p>
        </w:tc>
        <w:tc>
          <w:tcPr>
            <w:tcW w:w="22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Fair Value</w:t>
            </w:r>
          </w:p>
        </w:tc>
      </w:tr>
      <w:tr>
        <w:trPr>
          <w:trHeight w:val="196"/>
        </w:trPr>
        <w:tc>
          <w:tcPr>
            <w:tcW w:w="40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U.S. Treasury</w:t>
            </w: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29,898</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29,994</w:t>
            </w:r>
          </w:p>
        </w:tc>
        <w:tc>
          <w:tcPr>
            <w:tcW w:w="20" w:type="dxa"/>
            <w:vAlign w:val="bottom"/>
          </w:tcPr>
          <w:p>
            <w:pPr>
              <w:spacing w:after="0"/>
              <w:rPr>
                <w:sz w:val="17"/>
                <w:szCs w:val="17"/>
                <w:color w:val="auto"/>
              </w:rPr>
            </w:pPr>
          </w:p>
        </w:tc>
      </w:tr>
      <w:tr>
        <w:trPr>
          <w:trHeight w:val="203"/>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131,395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316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(36)</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131,675</w:t>
            </w:r>
          </w:p>
        </w:tc>
        <w:tc>
          <w:tcPr>
            <w:tcW w:w="20" w:type="dxa"/>
            <w:vAlign w:val="bottom"/>
          </w:tcPr>
          <w:p>
            <w:pPr>
              <w:spacing w:after="0"/>
              <w:rPr>
                <w:sz w:val="17"/>
                <w:szCs w:val="17"/>
                <w:color w:val="auto"/>
              </w:rPr>
            </w:pPr>
          </w:p>
        </w:tc>
      </w:tr>
      <w:tr>
        <w:trPr>
          <w:trHeight w:val="196"/>
        </w:trPr>
        <w:tc>
          <w:tcPr>
            <w:tcW w:w="40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161,293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161,669</w:t>
            </w:r>
          </w:p>
        </w:tc>
        <w:tc>
          <w:tcPr>
            <w:tcW w:w="20" w:type="dxa"/>
            <w:vAlign w:val="bottom"/>
          </w:tcPr>
          <w:p>
            <w:pPr>
              <w:spacing w:after="0"/>
              <w:rPr>
                <w:sz w:val="17"/>
                <w:szCs w:val="17"/>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3"/>
        </w:trPr>
        <w:tc>
          <w:tcPr>
            <w:tcW w:w="4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47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3"/>
        </w:trPr>
        <w:tc>
          <w:tcPr>
            <w:tcW w:w="4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the maturities of our fixed maturity available-for-sale securities: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0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color w:val="auto"/>
              </w:rPr>
              <w:t>September 30, 2025</w:t>
            </w:r>
          </w:p>
        </w:tc>
        <w:tc>
          <w:tcPr>
            <w:tcW w:w="22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color w:val="auto"/>
              </w:rPr>
              <w:t>December 31, 2024</w:t>
            </w:r>
          </w:p>
        </w:tc>
      </w:tr>
      <w:tr>
        <w:trPr>
          <w:trHeight w:val="196"/>
        </w:trPr>
        <w:tc>
          <w:tcPr>
            <w:tcW w:w="50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Less than one year</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77,234</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130,851</w:t>
            </w: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One to five years</w:t>
            </w:r>
          </w:p>
        </w:tc>
        <w:tc>
          <w:tcPr>
            <w:tcW w:w="140" w:type="dxa"/>
            <w:vAlign w:val="bottom"/>
          </w:tcPr>
          <w:p>
            <w:pPr>
              <w:spacing w:after="0"/>
              <w:rPr>
                <w:sz w:val="17"/>
                <w:szCs w:val="17"/>
                <w:color w:val="auto"/>
              </w:rPr>
            </w:pPr>
          </w:p>
        </w:tc>
        <w:tc>
          <w:tcPr>
            <w:tcW w:w="18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30,818</w:t>
            </w:r>
          </w:p>
        </w:tc>
      </w:tr>
      <w:tr>
        <w:trPr>
          <w:trHeight w:val="196"/>
        </w:trPr>
        <w:tc>
          <w:tcPr>
            <w:tcW w:w="50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77,234</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161,669</w:t>
            </w:r>
          </w:p>
        </w:tc>
      </w:tr>
    </w:tbl>
    <w:p>
      <w:pPr>
        <w:spacing w:after="0" w:line="184"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17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At September 30, 2025 and December 31, 2024, the Company had 26 and 27 available-for-sale investment debt securities in an unrealized loss position without an allowance for credit losses, respectively. Unrealized losses on corporate debt securities have not been recognized into income because the issuers’ bonds are of high credit quality (rated BBB+ or higher) and the decline in fair value is largely due to market conditions and or changes in interest rates. Management does not intend to sell and it is likely that management will not be required to sell the securities prior to the anticipated recovery of their amortized cost basis. The issuers continue to make timely payments on the bonds. The fair value is expected to recover as the bonds approach maturity.</w:t>
      </w:r>
    </w:p>
    <w:p>
      <w:pPr>
        <w:spacing w:after="0" w:line="180"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As of September 30, 2025 and December 31, 2024, accrued interest receivable on available-for-sale investment debt securities totaling $484 and $1,254, respectively, is excluded from the estimate of credit losses and is included in prepaid expenses and other current assets.</w:t>
      </w:r>
    </w:p>
    <w:p>
      <w:pPr>
        <w:spacing w:after="0" w:line="169"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following is a rollforward of the components of the Company’s contingent consideration liability (See Note 8 – Commitments and contingencies):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Gadeta</w:t>
            </w:r>
          </w:p>
        </w:tc>
        <w:tc>
          <w:tcPr>
            <w:tcW w:w="20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Holdback Shares</w:t>
            </w:r>
          </w:p>
        </w:tc>
        <w:tc>
          <w:tcPr>
            <w:tcW w:w="20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Milestone</w:t>
            </w:r>
          </w:p>
        </w:tc>
        <w:tc>
          <w:tcPr>
            <w:tcW w:w="20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Total</w:t>
            </w:r>
          </w:p>
        </w:tc>
      </w:tr>
      <w:tr>
        <w:trPr>
          <w:trHeight w:val="196"/>
        </w:trPr>
        <w:tc>
          <w:tcPr>
            <w:tcW w:w="30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as of December 31, 2024</w:t>
            </w: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413</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625</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7,700</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8,738</w:t>
            </w:r>
          </w:p>
        </w:tc>
      </w:tr>
      <w:tr>
        <w:trPr>
          <w:trHeight w:val="203"/>
        </w:trPr>
        <w:tc>
          <w:tcPr>
            <w:tcW w:w="3060" w:type="dxa"/>
            <w:vAlign w:val="bottom"/>
          </w:tcPr>
          <w:p>
            <w:pPr>
              <w:ind w:left="20"/>
              <w:spacing w:after="0" w:line="202" w:lineRule="exact"/>
              <w:rPr>
                <w:sz w:val="20"/>
                <w:szCs w:val="20"/>
                <w:color w:val="auto"/>
              </w:rPr>
            </w:pPr>
            <w:r>
              <w:rPr>
                <w:rFonts w:ascii="Arial" w:cs="Arial" w:eastAsia="Arial" w:hAnsi="Arial"/>
                <w:sz w:val="18"/>
                <w:szCs w:val="18"/>
                <w:color w:val="auto"/>
              </w:rPr>
              <w:t>Changes in fair value</w:t>
            </w: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(254)</w:t>
            </w: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638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384</w:t>
            </w:r>
          </w:p>
        </w:tc>
      </w:tr>
      <w:tr>
        <w:trPr>
          <w:trHeight w:val="196"/>
        </w:trPr>
        <w:tc>
          <w:tcPr>
            <w:tcW w:w="30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as of September 30, 2025</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8,338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9,122</w:t>
            </w:r>
          </w:p>
        </w:tc>
      </w:tr>
      <w:tr>
        <w:trPr>
          <w:trHeight w:val="20"/>
        </w:trPr>
        <w:tc>
          <w:tcPr>
            <w:tcW w:w="3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659"/>
        <w:spacing w:after="0" w:line="275" w:lineRule="auto"/>
        <w:rPr>
          <w:sz w:val="20"/>
          <w:szCs w:val="20"/>
          <w:color w:val="auto"/>
        </w:rPr>
      </w:pPr>
      <w:r>
        <w:rPr>
          <w:rFonts w:ascii="Arial" w:cs="Arial" w:eastAsia="Arial" w:hAnsi="Arial"/>
          <w:sz w:val="17"/>
          <w:szCs w:val="17"/>
          <w:color w:val="auto"/>
        </w:rPr>
        <w:t>The change in fair value is recorded as general and administrative expense. The following table includes quantitative information about the significant unobservable inputs for the components of the Company’s contingent consideration liability as of September 30, 2025, and December 31, 2024, respectively:</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3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2"/>
          </w:tcPr>
          <w:p>
            <w:pPr>
              <w:ind w:left="40"/>
              <w:spacing w:after="0"/>
              <w:rPr>
                <w:sz w:val="20"/>
                <w:szCs w:val="20"/>
                <w:color w:val="auto"/>
              </w:rPr>
            </w:pPr>
            <w:r>
              <w:rPr>
                <w:rFonts w:ascii="Arial" w:cs="Arial" w:eastAsia="Arial" w:hAnsi="Arial"/>
                <w:sz w:val="18"/>
                <w:szCs w:val="18"/>
                <w:color w:val="auto"/>
              </w:rPr>
              <w:t>September 30, 2025</w:t>
            </w:r>
          </w:p>
        </w:tc>
        <w:tc>
          <w:tcPr>
            <w:tcW w:w="220" w:type="dxa"/>
            <w:vAlign w:val="bottom"/>
          </w:tcPr>
          <w:p>
            <w:pPr>
              <w:spacing w:after="0"/>
              <w:rPr>
                <w:sz w:val="19"/>
                <w:szCs w:val="19"/>
                <w:color w:val="auto"/>
              </w:rPr>
            </w:pPr>
          </w:p>
        </w:tc>
        <w:tc>
          <w:tcPr>
            <w:tcW w:w="1900" w:type="dxa"/>
            <w:vAlign w:val="bottom"/>
            <w:gridSpan w:val="2"/>
          </w:tcPr>
          <w:p>
            <w:pPr>
              <w:ind w:left="40"/>
              <w:spacing w:after="0"/>
              <w:rPr>
                <w:sz w:val="20"/>
                <w:szCs w:val="20"/>
                <w:color w:val="auto"/>
              </w:rPr>
            </w:pPr>
            <w:r>
              <w:rPr>
                <w:rFonts w:ascii="Arial" w:cs="Arial" w:eastAsia="Arial" w:hAnsi="Arial"/>
                <w:sz w:val="18"/>
                <w:szCs w:val="18"/>
                <w:color w:val="auto"/>
              </w:rPr>
              <w:t>December 31, 2024</w:t>
            </w:r>
          </w:p>
        </w:tc>
      </w:tr>
      <w:tr>
        <w:trPr>
          <w:trHeight w:val="196"/>
        </w:trPr>
        <w:tc>
          <w:tcPr>
            <w:tcW w:w="37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Gadeta Earnout:</w:t>
            </w:r>
          </w:p>
        </w:tc>
        <w:tc>
          <w:tcPr>
            <w:tcW w:w="6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720" w:type="dxa"/>
            <w:vAlign w:val="bottom"/>
          </w:tcPr>
          <w:p>
            <w:pPr>
              <w:ind w:left="20"/>
              <w:spacing w:after="0" w:line="202" w:lineRule="exact"/>
              <w:rPr>
                <w:sz w:val="20"/>
                <w:szCs w:val="20"/>
                <w:color w:val="auto"/>
              </w:rPr>
            </w:pPr>
            <w:r>
              <w:rPr>
                <w:rFonts w:ascii="Arial" w:cs="Arial" w:eastAsia="Arial" w:hAnsi="Arial"/>
                <w:sz w:val="18"/>
                <w:szCs w:val="18"/>
                <w:color w:val="auto"/>
              </w:rPr>
              <w:t>Probability adjusted value of payment</w:t>
            </w: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940" w:type="dxa"/>
            <w:vAlign w:val="bottom"/>
          </w:tcPr>
          <w:p>
            <w:pPr>
              <w:jc w:val="right"/>
              <w:spacing w:after="0" w:line="202" w:lineRule="exact"/>
              <w:rPr>
                <w:sz w:val="20"/>
                <w:szCs w:val="20"/>
                <w:color w:val="auto"/>
              </w:rPr>
            </w:pPr>
            <w:r>
              <w:rPr>
                <w:rFonts w:ascii="Arial" w:cs="Arial" w:eastAsia="Arial" w:hAnsi="Arial"/>
                <w:sz w:val="18"/>
                <w:szCs w:val="18"/>
                <w:color w:val="auto"/>
              </w:rPr>
              <w:t>1,060</w:t>
            </w:r>
          </w:p>
        </w:tc>
        <w:tc>
          <w:tcPr>
            <w:tcW w:w="26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w w:val="97"/>
              </w:rPr>
              <w:t>1,060</w:t>
            </w:r>
          </w:p>
        </w:tc>
        <w:tc>
          <w:tcPr>
            <w:tcW w:w="20" w:type="dxa"/>
            <w:vAlign w:val="bottom"/>
          </w:tcPr>
          <w:p>
            <w:pPr>
              <w:spacing w:after="0"/>
              <w:rPr>
                <w:sz w:val="17"/>
                <w:szCs w:val="17"/>
                <w:color w:val="auto"/>
              </w:rPr>
            </w:pPr>
          </w:p>
        </w:tc>
      </w:tr>
      <w:tr>
        <w:trPr>
          <w:trHeight w:val="203"/>
        </w:trPr>
        <w:tc>
          <w:tcPr>
            <w:tcW w:w="3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Discount rate</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20" w:type="dxa"/>
            <w:vAlign w:val="bottom"/>
          </w:tcPr>
          <w:p>
            <w:pPr>
              <w:spacing w:after="0"/>
              <w:rPr>
                <w:sz w:val="17"/>
                <w:szCs w:val="17"/>
                <w:color w:val="auto"/>
              </w:rPr>
            </w:pPr>
          </w:p>
        </w:tc>
      </w:tr>
      <w:tr>
        <w:trPr>
          <w:trHeight w:val="203"/>
        </w:trPr>
        <w:tc>
          <w:tcPr>
            <w:tcW w:w="3720" w:type="dxa"/>
            <w:vAlign w:val="bottom"/>
          </w:tcPr>
          <w:p>
            <w:pPr>
              <w:ind w:left="20"/>
              <w:spacing w:after="0" w:line="202" w:lineRule="exact"/>
              <w:rPr>
                <w:sz w:val="20"/>
                <w:szCs w:val="20"/>
                <w:color w:val="auto"/>
              </w:rPr>
            </w:pPr>
            <w:r>
              <w:rPr>
                <w:rFonts w:ascii="Arial" w:cs="Arial" w:eastAsia="Arial" w:hAnsi="Arial"/>
                <w:sz w:val="18"/>
                <w:szCs w:val="18"/>
                <w:color w:val="auto"/>
              </w:rPr>
              <w:t>Discount period (years)</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w w:val="95"/>
              </w:rPr>
              <w:t>8.1</w:t>
            </w:r>
          </w:p>
        </w:tc>
        <w:tc>
          <w:tcPr>
            <w:tcW w:w="20" w:type="dxa"/>
            <w:vAlign w:val="bottom"/>
          </w:tcPr>
          <w:p>
            <w:pPr>
              <w:spacing w:after="0"/>
              <w:rPr>
                <w:sz w:val="17"/>
                <w:szCs w:val="17"/>
                <w:color w:val="auto"/>
              </w:rPr>
            </w:pPr>
          </w:p>
        </w:tc>
      </w:tr>
      <w:tr>
        <w:trPr>
          <w:trHeight w:val="203"/>
        </w:trPr>
        <w:tc>
          <w:tcPr>
            <w:tcW w:w="3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720" w:type="dxa"/>
            <w:vAlign w:val="bottom"/>
          </w:tcPr>
          <w:p>
            <w:pPr>
              <w:ind w:left="20"/>
              <w:spacing w:after="0" w:line="202" w:lineRule="exact"/>
              <w:rPr>
                <w:sz w:val="20"/>
                <w:szCs w:val="20"/>
                <w:color w:val="auto"/>
              </w:rPr>
            </w:pPr>
            <w:r>
              <w:rPr>
                <w:rFonts w:ascii="Arial" w:cs="Arial" w:eastAsia="Arial" w:hAnsi="Arial"/>
                <w:sz w:val="18"/>
                <w:szCs w:val="18"/>
                <w:color w:val="auto"/>
              </w:rPr>
              <w:t>Holdback Shares</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Closing stock price on valuation date</w:t>
            </w: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0.50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1.01</w:t>
            </w:r>
          </w:p>
        </w:tc>
        <w:tc>
          <w:tcPr>
            <w:tcW w:w="20" w:type="dxa"/>
            <w:vAlign w:val="bottom"/>
          </w:tcPr>
          <w:p>
            <w:pPr>
              <w:spacing w:after="0"/>
              <w:rPr>
                <w:sz w:val="17"/>
                <w:szCs w:val="17"/>
                <w:color w:val="auto"/>
              </w:rPr>
            </w:pPr>
          </w:p>
        </w:tc>
      </w:tr>
      <w:tr>
        <w:trPr>
          <w:trHeight w:val="203"/>
        </w:trPr>
        <w:tc>
          <w:tcPr>
            <w:tcW w:w="3720" w:type="dxa"/>
            <w:vAlign w:val="bottom"/>
          </w:tcPr>
          <w:p>
            <w:pPr>
              <w:ind w:left="20"/>
              <w:spacing w:after="0" w:line="202" w:lineRule="exact"/>
              <w:rPr>
                <w:sz w:val="20"/>
                <w:szCs w:val="20"/>
                <w:color w:val="auto"/>
              </w:rPr>
            </w:pPr>
            <w:r>
              <w:rPr>
                <w:rFonts w:ascii="Arial" w:cs="Arial" w:eastAsia="Arial" w:hAnsi="Arial"/>
                <w:sz w:val="18"/>
                <w:szCs w:val="18"/>
                <w:color w:val="auto"/>
              </w:rPr>
              <w:t>Discount for lack of marketability</w:t>
            </w: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940" w:type="dxa"/>
            <w:vAlign w:val="bottom"/>
          </w:tcPr>
          <w:p>
            <w:pPr>
              <w:jc w:val="center"/>
              <w:spacing w:after="0" w:line="202" w:lineRule="exact"/>
              <w:rPr>
                <w:sz w:val="20"/>
                <w:szCs w:val="20"/>
                <w:color w:val="auto"/>
              </w:rPr>
            </w:pPr>
            <w:r>
              <w:rPr>
                <w:rFonts w:ascii="Arial" w:cs="Arial" w:eastAsia="Arial" w:hAnsi="Arial"/>
                <w:sz w:val="18"/>
                <w:szCs w:val="18"/>
                <w:color w:val="auto"/>
                <w:w w:val="97"/>
              </w:rPr>
              <w:t>(0.03)</w:t>
            </w:r>
          </w:p>
        </w:tc>
        <w:tc>
          <w:tcPr>
            <w:tcW w:w="26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rPr>
              <w:t>(0.22)</w:t>
            </w:r>
          </w:p>
        </w:tc>
        <w:tc>
          <w:tcPr>
            <w:tcW w:w="20" w:type="dxa"/>
            <w:vAlign w:val="bottom"/>
          </w:tcPr>
          <w:p>
            <w:pPr>
              <w:spacing w:after="0"/>
              <w:rPr>
                <w:sz w:val="17"/>
                <w:szCs w:val="17"/>
                <w:color w:val="auto"/>
              </w:rPr>
            </w:pPr>
          </w:p>
        </w:tc>
      </w:tr>
      <w:tr>
        <w:trPr>
          <w:trHeight w:val="203"/>
        </w:trPr>
        <w:tc>
          <w:tcPr>
            <w:tcW w:w="3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3720" w:type="dxa"/>
            <w:vAlign w:val="bottom"/>
          </w:tcPr>
          <w:p>
            <w:pPr>
              <w:ind w:left="20"/>
              <w:spacing w:after="0" w:line="202" w:lineRule="exact"/>
              <w:rPr>
                <w:sz w:val="20"/>
                <w:szCs w:val="20"/>
                <w:color w:val="auto"/>
              </w:rPr>
            </w:pPr>
            <w:r>
              <w:rPr>
                <w:rFonts w:ascii="Arial" w:cs="Arial" w:eastAsia="Arial" w:hAnsi="Arial"/>
                <w:sz w:val="18"/>
                <w:szCs w:val="18"/>
                <w:color w:val="auto"/>
              </w:rPr>
              <w:t>Clade Milestone:</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Probability adjusted value of payments</w:t>
            </w: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9,000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9,000</w:t>
            </w:r>
          </w:p>
        </w:tc>
        <w:tc>
          <w:tcPr>
            <w:tcW w:w="20" w:type="dxa"/>
            <w:vAlign w:val="bottom"/>
          </w:tcPr>
          <w:p>
            <w:pPr>
              <w:spacing w:after="0"/>
              <w:rPr>
                <w:sz w:val="17"/>
                <w:szCs w:val="17"/>
                <w:color w:val="auto"/>
              </w:rPr>
            </w:pPr>
          </w:p>
        </w:tc>
      </w:tr>
      <w:tr>
        <w:trPr>
          <w:trHeight w:val="203"/>
        </w:trPr>
        <w:tc>
          <w:tcPr>
            <w:tcW w:w="3720" w:type="dxa"/>
            <w:vAlign w:val="bottom"/>
          </w:tcPr>
          <w:p>
            <w:pPr>
              <w:ind w:left="20"/>
              <w:spacing w:after="0" w:line="202" w:lineRule="exact"/>
              <w:rPr>
                <w:sz w:val="20"/>
                <w:szCs w:val="20"/>
                <w:color w:val="auto"/>
              </w:rPr>
            </w:pPr>
            <w:r>
              <w:rPr>
                <w:rFonts w:ascii="Arial" w:cs="Arial" w:eastAsia="Arial" w:hAnsi="Arial"/>
                <w:sz w:val="18"/>
                <w:szCs w:val="18"/>
                <w:color w:val="auto"/>
              </w:rPr>
              <w:t>Discount rate</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c>
          <w:tcPr>
            <w:tcW w:w="20" w:type="dxa"/>
            <w:vAlign w:val="bottom"/>
          </w:tcPr>
          <w:p>
            <w:pPr>
              <w:spacing w:after="0"/>
              <w:rPr>
                <w:sz w:val="17"/>
                <w:szCs w:val="17"/>
                <w:color w:val="auto"/>
              </w:rPr>
            </w:pPr>
          </w:p>
        </w:tc>
      </w:tr>
      <w:tr>
        <w:trPr>
          <w:trHeight w:val="203"/>
        </w:trPr>
        <w:tc>
          <w:tcPr>
            <w:tcW w:w="3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Discount period (years)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1.6</w:t>
            </w:r>
          </w:p>
        </w:tc>
        <w:tc>
          <w:tcPr>
            <w:tcW w:w="20" w:type="dxa"/>
            <w:vAlign w:val="bottom"/>
          </w:tcPr>
          <w:p>
            <w:pPr>
              <w:spacing w:after="0"/>
              <w:rPr>
                <w:sz w:val="17"/>
                <w:szCs w:val="17"/>
                <w:color w:val="auto"/>
              </w:rPr>
            </w:pPr>
          </w:p>
        </w:tc>
      </w:tr>
      <w:tr>
        <w:trPr>
          <w:trHeight w:val="868"/>
        </w:trPr>
        <w:tc>
          <w:tcPr>
            <w:tcW w:w="372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3"/>
        </w:trPr>
        <w:tc>
          <w:tcPr>
            <w:tcW w:w="37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5—Property and equipment, net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property and equipment, net: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right"/>
              <w:ind w:right="440"/>
              <w:spacing w:after="0"/>
              <w:rPr>
                <w:sz w:val="20"/>
                <w:szCs w:val="20"/>
                <w:color w:val="auto"/>
              </w:rPr>
            </w:pPr>
            <w:r>
              <w:rPr>
                <w:rFonts w:ascii="Arial" w:cs="Arial" w:eastAsia="Arial" w:hAnsi="Arial"/>
                <w:sz w:val="14"/>
                <w:szCs w:val="14"/>
                <w:color w:val="auto"/>
              </w:rPr>
              <w:t>September 30, 2025</w:t>
            </w:r>
          </w:p>
        </w:tc>
        <w:tc>
          <w:tcPr>
            <w:tcW w:w="140" w:type="dxa"/>
            <w:vAlign w:val="bottom"/>
          </w:tcPr>
          <w:p>
            <w:pPr>
              <w:spacing w:after="0"/>
              <w:rPr>
                <w:sz w:val="14"/>
                <w:szCs w:val="14"/>
                <w:color w:val="auto"/>
              </w:rPr>
            </w:pPr>
          </w:p>
        </w:tc>
        <w:tc>
          <w:tcPr>
            <w:tcW w:w="1440" w:type="dxa"/>
            <w:vAlign w:val="bottom"/>
          </w:tcPr>
          <w:p>
            <w:pPr>
              <w:jc w:val="right"/>
              <w:ind w:right="72"/>
              <w:spacing w:after="0"/>
              <w:rPr>
                <w:sz w:val="20"/>
                <w:szCs w:val="20"/>
                <w:color w:val="auto"/>
              </w:rPr>
            </w:pPr>
            <w:r>
              <w:rPr>
                <w:rFonts w:ascii="Arial" w:cs="Arial" w:eastAsia="Arial" w:hAnsi="Arial"/>
                <w:sz w:val="14"/>
                <w:szCs w:val="14"/>
                <w:color w:val="auto"/>
              </w:rPr>
              <w:t>December 31, 2024</w:t>
            </w:r>
          </w:p>
        </w:tc>
      </w:tr>
      <w:tr>
        <w:trPr>
          <w:trHeight w:val="196"/>
        </w:trPr>
        <w:tc>
          <w:tcPr>
            <w:tcW w:w="54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Lab equipment</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33,328</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32,385</w:t>
            </w:r>
          </w:p>
        </w:tc>
      </w:tr>
      <w:tr>
        <w:trPr>
          <w:trHeight w:val="203"/>
        </w:trPr>
        <w:tc>
          <w:tcPr>
            <w:tcW w:w="544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61,647</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61,577</w:t>
            </w:r>
          </w:p>
        </w:tc>
      </w:tr>
      <w:tr>
        <w:trPr>
          <w:trHeight w:val="203"/>
        </w:trPr>
        <w:tc>
          <w:tcPr>
            <w:tcW w:w="54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w:t>
            </w:r>
          </w:p>
        </w:tc>
      </w:tr>
      <w:tr>
        <w:trPr>
          <w:trHeight w:val="203"/>
        </w:trPr>
        <w:tc>
          <w:tcPr>
            <w:tcW w:w="5440" w:type="dxa"/>
            <w:vAlign w:val="bottom"/>
          </w:tcPr>
          <w:p>
            <w:pPr>
              <w:ind w:left="20"/>
              <w:spacing w:after="0" w:line="202" w:lineRule="exact"/>
              <w:rPr>
                <w:sz w:val="20"/>
                <w:szCs w:val="20"/>
                <w:color w:val="auto"/>
              </w:rPr>
            </w:pPr>
            <w:r>
              <w:rPr>
                <w:rFonts w:ascii="Arial" w:cs="Arial" w:eastAsia="Arial" w:hAnsi="Arial"/>
                <w:sz w:val="18"/>
                <w:szCs w:val="18"/>
                <w:color w:val="auto"/>
              </w:rPr>
              <w:t>Computer software and equipment</w:t>
            </w:r>
          </w:p>
        </w:tc>
        <w:tc>
          <w:tcPr>
            <w:tcW w:w="1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2,958</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2,919</w:t>
            </w:r>
          </w:p>
        </w:tc>
      </w:tr>
      <w:tr>
        <w:trPr>
          <w:trHeight w:val="203"/>
        </w:trPr>
        <w:tc>
          <w:tcPr>
            <w:tcW w:w="54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1,221</w:t>
            </w: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1,221</w:t>
            </w:r>
          </w:p>
        </w:tc>
      </w:tr>
      <w:tr>
        <w:trPr>
          <w:trHeight w:val="196"/>
        </w:trPr>
        <w:tc>
          <w:tcPr>
            <w:tcW w:w="544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2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99,324</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98,199</w:t>
            </w:r>
          </w:p>
        </w:tc>
      </w:tr>
      <w:tr>
        <w:trPr>
          <w:trHeight w:val="203"/>
        </w:trPr>
        <w:tc>
          <w:tcPr>
            <w:tcW w:w="54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1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(45,609)</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(36,058)</w:t>
            </w:r>
          </w:p>
        </w:tc>
      </w:tr>
      <w:tr>
        <w:trPr>
          <w:trHeight w:val="196"/>
        </w:trPr>
        <w:tc>
          <w:tcPr>
            <w:tcW w:w="5440" w:type="dxa"/>
            <w:vAlign w:val="bottom"/>
          </w:tcPr>
          <w:p>
            <w:pPr>
              <w:ind w:left="20"/>
              <w:spacing w:after="0" w:line="196" w:lineRule="exact"/>
              <w:rPr>
                <w:sz w:val="20"/>
                <w:szCs w:val="20"/>
                <w:color w:val="auto"/>
              </w:rPr>
            </w:pPr>
            <w:r>
              <w:rPr>
                <w:rFonts w:ascii="Arial" w:cs="Arial" w:eastAsia="Arial" w:hAnsi="Arial"/>
                <w:sz w:val="18"/>
                <w:szCs w:val="18"/>
                <w:color w:val="auto"/>
              </w:rPr>
              <w:t>Property and equipment, net</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53,715</w:t>
            </w:r>
          </w:p>
        </w:tc>
        <w:tc>
          <w:tcPr>
            <w:tcW w:w="3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62,141</w:t>
            </w:r>
          </w:p>
        </w:tc>
      </w:tr>
      <w:tr>
        <w:trPr>
          <w:trHeight w:val="20"/>
        </w:trPr>
        <w:tc>
          <w:tcPr>
            <w:tcW w:w="5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color w:val="auto"/>
        </w:rPr>
        <w:t>Depreciation expense was $3,129 and $9,551 for the three and nine months ended September 30, 2025 and $3,297 and $9,986 for the three and nine months ended September 30, 2024.</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6—Accrued expenses and other liabilities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accrued expenses: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color w:val="auto"/>
              </w:rPr>
              <w:t>September 30, 2025</w:t>
            </w:r>
          </w:p>
        </w:tc>
        <w:tc>
          <w:tcPr>
            <w:tcW w:w="1280" w:type="dxa"/>
            <w:vAlign w:val="bottom"/>
            <w:gridSpan w:val="2"/>
          </w:tcPr>
          <w:p>
            <w:pPr>
              <w:ind w:left="20"/>
              <w:spacing w:after="0"/>
              <w:rPr>
                <w:sz w:val="20"/>
                <w:szCs w:val="20"/>
                <w:color w:val="auto"/>
              </w:rPr>
            </w:pPr>
            <w:r>
              <w:rPr>
                <w:rFonts w:ascii="Arial" w:cs="Arial" w:eastAsia="Arial" w:hAnsi="Arial"/>
                <w:sz w:val="14"/>
                <w:szCs w:val="14"/>
                <w:color w:val="auto"/>
              </w:rPr>
              <w:t>December 31, 2024</w:t>
            </w:r>
          </w:p>
        </w:tc>
      </w:tr>
      <w:tr>
        <w:trPr>
          <w:trHeight w:val="196"/>
        </w:trPr>
        <w:tc>
          <w:tcPr>
            <w:tcW w:w="61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Payroll and bonuses</w:t>
            </w: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3,537</w:t>
            </w: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7,703</w:t>
            </w: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8"/>
                <w:szCs w:val="18"/>
                <w:color w:val="auto"/>
              </w:rPr>
              <w:t>Accrued clinical trial related costs</w:t>
            </w:r>
          </w:p>
        </w:tc>
        <w:tc>
          <w:tcPr>
            <w:tcW w:w="4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1,550</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2,196</w:t>
            </w:r>
          </w:p>
        </w:tc>
      </w:tr>
      <w:tr>
        <w:trPr>
          <w:trHeight w:val="203"/>
        </w:trPr>
        <w:tc>
          <w:tcPr>
            <w:tcW w:w="6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Professional and legal fees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1,157</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2,617</w:t>
            </w: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liability, current</w:t>
            </w:r>
          </w:p>
        </w:tc>
        <w:tc>
          <w:tcPr>
            <w:tcW w:w="4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3,772</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4,870</w:t>
            </w:r>
          </w:p>
        </w:tc>
      </w:tr>
      <w:tr>
        <w:trPr>
          <w:trHeight w:val="203"/>
        </w:trPr>
        <w:tc>
          <w:tcPr>
            <w:tcW w:w="6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1,035</w:t>
            </w:r>
          </w:p>
        </w:tc>
        <w:tc>
          <w:tcPr>
            <w:tcW w:w="2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r>
      <w:tr>
        <w:trPr>
          <w:trHeight w:val="196"/>
        </w:trPr>
        <w:tc>
          <w:tcPr>
            <w:tcW w:w="6120" w:type="dxa"/>
            <w:vAlign w:val="bottom"/>
          </w:tcPr>
          <w:p>
            <w:pPr>
              <w:ind w:left="20"/>
              <w:spacing w:after="0" w:line="196" w:lineRule="exact"/>
              <w:rPr>
                <w:sz w:val="20"/>
                <w:szCs w:val="20"/>
                <w:color w:val="auto"/>
              </w:rPr>
            </w:pPr>
            <w:r>
              <w:rPr>
                <w:rFonts w:ascii="Arial" w:cs="Arial" w:eastAsia="Arial" w:hAnsi="Arial"/>
                <w:sz w:val="18"/>
                <w:szCs w:val="18"/>
                <w:color w:val="auto"/>
              </w:rPr>
              <w:t>Total accrued expenses and other liabilities</w:t>
            </w:r>
          </w:p>
        </w:tc>
        <w:tc>
          <w:tcPr>
            <w:tcW w:w="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11,051</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17,461</w:t>
            </w:r>
          </w:p>
        </w:tc>
      </w:tr>
      <w:tr>
        <w:trPr>
          <w:trHeight w:val="20"/>
        </w:trPr>
        <w:tc>
          <w:tcPr>
            <w:tcW w:w="6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7—Bristol-Myers Squibb Collaboration</w:t>
      </w:r>
    </w:p>
    <w:p>
      <w:pPr>
        <w:spacing w:after="0" w:line="214" w:lineRule="exact"/>
        <w:rPr>
          <w:sz w:val="20"/>
          <w:szCs w:val="20"/>
          <w:color w:val="auto"/>
        </w:rPr>
      </w:pPr>
    </w:p>
    <w:p>
      <w:pPr>
        <w:ind w:left="60" w:right="79"/>
        <w:spacing w:after="0" w:line="256" w:lineRule="auto"/>
        <w:rPr>
          <w:sz w:val="20"/>
          <w:szCs w:val="20"/>
          <w:color w:val="auto"/>
        </w:rPr>
      </w:pPr>
      <w:r>
        <w:rPr>
          <w:rFonts w:ascii="Arial" w:cs="Arial" w:eastAsia="Arial" w:hAnsi="Arial"/>
          <w:sz w:val="17"/>
          <w:szCs w:val="17"/>
          <w:color w:val="auto"/>
        </w:rPr>
        <w:t>On January 7, 2022, the Company entered into the Collaboration Agreement with Bristol-Myers Squibb to collaborate on the research, development and commercialization of iNK and iT cell programs for hematologic malignancies and solid tumors (“Collaboration Program,” and each product candidate a “Development Candidate”). The Collaboration Agreement was within the scope of ASC 808, Collaborative Arrangements as both parties were active participants in the arrangement and are exposed to significant risks and rewards. While this arrangement was in the scope of ASC 808, the Company analogizes to ASC 606 for the accounting for the Collaboration Agreement, including for the delivery of goods and services (i.e., units of account). Revenue recognized by analogizing to ASC 606 is recorded as collaboration revenue in the statements of operations.</w:t>
      </w:r>
    </w:p>
    <w:p>
      <w:pPr>
        <w:spacing w:after="0" w:line="168" w:lineRule="exact"/>
        <w:rPr>
          <w:sz w:val="20"/>
          <w:szCs w:val="20"/>
          <w:color w:val="auto"/>
        </w:rPr>
      </w:pPr>
    </w:p>
    <w:p>
      <w:pPr>
        <w:ind w:left="60" w:right="279"/>
        <w:spacing w:after="0"/>
        <w:rPr>
          <w:sz w:val="20"/>
          <w:szCs w:val="20"/>
          <w:color w:val="auto"/>
        </w:rPr>
      </w:pPr>
      <w:r>
        <w:rPr>
          <w:rFonts w:ascii="Arial" w:cs="Arial" w:eastAsia="Arial" w:hAnsi="Arial"/>
          <w:sz w:val="18"/>
          <w:szCs w:val="18"/>
          <w:color w:val="auto"/>
        </w:rPr>
        <w:t>Pursuant to the Collaboration Agreement, the Company and Bristol-Myers Squibb collaborated on two collaboration programs focused on acute myeloid leukemia (“AML”) and multiple myeloma (“MM”) (“Collaboration Programs”), and Bristol-Myers Squibb had the option to add up to two additional Collaboration Programs for an additional fee. The Company was responsible for generating Development Candidates for each Collaboration Program, and Bristol-Myers Squibb had the option to elect to exclusively license the Development Candidates for pre-clinical development, clinical development and commercialization on a worldwide basis (“License Option”).</w:t>
      </w:r>
    </w:p>
    <w:p>
      <w:pPr>
        <w:spacing w:after="0" w:line="185" w:lineRule="exact"/>
        <w:rPr>
          <w:sz w:val="20"/>
          <w:szCs w:val="20"/>
          <w:color w:val="auto"/>
        </w:rPr>
      </w:pPr>
    </w:p>
    <w:p>
      <w:pPr>
        <w:ind w:left="60" w:right="379"/>
        <w:spacing w:after="0" w:line="266" w:lineRule="auto"/>
        <w:rPr>
          <w:sz w:val="20"/>
          <w:szCs w:val="20"/>
          <w:color w:val="auto"/>
        </w:rPr>
      </w:pPr>
      <w:r>
        <w:rPr>
          <w:rFonts w:ascii="Arial" w:cs="Arial" w:eastAsia="Arial" w:hAnsi="Arial"/>
          <w:sz w:val="17"/>
          <w:szCs w:val="17"/>
          <w:color w:val="auto"/>
        </w:rPr>
        <w:t>Under the terms of the Collaboration Agreement, Bristol-Myers Squibb made a non-refundable, upfront cash payment of $100,000 and agreed to pay an exercise fee upon the exercise of the License Option (“Licensed Program” and product candidates developed under a Licensed Program, “Licensed Products”). For each Licensed Program, Bristol-Myers Squibb agreed to pay up to $235,000 in milestone payments upon the first</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achievement of certain development and regulatory milestones and agreed to pay up to $500,000 per Licensed Product in net sales-based milestone payments.</w:t>
      </w:r>
    </w:p>
    <w:p>
      <w:pPr>
        <w:spacing w:after="0" w:line="154"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In connection with the Collaboration Agreement, Bristol-Myers Squibb purchased 2,160,760 shares of the Company’s common stock at a price per share of $23.14, for an aggregate purchase price of $50,000. In determining the fair value of the common stock issued to Bristol-Myers Squibb, the Company considered the closing price of the common stock on the date of the transaction and included a lack of marketability discount because the shares are subject to certain restrictions. The Company determined the common stock purchase represented a premium of $7.82 per share, or $23,187 in the aggregate (“Equity Premium”), and the remaining $26,813 was recorded as issuance of common stock in stockholders’ equity.</w:t>
      </w:r>
    </w:p>
    <w:p>
      <w:pPr>
        <w:spacing w:after="0" w:line="185" w:lineRule="exact"/>
        <w:rPr>
          <w:sz w:val="20"/>
          <w:szCs w:val="20"/>
          <w:color w:val="auto"/>
        </w:rPr>
      </w:pPr>
    </w:p>
    <w:p>
      <w:pPr>
        <w:ind w:left="60" w:right="279"/>
        <w:spacing w:after="0" w:line="242" w:lineRule="auto"/>
        <w:rPr>
          <w:sz w:val="20"/>
          <w:szCs w:val="20"/>
          <w:color w:val="auto"/>
        </w:rPr>
      </w:pPr>
      <w:r>
        <w:rPr>
          <w:rFonts w:ascii="Arial" w:cs="Arial" w:eastAsia="Arial" w:hAnsi="Arial"/>
          <w:sz w:val="18"/>
          <w:szCs w:val="18"/>
          <w:color w:val="auto"/>
        </w:rPr>
        <w:t>The Company identified the following commitments under the arrangement: (i) research and development services (“R&amp;D Services”) under each of the two initial Collaboration Programs and (ii) Bristol-Myers Squibb’s License Option to elect to exclusively license the Development Candidates for each of the two initial Collaboration Programs. The Company determined that these four commitments represented distinct performance obligations for purposes of recognizing revenue and would have recognized revenue if the Company had fulfilled such performance obligations.</w:t>
      </w:r>
    </w:p>
    <w:p>
      <w:pPr>
        <w:spacing w:after="0" w:line="179"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The Company determined that the upfront payment and equity premium constituted the transaction price at the inception of the Collaboration Agreement. The future potential development and regulatory milestone payments were fully constrained at contract inception as the risk of significant revenue reversal related to these amounts has not yet been resolved. The achievement of the future potential milestones was not within the Company’s control and was subject to certain research and development success and therefore carried significant uncertainty.</w:t>
      </w:r>
    </w:p>
    <w:p>
      <w:pPr>
        <w:spacing w:after="0" w:line="179"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total transaction price of $123,187 was allocated to the performance obligations based on their estimated standalone selling price on January 7, 2022. The stand-alone selling price of the research and development services was estimated using the expected cost-plus margin approach, and the stand-alone selling price of the License Options was based on a discounted cash flow approach and considered several factors including, but not limited to, discount rate, development timeline, regulatory risks, estimated market demand, and future revenue potential using an adjusted market approach. The allocated transaction price is recognized as revenue in one of two ways:</w:t>
      </w:r>
    </w:p>
    <w:p>
      <w:pPr>
        <w:spacing w:after="0" w:line="185" w:lineRule="exact"/>
        <w:rPr>
          <w:sz w:val="20"/>
          <w:szCs w:val="20"/>
          <w:color w:val="auto"/>
        </w:rPr>
      </w:pPr>
    </w:p>
    <w:p>
      <w:pPr>
        <w:ind w:left="720" w:right="219"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services: The Company recognized the portion of the transaction price allocated to each of the research and development performance obligations as the research and development services are provided, using an inputs method, in proportion to costs incurred to date for each research development target as compared to total costs incurred and expected to be incurred in the future to satisfy the underlying obligation related to each research and development target. The transfer of control occurs over this period and, in management’s judgment, is the best measure of progress towards satisfying the performance obligation.</w:t>
      </w:r>
    </w:p>
    <w:p>
      <w:pPr>
        <w:spacing w:after="0" w:line="183" w:lineRule="exact"/>
        <w:rPr>
          <w:rFonts w:ascii="Times New Roman" w:cs="Times New Roman" w:eastAsia="Times New Roman" w:hAnsi="Times New Roman"/>
          <w:sz w:val="18"/>
          <w:szCs w:val="18"/>
          <w:color w:val="auto"/>
        </w:rPr>
      </w:pPr>
    </w:p>
    <w:p>
      <w:pPr>
        <w:ind w:left="720" w:right="319" w:hanging="319"/>
        <w:spacing w:after="0" w:line="246"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License option rights: The transaction price allocated to the license options rights, which were considered material rights to license and commercialize the underlying research and development target, were deferred until the period that Bristol-Myers Squibb would have elected to exercise or not exercise its option or when the option to exercise expired.</w:t>
      </w:r>
    </w:p>
    <w:p>
      <w:pPr>
        <w:spacing w:after="0" w:line="177"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Following an internal corporate portfolio prioritization process, Bristol-Myers Squibb notified the Company on December 12, 2024 that it would be terminating the Collaboration Agreement in its entirety without cause after the mandatory 90 day notification period. The termination was effective on March 12, 2025. As a result of the notice of termination, the Company concluded that the research and development services being provided to Bristol-Myers Squibb were substantially complete as of December 31, 2024, and accordingly, the remaining transaction price allocated to that performance obligation was recorded in the fourth quarter of 2024. The remaining transaction price related to the license option rights, which represented a material right, of $109,164 was recognized in the first fiscal quarter of 2025 as the option rights expired upon the termination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999"/>
        <w:spacing w:after="0" w:line="271" w:lineRule="auto"/>
        <w:rPr>
          <w:sz w:val="20"/>
          <w:szCs w:val="20"/>
          <w:color w:val="auto"/>
        </w:rPr>
      </w:pPr>
      <w:r>
        <w:rPr>
          <w:rFonts w:ascii="Arial" w:cs="Arial" w:eastAsia="Arial" w:hAnsi="Arial"/>
          <w:sz w:val="18"/>
          <w:szCs w:val="18"/>
          <w:color w:val="auto"/>
        </w:rPr>
        <w:t>of the Collaboration Agreement. There will be no future collaboration revenues recognized under the Collaboration Agreement.</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8—Commitments and contingencies</w:t>
      </w:r>
    </w:p>
    <w:p>
      <w:pPr>
        <w:spacing w:after="0" w:line="173" w:lineRule="exact"/>
        <w:rPr>
          <w:sz w:val="20"/>
          <w:szCs w:val="20"/>
          <w:color w:val="auto"/>
        </w:rPr>
      </w:pPr>
    </w:p>
    <w:p>
      <w:pPr>
        <w:jc w:val="both"/>
        <w:ind w:left="60" w:right="359"/>
        <w:spacing w:after="0" w:line="253"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Distributed Bio Master Service Agreement</w:t>
      </w:r>
    </w:p>
    <w:p>
      <w:pPr>
        <w:spacing w:after="0" w:line="171"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On July 24, 2019, the Company entered into a Master Service Agreement with Distributed Bio, Inc (“DBio”), whereby DBio will screen for protein binders that bind to specific therapeutic targets (the “Master Service Agreement”).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 No milestone payments were due since the inception of the agreement.</w:t>
      </w:r>
    </w:p>
    <w:p>
      <w:pPr>
        <w:spacing w:after="0" w:line="138"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The Company had $0 within accounts payable as of September 30, 2025 and $65 as of December 31, 2024, in its consolidated balance sheets related to the Master Service Agreement. The Company incurred research and development expenses of $0 and $6 during the three and nine months ended September 30, 2025 and $0 for both the three and nine months ended September 30, 2024.</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iCELL Inc. Sublicense Agreement</w:t>
      </w:r>
    </w:p>
    <w:p>
      <w:pPr>
        <w:spacing w:after="0" w:line="171"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sales milestones, not to exceed $70,000, for the sales of the licensed product. iCELL is also eligible to receive payments of up to $4,250 in development and regulatory approval milestone payments. No milestones or royalties were due in 2025 or 2024.</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Clade Therapeutics</w:t>
      </w:r>
    </w:p>
    <w:p>
      <w:pPr>
        <w:spacing w:after="0" w:line="212"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In connection with the acquisition of Clade Therapeutics (Note 3 – Business combination), the Company is subject to a contingent milestone payment to the shareholders of Clade. The milestone payment is $10,000 and is payable in cash, shares of Century, or a combination thereof, at the discretion of Century.</w:t>
      </w:r>
    </w:p>
    <w:p>
      <w:pPr>
        <w:spacing w:after="0" w:line="142"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The Holdback Shares representing approximately 10% of the aggregate consideration, were held back at the closing of the acquisition as recourse to satisfy certain indemnification obligations of the Clade shareholders under the Merger Agreement. A total of 784,128 Holdback Shares were issued pursuant to the terms of the Merger Agreement on October 15, 2025.</w:t>
      </w:r>
    </w:p>
    <w:p>
      <w:pPr>
        <w:spacing w:after="0" w:line="133" w:lineRule="exact"/>
        <w:rPr>
          <w:sz w:val="20"/>
          <w:szCs w:val="20"/>
          <w:color w:val="auto"/>
        </w:rPr>
      </w:pPr>
    </w:p>
    <w:p>
      <w:pPr>
        <w:ind w:left="60" w:right="719"/>
        <w:spacing w:after="0" w:line="247" w:lineRule="auto"/>
        <w:rPr>
          <w:sz w:val="20"/>
          <w:szCs w:val="20"/>
          <w:color w:val="auto"/>
        </w:rPr>
      </w:pPr>
      <w:r>
        <w:rPr>
          <w:rFonts w:ascii="Arial" w:cs="Arial" w:eastAsia="Arial" w:hAnsi="Arial"/>
          <w:sz w:val="18"/>
          <w:szCs w:val="18"/>
          <w:color w:val="auto"/>
        </w:rPr>
        <w:t>In connection with the acquisition of Clade, the Company also assumed an earn-out obligation (“Gadeta Milestone”) that is contingent on a clinical development milestone of a product that incorporates Gadeta intellectual property between the acquisition date and December 31, 2032. The total payment to the shareholders of Gadeta is upon the occurrence of such an event is $20,000.</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9—Leases</w:t>
      </w:r>
    </w:p>
    <w:p>
      <w:pPr>
        <w:spacing w:after="0" w:line="187"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The Company has commitments under operating leases for certain facilities used in its operations. The Company maintains security deposits on certain leases in the amount of $403 within security deposits and non-current assets and prepaid expenses and other current assets in its consolidated balance sheets for both periods ending September 30, 2025 and December 31, 2024.</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160"/>
        <w:spacing w:after="0" w:line="239" w:lineRule="auto"/>
        <w:rPr>
          <w:sz w:val="20"/>
          <w:szCs w:val="20"/>
          <w:color w:val="auto"/>
        </w:rPr>
      </w:pPr>
      <w:r>
        <w:rPr>
          <w:rFonts w:ascii="Arial" w:cs="Arial" w:eastAsia="Arial" w:hAnsi="Arial"/>
          <w:sz w:val="18"/>
          <w:szCs w:val="18"/>
          <w:color w:val="auto"/>
        </w:rPr>
        <w:t>In September 2025, the Company executed a series of lease modifications with the same landlord that will result in the early termination of its leases in Seattle, WA (“Seattle”) and Boston, MA (“Boston”). Concurrently, the Company entered into a new lease agreement in Watertown, MA (“Watertown”), set to begin upon the termination of the existing Boston lease. The Seattle lease is expected to terminate on December 31, 2025, while the Boston lease is expected to terminate on January 31, 2026, aligning with the expected commencement date of the new Watertown lease. As a result of the these lease modifications, the Company recorded a reduction of their right-of-use assets of $6,455 and lease liabilities totaling $7,850, which resulted in the recognition of a gain of $1,395 related to the Seattle lease which had previously been impaired. The remaining $526 of net book value of the leasehold improvements associated with the Seattle and Boston, leases will be depreciated over the remaining lives of the leases on a straight-line basis.</w:t>
      </w:r>
    </w:p>
    <w:p>
      <w:pPr>
        <w:spacing w:after="0" w:line="139" w:lineRule="exact"/>
        <w:rPr>
          <w:sz w:val="20"/>
          <w:szCs w:val="20"/>
          <w:color w:val="auto"/>
        </w:rPr>
      </w:pPr>
    </w:p>
    <w:p>
      <w:pPr>
        <w:ind w:left="60" w:right="220"/>
        <w:spacing w:after="0" w:line="271" w:lineRule="auto"/>
        <w:rPr>
          <w:sz w:val="20"/>
          <w:szCs w:val="20"/>
          <w:color w:val="auto"/>
        </w:rPr>
      </w:pPr>
      <w:r>
        <w:rPr>
          <w:rFonts w:ascii="Arial" w:cs="Arial" w:eastAsia="Arial" w:hAnsi="Arial"/>
          <w:sz w:val="18"/>
          <w:szCs w:val="18"/>
          <w:color w:val="auto"/>
        </w:rPr>
        <w:t>The Company’s leases have initial terms ranging from 5 to 16 years, except for the Seattle and Boston leases, which are expected to terminate on December 31, 2025 and January 31, 2026, as discussed above.</w:t>
      </w:r>
    </w:p>
    <w:p>
      <w:pPr>
        <w:spacing w:after="0" w:line="127" w:lineRule="exact"/>
        <w:rPr>
          <w:sz w:val="20"/>
          <w:szCs w:val="20"/>
          <w:color w:val="auto"/>
        </w:rPr>
      </w:pPr>
    </w:p>
    <w:p>
      <w:pPr>
        <w:ind w:left="60" w:right="140"/>
        <w:spacing w:after="0" w:line="247" w:lineRule="auto"/>
        <w:rPr>
          <w:sz w:val="20"/>
          <w:szCs w:val="20"/>
          <w:color w:val="auto"/>
        </w:rPr>
      </w:pPr>
      <w:r>
        <w:rPr>
          <w:rFonts w:ascii="Arial" w:cs="Arial" w:eastAsia="Arial" w:hAnsi="Arial"/>
          <w:sz w:val="18"/>
          <w:szCs w:val="18"/>
          <w:color w:val="auto"/>
        </w:rPr>
        <w:t>Following the reduction in force (“RIF”) that occurred in July 2025 (see Note 16), the Company is planning to sublease part of its Philadelphia, PA headquarters location. The Company evaluated the right-of-use asset for impairment as a result of this change in strategy and recorded an impairment charge of $6,763 during the three and nine months ended September 30, 2025.</w:t>
      </w: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the components of lease expense:</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4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4"/>
                <w:szCs w:val="14"/>
                <w:color w:val="auto"/>
              </w:rPr>
              <w:t>For the</w:t>
            </w: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22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For the</w:t>
            </w:r>
          </w:p>
        </w:tc>
        <w:tc>
          <w:tcPr>
            <w:tcW w:w="2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460" w:type="dxa"/>
            <w:vAlign w:val="bottom"/>
            <w:gridSpan w:val="2"/>
          </w:tcPr>
          <w:p>
            <w:pPr>
              <w:jc w:val="right"/>
              <w:ind w:right="14"/>
              <w:spacing w:after="0"/>
              <w:rPr>
                <w:sz w:val="20"/>
                <w:szCs w:val="20"/>
                <w:color w:val="auto"/>
              </w:rPr>
            </w:pPr>
            <w:r>
              <w:rPr>
                <w:rFonts w:ascii="Arial" w:cs="Arial" w:eastAsia="Arial" w:hAnsi="Arial"/>
                <w:sz w:val="14"/>
                <w:szCs w:val="14"/>
                <w:color w:val="auto"/>
              </w:rPr>
              <w:t>Three Months Ended</w:t>
            </w:r>
          </w:p>
        </w:tc>
        <w:tc>
          <w:tcPr>
            <w:tcW w:w="16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Nine Months Ended</w:t>
            </w: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Nine Months Ended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460" w:type="dxa"/>
            <w:vAlign w:val="bottom"/>
            <w:gridSpan w:val="2"/>
          </w:tcPr>
          <w:p>
            <w:pPr>
              <w:jc w:val="right"/>
              <w:ind w:right="14"/>
              <w:spacing w:after="0"/>
              <w:rPr>
                <w:sz w:val="20"/>
                <w:szCs w:val="20"/>
                <w:color w:val="auto"/>
              </w:rPr>
            </w:pPr>
            <w:r>
              <w:rPr>
                <w:rFonts w:ascii="Arial" w:cs="Arial" w:eastAsia="Arial" w:hAnsi="Arial"/>
                <w:sz w:val="14"/>
                <w:szCs w:val="14"/>
                <w:color w:val="auto"/>
              </w:rPr>
              <w:t>September 30, 2025</w:t>
            </w:r>
          </w:p>
        </w:tc>
        <w:tc>
          <w:tcPr>
            <w:tcW w:w="16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September 30, 2024</w:t>
            </w:r>
          </w:p>
        </w:tc>
        <w:tc>
          <w:tcPr>
            <w:tcW w:w="220" w:type="dxa"/>
            <w:vAlign w:val="bottom"/>
          </w:tcPr>
          <w:p>
            <w:pPr>
              <w:spacing w:after="0"/>
              <w:rPr>
                <w:sz w:val="14"/>
                <w:szCs w:val="14"/>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September 30, 2025</w:t>
            </w: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September 30, 2024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expense:</w:t>
            </w: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100"/>
              <w:spacing w:after="0" w:line="202" w:lineRule="exact"/>
              <w:rPr>
                <w:sz w:val="20"/>
                <w:szCs w:val="20"/>
                <w:color w:val="auto"/>
              </w:rPr>
            </w:pPr>
            <w:r>
              <w:rPr>
                <w:rFonts w:ascii="Arial" w:cs="Arial" w:eastAsia="Arial" w:hAnsi="Arial"/>
                <w:sz w:val="18"/>
                <w:szCs w:val="18"/>
                <w:color w:val="auto"/>
              </w:rPr>
              <w:t>Fixed lease cost</w:t>
            </w:r>
          </w:p>
        </w:tc>
        <w:tc>
          <w:tcPr>
            <w:tcW w:w="480" w:type="dxa"/>
            <w:vAlign w:val="bottom"/>
          </w:tcPr>
          <w:p>
            <w:pPr>
              <w:jc w:val="right"/>
              <w:ind w:right="299"/>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2,599</w:t>
            </w:r>
          </w:p>
        </w:tc>
        <w:tc>
          <w:tcPr>
            <w:tcW w:w="660" w:type="dxa"/>
            <w:vAlign w:val="bottom"/>
            <w:gridSpan w:val="2"/>
          </w:tcPr>
          <w:p>
            <w:pPr>
              <w:jc w:val="right"/>
              <w:ind w:right="328"/>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1,647</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6,079</w:t>
            </w:r>
          </w:p>
        </w:tc>
        <w:tc>
          <w:tcPr>
            <w:tcW w:w="22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5,037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Variable lease cost</w:t>
            </w:r>
          </w:p>
        </w:tc>
        <w:tc>
          <w:tcPr>
            <w:tcW w:w="48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697</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673</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420" w:type="dxa"/>
            <w:vAlign w:val="bottom"/>
          </w:tcPr>
          <w:p>
            <w:pPr>
              <w:ind w:left="100"/>
              <w:spacing w:after="0" w:line="183" w:lineRule="exact"/>
              <w:rPr>
                <w:sz w:val="20"/>
                <w:szCs w:val="20"/>
                <w:color w:val="auto"/>
              </w:rPr>
            </w:pPr>
            <w:r>
              <w:rPr>
                <w:rFonts w:ascii="Arial" w:cs="Arial" w:eastAsia="Arial" w:hAnsi="Arial"/>
                <w:sz w:val="18"/>
                <w:szCs w:val="18"/>
                <w:color w:val="auto"/>
              </w:rPr>
              <w:t>Gain on lease</w:t>
            </w: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420" w:type="dxa"/>
            <w:vAlign w:val="bottom"/>
          </w:tcPr>
          <w:p>
            <w:pPr>
              <w:ind w:left="100"/>
              <w:spacing w:after="0"/>
              <w:rPr>
                <w:sz w:val="20"/>
                <w:szCs w:val="20"/>
                <w:color w:val="auto"/>
              </w:rPr>
            </w:pPr>
            <w:r>
              <w:rPr>
                <w:rFonts w:ascii="Arial" w:cs="Arial" w:eastAsia="Arial" w:hAnsi="Arial"/>
                <w:sz w:val="18"/>
                <w:szCs w:val="18"/>
                <w:color w:val="auto"/>
              </w:rPr>
              <w:t>modification</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(1,395)</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(1,395)</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vMerge w:val="restart"/>
            <w:shd w:val="clear" w:color="auto" w:fill="CCEEFF"/>
          </w:tcPr>
          <w:p>
            <w:pPr>
              <w:spacing w:after="0" w:line="183" w:lineRule="exact"/>
              <w:rPr>
                <w:sz w:val="20"/>
                <w:szCs w:val="20"/>
                <w:color w:val="auto"/>
              </w:rPr>
            </w:pPr>
            <w:r>
              <w:rPr>
                <w:rFonts w:ascii="Arial" w:cs="Arial" w:eastAsia="Arial" w:hAnsi="Arial"/>
                <w:sz w:val="18"/>
                <w:szCs w:val="18"/>
                <w:color w:val="auto"/>
              </w:rPr>
              <w:t>Total operating lease</w:t>
            </w:r>
          </w:p>
        </w:tc>
        <w:tc>
          <w:tcPr>
            <w:tcW w:w="48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420" w:type="dxa"/>
            <w:vAlign w:val="bottom"/>
            <w:vMerge w:val="continue"/>
            <w:shd w:val="clear" w:color="auto" w:fill="CCEEFF"/>
          </w:tcPr>
          <w:p>
            <w:pPr>
              <w:spacing w:after="0"/>
              <w:rPr>
                <w:sz w:val="14"/>
                <w:szCs w:val="14"/>
                <w:color w:val="auto"/>
              </w:rPr>
            </w:pPr>
          </w:p>
        </w:tc>
        <w:tc>
          <w:tcPr>
            <w:tcW w:w="480" w:type="dxa"/>
            <w:vAlign w:val="bottom"/>
            <w:vMerge w:val="restart"/>
            <w:shd w:val="clear" w:color="auto" w:fill="CCEEFF"/>
          </w:tcPr>
          <w:p>
            <w:pPr>
              <w:jc w:val="right"/>
              <w:ind w:right="299"/>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1,901</w:t>
            </w:r>
          </w:p>
        </w:tc>
        <w:tc>
          <w:tcPr>
            <w:tcW w:w="660" w:type="dxa"/>
            <w:vAlign w:val="bottom"/>
            <w:gridSpan w:val="2"/>
            <w:vMerge w:val="restart"/>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6,770</w:t>
            </w:r>
          </w:p>
        </w:tc>
        <w:tc>
          <w:tcPr>
            <w:tcW w:w="22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6,947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480" w:type="dxa"/>
            <w:vAlign w:val="bottom"/>
            <w:vMerge w:val="continue"/>
            <w:shd w:val="clear" w:color="auto" w:fill="CCEEFF"/>
          </w:tcPr>
          <w:p>
            <w:pPr>
              <w:spacing w:after="0"/>
              <w:rPr>
                <w:sz w:val="18"/>
                <w:szCs w:val="18"/>
                <w:color w:val="auto"/>
              </w:rPr>
            </w:pPr>
          </w:p>
        </w:tc>
        <w:tc>
          <w:tcPr>
            <w:tcW w:w="980" w:type="dxa"/>
            <w:vAlign w:val="bottom"/>
            <w:tcBorders>
              <w:right w:val="single" w:sz="8" w:color="CCEEFF"/>
            </w:tcBorders>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7240" w:type="dxa"/>
            <w:vAlign w:val="bottom"/>
            <w:gridSpan w:val="9"/>
          </w:tcPr>
          <w:p>
            <w:pPr>
              <w:ind w:left="20"/>
              <w:spacing w:after="0"/>
              <w:rPr>
                <w:sz w:val="20"/>
                <w:szCs w:val="20"/>
                <w:color w:val="auto"/>
              </w:rPr>
            </w:pPr>
            <w:r>
              <w:rPr>
                <w:rFonts w:ascii="Arial" w:cs="Arial" w:eastAsia="Arial" w:hAnsi="Arial"/>
                <w:sz w:val="18"/>
                <w:szCs w:val="18"/>
                <w:color w:val="auto"/>
              </w:rPr>
              <w:t>The following table reflects supplemental balance sheet information related to leases:</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4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center"/>
              <w:ind w:left="961"/>
              <w:spacing w:after="0"/>
              <w:rPr>
                <w:sz w:val="20"/>
                <w:szCs w:val="20"/>
                <w:color w:val="auto"/>
              </w:rPr>
            </w:pPr>
            <w:r>
              <w:rPr>
                <w:rFonts w:ascii="Arial" w:cs="Arial" w:eastAsia="Arial" w:hAnsi="Arial"/>
                <w:sz w:val="14"/>
                <w:szCs w:val="14"/>
                <w:color w:val="auto"/>
              </w:rPr>
              <w:t>As of</w:t>
            </w:r>
          </w:p>
        </w:tc>
        <w:tc>
          <w:tcPr>
            <w:tcW w:w="240" w:type="dxa"/>
            <w:vAlign w:val="bottom"/>
          </w:tcPr>
          <w:p>
            <w:pPr>
              <w:spacing w:after="0"/>
              <w:rPr>
                <w:sz w:val="17"/>
                <w:szCs w:val="17"/>
                <w:color w:val="auto"/>
              </w:rPr>
            </w:pPr>
          </w:p>
        </w:tc>
        <w:tc>
          <w:tcPr>
            <w:tcW w:w="1420" w:type="dxa"/>
            <w:vAlign w:val="bottom"/>
          </w:tcPr>
          <w:p>
            <w:pPr>
              <w:jc w:val="center"/>
              <w:ind w:left="241"/>
              <w:spacing w:after="0"/>
              <w:rPr>
                <w:sz w:val="20"/>
                <w:szCs w:val="20"/>
                <w:color w:val="auto"/>
              </w:rPr>
            </w:pPr>
            <w:r>
              <w:rPr>
                <w:rFonts w:ascii="Arial" w:cs="Arial" w:eastAsia="Arial" w:hAnsi="Arial"/>
                <w:sz w:val="14"/>
                <w:szCs w:val="14"/>
                <w:color w:val="auto"/>
              </w:rPr>
              <w:t>As of</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3"/>
          </w:tcPr>
          <w:p>
            <w:pPr>
              <w:jc w:val="center"/>
              <w:ind w:left="661"/>
              <w:spacing w:after="0"/>
              <w:rPr>
                <w:sz w:val="20"/>
                <w:szCs w:val="20"/>
                <w:color w:val="auto"/>
              </w:rPr>
            </w:pPr>
            <w:r>
              <w:rPr>
                <w:rFonts w:ascii="Arial" w:cs="Arial" w:eastAsia="Arial" w:hAnsi="Arial"/>
                <w:sz w:val="14"/>
                <w:szCs w:val="14"/>
                <w:color w:val="auto"/>
              </w:rPr>
              <w:t>September 30,</w:t>
            </w:r>
          </w:p>
        </w:tc>
        <w:tc>
          <w:tcPr>
            <w:tcW w:w="1420" w:type="dxa"/>
            <w:vAlign w:val="bottom"/>
          </w:tcPr>
          <w:p>
            <w:pPr>
              <w:jc w:val="center"/>
              <w:ind w:left="201"/>
              <w:spacing w:after="0"/>
              <w:rPr>
                <w:sz w:val="20"/>
                <w:szCs w:val="20"/>
                <w:color w:val="auto"/>
              </w:rPr>
            </w:pPr>
            <w:r>
              <w:rPr>
                <w:rFonts w:ascii="Arial" w:cs="Arial" w:eastAsia="Arial" w:hAnsi="Arial"/>
                <w:sz w:val="14"/>
                <w:szCs w:val="14"/>
                <w:color w:val="auto"/>
              </w:rPr>
              <w:t>December 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60" w:type="dxa"/>
            <w:vAlign w:val="bottom"/>
            <w:gridSpan w:val="4"/>
          </w:tcPr>
          <w:p>
            <w:pPr>
              <w:jc w:val="right"/>
              <w:spacing w:after="0"/>
              <w:rPr>
                <w:sz w:val="20"/>
                <w:szCs w:val="20"/>
                <w:color w:val="auto"/>
              </w:rPr>
            </w:pPr>
            <w:r>
              <w:rPr>
                <w:rFonts w:ascii="Arial" w:cs="Arial" w:eastAsia="Arial" w:hAnsi="Arial"/>
                <w:sz w:val="14"/>
                <w:szCs w:val="14"/>
                <w:color w:val="auto"/>
              </w:rPr>
              <w:t>Location in Balance Sheet</w:t>
            </w:r>
          </w:p>
        </w:tc>
        <w:tc>
          <w:tcPr>
            <w:tcW w:w="1600" w:type="dxa"/>
            <w:vAlign w:val="bottom"/>
            <w:gridSpan w:val="2"/>
          </w:tcPr>
          <w:p>
            <w:pPr>
              <w:jc w:val="center"/>
              <w:ind w:left="961"/>
              <w:spacing w:after="0"/>
              <w:rPr>
                <w:sz w:val="20"/>
                <w:szCs w:val="20"/>
                <w:color w:val="auto"/>
              </w:rPr>
            </w:pPr>
            <w:r>
              <w:rPr>
                <w:rFonts w:ascii="Arial" w:cs="Arial" w:eastAsia="Arial" w:hAnsi="Arial"/>
                <w:sz w:val="14"/>
                <w:szCs w:val="14"/>
                <w:color w:val="auto"/>
              </w:rPr>
              <w:t>2025</w:t>
            </w:r>
          </w:p>
        </w:tc>
        <w:tc>
          <w:tcPr>
            <w:tcW w:w="240" w:type="dxa"/>
            <w:vAlign w:val="bottom"/>
          </w:tcPr>
          <w:p>
            <w:pPr>
              <w:spacing w:after="0"/>
              <w:rPr>
                <w:sz w:val="14"/>
                <w:szCs w:val="14"/>
                <w:color w:val="auto"/>
              </w:rPr>
            </w:pPr>
          </w:p>
        </w:tc>
        <w:tc>
          <w:tcPr>
            <w:tcW w:w="1420" w:type="dxa"/>
            <w:vAlign w:val="bottom"/>
          </w:tcPr>
          <w:p>
            <w:pPr>
              <w:jc w:val="center"/>
              <w:ind w:left="261"/>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0</wp:posOffset>
            </wp:positionV>
            <wp:extent cx="570039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ectPr>
          <w:pgSz w:w="11900" w:h="16838" w:orient="portrait"/>
          <w:cols w:equalWidth="0" w:num="1">
            <w:col w:w="9020"/>
          </w:cols>
          <w:pgMar w:left="1440" w:top="512" w:right="1439" w:bottom="1440" w:gutter="0" w:footer="0" w:header="0"/>
        </w:sectPr>
      </w:pPr>
    </w:p>
    <w:p>
      <w:pPr>
        <w:ind w:left="60"/>
        <w:spacing w:after="0"/>
        <w:rPr>
          <w:sz w:val="20"/>
          <w:szCs w:val="20"/>
          <w:color w:val="auto"/>
        </w:rPr>
      </w:pPr>
      <w:r>
        <w:rPr>
          <w:rFonts w:ascii="Arial" w:cs="Arial" w:eastAsia="Arial" w:hAnsi="Arial"/>
          <w:sz w:val="17"/>
          <w:szCs w:val="17"/>
          <w:color w:val="auto"/>
        </w:rPr>
        <w:t>Operating lease right-of-use asset, net</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lease liability, current</w:t>
      </w:r>
    </w:p>
    <w:p>
      <w:pPr>
        <w:ind w:left="60"/>
        <w:spacing w:after="0"/>
        <w:rPr>
          <w:sz w:val="20"/>
          <w:szCs w:val="20"/>
          <w:color w:val="auto"/>
        </w:rPr>
      </w:pPr>
      <w:r>
        <w:rPr>
          <w:rFonts w:ascii="Arial" w:cs="Arial" w:eastAsia="Arial" w:hAnsi="Arial"/>
          <w:sz w:val="18"/>
          <w:szCs w:val="18"/>
          <w:color w:val="auto"/>
        </w:rPr>
        <w:t>Operating lease liability, long-term</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operating lease liability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3020" w:type="dxa"/>
            <w:vAlign w:val="bottom"/>
          </w:tcPr>
          <w:p>
            <w:pPr>
              <w:spacing w:after="0" w:line="177" w:lineRule="exact"/>
              <w:rPr>
                <w:sz w:val="20"/>
                <w:szCs w:val="20"/>
                <w:color w:val="auto"/>
              </w:rPr>
            </w:pPr>
            <w:r>
              <w:rPr>
                <w:rFonts w:ascii="Arial" w:cs="Arial" w:eastAsia="Arial" w:hAnsi="Arial"/>
                <w:sz w:val="18"/>
                <w:szCs w:val="18"/>
                <w:color w:val="auto"/>
              </w:rPr>
              <w:t>Operating lease right-of-use assets</w:t>
            </w:r>
          </w:p>
        </w:tc>
        <w:tc>
          <w:tcPr>
            <w:tcW w:w="360" w:type="dxa"/>
            <w:vAlign w:val="bottom"/>
            <w:tcBorders>
              <w:top w:val="single" w:sz="8" w:color="auto"/>
            </w:tcBorders>
          </w:tcPr>
          <w:p>
            <w:pPr>
              <w:jc w:val="right"/>
              <w:ind w:right="170"/>
              <w:spacing w:after="0" w:line="177"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16,566</w:t>
            </w:r>
          </w:p>
        </w:tc>
        <w:tc>
          <w:tcPr>
            <w:tcW w:w="180" w:type="dxa"/>
            <w:vAlign w:val="bottom"/>
          </w:tcPr>
          <w:p>
            <w:pPr>
              <w:spacing w:after="0"/>
              <w:rPr>
                <w:sz w:val="15"/>
                <w:szCs w:val="15"/>
                <w:color w:val="auto"/>
              </w:rPr>
            </w:pPr>
          </w:p>
        </w:tc>
        <w:tc>
          <w:tcPr>
            <w:tcW w:w="360" w:type="dxa"/>
            <w:vAlign w:val="bottom"/>
            <w:tcBorders>
              <w:top w:val="single" w:sz="8" w:color="auto"/>
            </w:tcBorders>
          </w:tcPr>
          <w:p>
            <w:pPr>
              <w:jc w:val="right"/>
              <w:ind w:right="170"/>
              <w:spacing w:after="0" w:line="177"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28,706</w:t>
            </w:r>
          </w:p>
        </w:tc>
      </w:tr>
      <w:tr>
        <w:trPr>
          <w:trHeight w:val="203"/>
        </w:trPr>
        <w:tc>
          <w:tcPr>
            <w:tcW w:w="3380" w:type="dxa"/>
            <w:vAlign w:val="bottom"/>
            <w:gridSpan w:val="2"/>
          </w:tcPr>
          <w:p>
            <w:pPr>
              <w:spacing w:after="0" w:line="202" w:lineRule="exact"/>
              <w:rPr>
                <w:sz w:val="20"/>
                <w:szCs w:val="20"/>
                <w:color w:val="auto"/>
              </w:rPr>
            </w:pPr>
            <w:r>
              <w:rPr>
                <w:rFonts w:ascii="Arial" w:cs="Arial" w:eastAsia="Arial" w:hAnsi="Arial"/>
                <w:sz w:val="18"/>
                <w:szCs w:val="18"/>
                <w:color w:val="auto"/>
              </w:rPr>
              <w:t>Operating lease liability, short-term</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3,772</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4,870</w:t>
            </w:r>
          </w:p>
        </w:tc>
      </w:tr>
      <w:tr>
        <w:trPr>
          <w:trHeight w:val="221"/>
        </w:trPr>
        <w:tc>
          <w:tcPr>
            <w:tcW w:w="3380" w:type="dxa"/>
            <w:vAlign w:val="bottom"/>
            <w:gridSpan w:val="2"/>
          </w:tcPr>
          <w:p>
            <w:pPr>
              <w:spacing w:after="0"/>
              <w:rPr>
                <w:sz w:val="20"/>
                <w:szCs w:val="20"/>
                <w:color w:val="auto"/>
              </w:rPr>
            </w:pPr>
            <w:r>
              <w:rPr>
                <w:rFonts w:ascii="Arial" w:cs="Arial" w:eastAsia="Arial" w:hAnsi="Arial"/>
                <w:sz w:val="18"/>
                <w:szCs w:val="18"/>
                <w:color w:val="auto"/>
              </w:rPr>
              <w:t>Operating lease liability, long-term</w:t>
            </w:r>
          </w:p>
        </w:tc>
        <w:tc>
          <w:tcPr>
            <w:tcW w:w="860" w:type="dxa"/>
            <w:vAlign w:val="bottom"/>
          </w:tcPr>
          <w:p>
            <w:pPr>
              <w:jc w:val="right"/>
              <w:spacing w:after="0"/>
              <w:rPr>
                <w:sz w:val="20"/>
                <w:szCs w:val="20"/>
                <w:color w:val="auto"/>
              </w:rPr>
            </w:pPr>
            <w:r>
              <w:rPr>
                <w:rFonts w:ascii="Arial" w:cs="Arial" w:eastAsia="Arial" w:hAnsi="Arial"/>
                <w:sz w:val="18"/>
                <w:szCs w:val="18"/>
                <w:color w:val="auto"/>
              </w:rPr>
              <w:t>41,185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48,960</w:t>
            </w:r>
          </w:p>
        </w:tc>
      </w:tr>
      <w:tr>
        <w:trPr>
          <w:trHeight w:val="196"/>
        </w:trPr>
        <w:tc>
          <w:tcPr>
            <w:tcW w:w="30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44,957</w:t>
            </w:r>
          </w:p>
        </w:tc>
        <w:tc>
          <w:tcPr>
            <w:tcW w:w="1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53,830</w:t>
            </w:r>
          </w:p>
        </w:tc>
      </w:tr>
      <w:tr>
        <w:trPr>
          <w:trHeight w:val="20"/>
        </w:trPr>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-2101850</wp:posOffset>
            </wp:positionH>
            <wp:positionV relativeFrom="paragraph">
              <wp:posOffset>-290830</wp:posOffset>
            </wp:positionV>
            <wp:extent cx="570039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0395" cy="12890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3120" w:space="240"/>
            <w:col w:w="5660"/>
          </w:cols>
          <w:pgMar w:left="1440" w:top="512" w:right="1439"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The following table reflects supplement lease term and discount rate information related to leases: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12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As of September 30, 2025</w:t>
            </w:r>
          </w:p>
        </w:tc>
        <w:tc>
          <w:tcPr>
            <w:tcW w:w="16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As of December 31, 2024</w:t>
            </w:r>
          </w:p>
        </w:tc>
        <w:tc>
          <w:tcPr>
            <w:tcW w:w="160" w:type="dxa"/>
            <w:vAlign w:val="bottom"/>
          </w:tcPr>
          <w:p>
            <w:pPr>
              <w:spacing w:after="0"/>
              <w:rPr>
                <w:sz w:val="15"/>
                <w:szCs w:val="15"/>
                <w:color w:val="auto"/>
              </w:rPr>
            </w:pPr>
          </w:p>
        </w:tc>
      </w:tr>
      <w:tr>
        <w:trPr>
          <w:trHeight w:val="196"/>
        </w:trPr>
        <w:tc>
          <w:tcPr>
            <w:tcW w:w="51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remaining lease terms - operating leases</w:t>
            </w:r>
          </w:p>
        </w:tc>
        <w:tc>
          <w:tcPr>
            <w:tcW w:w="1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 years</w:t>
            </w:r>
          </w:p>
        </w:tc>
        <w:tc>
          <w:tcPr>
            <w:tcW w:w="26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880"/>
              <w:spacing w:after="0" w:line="196" w:lineRule="exact"/>
              <w:rPr>
                <w:sz w:val="20"/>
                <w:szCs w:val="20"/>
                <w:color w:val="auto"/>
              </w:rPr>
            </w:pPr>
            <w:r>
              <w:rPr>
                <w:rFonts w:ascii="Arial" w:cs="Arial" w:eastAsia="Arial" w:hAnsi="Arial"/>
                <w:sz w:val="18"/>
                <w:szCs w:val="18"/>
                <w:color w:val="auto"/>
              </w:rPr>
              <w:t>7.4 years</w:t>
            </w:r>
          </w:p>
        </w:tc>
        <w:tc>
          <w:tcPr>
            <w:tcW w:w="160" w:type="dxa"/>
            <w:vAlign w:val="bottom"/>
            <w:tcBorders>
              <w:top w:val="single" w:sz="8" w:color="CCEEFF"/>
            </w:tcBorders>
            <w:shd w:val="clear" w:color="auto" w:fill="CCEEFF"/>
          </w:tcPr>
          <w:p>
            <w:pPr>
              <w:spacing w:after="0"/>
              <w:rPr>
                <w:sz w:val="17"/>
                <w:szCs w:val="17"/>
                <w:color w:val="auto"/>
              </w:rPr>
            </w:pPr>
          </w:p>
        </w:tc>
      </w:tr>
      <w:tr>
        <w:trPr>
          <w:trHeight w:val="239"/>
        </w:trPr>
        <w:tc>
          <w:tcPr>
            <w:tcW w:w="512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10.80 %</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10.4 %</w:t>
            </w:r>
          </w:p>
        </w:tc>
      </w:tr>
    </w:tbl>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cash flow information related to leases as of the periods indicated:</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3920" w:type="dxa"/>
            <w:vAlign w:val="bottom"/>
            <w:tcBorders>
              <w:top w:val="single" w:sz="8" w:color="auto"/>
            </w:tcBorders>
          </w:tcPr>
          <w:p>
            <w:pPr>
              <w:spacing w:after="0"/>
              <w:rPr>
                <w:sz w:val="14"/>
                <w:szCs w:val="14"/>
                <w:color w:val="auto"/>
              </w:rPr>
            </w:pPr>
          </w:p>
        </w:tc>
        <w:tc>
          <w:tcPr>
            <w:tcW w:w="21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For the Nine Months</w:t>
            </w:r>
          </w:p>
        </w:tc>
        <w:tc>
          <w:tcPr>
            <w:tcW w:w="13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For the Nine Months</w:t>
            </w:r>
          </w:p>
        </w:tc>
        <w:tc>
          <w:tcPr>
            <w:tcW w:w="40" w:type="dxa"/>
            <w:vAlign w:val="bottom"/>
          </w:tcPr>
          <w:p>
            <w:pPr>
              <w:spacing w:after="0"/>
              <w:rPr>
                <w:sz w:val="14"/>
                <w:szCs w:val="14"/>
                <w:color w:val="auto"/>
              </w:rPr>
            </w:pPr>
          </w:p>
        </w:tc>
      </w:tr>
      <w:tr>
        <w:trPr>
          <w:trHeight w:val="162"/>
        </w:trPr>
        <w:tc>
          <w:tcPr>
            <w:tcW w:w="3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color w:val="auto"/>
              </w:rPr>
              <w:t>Ended</w:t>
            </w:r>
          </w:p>
        </w:tc>
        <w:tc>
          <w:tcPr>
            <w:tcW w:w="280" w:type="dxa"/>
            <w:vAlign w:val="bottom"/>
          </w:tcPr>
          <w:p>
            <w:pPr>
              <w:spacing w:after="0"/>
              <w:rPr>
                <w:sz w:val="14"/>
                <w:szCs w:val="14"/>
                <w:color w:val="auto"/>
              </w:rPr>
            </w:pPr>
          </w:p>
        </w:tc>
        <w:tc>
          <w:tcPr>
            <w:tcW w:w="1080" w:type="dxa"/>
            <w:vAlign w:val="bottom"/>
            <w:gridSpan w:val="3"/>
          </w:tcPr>
          <w:p>
            <w:pPr>
              <w:ind w:left="180"/>
              <w:spacing w:after="0"/>
              <w:rPr>
                <w:sz w:val="20"/>
                <w:szCs w:val="20"/>
                <w:color w:val="auto"/>
              </w:rPr>
            </w:pPr>
            <w:r>
              <w:rPr>
                <w:rFonts w:ascii="Arial" w:cs="Arial" w:eastAsia="Arial" w:hAnsi="Arial"/>
                <w:sz w:val="14"/>
                <w:szCs w:val="14"/>
                <w:color w:val="auto"/>
              </w:rPr>
              <w:t>Ended</w:t>
            </w:r>
          </w:p>
        </w:tc>
      </w:tr>
      <w:tr>
        <w:trPr>
          <w:trHeight w:val="171"/>
        </w:trPr>
        <w:tc>
          <w:tcPr>
            <w:tcW w:w="3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color w:val="auto"/>
              </w:rPr>
              <w:t>September 30, 2025</w:t>
            </w:r>
          </w:p>
        </w:tc>
        <w:tc>
          <w:tcPr>
            <w:tcW w:w="1360" w:type="dxa"/>
            <w:vAlign w:val="bottom"/>
            <w:gridSpan w:val="4"/>
          </w:tcPr>
          <w:p>
            <w:pPr>
              <w:jc w:val="right"/>
              <w:ind w:right="40"/>
              <w:spacing w:after="0"/>
              <w:rPr>
                <w:sz w:val="20"/>
                <w:szCs w:val="20"/>
                <w:color w:val="auto"/>
              </w:rPr>
            </w:pPr>
            <w:r>
              <w:rPr>
                <w:rFonts w:ascii="Arial" w:cs="Arial" w:eastAsia="Arial" w:hAnsi="Arial"/>
                <w:sz w:val="14"/>
                <w:szCs w:val="14"/>
                <w:color w:val="auto"/>
              </w:rPr>
              <w:t>September 30, 2024</w:t>
            </w:r>
          </w:p>
        </w:tc>
      </w:tr>
      <w:tr>
        <w:trPr>
          <w:trHeight w:val="196"/>
        </w:trPr>
        <w:tc>
          <w:tcPr>
            <w:tcW w:w="39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cash flows from operating leases</w:t>
            </w:r>
          </w:p>
        </w:tc>
        <w:tc>
          <w:tcPr>
            <w:tcW w:w="2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(3,579)</w:t>
            </w: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2"/>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(2,599)</w:t>
            </w:r>
          </w:p>
        </w:tc>
        <w:tc>
          <w:tcPr>
            <w:tcW w:w="40" w:type="dxa"/>
            <w:vAlign w:val="bottom"/>
            <w:tcBorders>
              <w:top w:val="single" w:sz="8" w:color="CCEEFF"/>
            </w:tcBorders>
            <w:shd w:val="clear" w:color="auto" w:fill="CCEEFF"/>
          </w:tcPr>
          <w:p>
            <w:pPr>
              <w:spacing w:after="0"/>
              <w:rPr>
                <w:sz w:val="17"/>
                <w:szCs w:val="17"/>
                <w:color w:val="auto"/>
              </w:rPr>
            </w:pPr>
          </w:p>
        </w:tc>
      </w:tr>
      <w:tr>
        <w:trPr>
          <w:trHeight w:val="652"/>
        </w:trPr>
        <w:tc>
          <w:tcPr>
            <w:tcW w:w="3920" w:type="dxa"/>
            <w:vAlign w:val="bottom"/>
          </w:tcPr>
          <w:p>
            <w:pPr>
              <w:spacing w:after="0"/>
              <w:rPr>
                <w:sz w:val="24"/>
                <w:szCs w:val="24"/>
                <w:color w:val="auto"/>
              </w:rPr>
            </w:pPr>
          </w:p>
        </w:tc>
        <w:tc>
          <w:tcPr>
            <w:tcW w:w="2180" w:type="dxa"/>
            <w:vAlign w:val="bottom"/>
          </w:tcPr>
          <w:p>
            <w:pPr>
              <w:jc w:val="right"/>
              <w:ind w:right="145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43"/>
        </w:trPr>
        <w:tc>
          <w:tcPr>
            <w:tcW w:w="39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9020"/>
          </w:cols>
          <w:pgMar w:left="1440" w:top="512" w:right="1439"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The following table reflects future minimum lease payments under noncancelable leases as of September 30, 2025:</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7680" w:type="dxa"/>
            <w:vAlign w:val="bottom"/>
            <w:tcBorders>
              <w:top w:val="single" w:sz="8" w:color="auto"/>
              <w:bottom w:val="single" w:sz="8" w:color="CCEEFF"/>
            </w:tcBorders>
          </w:tcPr>
          <w:p>
            <w:pPr>
              <w:spacing w:after="0"/>
              <w:rPr>
                <w:sz w:val="15"/>
                <w:szCs w:val="15"/>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Operating Leases</w:t>
            </w:r>
          </w:p>
        </w:tc>
      </w:tr>
      <w:tr>
        <w:trPr>
          <w:trHeight w:val="196"/>
        </w:trPr>
        <w:tc>
          <w:tcPr>
            <w:tcW w:w="7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2,460</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7,340</w:t>
            </w:r>
          </w:p>
        </w:tc>
      </w:tr>
      <w:tr>
        <w:trPr>
          <w:trHeight w:val="203"/>
        </w:trPr>
        <w:tc>
          <w:tcPr>
            <w:tcW w:w="7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2027</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7,377</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2028</w:t>
            </w: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7,565</w:t>
            </w:r>
          </w:p>
        </w:tc>
      </w:tr>
      <w:tr>
        <w:trPr>
          <w:trHeight w:val="203"/>
        </w:trPr>
        <w:tc>
          <w:tcPr>
            <w:tcW w:w="7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2029</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7,756</w:t>
            </w:r>
          </w:p>
        </w:tc>
      </w:tr>
      <w:tr>
        <w:trPr>
          <w:trHeight w:val="203"/>
        </w:trPr>
        <w:tc>
          <w:tcPr>
            <w:tcW w:w="76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33,901</w:t>
            </w:r>
          </w:p>
        </w:tc>
      </w:tr>
      <w:tr>
        <w:trPr>
          <w:trHeight w:val="196"/>
        </w:trPr>
        <w:tc>
          <w:tcPr>
            <w:tcW w:w="7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66,399</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(21,442)</w:t>
            </w:r>
          </w:p>
        </w:tc>
      </w:tr>
      <w:tr>
        <w:trPr>
          <w:trHeight w:val="203"/>
        </w:trPr>
        <w:tc>
          <w:tcPr>
            <w:tcW w:w="76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6"/>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44,957</w:t>
            </w: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right="419"/>
        <w:spacing w:after="0" w:line="257" w:lineRule="auto"/>
        <w:rPr>
          <w:sz w:val="20"/>
          <w:szCs w:val="20"/>
          <w:color w:val="auto"/>
        </w:rPr>
      </w:pPr>
      <w:r>
        <w:rPr>
          <w:rFonts w:ascii="Arial" w:cs="Arial" w:eastAsia="Arial" w:hAnsi="Arial"/>
          <w:sz w:val="20"/>
          <w:szCs w:val="20"/>
          <w:color w:val="auto"/>
        </w:rPr>
        <w:t>The new Watertown lease is expected to commence on February 1, 2026 and the future minimum lease payments under that arrangement are approximately $7,229.</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10—Income taxes</w:t>
      </w:r>
    </w:p>
    <w:p>
      <w:pPr>
        <w:spacing w:after="0" w:line="214" w:lineRule="exact"/>
        <w:rPr>
          <w:sz w:val="20"/>
          <w:szCs w:val="20"/>
          <w:color w:val="auto"/>
        </w:rPr>
      </w:pPr>
    </w:p>
    <w:p>
      <w:pPr>
        <w:jc w:val="both"/>
        <w:ind w:left="60" w:right="159"/>
        <w:spacing w:after="0" w:line="253" w:lineRule="auto"/>
        <w:rPr>
          <w:sz w:val="20"/>
          <w:szCs w:val="20"/>
          <w:color w:val="auto"/>
        </w:rPr>
      </w:pPr>
      <w:r>
        <w:rPr>
          <w:rFonts w:ascii="Arial" w:cs="Arial" w:eastAsia="Arial" w:hAnsi="Arial"/>
          <w:sz w:val="18"/>
          <w:szCs w:val="18"/>
          <w:color w:val="auto"/>
        </w:rPr>
        <w:t>During the three and nine months ended September 30, 2025 and 2024, the Company recorded no income tax benefits for the net operating losses incurred or for the research and development tax credits generated in the U.S. due to its uncertainty of realizing a benefit from those items.</w:t>
      </w:r>
    </w:p>
    <w:p>
      <w:pPr>
        <w:spacing w:after="0" w:line="155"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On July 4, 2025, President Trump signed into law the One Big Beautiful Bill Act ("OBBBA"), which enacts significant changes to the US federal corporate income tax system. The legislation includes, among other provisions, modifications to the treatment of research and development expenditures, permanent full expensing for certain business assets, changes to the interest deduction limitation under Section 163(j), amendments to international tax provisions including the global intangible low-taxed income ("GILTI") and foreign-derived intangible income ("FDII") regimes, as well as the permanent extension of the controlled foreign corporation ("CFC") look-through rule.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does not expect OBBBA to have a material impact on the Company.</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11—Basic and diluted net income (loss) per common share</w:t>
      </w:r>
    </w:p>
    <w:p>
      <w:pPr>
        <w:spacing w:after="0" w:line="173"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The Company’s potentially dilutive securities, which include RSUs (“Restricted Stock Units”), restricted stock, warrants, early exercised stock options and stock options to purchase shares of the Company’s common stock, have been included in the computation of dilutive net income (loss) per share as applicable. The Company excluded the following potential shares of common stock presented based on amounts outstanding at each stated period end, from the computation of diluted net income (loss) per share for the nine months ended September 30, 2025 and 2024 because including them would have had an anti-dilutive effect.</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32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4"/>
                <w:szCs w:val="14"/>
                <w:color w:val="auto"/>
              </w:rPr>
              <w:t>Nine Months Ended</w:t>
            </w: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Nine Months Ended</w:t>
            </w:r>
          </w:p>
        </w:tc>
        <w:tc>
          <w:tcPr>
            <w:tcW w:w="20" w:type="dxa"/>
            <w:vAlign w:val="bottom"/>
          </w:tcPr>
          <w:p>
            <w:pPr>
              <w:spacing w:after="0"/>
              <w:rPr>
                <w:sz w:val="14"/>
                <w:szCs w:val="14"/>
                <w:color w:val="auto"/>
              </w:rPr>
            </w:pPr>
          </w:p>
        </w:tc>
      </w:tr>
      <w:tr>
        <w:trPr>
          <w:trHeight w:val="162"/>
        </w:trPr>
        <w:tc>
          <w:tcPr>
            <w:tcW w:w="4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color w:val="auto"/>
              </w:rPr>
              <w:t>September 30,</w:t>
            </w:r>
          </w:p>
        </w:tc>
        <w:tc>
          <w:tcPr>
            <w:tcW w:w="1320" w:type="dxa"/>
            <w:vAlign w:val="bottom"/>
            <w:gridSpan w:val="2"/>
          </w:tcPr>
          <w:p>
            <w:pPr>
              <w:jc w:val="center"/>
              <w:ind w:right="60"/>
              <w:spacing w:after="0"/>
              <w:rPr>
                <w:sz w:val="20"/>
                <w:szCs w:val="20"/>
                <w:color w:val="auto"/>
              </w:rPr>
            </w:pPr>
            <w:r>
              <w:rPr>
                <w:rFonts w:ascii="Arial" w:cs="Arial" w:eastAsia="Arial" w:hAnsi="Arial"/>
                <w:sz w:val="14"/>
                <w:szCs w:val="14"/>
                <w:color w:val="auto"/>
              </w:rPr>
              <w:t>September 30,</w:t>
            </w:r>
          </w:p>
        </w:tc>
      </w:tr>
      <w:tr>
        <w:trPr>
          <w:trHeight w:val="171"/>
        </w:trPr>
        <w:tc>
          <w:tcPr>
            <w:tcW w:w="4320" w:type="dxa"/>
            <w:vAlign w:val="bottom"/>
          </w:tcPr>
          <w:p>
            <w:pPr>
              <w:spacing w:after="0"/>
              <w:rPr>
                <w:sz w:val="14"/>
                <w:szCs w:val="14"/>
                <w:color w:val="auto"/>
              </w:rPr>
            </w:pPr>
          </w:p>
        </w:tc>
        <w:tc>
          <w:tcPr>
            <w:tcW w:w="3120" w:type="dxa"/>
            <w:vAlign w:val="bottom"/>
            <w:gridSpan w:val="2"/>
          </w:tcPr>
          <w:p>
            <w:pPr>
              <w:jc w:val="center"/>
              <w:ind w:left="1755"/>
              <w:spacing w:after="0"/>
              <w:rPr>
                <w:sz w:val="20"/>
                <w:szCs w:val="20"/>
                <w:color w:val="auto"/>
              </w:rPr>
            </w:pPr>
            <w:r>
              <w:rPr>
                <w:rFonts w:ascii="Arial" w:cs="Arial" w:eastAsia="Arial" w:hAnsi="Arial"/>
                <w:sz w:val="14"/>
                <w:szCs w:val="14"/>
                <w:color w:val="auto"/>
              </w:rPr>
              <w:t>2025</w:t>
            </w: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2024</w:t>
            </w:r>
          </w:p>
        </w:tc>
        <w:tc>
          <w:tcPr>
            <w:tcW w:w="20" w:type="dxa"/>
            <w:vAlign w:val="bottom"/>
          </w:tcPr>
          <w:p>
            <w:pPr>
              <w:spacing w:after="0"/>
              <w:rPr>
                <w:sz w:val="14"/>
                <w:szCs w:val="14"/>
                <w:color w:val="auto"/>
              </w:rPr>
            </w:pPr>
          </w:p>
        </w:tc>
      </w:tr>
      <w:tr>
        <w:trPr>
          <w:trHeight w:val="196"/>
        </w:trPr>
        <w:tc>
          <w:tcPr>
            <w:tcW w:w="4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Stock options to purchase common stock</w:t>
            </w:r>
          </w:p>
        </w:tc>
        <w:tc>
          <w:tcPr>
            <w:tcW w:w="18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9,399,774</w:t>
            </w: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5,357,942</w:t>
            </w:r>
          </w:p>
        </w:tc>
        <w:tc>
          <w:tcPr>
            <w:tcW w:w="20" w:type="dxa"/>
            <w:vAlign w:val="bottom"/>
          </w:tcPr>
          <w:p>
            <w:pPr>
              <w:spacing w:after="0"/>
              <w:rPr>
                <w:sz w:val="17"/>
                <w:szCs w:val="17"/>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Early exercised stock options subject to future vesting</w:t>
            </w:r>
          </w:p>
        </w:tc>
        <w:tc>
          <w:tcPr>
            <w:tcW w:w="1840" w:type="dxa"/>
            <w:vAlign w:val="bottom"/>
          </w:tcPr>
          <w:p>
            <w:pPr>
              <w:spacing w:after="0"/>
              <w:rPr>
                <w:sz w:val="17"/>
                <w:szCs w:val="17"/>
                <w:color w:val="auto"/>
              </w:rPr>
            </w:pPr>
          </w:p>
        </w:tc>
        <w:tc>
          <w:tcPr>
            <w:tcW w:w="14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30,042</w:t>
            </w:r>
          </w:p>
        </w:tc>
        <w:tc>
          <w:tcPr>
            <w:tcW w:w="20" w:type="dxa"/>
            <w:vAlign w:val="bottom"/>
          </w:tcPr>
          <w:p>
            <w:pPr>
              <w:spacing w:after="0"/>
              <w:rPr>
                <w:sz w:val="17"/>
                <w:szCs w:val="17"/>
                <w:color w:val="auto"/>
              </w:rPr>
            </w:pPr>
          </w:p>
        </w:tc>
      </w:tr>
      <w:tr>
        <w:trPr>
          <w:trHeight w:val="202"/>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stock awards subject to future vesting</w:t>
            </w:r>
          </w:p>
        </w:tc>
        <w:tc>
          <w:tcPr>
            <w:tcW w:w="18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24,685</w:t>
            </w:r>
          </w:p>
        </w:tc>
        <w:tc>
          <w:tcPr>
            <w:tcW w:w="20" w:type="dxa"/>
            <w:vAlign w:val="bottom"/>
          </w:tcPr>
          <w:p>
            <w:pPr>
              <w:spacing w:after="0"/>
              <w:rPr>
                <w:sz w:val="17"/>
                <w:szCs w:val="17"/>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Unvested restricted stock units</w:t>
            </w:r>
          </w:p>
        </w:tc>
        <w:tc>
          <w:tcPr>
            <w:tcW w:w="3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6,627,998</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4,113,289</w:t>
            </w:r>
          </w:p>
        </w:tc>
        <w:tc>
          <w:tcPr>
            <w:tcW w:w="20" w:type="dxa"/>
            <w:vAlign w:val="bottom"/>
          </w:tcPr>
          <w:p>
            <w:pPr>
              <w:spacing w:after="0"/>
              <w:rPr>
                <w:sz w:val="17"/>
                <w:szCs w:val="17"/>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w:t>
            </w:r>
          </w:p>
        </w:tc>
        <w:tc>
          <w:tcPr>
            <w:tcW w:w="3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32,009</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32,009</w:t>
            </w:r>
          </w:p>
        </w:tc>
        <w:tc>
          <w:tcPr>
            <w:tcW w:w="20" w:type="dxa"/>
            <w:vAlign w:val="bottom"/>
          </w:tcPr>
          <w:p>
            <w:pPr>
              <w:spacing w:after="0"/>
              <w:rPr>
                <w:sz w:val="17"/>
                <w:szCs w:val="17"/>
                <w:color w:val="auto"/>
              </w:rPr>
            </w:pPr>
          </w:p>
        </w:tc>
      </w:tr>
      <w:tr>
        <w:trPr>
          <w:trHeight w:val="196"/>
        </w:trPr>
        <w:tc>
          <w:tcPr>
            <w:tcW w:w="432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84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16,059,781</w:t>
            </w:r>
          </w:p>
        </w:tc>
        <w:tc>
          <w:tcPr>
            <w:tcW w:w="16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9,557,967</w:t>
            </w:r>
          </w:p>
        </w:tc>
        <w:tc>
          <w:tcPr>
            <w:tcW w:w="20" w:type="dxa"/>
            <w:vAlign w:val="bottom"/>
          </w:tcPr>
          <w:p>
            <w:pPr>
              <w:spacing w:after="0"/>
              <w:rPr>
                <w:sz w:val="17"/>
                <w:szCs w:val="17"/>
                <w:color w:val="auto"/>
              </w:rPr>
            </w:pPr>
          </w:p>
        </w:tc>
      </w:tr>
      <w:tr>
        <w:trPr>
          <w:trHeight w:val="861"/>
        </w:trPr>
        <w:tc>
          <w:tcPr>
            <w:tcW w:w="4320" w:type="dxa"/>
            <w:vAlign w:val="bottom"/>
          </w:tcPr>
          <w:p>
            <w:pPr>
              <w:spacing w:after="0"/>
              <w:rPr>
                <w:sz w:val="24"/>
                <w:szCs w:val="24"/>
                <w:color w:val="auto"/>
              </w:rPr>
            </w:pPr>
          </w:p>
        </w:tc>
        <w:tc>
          <w:tcPr>
            <w:tcW w:w="1840" w:type="dxa"/>
            <w:vAlign w:val="bottom"/>
          </w:tcPr>
          <w:p>
            <w:pPr>
              <w:jc w:val="right"/>
              <w:ind w:right="1515"/>
              <w:spacing w:after="0"/>
              <w:rPr>
                <w:sz w:val="20"/>
                <w:szCs w:val="20"/>
                <w:color w:val="auto"/>
              </w:rPr>
            </w:pPr>
            <w:r>
              <w:rPr>
                <w:rFonts w:ascii="Arial" w:cs="Arial" w:eastAsia="Arial" w:hAnsi="Arial"/>
                <w:sz w:val="18"/>
                <w:szCs w:val="18"/>
                <w:color w:val="auto"/>
              </w:rPr>
              <w:t>25</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3"/>
        </w:trPr>
        <w:tc>
          <w:tcPr>
            <w:tcW w:w="4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12—Stock-based compensation</w:t>
      </w:r>
    </w:p>
    <w:p>
      <w:pPr>
        <w:spacing w:after="0" w:line="173"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On June 17, 2021, the Company adopted the Century Therapeutics, Inc. 2021 Equity Incentive Plan (the “2021 Incentive Plan”) which superseded the 2018 Incentive Plan and from that date forward all issuances of incentive awards will be governed by the 2021 Incentive Plan.</w:t>
      </w:r>
    </w:p>
    <w:p>
      <w:pPr>
        <w:spacing w:after="0" w:line="142"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The 2021 Incentive Plan provides for the Company to sell or issue common stock or restricted common stock, RSUs, or to grant incentive stock options or nonqualified stock options for the purchase of common stock, to employees, members of the Board of Directors, and consultants of the Company under terms and provisions established by the Board of Directors. Under the terms of the 2021 Incentive Plan, options may be granted at an exercise price not less than fair market value.</w:t>
      </w:r>
    </w:p>
    <w:p>
      <w:pPr>
        <w:spacing w:after="0" w:line="13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Upon adoption of the 2021 Incentive Plan, the Company was authorized to issue 5,481,735 shares of Common Stock under the 2021 Incentive Plan (which represents 5,640,711 shares of Common Stock initially available for grant under the 2021 Incentive Plan less 158,976 shares of Common Stock reserved for issuance upon the exercise of previously granted stock options that remain outstanding under the 2018 Incentive Plan). The number of shares of common stock initially reserved for issuance under the 2021 Incentive Plan shall be increased, upon approval by the Board of Directors, on January 1, 2022 and each January 1 thereafter, in an amount equal to the least of (i) five percent (5%) of the outstanding common stock on the immediately preceding December 31, or (ii) such number of common stock determined by the Board of Directors no later than the immediately preceding December 31. For 2025, the 2021 Incentive Plan reserved shares were increased under clause (i) by 4,291,821 shares, effective as of January 1, 2025. As of September 30, 2025, there were 3,595,420 shares available for issuance under the 2021 Incentive Plan.</w:t>
      </w:r>
    </w:p>
    <w:p>
      <w:pPr>
        <w:spacing w:after="0" w:line="15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Company’s stock-based awards are subject to service-based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Stock awards granted typically vest over a four-year period but may be granted with different vesting terms. The Company may also issue awards with performance-based vesting conditions. For performance-based awards, the Company would reassess at each reporting date whether achievement of the performance condition is probable and accrue compensation expense if and when the achievement of the performance condition is probable. During the quarter ended September 30, 2025, the Company issued performance-based RSUs that represent a contingent right to receive one share of the Company’s common stock. The RSUs shall vest 50% on October 1, 2026, with the remaining 50% vesting upon the earlier of: (i) October 1, 2027; and (ii) satisfaction of certain performance criteria. The Company is currently recording expense for these RSUs on the straight-line basis.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recognizes the costs of the stock-based payments as the employees vest in the awards.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2025, the Company had reserved shares of common stock for issuance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7240" w:type="dxa"/>
            <w:vAlign w:val="bottom"/>
          </w:tcPr>
          <w:p>
            <w:pPr>
              <w:spacing w:after="0"/>
              <w:rPr>
                <w:sz w:val="16"/>
                <w:szCs w:val="16"/>
                <w:color w:val="auto"/>
              </w:rPr>
            </w:pPr>
          </w:p>
        </w:tc>
        <w:tc>
          <w:tcPr>
            <w:tcW w:w="1680" w:type="dxa"/>
            <w:vAlign w:val="bottom"/>
            <w:gridSpan w:val="2"/>
          </w:tcPr>
          <w:p>
            <w:pPr>
              <w:ind w:left="600"/>
              <w:spacing w:after="0"/>
              <w:rPr>
                <w:sz w:val="20"/>
                <w:szCs w:val="20"/>
                <w:color w:val="auto"/>
              </w:rPr>
            </w:pPr>
            <w:r>
              <w:rPr>
                <w:rFonts w:ascii="Arial" w:cs="Arial" w:eastAsia="Arial" w:hAnsi="Arial"/>
                <w:sz w:val="14"/>
                <w:szCs w:val="14"/>
                <w:color w:val="auto"/>
              </w:rPr>
              <w:t>Shares</w:t>
            </w:r>
          </w:p>
        </w:tc>
        <w:tc>
          <w:tcPr>
            <w:tcW w:w="0" w:type="dxa"/>
            <w:vAlign w:val="bottom"/>
          </w:tcPr>
          <w:p>
            <w:pPr>
              <w:spacing w:after="0"/>
              <w:rPr>
                <w:sz w:val="1"/>
                <w:szCs w:val="1"/>
                <w:color w:val="auto"/>
              </w:rPr>
            </w:pPr>
          </w:p>
        </w:tc>
      </w:tr>
      <w:tr>
        <w:trPr>
          <w:trHeight w:val="200"/>
        </w:trPr>
        <w:tc>
          <w:tcPr>
            <w:tcW w:w="7240" w:type="dxa"/>
            <w:vAlign w:val="bottom"/>
            <w:tcBorders>
              <w:top w:val="single" w:sz="8" w:color="CCEEFF"/>
            </w:tcBorders>
            <w:shd w:val="clear" w:color="auto" w:fill="CCEEFF"/>
          </w:tcPr>
          <w:p>
            <w:pPr>
              <w:ind w:left="20"/>
              <w:spacing w:after="0" w:line="200" w:lineRule="exact"/>
              <w:rPr>
                <w:sz w:val="20"/>
                <w:szCs w:val="20"/>
                <w:color w:val="auto"/>
              </w:rPr>
            </w:pPr>
            <w:r>
              <w:rPr>
                <w:rFonts w:ascii="Arial" w:cs="Arial" w:eastAsia="Arial" w:hAnsi="Arial"/>
                <w:sz w:val="18"/>
                <w:szCs w:val="18"/>
                <w:color w:val="auto"/>
              </w:rPr>
              <w:t>Options and RSUs issued and outstanding</w:t>
            </w:r>
          </w:p>
        </w:tc>
        <w:tc>
          <w:tcPr>
            <w:tcW w:w="166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15,950,341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Shares available for future stock option and RSU grants</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3,959,420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Shares available for employee stock purchase plan</w:t>
            </w:r>
          </w:p>
        </w:tc>
        <w:tc>
          <w:tcPr>
            <w:tcW w:w="1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639,745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20,549,506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ind w:left="4360"/>
              <w:spacing w:after="0"/>
              <w:rPr>
                <w:sz w:val="20"/>
                <w:szCs w:val="20"/>
                <w:color w:val="auto"/>
              </w:rPr>
            </w:pPr>
            <w:r>
              <w:rPr>
                <w:rFonts w:ascii="Arial" w:cs="Arial" w:eastAsia="Arial" w:hAnsi="Arial"/>
                <w:sz w:val="18"/>
                <w:szCs w:val="18"/>
                <w:color w:val="auto"/>
              </w:rPr>
              <w:t>26</w:t>
            </w: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724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7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shares of Common Stock available under the 2021 Incentive Plan as of September 30, 2025 are as follows:</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724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Shares</w:t>
            </w:r>
          </w:p>
        </w:tc>
      </w:tr>
      <w:tr>
        <w:trPr>
          <w:trHeight w:val="203"/>
        </w:trPr>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December 31, 2024</w:t>
            </w: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3,691,145</w:t>
            </w: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Shares reserved for issuance</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4,291,821</w:t>
            </w:r>
          </w:p>
        </w:tc>
      </w:tr>
      <w:tr>
        <w:trPr>
          <w:trHeight w:val="203"/>
        </w:trPr>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granted</w:t>
            </w: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(1,837,125)</w:t>
            </w: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RSU’s granted</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(5,728,890)</w:t>
            </w:r>
          </w:p>
        </w:tc>
      </w:tr>
      <w:tr>
        <w:trPr>
          <w:trHeight w:val="203"/>
        </w:trPr>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and RSUs forfeited / cancelled</w:t>
            </w:r>
          </w:p>
        </w:tc>
        <w:tc>
          <w:tcPr>
            <w:tcW w:w="1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3,542,469</w:t>
            </w:r>
          </w:p>
        </w:tc>
      </w:tr>
      <w:tr>
        <w:trPr>
          <w:trHeight w:val="196"/>
        </w:trPr>
        <w:tc>
          <w:tcPr>
            <w:tcW w:w="7240" w:type="dxa"/>
            <w:vAlign w:val="bottom"/>
          </w:tcPr>
          <w:p>
            <w:pPr>
              <w:spacing w:after="0" w:line="196" w:lineRule="exact"/>
              <w:rPr>
                <w:sz w:val="20"/>
                <w:szCs w:val="20"/>
                <w:color w:val="auto"/>
              </w:rPr>
            </w:pPr>
            <w:r>
              <w:rPr>
                <w:rFonts w:ascii="Arial" w:cs="Arial" w:eastAsia="Arial" w:hAnsi="Arial"/>
                <w:sz w:val="18"/>
                <w:szCs w:val="18"/>
                <w:b w:val="1"/>
                <w:bCs w:val="1"/>
                <w:color w:val="auto"/>
              </w:rPr>
              <w:t>Balance September 30, 2025</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3,959,420</w:t>
            </w:r>
          </w:p>
        </w:tc>
      </w:tr>
      <w:tr>
        <w:trPr>
          <w:trHeight w:val="20"/>
        </w:trPr>
        <w:tc>
          <w:tcPr>
            <w:tcW w:w="72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stock option activity for the nine month period ended September 30, 2025:</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8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gridSpan w:val="3"/>
          </w:tcPr>
          <w:p>
            <w:pPr>
              <w:jc w:val="right"/>
              <w:ind w:right="257"/>
              <w:spacing w:after="0"/>
              <w:rPr>
                <w:sz w:val="20"/>
                <w:szCs w:val="20"/>
                <w:color w:val="auto"/>
              </w:rPr>
            </w:pPr>
            <w:r>
              <w:rPr>
                <w:rFonts w:ascii="Arial" w:cs="Arial" w:eastAsia="Arial" w:hAnsi="Arial"/>
                <w:sz w:val="14"/>
                <w:szCs w:val="14"/>
                <w:color w:val="auto"/>
              </w:rPr>
              <w:t>Weighted Average</w:t>
            </w:r>
          </w:p>
        </w:tc>
        <w:tc>
          <w:tcPr>
            <w:tcW w:w="12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46"/>
        </w:trPr>
        <w:tc>
          <w:tcPr>
            <w:tcW w:w="4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7" w:lineRule="exact"/>
              <w:rPr>
                <w:sz w:val="20"/>
                <w:szCs w:val="20"/>
                <w:color w:val="auto"/>
              </w:rPr>
            </w:pPr>
            <w:r>
              <w:rPr>
                <w:rFonts w:ascii="Arial" w:cs="Arial" w:eastAsia="Arial" w:hAnsi="Arial"/>
                <w:sz w:val="14"/>
                <w:szCs w:val="14"/>
                <w:color w:val="auto"/>
              </w:rPr>
              <w:t>Remaining</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Contractual</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7"/>
              </w:rPr>
              <w:t>Term</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color w:val="auto"/>
              </w:rPr>
              <w:t>Shares</w:t>
            </w: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Exercise Price</w:t>
            </w:r>
          </w:p>
        </w:tc>
        <w:tc>
          <w:tcPr>
            <w:tcW w:w="740" w:type="dxa"/>
            <w:vAlign w:val="bottom"/>
          </w:tcPr>
          <w:p>
            <w:pPr>
              <w:jc w:val="center"/>
              <w:spacing w:after="0"/>
              <w:rPr>
                <w:sz w:val="20"/>
                <w:szCs w:val="20"/>
                <w:color w:val="auto"/>
              </w:rPr>
            </w:pPr>
            <w:r>
              <w:rPr>
                <w:rFonts w:ascii="Arial" w:cs="Arial" w:eastAsia="Arial" w:hAnsi="Arial"/>
                <w:sz w:val="14"/>
                <w:szCs w:val="14"/>
                <w:color w:val="auto"/>
              </w:rPr>
              <w:t>(years)</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January 1, 2025</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9,520,748</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5.62</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4.14</w:t>
            </w:r>
          </w:p>
        </w:tc>
        <w:tc>
          <w:tcPr>
            <w:tcW w:w="1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1,837,125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0.60</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(13,694)</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(1,860,575)</w:t>
            </w: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3.34</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Cancelled</w:t>
            </w: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(161,261)</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8.18</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b w:val="1"/>
                <w:bCs w:val="1"/>
                <w:color w:val="auto"/>
              </w:rPr>
              <w:t>Outstanding, September 30, 2025</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9,322,343</w:t>
            </w:r>
          </w:p>
        </w:tc>
        <w:tc>
          <w:tcPr>
            <w:tcW w:w="1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4.10</w:t>
            </w:r>
          </w:p>
        </w:tc>
        <w:tc>
          <w:tcPr>
            <w:tcW w:w="16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2.93</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Exercisable at September 30, 2025</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6,242,621</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6.76</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4.33</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weighted average grant date fair value of awards for options granted during the nine months ended September 30, 2025 was $0.60. As of September 30, 2025, there was $9,413 of total unrecognized compensation expense related to unvested stock options with time-based vesting terms, which is expected to be recognized over a weighted average period of 2.82 years. The aggregate intrinsic value of options vested and exercisable as of September 30, 2025 and 2024 is calculated based on the difference between the exercise price and the fair value of our common stock. The intrinsic value of options exercised in 2025 and 2024 was $37 and $917, respectively.</w:t>
      </w:r>
    </w:p>
    <w:p>
      <w:pPr>
        <w:spacing w:after="0" w:line="144"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Company estimates the fair value of its option awards to employees and directors using Black-Scholes, which requires inputs and subjective assumptions, including (i) the expected stock price volatility, (ii) the calculation of the expected term of the award, (iii) the risk-free interest rate and (iv) expected dividends. Due to the lack of substantial company-specific historical and implied volatility data of its common stock, the Company has based its estimate of expected volatility on the historical volatility of a group of similar public companies. Starting in June of 2023, the Company had sufficient historical information regarding stock trading history, and started to use the Company’s own stock volatility. The Company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expected term of the option are based on the U.S. Treasury securities with a maturity date commensurate with the expected term of the associated award. The Company will account for actual forfeitures as they occur.</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weighted-average assumptions used to calculate the fair value of stock options granted are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4"/>
                <w:szCs w:val="14"/>
                <w:color w:val="auto"/>
              </w:rPr>
              <w:t>September 30, 2025</w:t>
            </w: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December 31, 2024</w:t>
            </w:r>
          </w:p>
        </w:tc>
      </w:tr>
      <w:tr>
        <w:trPr>
          <w:trHeight w:val="196"/>
        </w:trPr>
        <w:tc>
          <w:tcPr>
            <w:tcW w:w="58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Expected dividend rate</w:t>
            </w: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r>
      <w:tr>
        <w:trPr>
          <w:trHeight w:val="203"/>
        </w:trPr>
        <w:tc>
          <w:tcPr>
            <w:tcW w:w="5860" w:type="dxa"/>
            <w:vAlign w:val="bottom"/>
          </w:tcPr>
          <w:p>
            <w:pPr>
              <w:ind w:left="20"/>
              <w:spacing w:after="0" w:line="202" w:lineRule="exact"/>
              <w:rPr>
                <w:sz w:val="20"/>
                <w:szCs w:val="20"/>
                <w:color w:val="auto"/>
              </w:rPr>
            </w:pPr>
            <w:r>
              <w:rPr>
                <w:rFonts w:ascii="Arial" w:cs="Arial" w:eastAsia="Arial" w:hAnsi="Arial"/>
                <w:sz w:val="18"/>
                <w:szCs w:val="18"/>
                <w:color w:val="auto"/>
              </w:rPr>
              <w:t>Expected option term (years)</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5.98</w:t>
            </w:r>
          </w:p>
        </w:tc>
        <w:tc>
          <w:tcPr>
            <w:tcW w:w="2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180" w:type="dxa"/>
            <w:vAlign w:val="bottom"/>
          </w:tcPr>
          <w:p>
            <w:pPr>
              <w:spacing w:after="0"/>
              <w:rPr>
                <w:sz w:val="17"/>
                <w:szCs w:val="17"/>
                <w:color w:val="auto"/>
              </w:rPr>
            </w:pPr>
          </w:p>
        </w:tc>
      </w:tr>
      <w:tr>
        <w:trPr>
          <w:trHeight w:val="203"/>
        </w:trPr>
        <w:tc>
          <w:tcPr>
            <w:tcW w:w="5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79.45 %</w:t>
            </w: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78.84 %</w:t>
            </w:r>
          </w:p>
        </w:tc>
      </w:tr>
      <w:tr>
        <w:trPr>
          <w:trHeight w:val="239"/>
        </w:trPr>
        <w:tc>
          <w:tcPr>
            <w:tcW w:w="58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4.00 %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4.29 %</w:t>
            </w:r>
          </w:p>
        </w:tc>
      </w:tr>
    </w:tbl>
    <w:p>
      <w:pPr>
        <w:spacing w:after="0" w:line="147"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color w:val="auto"/>
        </w:rPr>
        <w:t>Stock-based compensation expense recorded under ASC 718 related to stock options granted and common stock issued under the 2021 Employee Stock Purchase Plan (the “ESPP”) were allocated to research and development and general and administrative expense as follows: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5320" w:type="dxa"/>
            <w:vAlign w:val="bottom"/>
            <w:gridSpan w:val="8"/>
          </w:tcPr>
          <w:p>
            <w:pPr>
              <w:jc w:val="right"/>
              <w:spacing w:after="0"/>
              <w:rPr>
                <w:sz w:val="20"/>
                <w:szCs w:val="20"/>
                <w:color w:val="auto"/>
              </w:rPr>
            </w:pPr>
            <w:r>
              <w:rPr>
                <w:rFonts w:ascii="Arial" w:cs="Arial" w:eastAsia="Arial" w:hAnsi="Arial"/>
                <w:sz w:val="14"/>
                <w:szCs w:val="14"/>
                <w:color w:val="auto"/>
              </w:rPr>
              <w:t>Three Months Ended Three Months EndedNine Months Ended Nine Months Ended</w:t>
            </w:r>
          </w:p>
        </w:tc>
      </w:tr>
      <w:tr>
        <w:trPr>
          <w:trHeight w:val="203"/>
        </w:trPr>
        <w:tc>
          <w:tcPr>
            <w:tcW w:w="3580" w:type="dxa"/>
            <w:vAlign w:val="bottom"/>
          </w:tcPr>
          <w:p>
            <w:pPr>
              <w:spacing w:after="0"/>
              <w:rPr>
                <w:sz w:val="17"/>
                <w:szCs w:val="17"/>
                <w:color w:val="auto"/>
              </w:rPr>
            </w:pPr>
          </w:p>
        </w:tc>
        <w:tc>
          <w:tcPr>
            <w:tcW w:w="1420" w:type="dxa"/>
            <w:vAlign w:val="bottom"/>
            <w:gridSpan w:val="2"/>
          </w:tcPr>
          <w:p>
            <w:pPr>
              <w:jc w:val="right"/>
              <w:ind w:right="195"/>
              <w:spacing w:after="0"/>
              <w:rPr>
                <w:sz w:val="20"/>
                <w:szCs w:val="20"/>
                <w:color w:val="auto"/>
              </w:rPr>
            </w:pPr>
            <w:r>
              <w:rPr>
                <w:rFonts w:ascii="Arial" w:cs="Arial" w:eastAsia="Arial" w:hAnsi="Arial"/>
                <w:sz w:val="14"/>
                <w:szCs w:val="14"/>
                <w:color w:val="auto"/>
              </w:rPr>
              <w:t>September 30,</w:t>
            </w:r>
          </w:p>
        </w:tc>
        <w:tc>
          <w:tcPr>
            <w:tcW w:w="1360" w:type="dxa"/>
            <w:vAlign w:val="bottom"/>
            <w:gridSpan w:val="2"/>
          </w:tcPr>
          <w:p>
            <w:pPr>
              <w:jc w:val="right"/>
              <w:ind w:right="195"/>
              <w:spacing w:after="0"/>
              <w:rPr>
                <w:sz w:val="20"/>
                <w:szCs w:val="20"/>
                <w:color w:val="auto"/>
              </w:rPr>
            </w:pPr>
            <w:r>
              <w:rPr>
                <w:rFonts w:ascii="Arial" w:cs="Arial" w:eastAsia="Arial" w:hAnsi="Arial"/>
                <w:sz w:val="14"/>
                <w:szCs w:val="14"/>
                <w:color w:val="auto"/>
              </w:rPr>
              <w:t>September 30,</w:t>
            </w:r>
          </w:p>
        </w:tc>
        <w:tc>
          <w:tcPr>
            <w:tcW w:w="1280" w:type="dxa"/>
            <w:vAlign w:val="bottom"/>
            <w:gridSpan w:val="2"/>
          </w:tcPr>
          <w:p>
            <w:pPr>
              <w:ind w:left="100"/>
              <w:spacing w:after="0"/>
              <w:rPr>
                <w:sz w:val="20"/>
                <w:szCs w:val="20"/>
                <w:color w:val="auto"/>
              </w:rPr>
            </w:pPr>
            <w:r>
              <w:rPr>
                <w:rFonts w:ascii="Arial" w:cs="Arial" w:eastAsia="Arial" w:hAnsi="Arial"/>
                <w:sz w:val="14"/>
                <w:szCs w:val="14"/>
                <w:color w:val="auto"/>
              </w:rPr>
              <w:t>September 30,</w:t>
            </w:r>
          </w:p>
        </w:tc>
        <w:tc>
          <w:tcPr>
            <w:tcW w:w="1260" w:type="dxa"/>
            <w:vAlign w:val="bottom"/>
            <w:gridSpan w:val="2"/>
          </w:tcPr>
          <w:p>
            <w:pPr>
              <w:jc w:val="right"/>
              <w:ind w:right="115"/>
              <w:spacing w:after="0"/>
              <w:rPr>
                <w:sz w:val="20"/>
                <w:szCs w:val="20"/>
                <w:color w:val="auto"/>
              </w:rPr>
            </w:pPr>
            <w:r>
              <w:rPr>
                <w:rFonts w:ascii="Arial" w:cs="Arial" w:eastAsia="Arial" w:hAnsi="Arial"/>
                <w:sz w:val="14"/>
                <w:szCs w:val="14"/>
                <w:color w:val="auto"/>
              </w:rPr>
              <w:t>September 30,</w:t>
            </w:r>
          </w:p>
        </w:tc>
      </w:tr>
      <w:tr>
        <w:trPr>
          <w:trHeight w:val="207"/>
        </w:trPr>
        <w:tc>
          <w:tcPr>
            <w:tcW w:w="35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2025</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color w:val="auto"/>
              </w:rPr>
              <w:t>2024</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2025</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2024</w:t>
            </w:r>
          </w:p>
        </w:tc>
      </w:tr>
      <w:tr>
        <w:trPr>
          <w:trHeight w:val="200"/>
        </w:trPr>
        <w:tc>
          <w:tcPr>
            <w:tcW w:w="35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jc w:val="right"/>
              <w:ind w:right="59"/>
              <w:spacing w:after="0" w:line="200"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
              <w:spacing w:after="0" w:line="200" w:lineRule="exact"/>
              <w:rPr>
                <w:sz w:val="20"/>
                <w:szCs w:val="20"/>
                <w:color w:val="auto"/>
              </w:rPr>
            </w:pPr>
            <w:r>
              <w:rPr>
                <w:rFonts w:ascii="Arial" w:cs="Arial" w:eastAsia="Arial" w:hAnsi="Arial"/>
                <w:sz w:val="18"/>
                <w:szCs w:val="18"/>
                <w:color w:val="auto"/>
              </w:rPr>
              <w:t>562</w:t>
            </w:r>
          </w:p>
        </w:tc>
        <w:tc>
          <w:tcPr>
            <w:tcW w:w="340" w:type="dxa"/>
            <w:vAlign w:val="bottom"/>
            <w:shd w:val="clear" w:color="auto" w:fill="CCEEFF"/>
          </w:tcPr>
          <w:p>
            <w:pPr>
              <w:jc w:val="right"/>
              <w:ind w:right="56"/>
              <w:spacing w:after="0" w:line="200"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
              <w:spacing w:after="0" w:line="200" w:lineRule="exact"/>
              <w:rPr>
                <w:sz w:val="20"/>
                <w:szCs w:val="20"/>
                <w:color w:val="auto"/>
              </w:rPr>
            </w:pPr>
            <w:r>
              <w:rPr>
                <w:rFonts w:ascii="Arial" w:cs="Arial" w:eastAsia="Arial" w:hAnsi="Arial"/>
                <w:sz w:val="18"/>
                <w:szCs w:val="18"/>
                <w:color w:val="auto"/>
              </w:rPr>
              <w:t>2,130</w:t>
            </w:r>
          </w:p>
        </w:tc>
        <w:tc>
          <w:tcPr>
            <w:tcW w:w="320" w:type="dxa"/>
            <w:vAlign w:val="bottom"/>
            <w:shd w:val="clear" w:color="auto" w:fill="CCEEFF"/>
          </w:tcPr>
          <w:p>
            <w:pPr>
              <w:ind w:left="80"/>
              <w:spacing w:after="0" w:line="200"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
              <w:spacing w:after="0" w:line="200" w:lineRule="exact"/>
              <w:rPr>
                <w:sz w:val="20"/>
                <w:szCs w:val="20"/>
                <w:color w:val="auto"/>
              </w:rPr>
            </w:pPr>
            <w:r>
              <w:rPr>
                <w:rFonts w:ascii="Arial" w:cs="Arial" w:eastAsia="Arial" w:hAnsi="Arial"/>
                <w:sz w:val="18"/>
                <w:szCs w:val="18"/>
                <w:color w:val="auto"/>
              </w:rPr>
              <w:t>3,636</w:t>
            </w:r>
          </w:p>
        </w:tc>
        <w:tc>
          <w:tcPr>
            <w:tcW w:w="320" w:type="dxa"/>
            <w:vAlign w:val="bottom"/>
            <w:shd w:val="clear" w:color="auto" w:fill="CCEEFF"/>
          </w:tcPr>
          <w:p>
            <w:pPr>
              <w:jc w:val="right"/>
              <w:ind w:right="56"/>
              <w:spacing w:after="0" w:line="200"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6,044</w:t>
            </w:r>
          </w:p>
        </w:tc>
      </w:tr>
      <w:tr>
        <w:trPr>
          <w:trHeight w:val="202"/>
        </w:trPr>
        <w:tc>
          <w:tcPr>
            <w:tcW w:w="35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329</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1,188</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1,903</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3,984</w:t>
            </w:r>
          </w:p>
        </w:tc>
      </w:tr>
      <w:tr>
        <w:trPr>
          <w:trHeight w:val="196"/>
        </w:trPr>
        <w:tc>
          <w:tcPr>
            <w:tcW w:w="358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stock-based compensation</w:t>
            </w:r>
          </w:p>
        </w:tc>
        <w:tc>
          <w:tcPr>
            <w:tcW w:w="400" w:type="dxa"/>
            <w:vAlign w:val="bottom"/>
            <w:tcBorders>
              <w:bottom w:val="single" w:sz="8" w:color="auto"/>
            </w:tcBorders>
            <w:shd w:val="clear" w:color="auto" w:fill="CCEEFF"/>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891</w:t>
            </w:r>
          </w:p>
        </w:tc>
        <w:tc>
          <w:tcPr>
            <w:tcW w:w="340" w:type="dxa"/>
            <w:vAlign w:val="bottom"/>
            <w:tcBorders>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3,318</w:t>
            </w:r>
          </w:p>
        </w:tc>
        <w:tc>
          <w:tcPr>
            <w:tcW w:w="320" w:type="dxa"/>
            <w:vAlign w:val="bottom"/>
            <w:tcBorders>
              <w:bottom w:val="single" w:sz="8" w:color="auto"/>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5,539</w:t>
            </w:r>
          </w:p>
        </w:tc>
        <w:tc>
          <w:tcPr>
            <w:tcW w:w="320" w:type="dxa"/>
            <w:vAlign w:val="bottom"/>
            <w:tcBorders>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10,028</w:t>
            </w:r>
          </w:p>
        </w:tc>
      </w:tr>
      <w:tr>
        <w:trPr>
          <w:trHeight w:val="20"/>
        </w:trPr>
        <w:tc>
          <w:tcPr>
            <w:tcW w:w="3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Stock-based compensation expense by award type included within the condensed consolidated statements of operations is as follows: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Stock options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Restricted stock units</w:t>
      </w:r>
    </w:p>
    <w:p>
      <w:pPr>
        <w:ind w:left="60"/>
        <w:spacing w:after="0" w:line="234" w:lineRule="auto"/>
        <w:rPr>
          <w:sz w:val="20"/>
          <w:szCs w:val="20"/>
          <w:color w:val="auto"/>
        </w:rPr>
      </w:pPr>
      <w:r>
        <w:rPr>
          <w:rFonts w:ascii="Arial" w:cs="Arial" w:eastAsia="Arial" w:hAnsi="Arial"/>
          <w:sz w:val="18"/>
          <w:szCs w:val="18"/>
          <w:color w:val="auto"/>
        </w:rPr>
        <w:t>Restricted stock awards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Employee stock purchase plan</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Total stock-based compensation</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Units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Three Months Ended Three Months EndedNine Months Ended Nine Months Ended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00" w:type="dxa"/>
            <w:vAlign w:val="bottom"/>
            <w:gridSpan w:val="2"/>
          </w:tcPr>
          <w:p>
            <w:pPr>
              <w:jc w:val="right"/>
              <w:ind w:right="173"/>
              <w:spacing w:after="0"/>
              <w:rPr>
                <w:sz w:val="20"/>
                <w:szCs w:val="20"/>
                <w:color w:val="auto"/>
              </w:rPr>
            </w:pPr>
            <w:r>
              <w:rPr>
                <w:rFonts w:ascii="Arial" w:cs="Arial" w:eastAsia="Arial" w:hAnsi="Arial"/>
                <w:sz w:val="14"/>
                <w:szCs w:val="14"/>
                <w:color w:val="auto"/>
              </w:rPr>
              <w:t>September 30,</w:t>
            </w:r>
          </w:p>
        </w:tc>
        <w:tc>
          <w:tcPr>
            <w:tcW w:w="1360" w:type="dxa"/>
            <w:vAlign w:val="bottom"/>
            <w:gridSpan w:val="2"/>
          </w:tcPr>
          <w:p>
            <w:pPr>
              <w:jc w:val="right"/>
              <w:ind w:right="173"/>
              <w:spacing w:after="0"/>
              <w:rPr>
                <w:sz w:val="20"/>
                <w:szCs w:val="20"/>
                <w:color w:val="auto"/>
              </w:rPr>
            </w:pPr>
            <w:r>
              <w:rPr>
                <w:rFonts w:ascii="Arial" w:cs="Arial" w:eastAsia="Arial" w:hAnsi="Arial"/>
                <w:sz w:val="14"/>
                <w:szCs w:val="14"/>
                <w:color w:val="auto"/>
              </w:rPr>
              <w:t>September 30,</w:t>
            </w:r>
          </w:p>
        </w:tc>
        <w:tc>
          <w:tcPr>
            <w:tcW w:w="1280" w:type="dxa"/>
            <w:vAlign w:val="bottom"/>
            <w:gridSpan w:val="2"/>
          </w:tcPr>
          <w:p>
            <w:pPr>
              <w:ind w:left="120"/>
              <w:spacing w:after="0"/>
              <w:rPr>
                <w:sz w:val="20"/>
                <w:szCs w:val="20"/>
                <w:color w:val="auto"/>
              </w:rPr>
            </w:pPr>
            <w:r>
              <w:rPr>
                <w:rFonts w:ascii="Arial" w:cs="Arial" w:eastAsia="Arial" w:hAnsi="Arial"/>
                <w:sz w:val="14"/>
                <w:szCs w:val="14"/>
                <w:color w:val="auto"/>
              </w:rPr>
              <w:t>September 30,</w:t>
            </w:r>
          </w:p>
        </w:tc>
        <w:tc>
          <w:tcPr>
            <w:tcW w:w="1260" w:type="dxa"/>
            <w:vAlign w:val="bottom"/>
            <w:gridSpan w:val="2"/>
          </w:tcPr>
          <w:p>
            <w:pPr>
              <w:jc w:val="right"/>
              <w:ind w:right="93"/>
              <w:spacing w:after="0"/>
              <w:rPr>
                <w:sz w:val="20"/>
                <w:szCs w:val="20"/>
                <w:color w:val="auto"/>
              </w:rPr>
            </w:pPr>
            <w:r>
              <w:rPr>
                <w:rFonts w:ascii="Arial" w:cs="Arial" w:eastAsia="Arial" w:hAnsi="Arial"/>
                <w:sz w:val="14"/>
                <w:szCs w:val="14"/>
                <w:color w:val="auto"/>
              </w:rPr>
              <w:t>September 30,</w:t>
            </w:r>
          </w:p>
        </w:tc>
      </w:tr>
      <w:tr>
        <w:trPr>
          <w:trHeight w:val="206"/>
        </w:trPr>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2025</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2024</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2025</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2024</w:t>
            </w:r>
          </w:p>
        </w:tc>
      </w:tr>
      <w:tr>
        <w:trPr>
          <w:trHeight w:val="181"/>
        </w:trPr>
        <w:tc>
          <w:tcPr>
            <w:tcW w:w="380" w:type="dxa"/>
            <w:vAlign w:val="bottom"/>
          </w:tcPr>
          <w:p>
            <w:pPr>
              <w:jc w:val="right"/>
              <w:ind w:right="56"/>
              <w:spacing w:after="0" w:line="18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675</w:t>
            </w:r>
          </w:p>
        </w:tc>
        <w:tc>
          <w:tcPr>
            <w:tcW w:w="340" w:type="dxa"/>
            <w:vAlign w:val="bottom"/>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2,151</w:t>
            </w:r>
          </w:p>
        </w:tc>
        <w:tc>
          <w:tcPr>
            <w:tcW w:w="32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4,175</w:t>
            </w:r>
          </w:p>
        </w:tc>
        <w:tc>
          <w:tcPr>
            <w:tcW w:w="320" w:type="dxa"/>
            <w:vAlign w:val="bottom"/>
          </w:tcPr>
          <w:p>
            <w:pPr>
              <w:jc w:val="right"/>
              <w:ind w:right="36"/>
              <w:spacing w:after="0" w:line="18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6,510</w:t>
            </w:r>
          </w:p>
        </w:tc>
      </w:tr>
      <w:tr>
        <w:trPr>
          <w:trHeight w:val="203"/>
        </w:trPr>
        <w:tc>
          <w:tcPr>
            <w:tcW w:w="3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207</w:t>
            </w: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1,072</w:t>
            </w:r>
          </w:p>
        </w:tc>
        <w:tc>
          <w:tcPr>
            <w:tcW w:w="3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1,246</w:t>
            </w: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3,219</w:t>
            </w:r>
          </w:p>
        </w:tc>
      </w:tr>
      <w:tr>
        <w:trPr>
          <w:trHeight w:val="203"/>
        </w:trPr>
        <w:tc>
          <w:tcPr>
            <w:tcW w:w="3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3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r>
      <w:tr>
        <w:trPr>
          <w:trHeight w:val="221"/>
        </w:trPr>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196"/>
        </w:trPr>
        <w:tc>
          <w:tcPr>
            <w:tcW w:w="380" w:type="dxa"/>
            <w:vAlign w:val="bottom"/>
            <w:tcBorders>
              <w:bottom w:val="single" w:sz="8" w:color="auto"/>
            </w:tcBorders>
          </w:tcPr>
          <w:p>
            <w:pPr>
              <w:jc w:val="right"/>
              <w:ind w:right="56"/>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891</w:t>
            </w:r>
          </w:p>
        </w:tc>
        <w:tc>
          <w:tcPr>
            <w:tcW w:w="340" w:type="dxa"/>
            <w:vAlign w:val="bottom"/>
            <w:tcBorders>
              <w:bottom w:val="single" w:sz="8" w:color="auto"/>
            </w:tcBorders>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3,318</w:t>
            </w:r>
          </w:p>
        </w:tc>
        <w:tc>
          <w:tcPr>
            <w:tcW w:w="32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5,539</w:t>
            </w:r>
          </w:p>
        </w:tc>
        <w:tc>
          <w:tcPr>
            <w:tcW w:w="32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10,028</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-2279650</wp:posOffset>
            </wp:positionH>
            <wp:positionV relativeFrom="paragraph">
              <wp:posOffset>-685165</wp:posOffset>
            </wp:positionV>
            <wp:extent cx="564896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-2279650</wp:posOffset>
            </wp:positionH>
            <wp:positionV relativeFrom="paragraph">
              <wp:posOffset>-419100</wp:posOffset>
            </wp:positionV>
            <wp:extent cx="564896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-2279650</wp:posOffset>
            </wp:positionH>
            <wp:positionV relativeFrom="paragraph">
              <wp:posOffset>-161925</wp:posOffset>
            </wp:positionV>
            <wp:extent cx="564896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575" w:lineRule="exact"/>
        <w:rPr>
          <w:sz w:val="20"/>
          <w:szCs w:val="20"/>
          <w:color w:val="auto"/>
        </w:rPr>
      </w:pPr>
    </w:p>
    <w:p>
      <w:pPr>
        <w:sectPr>
          <w:pgSz w:w="11900" w:h="16838" w:orient="portrait"/>
          <w:cols w:equalWidth="0" w:num="2">
            <w:col w:w="2920" w:space="720"/>
            <w:col w:w="5379"/>
          </w:cols>
          <w:pgMar w:left="1440" w:top="512" w:right="1440"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The following table summarizes RSU activity for the nine months ended September 30, 2025:</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33"/>
              <w:spacing w:after="0"/>
              <w:rPr>
                <w:sz w:val="20"/>
                <w:szCs w:val="20"/>
                <w:color w:val="auto"/>
              </w:rPr>
            </w:pPr>
            <w:r>
              <w:rPr>
                <w:rFonts w:ascii="Arial" w:cs="Arial" w:eastAsia="Arial" w:hAnsi="Arial"/>
                <w:sz w:val="14"/>
                <w:szCs w:val="14"/>
                <w:color w:val="auto"/>
              </w:rPr>
              <w:t>Weighted Average</w:t>
            </w:r>
          </w:p>
        </w:tc>
      </w:tr>
      <w:tr>
        <w:trPr>
          <w:trHeight w:val="210"/>
        </w:trPr>
        <w:tc>
          <w:tcPr>
            <w:tcW w:w="63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color w:val="auto"/>
              </w:rPr>
              <w:t>Shares</w:t>
            </w: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Grant Date Fair Value</w:t>
            </w:r>
          </w:p>
        </w:tc>
      </w:tr>
      <w:tr>
        <w:trPr>
          <w:trHeight w:val="196"/>
        </w:trPr>
        <w:tc>
          <w:tcPr>
            <w:tcW w:w="6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Unvested December 31, 2024</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2,852,909</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w:t>
            </w: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5,728,890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5.59</w:t>
            </w:r>
          </w:p>
        </w:tc>
      </w:tr>
      <w:tr>
        <w:trPr>
          <w:trHeight w:val="202"/>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(1,520,633)</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Vested</w:t>
            </w:r>
          </w:p>
        </w:tc>
        <w:tc>
          <w:tcPr>
            <w:tcW w:w="1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(433,168)</w:t>
            </w: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2.75</w:t>
            </w:r>
          </w:p>
        </w:tc>
      </w:tr>
      <w:tr>
        <w:trPr>
          <w:trHeight w:val="196"/>
        </w:trPr>
        <w:tc>
          <w:tcPr>
            <w:tcW w:w="63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Unvested September 30, 2025</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6,627,998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r>
      <w:tr>
        <w:trPr>
          <w:trHeight w:val="20"/>
        </w:trPr>
        <w:tc>
          <w:tcPr>
            <w:tcW w:w="6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As of September 30, 2025, there was $4,402 of total unrecognized compensation expense related to the unvested restricted stock with time-based vesting terms, which is expected to be recognized over a weighted average period of 2.02 years.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Awards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restricted stock activity as of September 30, 2025 and December 31, 2024:</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6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Weighted Average</w:t>
            </w:r>
          </w:p>
        </w:tc>
      </w:tr>
      <w:tr>
        <w:trPr>
          <w:trHeight w:val="171"/>
        </w:trPr>
        <w:tc>
          <w:tcPr>
            <w:tcW w:w="62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Shares</w:t>
            </w:r>
          </w:p>
        </w:tc>
        <w:tc>
          <w:tcPr>
            <w:tcW w:w="16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Grant Date Fair Value</w:t>
            </w:r>
          </w:p>
        </w:tc>
      </w:tr>
      <w:tr>
        <w:trPr>
          <w:trHeight w:val="196"/>
        </w:trPr>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Unvested December 31, 2024</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24,821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7.27</w:t>
            </w: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Vested</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(24,821)</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7.27</w:t>
            </w:r>
          </w:p>
        </w:tc>
      </w:tr>
      <w:tr>
        <w:trPr>
          <w:trHeight w:val="196"/>
        </w:trPr>
        <w:tc>
          <w:tcPr>
            <w:tcW w:w="62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Unvested September 30, 2025</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6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839"/>
        <w:spacing w:after="0" w:line="301" w:lineRule="auto"/>
        <w:rPr>
          <w:sz w:val="20"/>
          <w:szCs w:val="20"/>
          <w:color w:val="auto"/>
        </w:rPr>
      </w:pPr>
      <w:r>
        <w:rPr>
          <w:rFonts w:ascii="Arial" w:cs="Arial" w:eastAsia="Arial" w:hAnsi="Arial"/>
          <w:sz w:val="17"/>
          <w:szCs w:val="17"/>
          <w:color w:val="auto"/>
        </w:rPr>
        <w:t>As of September 30, 2025, there was no unrecognized compensation expense related to the unvested restricted stock with time-based vesting terms. All restricted stock vests over a four-year period.</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Early-Exercise of Unvested Equity Awards</w:t>
      </w:r>
    </w:p>
    <w:p>
      <w:pPr>
        <w:spacing w:after="0" w:line="169" w:lineRule="exact"/>
        <w:rPr>
          <w:sz w:val="20"/>
          <w:szCs w:val="20"/>
          <w:color w:val="auto"/>
        </w:rPr>
      </w:pPr>
    </w:p>
    <w:p>
      <w:pPr>
        <w:jc w:val="both"/>
        <w:ind w:left="60" w:right="99"/>
        <w:spacing w:after="0" w:line="253" w:lineRule="auto"/>
        <w:rPr>
          <w:sz w:val="20"/>
          <w:szCs w:val="20"/>
          <w:color w:val="auto"/>
        </w:rPr>
      </w:pPr>
      <w:r>
        <w:rPr>
          <w:rFonts w:ascii="Arial" w:cs="Arial" w:eastAsia="Arial" w:hAnsi="Arial"/>
          <w:sz w:val="18"/>
          <w:szCs w:val="18"/>
          <w:color w:val="auto"/>
        </w:rPr>
        <w:t>Certain equity award holders early exercised unvested equity awards. The cash received upon early exercise of options of $0 and $82 was recorded as a deposit liability on the Company’s balance sheet as of September 30, 2025 and December 31, 2024, respectively.</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Employee Stock Purchase Plan</w:t>
      </w:r>
    </w:p>
    <w:p>
      <w:pPr>
        <w:spacing w:after="0" w:line="183"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ESPP was adopted by the Board of Directors in May 2021. A total of 564,071 shares of common stock were initially reserved for issuance under this plan, which shall be increased, upon approval by the Board of Directors, on January 1, 2022 and each January 1 thereafter, to the lesser of (i) one percent (1%) of the outstanding shares of common stock on the last day of the immediately preceding fiscal year, or (ii) an amount determined by the Board of Directors no later than the last day of the immediately preceding fiscal year. For 2022, the ESPP reserved shares were increased under clause (i) by 550,055 shares, effective as of January 1, 2022. For 2023, 2024 and 2025, the board waived the annual increase to the shares reserved under the ESPP. As of September 30, 2025, there were 639,745 shares available for issuance, under the ESPP.</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13—Related party transactions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Agreements and Collaborative Agreements with Shareholder</w:t>
      </w:r>
    </w:p>
    <w:p>
      <w:pPr>
        <w:spacing w:after="0" w:line="169"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The Company owns licenses and other contracts with FUJIFILM Cellular Dynamics, Inc. (“FCDI”). FCDI is a shareholder of the Company. The acquired licenses and other contracts with FCDI are as follows: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FCDI Agreements</w:t>
      </w:r>
    </w:p>
    <w:p>
      <w:pPr>
        <w:spacing w:after="0" w:line="169"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The Company owns a non-exclusive license agreement with FCDI. The license provides the Company with certain patents and know-how related to the reprogramming of human somatic cells to induce pluripotent stem cells (“iPSCs”) (“Reprogramming License Agreement”). Under this agreement, the Company is required to make certain developmental and regulatory milestone payments as well as royalty payments upon commercialization. Royalties are in the low single digits on the sale of all licensed products.</w:t>
      </w:r>
    </w:p>
    <w:p>
      <w:pPr>
        <w:spacing w:after="0" w:line="136"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The Company also owns an exclusive license agreement with FCDI (“Differentiation Licenses Agreement”). The Differentiation Licenses Agreement provides the Company with patents and know-how related to human iPSC exclusively manufactured by FCDI.</w:t>
      </w:r>
    </w:p>
    <w:p>
      <w:pPr>
        <w:spacing w:after="0" w:line="142"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In October 2019, the Company entered into the Master Collaboration Agreement with FCDI (“Collaboration Agreement”), whereby FCDI provides certain services to the Company to develop and manufacture iPSCs and immune cells derived therefrom. FCDI provides services in accordance with the approved research plan and related research budget. The initial research plan covered the period from October 2019 through March</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739"/>
        <w:spacing w:after="0" w:line="253" w:lineRule="auto"/>
        <w:rPr>
          <w:sz w:val="20"/>
          <w:szCs w:val="20"/>
          <w:color w:val="auto"/>
        </w:rPr>
      </w:pPr>
      <w:r>
        <w:rPr>
          <w:rFonts w:ascii="Arial" w:cs="Arial" w:eastAsia="Arial" w:hAnsi="Arial"/>
          <w:sz w:val="18"/>
          <w:szCs w:val="18"/>
          <w:color w:val="auto"/>
        </w:rPr>
        <w:t>31, 2022. In July, 2022 the Company amended the Collaboration Agreement to extend the term through September 30, 2025, and in September 2023, the Company amended the Collaboration Agreement in connection with the Autoimmune License (as defined below).</w:t>
      </w:r>
    </w:p>
    <w:p>
      <w:pPr>
        <w:spacing w:after="0" w:line="128"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In March 2021, the Company entered into a Manufacturing Agreement with FCDI (“Manufacturing Agreement”), pursuant to which FCDI provides certain agreed upon technology transfer, process development, analytical testing and cGMP manufacturing services to the Company.</w:t>
      </w:r>
    </w:p>
    <w:p>
      <w:pPr>
        <w:spacing w:after="0" w:line="142"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In January 2022, the Company and FCDI entered into a letter agreement (the “Letter Agreement”), which amended the Reprogramming License Agreement, Differentiation License Agreement and Manufacturing Agreement (the “FCDI Agreements”) pursuant to the Company’s Research Collaboration and License Agreement with Bristol-Myers Squibb. Pursuant to the Letter Agreement, and in consideration for amending the FCDI Agreements, the Company paid to FCDI an upfront payment of $10,000 and will pay FCDI (i) a percentage of any milestone payments received by the Company under the FCDI Collaboration Agreement in respect of achievement of development or regulatory milestones specific to Japan, and (ii) a percentage of all royalties received by the Company under the FCDI Collaboration Agreement in respect of sales of products in Japan.</w:t>
      </w:r>
    </w:p>
    <w:p>
      <w:pPr>
        <w:spacing w:after="0" w:line="143"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In September 2023 the Company and FCDI entered into a worldwide license agreement whereby FCDI will grant non-exclusive licenses to the Company for certain patent rights and know-how related to cell differentiation and reprogramming for the development and commercialization of iPSC-derived therapies for the treatment of inflammatory and autoimmune diseases (the “Autoimmune License”). In addition, the Company and FCDI entered into an amendment to each of the Reprogramming License and the Differentiation License to expand the licenses related to the development and commercialization of iPSC-derived cancer immunotherapeutic to also include inflammatory and autoimmune diseases. Under the terms of these agreements, FCDI will be eligible to receive certain development and regulatory milestone payments as well as low single-digit royalties related to products developed in connection with such agreements.</w:t>
      </w:r>
    </w:p>
    <w:p>
      <w:pPr>
        <w:spacing w:after="0" w:line="143"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color w:val="auto"/>
        </w:rPr>
        <w:t>During the three and nine months ended September 30, 2025, the Company made payments of $9 and $1,924 and incurred research and development expenses of $12 and $1,891, respectively, recorded within research and development expenses in its consolidated statements of operations and comprehensive income (loss).</w:t>
      </w:r>
    </w:p>
    <w:p>
      <w:pPr>
        <w:spacing w:after="0" w:line="125"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auto"/>
        </w:rPr>
        <w:t>During the three and nine months ended September 30, 2024, the Company made payments of $3,727 and $6,558 and incurred research and development expenses of $981 and $5,152, respectively, recorded within research and development expenses in its consolidated statements of operations and comprehensive income (loss).</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Option Agreement</w:t>
      </w:r>
    </w:p>
    <w:p>
      <w:pPr>
        <w:spacing w:after="0" w:line="169" w:lineRule="exact"/>
        <w:rPr>
          <w:sz w:val="20"/>
          <w:szCs w:val="20"/>
          <w:color w:val="auto"/>
        </w:rPr>
      </w:pPr>
    </w:p>
    <w:p>
      <w:pPr>
        <w:jc w:val="both"/>
        <w:ind w:left="60" w:right="219"/>
        <w:spacing w:after="0" w:line="247" w:lineRule="auto"/>
        <w:rPr>
          <w:sz w:val="20"/>
          <w:szCs w:val="20"/>
          <w:color w:val="auto"/>
        </w:rPr>
      </w:pPr>
      <w:r>
        <w:rPr>
          <w:rFonts w:ascii="Arial" w:cs="Arial" w:eastAsia="Arial" w:hAnsi="Arial"/>
          <w:sz w:val="18"/>
          <w:szCs w:val="18"/>
          <w:color w:val="auto"/>
        </w:rPr>
        <w:t>Bayer Health, LLC (“Bayer”) has the right of first refusal to acquire certain products researched and developed by the Company. Subject to certain exceptions, Bayer’s right of first refusal is exercisable with respect to up to four products and may only exercise these option rights in a non-sequential and alternating manner, and such rights are subject to additional limitations.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14</w:t>
      </w:r>
      <w:r>
        <w:rPr>
          <w:rFonts w:ascii="Arial" w:cs="Arial" w:eastAsia="Arial" w:hAnsi="Arial"/>
          <w:sz w:val="17"/>
          <w:szCs w:val="17"/>
          <w:color w:val="auto"/>
        </w:rPr>
        <w:t>—</w:t>
      </w:r>
      <w:r>
        <w:rPr>
          <w:rFonts w:ascii="Arial" w:cs="Arial" w:eastAsia="Arial" w:hAnsi="Arial"/>
          <w:sz w:val="22"/>
          <w:szCs w:val="22"/>
          <w:color w:val="auto"/>
        </w:rPr>
        <w:t>Common Stock</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At-The-Market</w:t>
      </w:r>
    </w:p>
    <w:p>
      <w:pPr>
        <w:spacing w:after="0" w:line="185"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Company has a Sales Agreement (“Sales Agreement”), with Cowen and Company, LLC, or (“Cowen”) to provide for the offering, issuance and sale of up to an aggregate amount of $150,000 of common stock from time to time in “at-the-market” offerings (the “ATM Program”) pursuant to its shelf registration statement on Form S-3 (File No. 333-265975) and subject to the limitations thereof. During the nine months ended September 30, 2024, the Company sold 4,084,502 shares pursuant to the ATM Program for net proceeds of $17,829, after deducting commissions of $551. During the nine months ended September 30, 2025, the Company did not have any sales in the ATM Program.</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15—Segment Reporting</w:t>
      </w:r>
    </w:p>
    <w:p>
      <w:pPr>
        <w:spacing w:after="0" w:line="173"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 maker (“CODM”) in making decisions on how to allocate resources and assess performance. The Company views its operations and manages the business as one operating segment. The Company’s CODM is its Chief Executive Officer. The CODM uses research and development expenses, general and administrative expenses, and net loss as measures of profit or loss to assess performance and allocate resources, all of which are presented on the face of the financial statements. The CODM also uses a further breakdown of research and development expenses to assess performance and allocate resources as presented below:</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color w:val="auto"/>
              </w:rPr>
              <w:t>Three Months Ended</w:t>
            </w:r>
          </w:p>
        </w:tc>
        <w:tc>
          <w:tcPr>
            <w:tcW w:w="1520" w:type="dxa"/>
            <w:vAlign w:val="bottom"/>
            <w:gridSpan w:val="3"/>
          </w:tcPr>
          <w:p>
            <w:pPr>
              <w:ind w:left="20"/>
              <w:spacing w:after="0"/>
              <w:rPr>
                <w:sz w:val="20"/>
                <w:szCs w:val="20"/>
                <w:color w:val="auto"/>
              </w:rPr>
            </w:pPr>
            <w:r>
              <w:rPr>
                <w:rFonts w:ascii="Arial" w:cs="Arial" w:eastAsia="Arial" w:hAnsi="Arial"/>
                <w:sz w:val="14"/>
                <w:szCs w:val="14"/>
                <w:color w:val="auto"/>
              </w:rPr>
              <w:t>Three Months Ended</w:t>
            </w:r>
          </w:p>
        </w:tc>
        <w:tc>
          <w:tcPr>
            <w:tcW w:w="1440" w:type="dxa"/>
            <w:vAlign w:val="bottom"/>
            <w:gridSpan w:val="3"/>
          </w:tcPr>
          <w:p>
            <w:pPr>
              <w:ind w:left="20"/>
              <w:spacing w:after="0"/>
              <w:rPr>
                <w:sz w:val="20"/>
                <w:szCs w:val="20"/>
                <w:color w:val="auto"/>
              </w:rPr>
            </w:pPr>
            <w:r>
              <w:rPr>
                <w:rFonts w:ascii="Arial" w:cs="Arial" w:eastAsia="Arial" w:hAnsi="Arial"/>
                <w:sz w:val="14"/>
                <w:szCs w:val="14"/>
                <w:color w:val="auto"/>
              </w:rPr>
              <w:t>Nine Months Ended</w:t>
            </w:r>
          </w:p>
        </w:tc>
        <w:tc>
          <w:tcPr>
            <w:tcW w:w="1360" w:type="dxa"/>
            <w:vAlign w:val="bottom"/>
            <w:gridSpan w:val="3"/>
          </w:tcPr>
          <w:p>
            <w:pPr>
              <w:ind w:left="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color w:val="auto"/>
              </w:rPr>
              <w:t>September 30, 2025</w:t>
            </w:r>
          </w:p>
        </w:tc>
        <w:tc>
          <w:tcPr>
            <w:tcW w:w="1520" w:type="dxa"/>
            <w:vAlign w:val="bottom"/>
            <w:gridSpan w:val="3"/>
          </w:tcPr>
          <w:p>
            <w:pPr>
              <w:ind w:left="40"/>
              <w:spacing w:after="0"/>
              <w:rPr>
                <w:sz w:val="20"/>
                <w:szCs w:val="20"/>
                <w:color w:val="auto"/>
              </w:rPr>
            </w:pPr>
            <w:r>
              <w:rPr>
                <w:rFonts w:ascii="Arial" w:cs="Arial" w:eastAsia="Arial" w:hAnsi="Arial"/>
                <w:sz w:val="14"/>
                <w:szCs w:val="14"/>
                <w:color w:val="auto"/>
              </w:rPr>
              <w:t>September 30, 2024</w:t>
            </w:r>
          </w:p>
        </w:tc>
        <w:tc>
          <w:tcPr>
            <w:tcW w:w="1440" w:type="dxa"/>
            <w:vAlign w:val="bottom"/>
            <w:gridSpan w:val="3"/>
          </w:tcPr>
          <w:p>
            <w:pPr>
              <w:spacing w:after="0"/>
              <w:rPr>
                <w:sz w:val="20"/>
                <w:szCs w:val="20"/>
                <w:color w:val="auto"/>
              </w:rPr>
            </w:pPr>
            <w:r>
              <w:rPr>
                <w:rFonts w:ascii="Arial" w:cs="Arial" w:eastAsia="Arial" w:hAnsi="Arial"/>
                <w:sz w:val="14"/>
                <w:szCs w:val="14"/>
                <w:color w:val="auto"/>
              </w:rPr>
              <w:t>September 30, 2025</w:t>
            </w:r>
          </w:p>
        </w:tc>
        <w:tc>
          <w:tcPr>
            <w:tcW w:w="1360" w:type="dxa"/>
            <w:vAlign w:val="bottom"/>
            <w:gridSpan w:val="3"/>
          </w:tcPr>
          <w:p>
            <w:pPr>
              <w:ind w:left="20"/>
              <w:spacing w:after="0"/>
              <w:rPr>
                <w:sz w:val="20"/>
                <w:szCs w:val="20"/>
                <w:color w:val="auto"/>
              </w:rPr>
            </w:pPr>
            <w:r>
              <w:rPr>
                <w:rFonts w:ascii="Arial" w:cs="Arial" w:eastAsia="Arial" w:hAnsi="Arial"/>
                <w:sz w:val="14"/>
                <w:szCs w:val="14"/>
                <w:color w:val="auto"/>
              </w:rPr>
              <w:t>September 30, 2024</w:t>
            </w: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Collaboration revenue</w:t>
            </w: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791</w:t>
            </w: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109,164</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0"/>
              <w:spacing w:after="0" w:line="202" w:lineRule="exact"/>
              <w:rPr>
                <w:sz w:val="20"/>
                <w:szCs w:val="20"/>
                <w:color w:val="auto"/>
              </w:rPr>
            </w:pPr>
            <w:r>
              <w:rPr>
                <w:rFonts w:ascii="Arial" w:cs="Arial" w:eastAsia="Arial" w:hAnsi="Arial"/>
                <w:sz w:val="18"/>
                <w:szCs w:val="18"/>
                <w:color w:val="auto"/>
              </w:rPr>
              <w:t>Less cost and expense:</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160"/>
              <w:spacing w:after="0" w:line="202" w:lineRule="exact"/>
              <w:rPr>
                <w:sz w:val="20"/>
                <w:szCs w:val="20"/>
                <w:color w:val="auto"/>
              </w:rPr>
            </w:pPr>
            <w:r>
              <w:rPr>
                <w:rFonts w:ascii="Arial" w:cs="Arial" w:eastAsia="Arial" w:hAnsi="Arial"/>
                <w:sz w:val="18"/>
                <w:szCs w:val="18"/>
                <w:color w:val="auto"/>
              </w:rPr>
              <w:t>Personnel and related costs</w:t>
            </w:r>
          </w:p>
        </w:tc>
        <w:tc>
          <w:tcPr>
            <w:tcW w:w="4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8,344</w:t>
            </w:r>
          </w:p>
        </w:tc>
        <w:tc>
          <w:tcPr>
            <w:tcW w:w="140" w:type="dxa"/>
            <w:vAlign w:val="bottom"/>
          </w:tcPr>
          <w:p>
            <w:pPr>
              <w:spacing w:after="0"/>
              <w:rPr>
                <w:sz w:val="17"/>
                <w:szCs w:val="17"/>
                <w:color w:val="auto"/>
              </w:rPr>
            </w:pPr>
          </w:p>
        </w:tc>
        <w:tc>
          <w:tcPr>
            <w:tcW w:w="4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11,056</w:t>
            </w:r>
          </w:p>
        </w:tc>
        <w:tc>
          <w:tcPr>
            <w:tcW w:w="140" w:type="dxa"/>
            <w:vAlign w:val="bottom"/>
          </w:tcPr>
          <w:p>
            <w:pPr>
              <w:spacing w:after="0"/>
              <w:rPr>
                <w:sz w:val="17"/>
                <w:szCs w:val="17"/>
                <w:color w:val="auto"/>
              </w:rPr>
            </w:pPr>
          </w:p>
        </w:tc>
        <w:tc>
          <w:tcPr>
            <w:tcW w:w="3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28,043</w:t>
            </w:r>
          </w:p>
        </w:tc>
        <w:tc>
          <w:tcPr>
            <w:tcW w:w="120" w:type="dxa"/>
            <w:vAlign w:val="bottom"/>
          </w:tcPr>
          <w:p>
            <w:pPr>
              <w:spacing w:after="0"/>
              <w:rPr>
                <w:sz w:val="17"/>
                <w:szCs w:val="17"/>
                <w:color w:val="auto"/>
              </w:rPr>
            </w:pPr>
          </w:p>
        </w:tc>
        <w:tc>
          <w:tcPr>
            <w:tcW w:w="40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31,757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Facility and other allocated costs</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6,194</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5,502</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17,041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160"/>
              <w:spacing w:after="0" w:line="202" w:lineRule="exact"/>
              <w:rPr>
                <w:sz w:val="20"/>
                <w:szCs w:val="20"/>
                <w:color w:val="auto"/>
              </w:rPr>
            </w:pPr>
            <w:r>
              <w:rPr>
                <w:rFonts w:ascii="Arial" w:cs="Arial" w:eastAsia="Arial" w:hAnsi="Arial"/>
                <w:sz w:val="18"/>
                <w:szCs w:val="18"/>
                <w:color w:val="auto"/>
              </w:rPr>
              <w:t>Research and laboratory</w:t>
            </w:r>
          </w:p>
        </w:tc>
        <w:tc>
          <w:tcPr>
            <w:tcW w:w="4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7,315</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7,098</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27,285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22,221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research and development</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673</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3,572</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3,603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6,835</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8,352</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23,047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25,400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Impairment of long-lived assets</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6,763</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6,763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0"/>
              <w:spacing w:after="0" w:line="202" w:lineRule="exact"/>
              <w:rPr>
                <w:sz w:val="20"/>
                <w:szCs w:val="20"/>
                <w:color w:val="auto"/>
              </w:rPr>
            </w:pPr>
            <w:r>
              <w:rPr>
                <w:rFonts w:ascii="Arial" w:cs="Arial" w:eastAsia="Arial" w:hAnsi="Arial"/>
                <w:sz w:val="18"/>
                <w:szCs w:val="18"/>
                <w:color w:val="auto"/>
              </w:rPr>
              <w:t>Other segment (income) expense</w:t>
            </w:r>
          </w:p>
        </w:tc>
        <w:tc>
          <w:tcPr>
            <w:tcW w:w="40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(1,702)</w:t>
            </w:r>
          </w:p>
        </w:tc>
        <w:tc>
          <w:tcPr>
            <w:tcW w:w="40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(3,563)</w:t>
            </w:r>
          </w:p>
        </w:tc>
        <w:tc>
          <w:tcPr>
            <w:tcW w:w="36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(6,209)</w:t>
            </w:r>
          </w:p>
        </w:tc>
        <w:tc>
          <w:tcPr>
            <w:tcW w:w="4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(10,360)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0"/>
              <w:spacing w:after="0" w:line="202" w:lineRule="exact"/>
              <w:rPr>
                <w:sz w:val="20"/>
                <w:szCs w:val="20"/>
                <w:color w:val="auto"/>
              </w:rPr>
            </w:pPr>
            <w:r>
              <w:rPr>
                <w:rFonts w:ascii="Arial" w:cs="Arial" w:eastAsia="Arial" w:hAnsi="Arial"/>
                <w:sz w:val="18"/>
                <w:szCs w:val="18"/>
                <w:color w:val="auto"/>
              </w:rPr>
              <w:t>Net income (loss)</w:t>
            </w:r>
          </w:p>
        </w:tc>
        <w:tc>
          <w:tcPr>
            <w:tcW w:w="4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(34,422)</w:t>
            </w:r>
          </w:p>
        </w:tc>
        <w:tc>
          <w:tcPr>
            <w:tcW w:w="4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(31,226)</w:t>
            </w:r>
          </w:p>
        </w:tc>
        <w:tc>
          <w:tcPr>
            <w:tcW w:w="3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9,591</w:t>
            </w:r>
          </w:p>
        </w:tc>
        <w:tc>
          <w:tcPr>
            <w:tcW w:w="120" w:type="dxa"/>
            <w:vAlign w:val="bottom"/>
          </w:tcPr>
          <w:p>
            <w:pPr>
              <w:spacing w:after="0"/>
              <w:rPr>
                <w:sz w:val="17"/>
                <w:szCs w:val="17"/>
                <w:color w:val="auto"/>
              </w:rPr>
            </w:pPr>
          </w:p>
        </w:tc>
        <w:tc>
          <w:tcPr>
            <w:tcW w:w="40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(90,493)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499"/>
        <w:spacing w:after="0" w:line="271" w:lineRule="auto"/>
        <w:rPr>
          <w:sz w:val="20"/>
          <w:szCs w:val="20"/>
          <w:color w:val="auto"/>
        </w:rPr>
      </w:pPr>
      <w:r>
        <w:rPr>
          <w:rFonts w:ascii="Arial" w:cs="Arial" w:eastAsia="Arial" w:hAnsi="Arial"/>
          <w:sz w:val="18"/>
          <w:szCs w:val="18"/>
          <w:color w:val="auto"/>
        </w:rPr>
        <w:t>Other segment (income)/expense includes interest expense, interest income, other income (expense), and provision for income taxes.</w:t>
      </w:r>
    </w:p>
    <w:p>
      <w:pPr>
        <w:spacing w:after="0" w:line="335"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16—Reduction in Force</w:t>
      </w:r>
    </w:p>
    <w:p>
      <w:pPr>
        <w:spacing w:after="0" w:line="241"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In July 2025, the Company completed a RIF by approximately 51% of its workforce as part of a broader effort to right size the organization to focus on programs with the highest potential for transformational value.</w:t>
      </w:r>
    </w:p>
    <w:p>
      <w:pPr>
        <w:spacing w:after="0" w:line="140"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color w:val="auto"/>
        </w:rPr>
        <w:t>During the three months ended September 30, 2025, the Company incurred $4,088 of costs related to the RIF, which is included in operating expense. $36 was included in accrued expenses and other liabilities as of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i w:val="1"/>
          <w:iCs w:val="1"/>
          <w:color w:val="auto"/>
        </w:rPr>
        <w:t>The following discussion and analysis should be read in conjunction with our financial statements and accompanying notes included in this Quarterly Report on Form 10-Q and the financial statements and accompanying notes thereto for the fiscal year ended December 31, 2024 and the related Management’s Discussion and Analysis of Financial Condition and Results of Operations, which are contained in our Annual Report on Form 10-K filed with the Securities and Exchange Commission (the “SEC”) on March 19, 2025 (the “Annual Report”). This Quarterly Report on Form 10-Q contains “forward-looking statements” within the meaning of Section 27A of the Securities Act and Section 21E of the Exchange Act. Such forward-looking statements, which represent our intent, belief, or current expectations, involve risks and uncertainties and other factors that could cause actual results and the timing of certain events to differ materially from future results expressed or implied by such forward-looking statements. In some cases you can identify forward-looking statements by terms such as “may,” “will,” “expect,” “anticipate,” “estimate,” “intend,” “plan,” “predict,” “potential,” “believe,” “should” and similar expressions. Factors that could cause or contribute to differences in results include, but are not limited to, those set forth under “Risk Factors” in our Annual Report. Except as required by law, we undertake no obligation to update these forward-looking statements to reflect events or circumstances after the date of this report or to reflect actual outcomes.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31"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are a biotechnology company harnessing the power of allogeneic pluripotent stem cell therapies to develop potentially curative cell therapy products for autoimmune diseases and cancer. Our natural killer, or NK, T cell, and beta islet programs are allogeneic, meaning they are derived from healthy donors for use in any patient, rather than being sourced from an individual for their own specific use, as is the case with autologous T cells. As a result, we believe such “off-the-shelf" therapies have the potential to overcome the limitations of first-generation cell therapies by providing readily available treatments more quickly, reliably, at greater scale, and to a broader patient population. What we believe further sets us apart from other allogeneic approaches is our focus on induced pluripotent stem cells, or iPSCs, which possess the unique ability to self-renew indefinitely and differentiate into any cell type, enabling virtually unlimited genetic editing, consistent reproducibility, and scalable manufacturing. We have created a comprehensive, genetically engineered allogeneic cell therapy platform that includes:</w:t>
      </w:r>
    </w:p>
    <w:p>
      <w:pPr>
        <w:spacing w:after="0" w:line="321" w:lineRule="exact"/>
        <w:rPr>
          <w:sz w:val="20"/>
          <w:szCs w:val="20"/>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Industry-leading iPSCs and differentiation know-how to generate functional mature cells from iPSCs;</w:t>
      </w:r>
    </w:p>
    <w:p>
      <w:pPr>
        <w:spacing w:after="0" w:line="156" w:lineRule="exact"/>
        <w:rPr>
          <w:rFonts w:ascii="Times New Roman" w:cs="Times New Roman" w:eastAsia="Times New Roman" w:hAnsi="Times New Roman"/>
          <w:sz w:val="18"/>
          <w:szCs w:val="18"/>
          <w:color w:val="auto"/>
        </w:rPr>
      </w:pPr>
    </w:p>
    <w:p>
      <w:pPr>
        <w:ind w:left="720" w:right="15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Clustered regularly interspaced short palindromic repeats, or CRISPR mediated precision gene editing that allows us to incorporate multiple transgenes and disrupt target genes intended to optimize cell product performance;</w:t>
      </w:r>
    </w:p>
    <w:p>
      <w:pPr>
        <w:spacing w:after="0" w:line="89" w:lineRule="exact"/>
        <w:rPr>
          <w:rFonts w:ascii="Times New Roman" w:cs="Times New Roman" w:eastAsia="Times New Roman" w:hAnsi="Times New Roman"/>
          <w:sz w:val="18"/>
          <w:szCs w:val="18"/>
          <w:color w:val="auto"/>
        </w:rPr>
      </w:pPr>
    </w:p>
    <w:p>
      <w:pPr>
        <w:ind w:left="720" w:right="239" w:hanging="319"/>
        <w:spacing w:after="0" w:line="270"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Sophisticated protein engineering capabilities to develop proprietary next generation chimeric antigen receptors, or CARs;</w:t>
      </w:r>
    </w:p>
    <w:p>
      <w:pPr>
        <w:spacing w:after="0" w:line="86" w:lineRule="exact"/>
        <w:rPr>
          <w:rFonts w:ascii="Times New Roman" w:cs="Times New Roman" w:eastAsia="Times New Roman" w:hAnsi="Times New Roman"/>
          <w:sz w:val="18"/>
          <w:szCs w:val="18"/>
          <w:color w:val="auto"/>
        </w:rPr>
      </w:pPr>
    </w:p>
    <w:p>
      <w:pPr>
        <w:ind w:left="720" w:right="119" w:hanging="319"/>
        <w:spacing w:after="0" w:line="270"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proprietary Allo-Evasion™ technology intended to prevent rejection of our cell products by the host immune system, enabling the potential for persistence and re-dosing of therapy; and</w:t>
      </w:r>
    </w:p>
    <w:p>
      <w:pPr>
        <w:spacing w:after="0" w:line="86" w:lineRule="exact"/>
        <w:rPr>
          <w:rFonts w:ascii="Times New Roman" w:cs="Times New Roman" w:eastAsia="Times New Roman" w:hAnsi="Times New Roman"/>
          <w:sz w:val="18"/>
          <w:szCs w:val="18"/>
          <w:color w:val="auto"/>
        </w:rPr>
      </w:pPr>
    </w:p>
    <w:p>
      <w:pPr>
        <w:ind w:left="720" w:right="239" w:hanging="319"/>
        <w:spacing w:after="0" w:line="270"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Cutting-edge manufacturing capabilities intended to drive scale advantages and reduce cost of goods sold, or COGs, while minimizing product development and supply risk.</w:t>
      </w:r>
    </w:p>
    <w:p>
      <w:pPr>
        <w:spacing w:after="0" w:line="73" w:lineRule="exact"/>
        <w:rPr>
          <w:sz w:val="20"/>
          <w:szCs w:val="20"/>
          <w:color w:val="auto"/>
        </w:rPr>
      </w:pPr>
    </w:p>
    <w:p>
      <w:pPr>
        <w:ind w:left="60" w:right="99"/>
        <w:spacing w:after="0" w:line="245" w:lineRule="auto"/>
        <w:rPr>
          <w:sz w:val="20"/>
          <w:szCs w:val="20"/>
          <w:color w:val="auto"/>
        </w:rPr>
      </w:pPr>
      <w:r>
        <w:rPr>
          <w:rFonts w:ascii="Arial" w:cs="Arial" w:eastAsia="Arial" w:hAnsi="Arial"/>
          <w:sz w:val="18"/>
          <w:szCs w:val="18"/>
          <w:color w:val="auto"/>
        </w:rPr>
        <w:t xml:space="preserve">We are leveraging our expertise in cellular reprogramming, differentiation, genetic engineering, and manufacturing to develop therapies with the potential to provide enhanced clinical outcomes compared to existing cell therapy technologies and available therapeutic options. We are unique in the breadth of cell types we can generate from iPSCs, including iPSC-derived natural killer cells, or iNK cells, iPSC-derived </w:t>
      </w:r>
      <w:r>
        <w:rPr>
          <w:rFonts w:ascii="Times New Roman" w:cs="Times New Roman" w:eastAsia="Times New Roman" w:hAnsi="Times New Roman"/>
          <w:sz w:val="18"/>
          <w:szCs w:val="18"/>
          <w:color w:val="auto"/>
        </w:rPr>
        <w:t>gd</w:t>
      </w:r>
      <w:r>
        <w:rPr>
          <w:rFonts w:ascii="Arial" w:cs="Arial" w:eastAsia="Arial" w:hAnsi="Arial"/>
          <w:sz w:val="18"/>
          <w:szCs w:val="18"/>
          <w:color w:val="auto"/>
        </w:rPr>
        <w:t xml:space="preserve"> T cells, or </w:t>
      </w:r>
      <w:r>
        <w:rPr>
          <w:rFonts w:ascii="Times New Roman" w:cs="Times New Roman" w:eastAsia="Times New Roman" w:hAnsi="Times New Roman"/>
          <w:sz w:val="18"/>
          <w:szCs w:val="18"/>
          <w:color w:val="auto"/>
        </w:rPr>
        <w:t xml:space="preserve">gd </w:t>
      </w:r>
      <w:r>
        <w:rPr>
          <w:rFonts w:ascii="Arial" w:cs="Arial" w:eastAsia="Arial" w:hAnsi="Arial"/>
          <w:sz w:val="18"/>
          <w:szCs w:val="18"/>
          <w:color w:val="auto"/>
        </w:rPr>
        <w:t>IT cells and iPSC-derived CD4+ and CD8+</w:t>
      </w:r>
      <w:r>
        <w:rPr>
          <w:rFonts w:ascii="Times New Roman" w:cs="Times New Roman" w:eastAsia="Times New Roman" w:hAnsi="Times New Roman"/>
          <w:sz w:val="18"/>
          <w:szCs w:val="18"/>
          <w:color w:val="auto"/>
        </w:rPr>
        <w:t xml:space="preserve"> ab </w:t>
      </w:r>
      <w:r>
        <w:rPr>
          <w:rFonts w:ascii="Arial" w:cs="Arial" w:eastAsia="Arial" w:hAnsi="Arial"/>
          <w:sz w:val="18"/>
          <w:szCs w:val="18"/>
          <w:color w:val="auto"/>
        </w:rPr>
        <w:t>T cells, or</w:t>
      </w:r>
      <w:r>
        <w:rPr>
          <w:rFonts w:ascii="Times New Roman" w:cs="Times New Roman" w:eastAsia="Times New Roman" w:hAnsi="Times New Roman"/>
          <w:sz w:val="18"/>
          <w:szCs w:val="18"/>
          <w:color w:val="auto"/>
        </w:rPr>
        <w:t xml:space="preserve"> ab </w:t>
      </w:r>
      <w:r>
        <w:rPr>
          <w:rFonts w:ascii="Arial" w:cs="Arial" w:eastAsia="Arial" w:hAnsi="Arial"/>
          <w:sz w:val="18"/>
          <w:szCs w:val="18"/>
          <w:color w:val="auto"/>
        </w:rPr>
        <w:t>iT cells, and iPSC-derived beta islet cells. We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believe this capability enables optimal matching of cell characteristics to disease indication, ensuring we target the right cell for the right indication.</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439"/>
        <w:spacing w:after="0" w:line="244" w:lineRule="auto"/>
        <w:rPr>
          <w:sz w:val="20"/>
          <w:szCs w:val="20"/>
          <w:color w:val="auto"/>
        </w:rPr>
      </w:pPr>
      <w:r>
        <w:rPr>
          <w:rFonts w:ascii="Arial" w:cs="Arial" w:eastAsia="Arial" w:hAnsi="Arial"/>
          <w:sz w:val="18"/>
          <w:szCs w:val="18"/>
          <w:color w:val="auto"/>
        </w:rPr>
        <w:t>Our vision is to become a premier, fully integrated biotechnology company by developing and ultimately commercializing off-the-shelf allogeneic cell therapies that dramatically and positively transform the lives of patients suffering from life-threatening autoimmune diseases and cancers. To achieve our vision, our world-class team is applying its decades of collective experience in cell therapy and drug development, manufacturing, and commercialization.</w:t>
      </w:r>
    </w:p>
    <w:p>
      <w:pPr>
        <w:spacing w:after="0" w:line="163"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In November 2025, we announced our plans to develop a beta islet program, CNTY-813, for Type 1 diabetes, or T1D. We are leveraging our deep expertise in selective iPSC differentiation to advance this program, engineered with Allo-Evasion™ 5.0, toward clinical evaluation subject to regulatory clearance. Based on our current timelines and expectations, we are poised to move CNTY-813 into IND-enabling studies by the end of 2025. We anticipate submission of an IND as early as 2026.</w:t>
      </w:r>
    </w:p>
    <w:p>
      <w:pPr>
        <w:spacing w:after="0" w:line="163"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We also continue to make progress with IND-enabling studies for CNTY-308, a CD19-targeted CD4+/CD8+ ab CAR-iT cell therapy functionally comparable to primary T cells and engineered with Allo-Evasion™ 5.0. CNTY-308 is being developed as a potential treatment for B-cell-mediated diseases. Following successful completion of these IND-enabling studies, and the receipt of requisite regulatory approval, we expect to initiate clinical studies in 2026.</w:t>
      </w:r>
    </w:p>
    <w:p>
      <w:pPr>
        <w:spacing w:after="0" w:line="163"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In November 2025, we announced that we will prioritize clinical development activities for CNTY-101, a CAR-iNK cell therapy with six precision gene edits, in CARAMEL, a Phase 1/2 investigator sponsored trial, or IST, which is currently enrolling and dosing patients living with B-cell-mediated autoimmune diseases, led by Professors Georg Schett and Andreas Mackensen and is sponsored by the Friedrich-Alexander University Erlangen-Nürnberg. Accordingly, we discontinued our company-sponsored clinical activities under the CALiPSO-1 trial and will redirect these resources to other programs. Investigators of the CARAMEL IST are expected to present initial data in December 2025.</w:t>
      </w:r>
    </w:p>
    <w:p>
      <w:pPr>
        <w:spacing w:after="0" w:line="171"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In July 2025, we completed a reduction in force by approximately 51% of our workforce as part of a broader effort to right size the organization to focus on clinical execution of key programs.</w:t>
      </w:r>
    </w:p>
    <w:p>
      <w:pPr>
        <w:spacing w:after="0" w:line="140" w:lineRule="exact"/>
        <w:rPr>
          <w:sz w:val="20"/>
          <w:szCs w:val="20"/>
          <w:color w:val="auto"/>
        </w:rPr>
      </w:pPr>
    </w:p>
    <w:p>
      <w:pPr>
        <w:jc w:val="both"/>
        <w:ind w:left="60" w:right="139"/>
        <w:spacing w:after="0" w:line="242" w:lineRule="auto"/>
        <w:rPr>
          <w:sz w:val="20"/>
          <w:szCs w:val="20"/>
          <w:color w:val="auto"/>
        </w:rPr>
      </w:pPr>
      <w:r>
        <w:rPr>
          <w:rFonts w:ascii="Arial" w:cs="Arial" w:eastAsia="Arial" w:hAnsi="Arial"/>
          <w:sz w:val="18"/>
          <w:szCs w:val="18"/>
          <w:color w:val="auto"/>
        </w:rPr>
        <w:t>Based on our current business plans, we believe our cash, cash equivalents and investments as of September 30, 2025, will be sufficient for us to fund our operating expenses and capital expenditures requirements into the fourth quarter of 2027. We have based this estimate on assumptions that may prove to be wrong, and we could exhaust our available capital resources sooner than we expect. We anticipate that our expenses and operating losses will increase substantially over the foreseeable future. The expected increase in expenses will be driven in large part by our ongoing activities, if and as we:</w:t>
      </w:r>
    </w:p>
    <w:p>
      <w:pPr>
        <w:spacing w:after="0" w:line="138" w:lineRule="exact"/>
        <w:rPr>
          <w:sz w:val="20"/>
          <w:szCs w:val="20"/>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advance our iPSC cell therapy platforms;</w:t>
      </w:r>
    </w:p>
    <w:p>
      <w:pPr>
        <w:spacing w:after="0" w:line="19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progress preclinical and clinical development of our product candidates;</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seek to discover and develop additional product candidates;</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expand and validate our own clinical-scale current good manufacturing practices, or cGMP, facilities;</w:t>
      </w:r>
    </w:p>
    <w:p>
      <w:pPr>
        <w:spacing w:after="0" w:line="19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approvals for any of our product candidates that successfully complete clinical trials;</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protect, and enforce our intellectual property portfolio;</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incur costs associated with operating as a public company;</w:t>
      </w:r>
    </w:p>
    <w:p>
      <w:pPr>
        <w:spacing w:after="0" w:line="19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acquire or in-license other product candidates and technologies;</w:t>
      </w:r>
    </w:p>
    <w:p>
      <w:pPr>
        <w:spacing w:after="0" w:line="183" w:lineRule="exact"/>
        <w:rPr>
          <w:rFonts w:ascii="Times New Roman" w:cs="Times New Roman" w:eastAsia="Times New Roman" w:hAnsi="Times New Roman"/>
          <w:sz w:val="18"/>
          <w:szCs w:val="18"/>
          <w:color w:val="auto"/>
        </w:rPr>
      </w:pPr>
    </w:p>
    <w:p>
      <w:pPr>
        <w:ind w:left="720" w:right="499" w:hanging="319"/>
        <w:spacing w:after="0" w:line="252"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costs associated with operating as a public company, which will require us to add operational, financial and management information systems and personnel, including personnel to support our drug development and any future commercialization efforts;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increase our employee headcount and related expenses to support these activities.</w:t>
      </w:r>
    </w:p>
    <w:p>
      <w:pPr>
        <w:spacing w:after="0" w:line="184"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We are also investing in building our capabilities in key areas of manufacturing sciences and operations, including development of our iPSC cell therapy platforms, product characterization, and process analytics from the time product candidates are in early research phases. Our investments also include scaled research solutions, scaled infrastructure, and novel technologies intended to improve efficiency, characterization, and scalability of manufacturing.</w:t>
      </w:r>
    </w:p>
    <w:p>
      <w:pPr>
        <w:spacing w:after="0" w:line="14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anticipate that we will need to raise additional financing in the future to fund our operations, including funding for preclinical studies, clinical trials and the commercialization of any approved product candidates. We intend to use the proceeds from such financings to, among other uses, fund research and development of our product candidates and development programs. Until such time, if ever, as we can generate significant product revenue, we expect to finance our operations with our existing cash and cash equivalents, investments, any future equity or debt financings, and upfront and milestone and royalty payments, if any, received under future licenses or collaborations. We may not be able to raise additional capital on terms acceptable to us or at all. If we are unable to raise additional capital when desired, our business, results of operations, and financial condition would be adversely affected. Because of the numerous risks and uncertainties associated with product development, we are unable to predict the timing or amount of increased expenses or when or if we will be able to achieve or maintain profitability.</w:t>
      </w: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and collaboration agreements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Bristol-Myers Squibb</w:t>
      </w:r>
    </w:p>
    <w:p>
      <w:pPr>
        <w:spacing w:after="0" w:line="169" w:lineRule="exact"/>
        <w:rPr>
          <w:sz w:val="20"/>
          <w:szCs w:val="20"/>
          <w:color w:val="auto"/>
        </w:rPr>
      </w:pPr>
    </w:p>
    <w:p>
      <w:pPr>
        <w:ind w:left="60" w:right="419"/>
        <w:spacing w:after="0" w:line="244" w:lineRule="auto"/>
        <w:rPr>
          <w:sz w:val="20"/>
          <w:szCs w:val="20"/>
          <w:color w:val="auto"/>
        </w:rPr>
      </w:pPr>
      <w:r>
        <w:rPr>
          <w:rFonts w:ascii="Arial" w:cs="Arial" w:eastAsia="Arial" w:hAnsi="Arial"/>
          <w:sz w:val="18"/>
          <w:szCs w:val="18"/>
          <w:color w:val="auto"/>
        </w:rPr>
        <w:t>On January 7, 2022, we entered into a Research, Collaboration and License Agreement with Bristol-Myers Squibb Company to collaborate on the research, development and commercialization of induced pluripotent stem cell derived, engineered natural killer cell and/or gamma delta T cell programs for hematologic malignancies, initially focused on acute myeloid leukemia, and multiple myeloma, or the Collaboration Agreement.</w:t>
      </w:r>
    </w:p>
    <w:p>
      <w:pPr>
        <w:spacing w:after="0" w:line="163"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Under the terms of the Collaboration Agreement, Bristol-Myers Squibb made a non-refundable, upfront cash payment of $100 million and purchased 2,160,760 shares of our common stock at a price per share of $23.14, for an aggregate purchase price of $50.0 million.</w:t>
      </w:r>
    </w:p>
    <w:p>
      <w:pPr>
        <w:spacing w:after="0" w:line="155"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Following an internal corporate portfolio prioritization process, Bristol-Myers Squibb notified the Company on December 12, 2024 that it would be terminating the Collaboration Agreement in its entirety without cause. The termination was effective as of March 12, 2025.</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Fujifilm Cellular Dynamics, Inc. (FCDI)</w:t>
      </w:r>
    </w:p>
    <w:p>
      <w:pPr>
        <w:spacing w:after="0" w:line="183"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On September 18, 2018, we entered into a license agreement, or the Differentiation License, with FCDI. The Differentiation License, as amended, provides us with an exclusive license under certain patents and know-how related to human iPSC consisting of cells that are or are modifications of NK cells, T cells, dendritic cells and macrophages derived from human iPSC. In consideration for the Differentiation License, FCDI received 2,980,803 shares of common stock in connection with the January 2023 Strategic Reprioritization.</w:t>
      </w:r>
    </w:p>
    <w:p>
      <w:pPr>
        <w:spacing w:after="0" w:line="17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Also on September 18, 2018, we entered into the non-exclusive license, or the Reprogramming License, with FCDI. The Reprogramming License, as amended, provides us with a non-exclusive license under certain patents and know-how related to the reprogramming of human somatic cells to iPSCs and provide us access to iPSC lines for clinical use. Under the Reprogramming License, we are required to make certain developmental and regulatory milestone payments as well as royalty payments upon commercialization in the low single digits. In connection with the Reprogramming License, we entered into a collaboration agreement, or the FCDI Collaboration Agreement, with FCDI pursuant to which we agreed to fund research and development work at FCDI pursuant to a research plan.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On October 21, 2019, we entered into the FCDI Collaboration Agreement with FCDI, whereby FCDI provides certain services to us to develop and manufacture iPSCs and immune cells derived therefrom. Under the terms of the FCDI Collaboration Agreement, as amended, FCDI will provide services in accordance with the approved research plan and related research budget. The initial research plan covers the period from the date of execution of the FCDI Collaboration Agreement through March 31, 2022. On July 29, 2022, we amended the FCDI Collaboration Agreement to extend the term through September 30, 2025.</w:t>
      </w:r>
    </w:p>
    <w:p>
      <w:pPr>
        <w:spacing w:after="0" w:line="179" w:lineRule="exact"/>
        <w:rPr>
          <w:sz w:val="20"/>
          <w:szCs w:val="20"/>
          <w:color w:val="auto"/>
        </w:rPr>
      </w:pPr>
    </w:p>
    <w:p>
      <w:pPr>
        <w:ind w:left="60" w:right="59"/>
        <w:spacing w:after="0" w:line="259" w:lineRule="auto"/>
        <w:rPr>
          <w:sz w:val="20"/>
          <w:szCs w:val="20"/>
          <w:color w:val="auto"/>
        </w:rPr>
      </w:pPr>
      <w:r>
        <w:rPr>
          <w:rFonts w:ascii="Arial" w:cs="Arial" w:eastAsia="Arial" w:hAnsi="Arial"/>
          <w:sz w:val="17"/>
          <w:szCs w:val="17"/>
          <w:color w:val="auto"/>
        </w:rPr>
        <w:t>On January 7, 2022, we and FCDI entered into a letter agreement, which amends each of the FCDI agreements as further discussed in Note 14 to our consolidated financial statements. Pursuant to the Letter Agreement, and in consideration for amending the FCDI Agreements, we agreed to pay to FCDI (i) an upfront payment of $10 million, (ii) a percentage of any milestone payments received by us under the Collaboration Agreement, in respect of achievement of development or regulatory milestones specific to Japan, and (iii) a percentage of all royalties received by us under the Collaboration Agreement in respect of sales of products in Japan.</w:t>
      </w:r>
    </w:p>
    <w:p>
      <w:pPr>
        <w:spacing w:after="0" w:line="165" w:lineRule="exact"/>
        <w:rPr>
          <w:sz w:val="20"/>
          <w:szCs w:val="20"/>
          <w:color w:val="auto"/>
        </w:rPr>
      </w:pPr>
    </w:p>
    <w:p>
      <w:pPr>
        <w:ind w:left="60" w:right="159"/>
        <w:spacing w:after="0" w:line="255" w:lineRule="auto"/>
        <w:rPr>
          <w:sz w:val="20"/>
          <w:szCs w:val="20"/>
          <w:color w:val="auto"/>
        </w:rPr>
      </w:pPr>
      <w:r>
        <w:rPr>
          <w:rFonts w:ascii="Arial" w:cs="Arial" w:eastAsia="Arial" w:hAnsi="Arial"/>
          <w:sz w:val="17"/>
          <w:szCs w:val="17"/>
          <w:color w:val="auto"/>
        </w:rPr>
        <w:t>On September 22, 2023, we and FCDI entered into a worldwide license agreement whereby FCDI will grant non-exclusive licenses to us for certain patent rights and know-how related to cell differentiation and reprogramming for the development and commercialization of iPSC-derived therapies for the treatment of inflammatory and autoimmune diseases, or the Autoimmune License. Under the terms of the Autoimmune License, FCDI will be eligible to receive certain development and regulatory milestone payments as well as low single-digit royalties related to products developed in connection with the Autoimmune License. In addition, on September 22, 2023, we and FCDI amended the Reprogramming License, Differentiation License and the Collaboration Agreement to expand our existing license related to the development and commercialization of iPSC-derived cancer immunotherapeutic to also include inflammatory and autoimmune diseases.</w:t>
      </w:r>
    </w:p>
    <w:p>
      <w:pPr>
        <w:spacing w:after="0" w:line="156"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color w:val="auto"/>
        </w:rPr>
        <w:t>During the three and nine months ended September 30, 2025, we made payments of $0 and $1.9 million and incurred research and development expenses of $0 and $1.9 million recorded within general and administrative expenses in its consolidated statements of operations and comprehensive income (loss), respectively.</w:t>
      </w:r>
    </w:p>
    <w:p>
      <w:pPr>
        <w:spacing w:after="0" w:line="111"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During the three and nine months ended September 30, 2024, we made payments of $3.7 million and $6.6 million and incurred research and development expenses of $ 981 thousand and $5.2 million and legal fees of $38 thousand and $73 thousand, recorded within general and administrative expenses in its consolidated statements of operations and comprehensive loss.</w:t>
      </w:r>
    </w:p>
    <w:p>
      <w:pPr>
        <w:spacing w:after="0" w:line="106"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From inception of the FCDI Collaboration Agreement through September 30, 2025, we incurred $44.7 million of expenses under the FCDI Collaboration Agreement.</w:t>
      </w:r>
    </w:p>
    <w:p>
      <w:pPr>
        <w:spacing w:after="0" w:line="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42"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We have not generated any revenue from product sales and do not expect to generate any revenue from the sale of products for the foreseeable future. Our revenues to date were generated through our collaboration, option and license agreement with Bristol-Myers Squibb, which was terminated, effective as of March 12, 2025. We recognize revenue over the expected performance period under this agreement. We expect that our revenue for the next several years will be derived primarily from any collaborations that we may enter into in the future. To date, we have not received any royalties under any of our existing collaboration agreements.</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142"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To date, research and development expenses have related primarily to discovery and development of our iPSC cell therapy platform technology and product candidates and acquired in-process research and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60" w:right="339"/>
        <w:spacing w:after="0" w:line="253" w:lineRule="auto"/>
        <w:rPr>
          <w:sz w:val="20"/>
          <w:szCs w:val="20"/>
          <w:color w:val="auto"/>
        </w:rPr>
      </w:pPr>
      <w:r>
        <w:rPr>
          <w:rFonts w:ascii="Arial" w:cs="Arial" w:eastAsia="Arial" w:hAnsi="Arial"/>
          <w:sz w:val="18"/>
          <w:szCs w:val="18"/>
          <w:color w:val="auto"/>
        </w:rPr>
        <w:t>development. Research and development expenses are recognized as incurred and payments made prior to the receipt of goods or services to be used in research and development are recorded as prepaid expenses until the goods or services are received.</w:t>
      </w:r>
    </w:p>
    <w:p>
      <w:pPr>
        <w:spacing w:after="0" w:line="101" w:lineRule="exact"/>
        <w:rPr>
          <w:sz w:val="20"/>
          <w:szCs w:val="20"/>
          <w:color w:val="auto"/>
        </w:rPr>
      </w:pPr>
    </w:p>
    <w:p>
      <w:pPr>
        <w:ind w:left="60" w:right="139"/>
        <w:spacing w:after="0" w:line="266" w:lineRule="auto"/>
        <w:rPr>
          <w:sz w:val="20"/>
          <w:szCs w:val="20"/>
          <w:color w:val="auto"/>
        </w:rPr>
      </w:pPr>
      <w:r>
        <w:rPr>
          <w:rFonts w:ascii="Arial" w:cs="Arial" w:eastAsia="Arial" w:hAnsi="Arial"/>
          <w:sz w:val="17"/>
          <w:szCs w:val="17"/>
          <w:color w:val="auto"/>
        </w:rPr>
        <w:t>Research and development expenses consist of personnel-related costs, including salaries, and benefits, stock compensation expense, external research and development expenses incurred under arrangements with third parties, laboratory supplies, costs to acquire and license technologies facility and other allocated expenses, including rent, depreciation, and allocated overhead costs, and other research and development expenses.</w:t>
      </w:r>
    </w:p>
    <w:p>
      <w:pPr>
        <w:spacing w:after="0" w:line="78" w:lineRule="exact"/>
        <w:rPr>
          <w:sz w:val="20"/>
          <w:szCs w:val="20"/>
          <w:color w:val="auto"/>
        </w:rPr>
      </w:pPr>
    </w:p>
    <w:p>
      <w:pPr>
        <w:ind w:left="60" w:right="199"/>
        <w:spacing w:after="0" w:line="261" w:lineRule="auto"/>
        <w:rPr>
          <w:sz w:val="20"/>
          <w:szCs w:val="20"/>
          <w:color w:val="auto"/>
        </w:rPr>
      </w:pPr>
      <w:r>
        <w:rPr>
          <w:rFonts w:ascii="Arial" w:cs="Arial" w:eastAsia="Arial" w:hAnsi="Arial"/>
          <w:sz w:val="17"/>
          <w:szCs w:val="17"/>
          <w:color w:val="auto"/>
        </w:rPr>
        <w:t>We deploy our employee and infrastructure resources across multiple research and development programs for developing our iPSC cell therapy platforms, identifying and developing product candidates, and establishing manufacturing capabilities. Due to the number of ongoing projects and our ability to use resources across several projects, the vast majority of our research and development costs are not recorded on a program-specific basis. These include costs for personnel, laboratory, and other indirect facility and operating costs.</w:t>
      </w:r>
    </w:p>
    <w:p>
      <w:pPr>
        <w:spacing w:after="0" w:line="98"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Research and development activities account for a significant portion of our operating expenses. We anticipate that our research and development expenses will increase for the foreseeable future as we expand our research and development efforts including expanding the capabilities of our iPSC cell therapy platforms, identifying product candidates, progressing preclinical studies and clinical trials, including for our first clinical product candidate CNTY-101, seeking regulatory approval of our product candidates, and incurring costs to acquire and license technologies aligned with our goal of translating iPSCs to therapies. A change in the outcome of any of these variables could mean a significant change in the costs and timing associated with the development of our product candidates.</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129"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non-cash stock-based compensation, for our employees in executive, legal, finance, human resources, information technology, and other administrative functions, legal fees, consulting fees, recruiting costs, and facility costs not otherwise included in research and development expenses. Legal fees include those related to corporate and patent matters.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Impairment of long-lived assets</w:t>
      </w:r>
    </w:p>
    <w:p>
      <w:pPr>
        <w:spacing w:after="0" w:line="210"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review our amortizable long lived assets for impairment when impairment indicators exist by comparing the carrying values of the assets with their estimated future undiscounted cash flows. If the carrying value exceeds the estimated future undiscounted cash flows, the Company calculates an impairment charge based on the difference between asset carrying values and fair value of discounted cash flows, which are based on indicative fair market quotes and are considered level three fair value estimates. We incurred $6.76 million in impairment during the three and nine months ended September 30, 2025. There were no impairment charges incurred in 2024.</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income consists of interest earned on our cash, cash equivalents and investment balances.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169"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We have evaluated the positive and negative evidence bearing upon its ability to realize our deferred tax assets, which primarily consist of net operating loss carryforwards. While we utilized a portion of its existing net operating loss carryforwards during tax year 2023, we have considered its history of cumulative net losses in the U.S., estimated future taxable income and prudent and feasible tax planning strategies and have concluded that it is more likely than not that we will not realize the benefits of our U.S. deferred tax assets. As a result, as of September 30, 2025, we have recorded a full valuation allowance against our net deferred tax assets, exclusive of our deferred tax liability on IPR&amp;D in the U.S.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three months ended September 30, 2025 and 2024.</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0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Three Months Ended</w:t>
            </w:r>
          </w:p>
        </w:tc>
        <w:tc>
          <w:tcPr>
            <w:tcW w:w="1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Three Months Ended</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r>
      <w:tr>
        <w:trPr>
          <w:trHeight w:val="171"/>
        </w:trPr>
        <w:tc>
          <w:tcPr>
            <w:tcW w:w="500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color w:val="auto"/>
              </w:rPr>
              <w:t>September 30, 2025</w:t>
            </w:r>
          </w:p>
        </w:tc>
        <w:tc>
          <w:tcPr>
            <w:tcW w:w="10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color w:val="auto"/>
              </w:rPr>
              <w:t>September 30, 2024</w:t>
            </w:r>
          </w:p>
        </w:tc>
        <w:tc>
          <w:tcPr>
            <w:tcW w:w="140" w:type="dxa"/>
            <w:vAlign w:val="bottom"/>
          </w:tcPr>
          <w:p>
            <w:pPr>
              <w:spacing w:after="0"/>
              <w:rPr>
                <w:sz w:val="14"/>
                <w:szCs w:val="14"/>
                <w:color w:val="auto"/>
              </w:rPr>
            </w:pPr>
          </w:p>
        </w:tc>
        <w:tc>
          <w:tcPr>
            <w:tcW w:w="680" w:type="dxa"/>
            <w:vAlign w:val="bottom"/>
          </w:tcPr>
          <w:p>
            <w:pPr>
              <w:jc w:val="right"/>
              <w:ind w:right="71"/>
              <w:spacing w:after="0"/>
              <w:rPr>
                <w:sz w:val="20"/>
                <w:szCs w:val="20"/>
                <w:color w:val="auto"/>
              </w:rPr>
            </w:pPr>
            <w:r>
              <w:rPr>
                <w:rFonts w:ascii="Arial" w:cs="Arial" w:eastAsia="Arial" w:hAnsi="Arial"/>
                <w:sz w:val="14"/>
                <w:szCs w:val="14"/>
                <w:color w:val="auto"/>
              </w:rPr>
              <w:t>Change</w:t>
            </w:r>
          </w:p>
        </w:tc>
      </w:tr>
      <w:tr>
        <w:trPr>
          <w:trHeight w:val="142"/>
        </w:trPr>
        <w:tc>
          <w:tcPr>
            <w:tcW w:w="50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Collaboration revenue</w:t>
            </w:r>
          </w:p>
        </w:tc>
        <w:tc>
          <w:tcPr>
            <w:tcW w:w="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(791)</w:t>
            </w: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50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22,526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27,228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(4,702)</w:t>
            </w:r>
          </w:p>
        </w:tc>
      </w:tr>
      <w:tr>
        <w:trPr>
          <w:trHeight w:val="203"/>
        </w:trPr>
        <w:tc>
          <w:tcPr>
            <w:tcW w:w="500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6,835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8,352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(1,517)</w:t>
            </w:r>
          </w:p>
        </w:tc>
      </w:tr>
      <w:tr>
        <w:trPr>
          <w:trHeight w:val="203"/>
        </w:trPr>
        <w:tc>
          <w:tcPr>
            <w:tcW w:w="50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Impairment of long-lived assets</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6,763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6,763</w:t>
            </w:r>
          </w:p>
        </w:tc>
      </w:tr>
      <w:tr>
        <w:trPr>
          <w:trHeight w:val="196"/>
        </w:trPr>
        <w:tc>
          <w:tcPr>
            <w:tcW w:w="50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36,124</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35,580</w:t>
            </w:r>
          </w:p>
        </w:tc>
        <w:tc>
          <w:tcPr>
            <w:tcW w:w="2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544</w:t>
            </w:r>
          </w:p>
        </w:tc>
      </w:tr>
      <w:tr>
        <w:trPr>
          <w:trHeight w:val="196"/>
        </w:trPr>
        <w:tc>
          <w:tcPr>
            <w:tcW w:w="5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(36,124)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(34,789)</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(1,335)</w:t>
            </w:r>
          </w:p>
        </w:tc>
      </w:tr>
      <w:tr>
        <w:trPr>
          <w:trHeight w:val="196"/>
        </w:trPr>
        <w:tc>
          <w:tcPr>
            <w:tcW w:w="5000" w:type="dxa"/>
            <w:vAlign w:val="bottom"/>
          </w:tcPr>
          <w:p>
            <w:pPr>
              <w:ind w:left="20"/>
              <w:spacing w:after="0" w:line="196" w:lineRule="exact"/>
              <w:rPr>
                <w:sz w:val="20"/>
                <w:szCs w:val="20"/>
                <w:color w:val="auto"/>
              </w:rPr>
            </w:pPr>
            <w:r>
              <w:rPr>
                <w:rFonts w:ascii="Arial" w:cs="Arial" w:eastAsia="Arial" w:hAnsi="Arial"/>
                <w:sz w:val="18"/>
                <w:szCs w:val="18"/>
                <w:color w:val="auto"/>
              </w:rPr>
              <w:t>Other income:</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3,305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(1,700)</w:t>
            </w:r>
          </w:p>
        </w:tc>
      </w:tr>
      <w:tr>
        <w:trPr>
          <w:trHeight w:val="203"/>
        </w:trPr>
        <w:tc>
          <w:tcPr>
            <w:tcW w:w="50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(153)</w:t>
            </w:r>
          </w:p>
        </w:tc>
      </w:tr>
      <w:tr>
        <w:trPr>
          <w:trHeight w:val="196"/>
        </w:trPr>
        <w:tc>
          <w:tcPr>
            <w:tcW w:w="500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Total other income</w:t>
            </w: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3,555</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(1,853)</w:t>
            </w:r>
          </w:p>
        </w:tc>
      </w:tr>
      <w:tr>
        <w:trPr>
          <w:trHeight w:val="196"/>
        </w:trPr>
        <w:tc>
          <w:tcPr>
            <w:tcW w:w="5000" w:type="dxa"/>
            <w:vAlign w:val="bottom"/>
          </w:tcPr>
          <w:p>
            <w:pPr>
              <w:ind w:left="20"/>
              <w:spacing w:after="0" w:line="196" w:lineRule="exact"/>
              <w:rPr>
                <w:sz w:val="20"/>
                <w:szCs w:val="20"/>
                <w:color w:val="auto"/>
              </w:rPr>
            </w:pPr>
            <w:r>
              <w:rPr>
                <w:rFonts w:ascii="Arial" w:cs="Arial" w:eastAsia="Arial" w:hAnsi="Arial"/>
                <w:sz w:val="18"/>
                <w:szCs w:val="18"/>
                <w:color w:val="auto"/>
              </w:rPr>
              <w:t>Loss before provision for income taxes</w:t>
            </w:r>
          </w:p>
        </w:tc>
        <w:tc>
          <w:tcPr>
            <w:tcW w:w="38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(34,422)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(31,234)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(3,188)</w:t>
            </w:r>
          </w:p>
        </w:tc>
      </w:tr>
      <w:tr>
        <w:trPr>
          <w:trHeight w:val="203"/>
        </w:trPr>
        <w:tc>
          <w:tcPr>
            <w:tcW w:w="50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Provision for income taxes</w:t>
            </w:r>
          </w:p>
        </w:tc>
        <w:tc>
          <w:tcPr>
            <w:tcW w:w="3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r>
      <w:tr>
        <w:trPr>
          <w:trHeight w:val="196"/>
        </w:trPr>
        <w:tc>
          <w:tcPr>
            <w:tcW w:w="500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3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(34,422)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(31,226)</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(3,196)</w:t>
            </w:r>
          </w:p>
        </w:tc>
      </w:tr>
      <w:tr>
        <w:trPr>
          <w:trHeight w:val="20"/>
        </w:trPr>
        <w:tc>
          <w:tcPr>
            <w:tcW w:w="5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83" w:lineRule="exact"/>
        <w:rPr>
          <w:sz w:val="20"/>
          <w:szCs w:val="20"/>
          <w:color w:val="auto"/>
        </w:rPr>
      </w:pPr>
    </w:p>
    <w:p>
      <w:pPr>
        <w:ind w:left="60" w:right="279"/>
        <w:spacing w:after="0" w:line="242" w:lineRule="auto"/>
        <w:rPr>
          <w:sz w:val="20"/>
          <w:szCs w:val="20"/>
          <w:color w:val="auto"/>
        </w:rPr>
      </w:pPr>
      <w:r>
        <w:rPr>
          <w:rFonts w:ascii="Arial" w:cs="Arial" w:eastAsia="Arial" w:hAnsi="Arial"/>
          <w:sz w:val="18"/>
          <w:szCs w:val="18"/>
          <w:color w:val="auto"/>
        </w:rPr>
        <w:t>During the three months ended September 30, 2025 and 2024, we recognized revenue of $0 million and $0.8 million under our collaboration agreement with Bristol-Myers Squibb, respectively. See Note 7 to our consolidated financial statements for additional information. The Collaboration Agreement was terminated, effective as of March 12, 2025. As such, we recognized the remaining transaction price of $109.2 million as collaboration revenue during the three months ended March 31, 2025. There will be no future collaboration revenues recognized under this collaboration agreement.</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9"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152"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4160" w:type="dxa"/>
            <w:vAlign w:val="bottom"/>
            <w:tcBorders>
              <w:top w:val="single" w:sz="8" w:color="auto"/>
            </w:tcBorders>
          </w:tcPr>
          <w:p>
            <w:pPr>
              <w:spacing w:after="0"/>
              <w:rPr>
                <w:sz w:val="14"/>
                <w:szCs w:val="14"/>
                <w:color w:val="auto"/>
              </w:rPr>
            </w:pPr>
          </w:p>
        </w:tc>
        <w:tc>
          <w:tcPr>
            <w:tcW w:w="2180" w:type="dxa"/>
            <w:vAlign w:val="bottom"/>
            <w:tcBorders>
              <w:top w:val="single" w:sz="8" w:color="auto"/>
            </w:tcBorders>
            <w:gridSpan w:val="3"/>
          </w:tcPr>
          <w:p>
            <w:pPr>
              <w:ind w:left="760"/>
              <w:spacing w:after="0"/>
              <w:rPr>
                <w:sz w:val="20"/>
                <w:szCs w:val="20"/>
                <w:color w:val="auto"/>
              </w:rPr>
            </w:pPr>
            <w:r>
              <w:rPr>
                <w:rFonts w:ascii="Arial" w:cs="Arial" w:eastAsia="Arial" w:hAnsi="Arial"/>
                <w:sz w:val="14"/>
                <w:szCs w:val="14"/>
                <w:color w:val="auto"/>
              </w:rPr>
              <w:t>Three Months Ended</w:t>
            </w:r>
          </w:p>
        </w:tc>
        <w:tc>
          <w:tcPr>
            <w:tcW w:w="2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Three Months Ended</w:t>
            </w: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r>
      <w:tr>
        <w:trPr>
          <w:trHeight w:val="171"/>
        </w:trPr>
        <w:tc>
          <w:tcPr>
            <w:tcW w:w="4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 2025</w:t>
            </w:r>
          </w:p>
        </w:tc>
        <w:tc>
          <w:tcPr>
            <w:tcW w:w="200" w:type="dxa"/>
            <w:vAlign w:val="bottom"/>
          </w:tcPr>
          <w:p>
            <w:pPr>
              <w:spacing w:after="0"/>
              <w:rPr>
                <w:sz w:val="14"/>
                <w:szCs w:val="1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 2024</w:t>
            </w:r>
          </w:p>
        </w:tc>
        <w:tc>
          <w:tcPr>
            <w:tcW w:w="2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r>
      <w:tr>
        <w:trPr>
          <w:trHeight w:val="142"/>
        </w:trPr>
        <w:tc>
          <w:tcPr>
            <w:tcW w:w="4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right"/>
              <w:ind w:right="430"/>
              <w:spacing w:after="0" w:line="142" w:lineRule="exact"/>
              <w:rPr>
                <w:sz w:val="20"/>
                <w:szCs w:val="20"/>
                <w:color w:val="auto"/>
              </w:rPr>
            </w:pPr>
            <w:r>
              <w:rPr>
                <w:rFonts w:ascii="Arial" w:cs="Arial" w:eastAsia="Arial" w:hAnsi="Arial"/>
                <w:sz w:val="14"/>
                <w:szCs w:val="14"/>
                <w:color w:val="auto"/>
                <w:w w:val="99"/>
              </w:rPr>
              <w:t>(in thousands)</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Personnel and related costs</w:t>
            </w:r>
          </w:p>
        </w:tc>
        <w:tc>
          <w:tcPr>
            <w:tcW w:w="1220" w:type="dxa"/>
            <w:vAlign w:val="bottom"/>
            <w:gridSpan w:val="2"/>
            <w:shd w:val="clear" w:color="auto" w:fill="CCEEFF"/>
          </w:tcPr>
          <w:p>
            <w:pPr>
              <w:ind w:left="7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8,344</w:t>
            </w:r>
          </w:p>
        </w:tc>
        <w:tc>
          <w:tcPr>
            <w:tcW w:w="64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11,056</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(2,712)</w:t>
            </w: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Facility and other allocated costs</w:t>
            </w: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6,194</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5,502</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692</w:t>
            </w: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laboratory</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7,315</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7,098</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217</w:t>
            </w: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673</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3,572</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(2,899)</w:t>
            </w:r>
          </w:p>
        </w:tc>
      </w:tr>
      <w:tr>
        <w:trPr>
          <w:trHeight w:val="196"/>
        </w:trPr>
        <w:tc>
          <w:tcPr>
            <w:tcW w:w="416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research and development expense</w:t>
            </w: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22,526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27,228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(4,702)</w:t>
            </w:r>
          </w:p>
        </w:tc>
      </w:tr>
      <w:tr>
        <w:trPr>
          <w:trHeight w:val="20"/>
        </w:trPr>
        <w:tc>
          <w:tcPr>
            <w:tcW w:w="4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Research and development expenses were $22.5 million and $27.2 million for the three months ended</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2025 and 2024, respectively. The decrease of $4.7 million was primarily due to:</w:t>
      </w:r>
    </w:p>
    <w:p>
      <w:pPr>
        <w:spacing w:after="0" w:line="167" w:lineRule="exact"/>
        <w:rPr>
          <w:sz w:val="20"/>
          <w:szCs w:val="20"/>
          <w:color w:val="auto"/>
        </w:rPr>
      </w:pPr>
    </w:p>
    <w:p>
      <w:pPr>
        <w:ind w:left="720" w:right="1019" w:hanging="319"/>
        <w:spacing w:after="0" w:line="270"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in personnel and related costs of $2.7 million due to a reduction in research and development staff.</w:t>
      </w:r>
    </w:p>
    <w:p>
      <w:pPr>
        <w:spacing w:after="0" w:line="113" w:lineRule="exact"/>
        <w:rPr>
          <w:rFonts w:ascii="Times New Roman" w:cs="Times New Roman" w:eastAsia="Times New Roman" w:hAnsi="Times New Roman"/>
          <w:sz w:val="18"/>
          <w:szCs w:val="18"/>
          <w:color w:val="auto"/>
        </w:rPr>
      </w:pPr>
    </w:p>
    <w:p>
      <w:pPr>
        <w:ind w:left="720" w:right="579" w:hanging="319"/>
        <w:spacing w:after="0" w:line="300" w:lineRule="auto"/>
        <w:tabs>
          <w:tab w:leader="none" w:pos="72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a decrease in other costs of $2.9 million primarily due to the completion of our CNTY-101 product candidate manufacturing campaign performed under our collaboration agreement with FCDI.</w:t>
      </w:r>
    </w:p>
    <w:p>
      <w:pPr>
        <w:spacing w:after="0" w:line="90" w:lineRule="exact"/>
        <w:rPr>
          <w:rFonts w:ascii="Times New Roman" w:cs="Times New Roman" w:eastAsia="Times New Roman" w:hAnsi="Times New Roman"/>
          <w:sz w:val="17"/>
          <w:szCs w:val="17"/>
          <w:color w:val="auto"/>
        </w:rPr>
      </w:pPr>
    </w:p>
    <w:p>
      <w:pPr>
        <w:ind w:left="720" w:right="79" w:hanging="319"/>
        <w:spacing w:after="0" w:line="270"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these decreases were offset by an an increase in facility and other allocated costs of $0.7 million due to an increase in facilities services and maintenance.</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9"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General and administrative expenses were $6.8 million and $ 8.4 million for the three months ended September 30, 2025 and 2024, respectively. This decrease was due to a decrease in legal fees associated with the Clade acquisition in 2024, a decrease in stock-based compensation, as well as a gain on lease modification. These decreases were offset by an increase in severance costs, contingent liability consideration and the consolidation of lab operations and subsequent reallocation of rent expense to G&amp;A.</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83"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Impairment of long-lived assets was $ 6.8 million and $0 for the three months ended September 30, 2025 and 2024, respectively. This increase was due to an impairment charge taken on a portion of the Company’s Philadelphia headquarters.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69" w:lineRule="exact"/>
        <w:rPr>
          <w:sz w:val="20"/>
          <w:szCs w:val="20"/>
          <w:color w:val="auto"/>
        </w:rPr>
      </w:pPr>
    </w:p>
    <w:p>
      <w:pPr>
        <w:ind w:left="60" w:right="359"/>
        <w:spacing w:after="0" w:line="301" w:lineRule="auto"/>
        <w:rPr>
          <w:sz w:val="20"/>
          <w:szCs w:val="20"/>
          <w:color w:val="auto"/>
        </w:rPr>
      </w:pPr>
      <w:r>
        <w:rPr>
          <w:rFonts w:ascii="Arial" w:cs="Arial" w:eastAsia="Arial" w:hAnsi="Arial"/>
          <w:sz w:val="17"/>
          <w:szCs w:val="17"/>
          <w:color w:val="auto"/>
        </w:rPr>
        <w:t>Interest income was $1.6 million and $3.3 million for the three months ended September 30, 2025 and 2024, respectively, which related to interest earned on our cash, cash equivalents, and investment balances.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Results of operations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nine months ended September 30, 2025 and 2024.</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44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Nine Months Ended</w:t>
            </w:r>
          </w:p>
        </w:tc>
        <w:tc>
          <w:tcPr>
            <w:tcW w:w="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Nine Months Ended</w:t>
            </w: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r>
      <w:tr>
        <w:trPr>
          <w:trHeight w:val="171"/>
        </w:trPr>
        <w:tc>
          <w:tcPr>
            <w:tcW w:w="4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September 30, 2025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September 30, 2024</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Change</w:t>
            </w:r>
          </w:p>
        </w:tc>
      </w:tr>
      <w:tr>
        <w:trPr>
          <w:trHeight w:val="142"/>
        </w:trPr>
        <w:tc>
          <w:tcPr>
            <w:tcW w:w="4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1300" w:type="dxa"/>
            <w:vAlign w:val="bottom"/>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Collaboration revenue</w:t>
            </w:r>
          </w:p>
        </w:tc>
        <w:tc>
          <w:tcPr>
            <w:tcW w:w="106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109,164</w:t>
            </w:r>
          </w:p>
        </w:tc>
        <w:tc>
          <w:tcPr>
            <w:tcW w:w="500" w:type="dxa"/>
            <w:vAlign w:val="bottom"/>
            <w:gridSpan w:val="3"/>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2,416</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106,748</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4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75,972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77,869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r>
      <w:tr>
        <w:trPr>
          <w:trHeight w:val="203"/>
        </w:trPr>
        <w:tc>
          <w:tcPr>
            <w:tcW w:w="4480" w:type="dxa"/>
            <w:vAlign w:val="bottom"/>
          </w:tcPr>
          <w:p>
            <w:pPr>
              <w:ind w:left="100"/>
              <w:spacing w:after="0" w:line="202" w:lineRule="exact"/>
              <w:rPr>
                <w:sz w:val="20"/>
                <w:szCs w:val="20"/>
                <w:color w:val="auto"/>
              </w:rPr>
            </w:pPr>
            <w:r>
              <w:rPr>
                <w:rFonts w:ascii="Arial" w:cs="Arial" w:eastAsia="Arial" w:hAnsi="Arial"/>
                <w:sz w:val="18"/>
                <w:szCs w:val="18"/>
                <w:color w:val="auto"/>
              </w:rPr>
              <w:t>General and administrative</w:t>
            </w: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23,047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25,400</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(2,353)</w:t>
            </w:r>
          </w:p>
        </w:tc>
      </w:tr>
      <w:tr>
        <w:trPr>
          <w:trHeight w:val="216"/>
        </w:trPr>
        <w:tc>
          <w:tcPr>
            <w:tcW w:w="4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Impairment of long-lived assets</w:t>
            </w:r>
          </w:p>
        </w:tc>
        <w:tc>
          <w:tcPr>
            <w:tcW w:w="7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6,763</w:t>
            </w:r>
          </w:p>
        </w:tc>
      </w:tr>
      <w:tr>
        <w:trPr>
          <w:trHeight w:val="196"/>
        </w:trPr>
        <w:tc>
          <w:tcPr>
            <w:tcW w:w="448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7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105,782</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103,269</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2,513</w:t>
            </w:r>
          </w:p>
        </w:tc>
      </w:tr>
      <w:tr>
        <w:trPr>
          <w:trHeight w:val="196"/>
        </w:trPr>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from operations</w:t>
            </w: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3,382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(100,853)</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104,235</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Other income:</w:t>
            </w: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6,037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10,126</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(4,089)</w:t>
            </w:r>
          </w:p>
        </w:tc>
      </w:tr>
      <w:tr>
        <w:trPr>
          <w:trHeight w:val="203"/>
        </w:trPr>
        <w:tc>
          <w:tcPr>
            <w:tcW w:w="44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income, net</w:t>
            </w:r>
          </w:p>
        </w:tc>
        <w:tc>
          <w:tcPr>
            <w:tcW w:w="7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248</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w:t>
            </w:r>
          </w:p>
        </w:tc>
      </w:tr>
      <w:tr>
        <w:trPr>
          <w:trHeight w:val="196"/>
        </w:trPr>
        <w:tc>
          <w:tcPr>
            <w:tcW w:w="448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Total other income</w:t>
            </w: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6,209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10,374</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(4,165)</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Income (loss) before provision for income taxes</w:t>
            </w: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9,591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(90,479)</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100,070</w:t>
            </w: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7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r>
      <w:tr>
        <w:trPr>
          <w:trHeight w:val="196"/>
        </w:trPr>
        <w:tc>
          <w:tcPr>
            <w:tcW w:w="4480" w:type="dxa"/>
            <w:vAlign w:val="bottom"/>
          </w:tcPr>
          <w:p>
            <w:pPr>
              <w:spacing w:after="0" w:line="196" w:lineRule="exact"/>
              <w:rPr>
                <w:sz w:val="20"/>
                <w:szCs w:val="20"/>
                <w:color w:val="auto"/>
              </w:rPr>
            </w:pPr>
            <w:r>
              <w:rPr>
                <w:rFonts w:ascii="Arial" w:cs="Arial" w:eastAsia="Arial" w:hAnsi="Arial"/>
                <w:sz w:val="18"/>
                <w:szCs w:val="18"/>
                <w:color w:val="auto"/>
              </w:rPr>
              <w:t>Net income (loss)</w:t>
            </w:r>
          </w:p>
        </w:tc>
        <w:tc>
          <w:tcPr>
            <w:tcW w:w="70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9,591</w:t>
            </w:r>
          </w:p>
        </w:tc>
        <w:tc>
          <w:tcPr>
            <w:tcW w:w="180" w:type="dxa"/>
            <w:vAlign w:val="bottom"/>
            <w:gridSpan w:val="2"/>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(90,493)$</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100,084</w:t>
            </w:r>
          </w:p>
        </w:tc>
      </w:tr>
      <w:tr>
        <w:trPr>
          <w:trHeight w:val="20"/>
        </w:trPr>
        <w:tc>
          <w:tcPr>
            <w:tcW w:w="4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69" w:lineRule="exact"/>
        <w:rPr>
          <w:sz w:val="20"/>
          <w:szCs w:val="20"/>
          <w:color w:val="auto"/>
        </w:rPr>
      </w:pPr>
    </w:p>
    <w:p>
      <w:pPr>
        <w:ind w:left="60" w:right="399"/>
        <w:spacing w:after="0" w:line="242" w:lineRule="auto"/>
        <w:rPr>
          <w:sz w:val="20"/>
          <w:szCs w:val="20"/>
          <w:color w:val="auto"/>
        </w:rPr>
      </w:pPr>
      <w:r>
        <w:rPr>
          <w:rFonts w:ascii="Arial" w:cs="Arial" w:eastAsia="Arial" w:hAnsi="Arial"/>
          <w:sz w:val="18"/>
          <w:szCs w:val="18"/>
          <w:color w:val="auto"/>
        </w:rPr>
        <w:t>During the nine months ended September 30, 2025 and 2024, we recognized revenue of $109.2 million and $2.4 million under our collaboration agreement with Bristol-Myers Squibb, respectively. See Note 7 to our consolidated financial statements for additional information. The Collaboration Agreement was terminated, effective as of March 12, 2025. As such, we recognized the remaining transaction price of $109.2 million as collaboration revenue during the six months ended June 30, 2025. There will be no future collaboration revenues recognized under this collaboration agreement.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9"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Nine Months Ended</w:t>
            </w:r>
          </w:p>
        </w:tc>
        <w:tc>
          <w:tcPr>
            <w:tcW w:w="2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Nine Months Ended</w:t>
            </w:r>
          </w:p>
        </w:tc>
        <w:tc>
          <w:tcPr>
            <w:tcW w:w="720" w:type="dxa"/>
            <w:vAlign w:val="bottom"/>
            <w:tcBorders>
              <w:top w:val="single" w:sz="8" w:color="auto"/>
            </w:tcBorders>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color w:val="auto"/>
              </w:rPr>
              <w:t>September 30, 2025</w:t>
            </w:r>
          </w:p>
        </w:tc>
        <w:tc>
          <w:tcPr>
            <w:tcW w:w="22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color w:val="auto"/>
              </w:rPr>
              <w:t>September 30, 2024</w:t>
            </w:r>
          </w:p>
        </w:tc>
        <w:tc>
          <w:tcPr>
            <w:tcW w:w="720" w:type="dxa"/>
            <w:vAlign w:val="bottom"/>
          </w:tcPr>
          <w:p>
            <w:pPr>
              <w:jc w:val="right"/>
              <w:spacing w:after="0"/>
              <w:rPr>
                <w:sz w:val="20"/>
                <w:szCs w:val="20"/>
                <w:color w:val="auto"/>
              </w:rPr>
            </w:pPr>
            <w:r>
              <w:rPr>
                <w:rFonts w:ascii="Arial" w:cs="Arial" w:eastAsia="Arial" w:hAnsi="Arial"/>
                <w:sz w:val="14"/>
                <w:szCs w:val="14"/>
                <w:color w:val="auto"/>
              </w:rPr>
              <w:t>Change</w:t>
            </w:r>
          </w:p>
        </w:tc>
      </w:tr>
      <w:tr>
        <w:trPr>
          <w:trHeight w:val="142"/>
        </w:trPr>
        <w:tc>
          <w:tcPr>
            <w:tcW w:w="5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r>
      <w:tr>
        <w:trPr>
          <w:trHeight w:val="203"/>
        </w:trPr>
        <w:tc>
          <w:tcPr>
            <w:tcW w:w="5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Personnel and related costs</w:t>
            </w:r>
          </w:p>
        </w:tc>
        <w:tc>
          <w:tcPr>
            <w:tcW w:w="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28,043</w:t>
            </w:r>
          </w:p>
        </w:tc>
        <w:tc>
          <w:tcPr>
            <w:tcW w:w="620" w:type="dxa"/>
            <w:vAlign w:val="bottom"/>
            <w:gridSpan w:val="2"/>
            <w:shd w:val="clear" w:color="auto" w:fill="CCEEFF"/>
          </w:tcPr>
          <w:p>
            <w:pPr>
              <w:jc w:val="right"/>
              <w:ind w:right="224"/>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31,757</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 (3,714)</w:t>
            </w: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Facility and other allocated costs</w:t>
            </w:r>
          </w:p>
        </w:tc>
        <w:tc>
          <w:tcPr>
            <w:tcW w:w="4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17,041</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16,738</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303</w:t>
            </w:r>
          </w:p>
        </w:tc>
      </w:tr>
      <w:tr>
        <w:trPr>
          <w:trHeight w:val="203"/>
        </w:trPr>
        <w:tc>
          <w:tcPr>
            <w:tcW w:w="5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and laboratory</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27,285</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22,221</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5,064</w:t>
            </w:r>
          </w:p>
        </w:tc>
      </w:tr>
      <w:tr>
        <w:trPr>
          <w:trHeight w:val="203"/>
        </w:trPr>
        <w:tc>
          <w:tcPr>
            <w:tcW w:w="51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3,603</w:t>
            </w:r>
          </w:p>
        </w:tc>
        <w:tc>
          <w:tcPr>
            <w:tcW w:w="2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7,153</w:t>
            </w:r>
          </w:p>
        </w:tc>
        <w:tc>
          <w:tcPr>
            <w:tcW w:w="2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(3,550)</w:t>
            </w:r>
          </w:p>
        </w:tc>
      </w:tr>
      <w:tr>
        <w:trPr>
          <w:trHeight w:val="196"/>
        </w:trPr>
        <w:tc>
          <w:tcPr>
            <w:tcW w:w="512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research and development expense</w:t>
            </w:r>
          </w:p>
        </w:tc>
        <w:tc>
          <w:tcPr>
            <w:tcW w:w="4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75,972</w:t>
            </w: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4"/>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77,869</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(1,897)</w:t>
            </w:r>
          </w:p>
        </w:tc>
      </w:tr>
      <w:tr>
        <w:trPr>
          <w:trHeight w:val="20"/>
        </w:trPr>
        <w:tc>
          <w:tcPr>
            <w:tcW w:w="5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Research and development expenses were $76.0 million and $</w:t>
      </w:r>
      <w:r>
        <w:rPr>
          <w:rFonts w:ascii="Arial" w:cs="Arial" w:eastAsia="Arial" w:hAnsi="Arial"/>
          <w:sz w:val="18"/>
          <w:szCs w:val="18"/>
          <w:color w:val="212529"/>
        </w:rPr>
        <w:t>77.9</w:t>
      </w:r>
      <w:r>
        <w:rPr>
          <w:rFonts w:ascii="Arial" w:cs="Arial" w:eastAsia="Arial" w:hAnsi="Arial"/>
          <w:sz w:val="18"/>
          <w:szCs w:val="18"/>
          <w:color w:val="auto"/>
        </w:rPr>
        <w:t xml:space="preserve"> million for the nine months ended</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2025 and 2024, respectively. The decrease of $1.9 million was primarily due to:</w:t>
      </w:r>
    </w:p>
    <w:p>
      <w:pPr>
        <w:spacing w:after="0" w:line="167" w:lineRule="exact"/>
        <w:rPr>
          <w:sz w:val="20"/>
          <w:szCs w:val="20"/>
          <w:color w:val="auto"/>
        </w:rPr>
      </w:pPr>
    </w:p>
    <w:p>
      <w:pPr>
        <w:ind w:left="720" w:right="1019" w:hanging="319"/>
        <w:spacing w:after="0" w:line="270"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in personnel and related costs of $3.7 million due to a reduction in research and development staff.</w:t>
      </w:r>
    </w:p>
    <w:p>
      <w:pPr>
        <w:spacing w:after="0" w:line="113" w:lineRule="exact"/>
        <w:rPr>
          <w:rFonts w:ascii="Times New Roman" w:cs="Times New Roman" w:eastAsia="Times New Roman" w:hAnsi="Times New Roman"/>
          <w:sz w:val="18"/>
          <w:szCs w:val="18"/>
          <w:color w:val="auto"/>
        </w:rPr>
      </w:pPr>
    </w:p>
    <w:p>
      <w:pPr>
        <w:ind w:left="720" w:right="279" w:hanging="319"/>
        <w:spacing w:after="0" w:line="270"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in collaboration costs of $3.6 million primarily due to the completion of our CNTY-101 product candidate manufacturing campaign performed under our collaboration agreement with FCDI.</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20" w:right="159" w:hanging="319"/>
        <w:spacing w:after="0" w:line="270"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above decreases were offset by an increase in research and laboratory costs of $5.1 million due to progression of CALiPSO-1 and CNTY-308.</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3"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General and administrative expenses were $ 23.0 million and $25.4 million for the nine months ended September 30, 2025 and 2024, respectively. The decrease was a result of a decrease in legal fees associated with the Clade acquisition in 2024, a gain on lease modification and a decrease in stock-based compensation, offset by increased severance costs, contingent liability consideration and the consolidation of lab operations and subsequent reallocation of rent expense to general and administrative expenses.</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69"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color w:val="auto"/>
        </w:rPr>
        <w:t>Impairment of long-lived assets was $ 6.8 million and $0 for the nine months ended September 30, 2025 and 2024, respectively. This increase was due to an impairment charge taken on a portion of our Philadelphia headquarters.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69"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color w:val="auto"/>
        </w:rPr>
        <w:t>Interest income was $6.0 million and $10.1 million for the nine months ended September 30, 2025 and 2024, respectively, which related to interest earned on our cash, cash equivalents, and investment balances.</w:t>
      </w:r>
    </w:p>
    <w:p>
      <w:pPr>
        <w:spacing w:after="0" w:line="113" w:lineRule="exact"/>
        <w:rPr>
          <w:sz w:val="20"/>
          <w:szCs w:val="20"/>
          <w:color w:val="auto"/>
        </w:rPr>
      </w:pPr>
    </w:p>
    <w:p>
      <w:pPr>
        <w:ind w:left="60" w:right="4419"/>
        <w:spacing w:after="0" w:line="446" w:lineRule="auto"/>
        <w:rPr>
          <w:sz w:val="20"/>
          <w:szCs w:val="20"/>
          <w:color w:val="auto"/>
        </w:rPr>
      </w:pPr>
      <w:r>
        <w:rPr>
          <w:rFonts w:ascii="Arial" w:cs="Arial" w:eastAsia="Arial" w:hAnsi="Arial"/>
          <w:sz w:val="18"/>
          <w:szCs w:val="18"/>
          <w:b w:val="1"/>
          <w:bCs w:val="1"/>
          <w:color w:val="auto"/>
        </w:rPr>
        <w:t xml:space="preserve">Liquidity, capital resources, and capital requirements </w:t>
      </w:r>
      <w:r>
        <w:rPr>
          <w:rFonts w:ascii="Arial" w:cs="Arial" w:eastAsia="Arial" w:hAnsi="Arial"/>
          <w:sz w:val="18"/>
          <w:szCs w:val="18"/>
          <w:b w:val="1"/>
          <w:bCs w:val="1"/>
          <w:i w:val="1"/>
          <w:iCs w:val="1"/>
          <w:color w:val="auto"/>
        </w:rPr>
        <w:t>Sources of liquidity</w:t>
      </w:r>
    </w:p>
    <w:p>
      <w:pPr>
        <w:ind w:left="60" w:right="79"/>
        <w:spacing w:after="0" w:line="239" w:lineRule="auto"/>
        <w:rPr>
          <w:sz w:val="20"/>
          <w:szCs w:val="20"/>
          <w:color w:val="auto"/>
        </w:rPr>
      </w:pPr>
      <w:r>
        <w:rPr>
          <w:rFonts w:ascii="Arial" w:cs="Arial" w:eastAsia="Arial" w:hAnsi="Arial"/>
          <w:sz w:val="18"/>
          <w:szCs w:val="18"/>
          <w:color w:val="auto"/>
        </w:rPr>
        <w:t>To date, we have funded our operations from the issuance and sale of our equity securities, debt financing and collaboration revenues. Since our inception, we have raised approximately $666 million in net proceeds from the sales of our equity securities. As of September 30, 2025, we had cash, and cash equivalents of $55.5 million and investments of $ 77.2 million. Based on our research and development plans, we believe our existing cash, cash equivalents and investments, will be sufficient to fund our operating expenses and capital expenditures requirements into the fourth quarter of 2027. Since our inception, we have incurred significant operating losses. We have not yet commercialized any products and we do not expect to generate revenue from sales of any product candidates for a number of years, if ever. We had an accumulated deficit of $772.7 million as of September 30, 2025.</w:t>
      </w:r>
    </w:p>
    <w:p>
      <w:pPr>
        <w:spacing w:after="0" w:line="143"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In July 2022, we entered into a Sales Agreement, with Cowen and Company, LLC or Cowen, under which we may offer and sell, from time to time in our sole discretion, shares of our common stock, having an aggregate offering price of up to $150 million through Cowen as sales agent. In February of 2024, 4,084,502 shares of common stock were issued and sold pursuant to the Sales Agreement at a weighted-average price of $4.50 per share, resulting in approximately $18.4 million in gross proceeds.</w:t>
      </w:r>
    </w:p>
    <w:p>
      <w:pPr>
        <w:spacing w:after="0" w:line="149"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In April 2024, we entered into a securities purchase agreement or, the Securities Purchase Agreement, with certain institutional accredited investors, or the Investors, pursuant to which we agreed to issue and sell to the Investors in a private placement an aggregate of 15,873,011 shares of common stock, or the Private Placement Shares, at a price of $ 3.78 per share, or the Private Placement. We received aggregate gross proceeds from the Private Placement of approximately $60 million, before deducting placement agent fees and offering expenses.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69"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We expect to incur additional losses in the foreseeable future as we conduct and expand our research and development efforts, including conducting preclinical studies and clinical trials, developing new product candidates, establishing internal and external manufacturing capabilities, and funding our operations generally. We anticipate that we will need to raise additional financing in the future to fund our operations, including the commercialization of any approved product candidates. We are subject to the risks typically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899"/>
        <w:spacing w:after="0" w:line="271" w:lineRule="auto"/>
        <w:rPr>
          <w:sz w:val="20"/>
          <w:szCs w:val="20"/>
          <w:color w:val="auto"/>
        </w:rPr>
      </w:pPr>
      <w:r>
        <w:rPr>
          <w:rFonts w:ascii="Arial" w:cs="Arial" w:eastAsia="Arial" w:hAnsi="Arial"/>
          <w:sz w:val="18"/>
          <w:szCs w:val="18"/>
          <w:color w:val="auto"/>
        </w:rPr>
        <w:t>related to the development of new products, and we may encounter unforeseen expenses, difficulties, complications, delays, and other unknown factors that may adversely affect our business.</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85" w:lineRule="exact"/>
        <w:rPr>
          <w:sz w:val="20"/>
          <w:szCs w:val="20"/>
          <w:color w:val="auto"/>
        </w:rPr>
      </w:pPr>
    </w:p>
    <w:p>
      <w:pPr>
        <w:ind w:left="720" w:right="239" w:hanging="319"/>
        <w:spacing w:after="0" w:line="270"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spacing w:after="0" w:line="113" w:lineRule="exact"/>
        <w:rPr>
          <w:rFonts w:ascii="Times New Roman" w:cs="Times New Roman" w:eastAsia="Times New Roman" w:hAnsi="Times New Roman"/>
          <w:sz w:val="18"/>
          <w:szCs w:val="18"/>
          <w:color w:val="auto"/>
        </w:rPr>
      </w:pPr>
    </w:p>
    <w:p>
      <w:pPr>
        <w:ind w:left="720" w:right="979" w:hanging="319"/>
        <w:spacing w:after="0" w:line="270"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11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timing, and outcome of regulatory review of any of our current and future product candidates;</w:t>
      </w:r>
    </w:p>
    <w:p>
      <w:pPr>
        <w:spacing w:after="0" w:line="208" w:lineRule="exact"/>
        <w:rPr>
          <w:rFonts w:ascii="Times New Roman" w:cs="Times New Roman" w:eastAsia="Times New Roman" w:hAnsi="Times New Roman"/>
          <w:sz w:val="17"/>
          <w:szCs w:val="17"/>
          <w:color w:val="auto"/>
        </w:rPr>
      </w:pPr>
    </w:p>
    <w:p>
      <w:pPr>
        <w:ind w:left="720" w:right="1019" w:hanging="319"/>
        <w:spacing w:after="0" w:line="270"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113" w:lineRule="exact"/>
        <w:rPr>
          <w:rFonts w:ascii="Times New Roman" w:cs="Times New Roman" w:eastAsia="Times New Roman" w:hAnsi="Times New Roman"/>
          <w:sz w:val="18"/>
          <w:szCs w:val="18"/>
          <w:color w:val="auto"/>
        </w:rPr>
      </w:pPr>
    </w:p>
    <w:p>
      <w:pPr>
        <w:ind w:left="720" w:right="299" w:hanging="319"/>
        <w:spacing w:after="0" w:line="270"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13" w:lineRule="exact"/>
        <w:rPr>
          <w:rFonts w:ascii="Times New Roman" w:cs="Times New Roman" w:eastAsia="Times New Roman" w:hAnsi="Times New Roman"/>
          <w:sz w:val="18"/>
          <w:szCs w:val="18"/>
          <w:color w:val="auto"/>
        </w:rPr>
      </w:pPr>
    </w:p>
    <w:p>
      <w:pPr>
        <w:ind w:left="720" w:right="99" w:hanging="319"/>
        <w:spacing w:after="0" w:line="246"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obtaining, maintaining, protecting, and enforcing our intellectual property rights, and defending any intellectual property-related claims, including any claims by third parties that we are infringing upon, misappropriating, or violating their intellectual property rights;</w:t>
      </w:r>
    </w:p>
    <w:p>
      <w:pPr>
        <w:spacing w:after="0" w:line="149" w:lineRule="exact"/>
        <w:rPr>
          <w:rFonts w:ascii="Times New Roman" w:cs="Times New Roman" w:eastAsia="Times New Roman" w:hAnsi="Times New Roman"/>
          <w:sz w:val="18"/>
          <w:szCs w:val="18"/>
          <w:color w:val="auto"/>
        </w:rPr>
      </w:pPr>
    </w:p>
    <w:p>
      <w:pPr>
        <w:ind w:left="720" w:right="179" w:hanging="319"/>
        <w:spacing w:after="0" w:line="252"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130" w:lineRule="exact"/>
        <w:rPr>
          <w:rFonts w:ascii="Times New Roman" w:cs="Times New Roman" w:eastAsia="Times New Roman" w:hAnsi="Times New Roman"/>
          <w:sz w:val="18"/>
          <w:szCs w:val="18"/>
          <w:color w:val="auto"/>
        </w:rPr>
      </w:pPr>
    </w:p>
    <w:p>
      <w:pPr>
        <w:ind w:left="720" w:right="439" w:hanging="319"/>
        <w:spacing w:after="0" w:line="270"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expenses to attract, hire and retain, skilled personnel;</w:t>
      </w:r>
    </w:p>
    <w:p>
      <w:pPr>
        <w:spacing w:after="0" w:line="19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costs of operating as a public company;</w:t>
      </w:r>
    </w:p>
    <w:p>
      <w:pPr>
        <w:spacing w:after="0" w:line="183" w:lineRule="exact"/>
        <w:rPr>
          <w:rFonts w:ascii="Times New Roman" w:cs="Times New Roman" w:eastAsia="Times New Roman" w:hAnsi="Times New Roman"/>
          <w:sz w:val="18"/>
          <w:szCs w:val="18"/>
          <w:color w:val="auto"/>
        </w:rPr>
      </w:pPr>
    </w:p>
    <w:p>
      <w:pPr>
        <w:ind w:left="720" w:right="439" w:hanging="319"/>
        <w:spacing w:after="0" w:line="270"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payors;</w:t>
      </w:r>
    </w:p>
    <w:p>
      <w:pPr>
        <w:spacing w:after="0" w:line="11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technological and market developments; and</w:t>
      </w:r>
    </w:p>
    <w:p>
      <w:pPr>
        <w:spacing w:after="0" w:line="19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invest in businesses, products, and technologies.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Until and unless we can generate substantial product revenue, we expect to finance our cash needs through the proceeds from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effects of pandemics, inflationary pressures, disruptions of financial institutions, political unrest and hostilities, war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136"/>
              <w:spacing w:after="0"/>
              <w:rPr>
                <w:sz w:val="20"/>
                <w:szCs w:val="20"/>
                <w:color w:val="auto"/>
              </w:rPr>
            </w:pPr>
            <w:r>
              <w:rPr>
                <w:rFonts w:ascii="Arial" w:cs="Arial" w:eastAsia="Arial" w:hAnsi="Arial"/>
                <w:sz w:val="14"/>
                <w:szCs w:val="14"/>
                <w:color w:val="auto"/>
              </w:rPr>
              <w:t>Nine months ended</w:t>
            </w:r>
          </w:p>
        </w:tc>
        <w:tc>
          <w:tcPr>
            <w:tcW w:w="220" w:type="dxa"/>
            <w:vAlign w:val="bottom"/>
          </w:tcPr>
          <w:p>
            <w:pPr>
              <w:spacing w:after="0"/>
              <w:rPr>
                <w:sz w:val="14"/>
                <w:szCs w:val="14"/>
                <w:color w:val="auto"/>
              </w:rPr>
            </w:pPr>
          </w:p>
        </w:tc>
        <w:tc>
          <w:tcPr>
            <w:tcW w:w="1900" w:type="dxa"/>
            <w:vAlign w:val="bottom"/>
            <w:gridSpan w:val="2"/>
          </w:tcPr>
          <w:p>
            <w:pPr>
              <w:jc w:val="center"/>
              <w:ind w:right="640"/>
              <w:spacing w:after="0"/>
              <w:rPr>
                <w:sz w:val="20"/>
                <w:szCs w:val="20"/>
                <w:color w:val="auto"/>
              </w:rPr>
            </w:pPr>
            <w:r>
              <w:rPr>
                <w:rFonts w:ascii="Arial" w:cs="Arial" w:eastAsia="Arial" w:hAnsi="Arial"/>
                <w:sz w:val="14"/>
                <w:szCs w:val="14"/>
                <w:color w:val="auto"/>
              </w:rPr>
              <w:t>Nine months ended</w:t>
            </w:r>
          </w:p>
        </w:tc>
      </w:tr>
      <w:tr>
        <w:trPr>
          <w:trHeight w:val="171"/>
        </w:trPr>
        <w:tc>
          <w:tcPr>
            <w:tcW w:w="5200" w:type="dxa"/>
            <w:vAlign w:val="bottom"/>
          </w:tcPr>
          <w:p>
            <w:pPr>
              <w:spacing w:after="0"/>
              <w:rPr>
                <w:sz w:val="14"/>
                <w:szCs w:val="14"/>
                <w:color w:val="auto"/>
              </w:rPr>
            </w:pPr>
          </w:p>
        </w:tc>
        <w:tc>
          <w:tcPr>
            <w:tcW w:w="1580" w:type="dxa"/>
            <w:vAlign w:val="bottom"/>
            <w:gridSpan w:val="2"/>
          </w:tcPr>
          <w:p>
            <w:pPr>
              <w:jc w:val="right"/>
              <w:ind w:right="116"/>
              <w:spacing w:after="0"/>
              <w:rPr>
                <w:sz w:val="20"/>
                <w:szCs w:val="20"/>
                <w:color w:val="auto"/>
              </w:rPr>
            </w:pPr>
            <w:r>
              <w:rPr>
                <w:rFonts w:ascii="Arial" w:cs="Arial" w:eastAsia="Arial" w:hAnsi="Arial"/>
                <w:sz w:val="14"/>
                <w:szCs w:val="14"/>
                <w:color w:val="auto"/>
              </w:rPr>
              <w:t>September 30, 2025</w:t>
            </w:r>
          </w:p>
        </w:tc>
        <w:tc>
          <w:tcPr>
            <w:tcW w:w="2120" w:type="dxa"/>
            <w:vAlign w:val="bottom"/>
            <w:gridSpan w:val="3"/>
          </w:tcPr>
          <w:p>
            <w:pPr>
              <w:jc w:val="center"/>
              <w:ind w:right="420"/>
              <w:spacing w:after="0"/>
              <w:rPr>
                <w:sz w:val="20"/>
                <w:szCs w:val="20"/>
                <w:color w:val="auto"/>
              </w:rPr>
            </w:pPr>
            <w:r>
              <w:rPr>
                <w:rFonts w:ascii="Arial" w:cs="Arial" w:eastAsia="Arial" w:hAnsi="Arial"/>
                <w:sz w:val="14"/>
                <w:szCs w:val="14"/>
                <w:color w:val="auto"/>
              </w:rPr>
              <w:t>September 30, 2024</w:t>
            </w:r>
          </w:p>
        </w:tc>
      </w:tr>
      <w:tr>
        <w:trPr>
          <w:trHeight w:val="155"/>
        </w:trPr>
        <w:tc>
          <w:tcPr>
            <w:tcW w:w="5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300" w:type="dxa"/>
            <w:vAlign w:val="bottom"/>
            <w:tcBorders>
              <w:top w:val="single" w:sz="8" w:color="auto"/>
            </w:tcBorders>
            <w:gridSpan w:val="3"/>
          </w:tcPr>
          <w:p>
            <w:pPr>
              <w:jc w:val="right"/>
              <w:ind w:right="1154"/>
              <w:spacing w:after="0" w:line="155" w:lineRule="exact"/>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3"/>
                <w:szCs w:val="13"/>
                <w:color w:val="auto"/>
              </w:rPr>
            </w:pPr>
          </w:p>
        </w:tc>
      </w:tr>
      <w:tr>
        <w:trPr>
          <w:trHeight w:val="203"/>
        </w:trPr>
        <w:tc>
          <w:tcPr>
            <w:tcW w:w="5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(used in) provided by:</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03"/>
        </w:trPr>
        <w:tc>
          <w:tcPr>
            <w:tcW w:w="5200" w:type="dxa"/>
            <w:vAlign w:val="bottom"/>
          </w:tcPr>
          <w:p>
            <w:pPr>
              <w:ind w:left="20"/>
              <w:spacing w:after="0" w:line="202" w:lineRule="exact"/>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(87,799)</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(85,912)</w:t>
            </w:r>
          </w:p>
        </w:tc>
        <w:tc>
          <w:tcPr>
            <w:tcW w:w="300" w:type="dxa"/>
            <w:vAlign w:val="bottom"/>
          </w:tcPr>
          <w:p>
            <w:pPr>
              <w:spacing w:after="0"/>
              <w:rPr>
                <w:sz w:val="17"/>
                <w:szCs w:val="17"/>
                <w:color w:val="auto"/>
              </w:rPr>
            </w:pPr>
          </w:p>
        </w:tc>
      </w:tr>
      <w:tr>
        <w:trPr>
          <w:trHeight w:val="203"/>
        </w:trPr>
        <w:tc>
          <w:tcPr>
            <w:tcW w:w="5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85,140</w:t>
            </w: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16,876</w:t>
            </w:r>
          </w:p>
        </w:tc>
        <w:tc>
          <w:tcPr>
            <w:tcW w:w="300" w:type="dxa"/>
            <w:vAlign w:val="bottom"/>
            <w:shd w:val="clear" w:color="auto" w:fill="CCEEFF"/>
          </w:tcPr>
          <w:p>
            <w:pPr>
              <w:spacing w:after="0"/>
              <w:rPr>
                <w:sz w:val="17"/>
                <w:szCs w:val="17"/>
                <w:color w:val="auto"/>
              </w:rPr>
            </w:pPr>
          </w:p>
        </w:tc>
      </w:tr>
      <w:tr>
        <w:trPr>
          <w:trHeight w:val="203"/>
        </w:trPr>
        <w:tc>
          <w:tcPr>
            <w:tcW w:w="52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Financing activities</w:t>
            </w: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96"/>
              <w:spacing w:after="0" w:line="202" w:lineRule="exact"/>
              <w:rPr>
                <w:sz w:val="20"/>
                <w:szCs w:val="20"/>
                <w:color w:val="auto"/>
              </w:rPr>
            </w:pPr>
            <w:r>
              <w:rPr>
                <w:rFonts w:ascii="Arial" w:cs="Arial" w:eastAsia="Arial" w:hAnsi="Arial"/>
                <w:sz w:val="18"/>
                <w:szCs w:val="18"/>
                <w:color w:val="auto"/>
              </w:rPr>
              <w:t>120</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214"/>
              <w:spacing w:after="0" w:line="202" w:lineRule="exact"/>
              <w:rPr>
                <w:sz w:val="20"/>
                <w:szCs w:val="20"/>
                <w:color w:val="auto"/>
              </w:rPr>
            </w:pPr>
            <w:r>
              <w:rPr>
                <w:rFonts w:ascii="Arial" w:cs="Arial" w:eastAsia="Arial" w:hAnsi="Arial"/>
                <w:sz w:val="18"/>
                <w:szCs w:val="18"/>
                <w:color w:val="auto"/>
              </w:rPr>
              <w:t>75,165</w:t>
            </w:r>
          </w:p>
        </w:tc>
        <w:tc>
          <w:tcPr>
            <w:tcW w:w="300" w:type="dxa"/>
            <w:vAlign w:val="bottom"/>
            <w:tcBorders>
              <w:bottom w:val="single" w:sz="8" w:color="CCEEFF"/>
            </w:tcBorders>
          </w:tcPr>
          <w:p>
            <w:pPr>
              <w:spacing w:after="0"/>
              <w:rPr>
                <w:sz w:val="17"/>
                <w:szCs w:val="17"/>
                <w:color w:val="auto"/>
              </w:rPr>
            </w:pPr>
          </w:p>
        </w:tc>
      </w:tr>
      <w:tr>
        <w:trPr>
          <w:trHeight w:val="196"/>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decrease in cash, cash equivalents, and restricted cash</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rPr>
              <w:t>(2,539)</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214"/>
              <w:spacing w:after="0" w:line="196" w:lineRule="exact"/>
              <w:rPr>
                <w:sz w:val="20"/>
                <w:szCs w:val="20"/>
                <w:color w:val="auto"/>
              </w:rPr>
            </w:pPr>
            <w:r>
              <w:rPr>
                <w:rFonts w:ascii="Arial" w:cs="Arial" w:eastAsia="Arial" w:hAnsi="Arial"/>
                <w:sz w:val="18"/>
                <w:szCs w:val="18"/>
                <w:color w:val="auto"/>
              </w:rPr>
              <w:t>6,129</w:t>
            </w:r>
          </w:p>
        </w:tc>
        <w:tc>
          <w:tcPr>
            <w:tcW w:w="300" w:type="dxa"/>
            <w:vAlign w:val="bottom"/>
            <w:shd w:val="clear" w:color="auto" w:fill="CCEEFF"/>
          </w:tcPr>
          <w:p>
            <w:pPr>
              <w:spacing w:after="0"/>
              <w:rPr>
                <w:sz w:val="17"/>
                <w:szCs w:val="17"/>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16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Net cash used in operating activities was $87.8 million and $</w:t>
      </w:r>
      <w:r>
        <w:rPr>
          <w:rFonts w:ascii="Arial" w:cs="Arial" w:eastAsia="Arial" w:hAnsi="Arial"/>
          <w:sz w:val="18"/>
          <w:szCs w:val="18"/>
          <w:color w:val="212529"/>
        </w:rPr>
        <w:t>85.9</w:t>
      </w:r>
      <w:r>
        <w:rPr>
          <w:rFonts w:ascii="Arial" w:cs="Arial" w:eastAsia="Arial" w:hAnsi="Arial"/>
          <w:sz w:val="18"/>
          <w:szCs w:val="18"/>
          <w:color w:val="auto"/>
        </w:rPr>
        <w:t xml:space="preserve"> million for the nine months ended September 30, 2025 and 2024, respectively. Net cash used in operating activities during the nine months ended September 30, 2025 consisted primarily of our net income of $9.6 million and non-cash charges of $23.1 million, offset by a decrease of $120.5 million in our net operating assets and liabilities. The non-cash charges of $23.1 million consisted primarily of $9.6 million for depreciation expense, non-cash operating lease expense of $1.5 million, and stock-based compensation expense of $5.5 million, impairment of long-lived asset of $6.8 million, gain on reduction in lease liability due to lease termination of $1.4 million, and gain on contingent consideration liability of $0.4 million, partially offset by amortization of marketable securities of $2.0 million. The change in operating assets and liabilities was primarily due to a $3.6 million decrease in operating lease liability, a $109.2 million decrease in deferred revenue due to the termination of the Collaboration Agreement with Bristol-Myers Squibb, and an $8.2 million decrease in accrued expenses.</w:t>
      </w:r>
    </w:p>
    <w:p>
      <w:pPr>
        <w:spacing w:after="0" w:line="172"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212529"/>
        </w:rPr>
        <w:t>Net cash used in operating activities during the nine months ended September 30, 2024 consisted primarily of our net loss of $90.5 million and a decrease of $ 11.1 million in our net operating assets and liabilities, partially offset by non-cash charges of $15.7 million. The non-cash charges of $15.7 million consisted primarily of $10.0 million for depreciation expense, non-cash operating lease benefit of $0.4 million, a decrease in lease liability due to lease termination, and stock-based compensation expense of $10.0 million, partially offset by amortization of marketable securities of $3.8 million and gain on contingent consideration liability of $1.1 million. The change in operating assets and liabilities was primarily due to a $ 2.9 million increase in prepaid expenses and other assets, a $2.6 million decrease in operating lease liability, a $2.4 million decrease in deferred revenue, and a $1.9 million decrease in accounts payable.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169" w:lineRule="exact"/>
        <w:rPr>
          <w:sz w:val="20"/>
          <w:szCs w:val="20"/>
          <w:color w:val="auto"/>
        </w:rPr>
      </w:pPr>
    </w:p>
    <w:p>
      <w:pPr>
        <w:ind w:left="60" w:right="359"/>
        <w:spacing w:after="0" w:line="247" w:lineRule="auto"/>
        <w:rPr>
          <w:sz w:val="20"/>
          <w:szCs w:val="20"/>
          <w:color w:val="auto"/>
        </w:rPr>
      </w:pPr>
      <w:r>
        <w:rPr>
          <w:rFonts w:ascii="Arial" w:cs="Arial" w:eastAsia="Arial" w:hAnsi="Arial"/>
          <w:sz w:val="18"/>
          <w:szCs w:val="18"/>
          <w:color w:val="auto"/>
        </w:rPr>
        <w:t>Net cash provided by investing activities was $85.1 million and $16.9 million for the nine months ended September 30, 2025 and 2024, respectively. Cash provided by investing activities for the nine months ended September 30, 2025 consisted primarily of the sale of fixed maturity securities of $121.7 million, which was partially offset by purchases of fixed maturity securities of $35.6 million.</w:t>
      </w:r>
    </w:p>
    <w:p>
      <w:pPr>
        <w:spacing w:after="0" w:line="147"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212529"/>
        </w:rPr>
        <w:t>Net cash provided by investing activities was $16.9 million for the nine months ended September 30, 2024. Cash provided by investing activities for the nine months ended September 30, 2024 consisted primarily of the sale of fixed maturity securities, available for sale of $128.6 million, which was partially offset by purchases of fixed maturity securities of $102.1 million, and the acquisition of Clade of $9.6 million.</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142"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color w:val="auto"/>
        </w:rPr>
        <w:t>Net cash provided by financing activities was $0.1 million and $75.2 million for the nine months ended September 30, 2025 and 2024, respectively. Cash provided by financing activities consisted of $ 0.1 million from issuance of our common stock from equity incentive plans pursuant to the exercise of employee stock options.</w:t>
      </w:r>
    </w:p>
    <w:p>
      <w:pPr>
        <w:spacing w:after="0" w:line="138"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212529"/>
        </w:rPr>
        <w:t>Net cash provided by financing activities was $75.2 million for the nine months ended September 30, 2024. Cash provided by financing activities consisted of $17.8 million from proceeds from our at-the-market capital raise, $56.6 million from proceeds from our PIPE financing, and $0.7 million from issuance of our common stock from equity incentive plans pursuant to the exercise of employee stock options.</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31"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The following table summarizes our significant contractual obligations and commitments as of September 30, 2025:</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880" w:type="dxa"/>
            <w:vAlign w:val="bottom"/>
            <w:tcBorders>
              <w:top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Payments Due by Period</w:t>
            </w:r>
          </w:p>
        </w:tc>
      </w:tr>
      <w:tr>
        <w:trPr>
          <w:trHeight w:val="155"/>
        </w:trPr>
        <w:tc>
          <w:tcPr>
            <w:tcW w:w="3880" w:type="dxa"/>
            <w:vAlign w:val="bottom"/>
          </w:tcPr>
          <w:p>
            <w:pPr>
              <w:spacing w:after="0"/>
              <w:rPr>
                <w:sz w:val="13"/>
                <w:szCs w:val="13"/>
                <w:color w:val="auto"/>
              </w:rPr>
            </w:pPr>
          </w:p>
        </w:tc>
        <w:tc>
          <w:tcPr>
            <w:tcW w:w="74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color w:val="auto"/>
              </w:rPr>
              <w:t>1 Year</w:t>
            </w:r>
          </w:p>
        </w:tc>
        <w:tc>
          <w:tcPr>
            <w:tcW w:w="100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1 to 3 Years</w:t>
            </w:r>
          </w:p>
        </w:tc>
        <w:tc>
          <w:tcPr>
            <w:tcW w:w="100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3 to 5 Years</w:t>
            </w:r>
          </w:p>
        </w:tc>
        <w:tc>
          <w:tcPr>
            <w:tcW w:w="1300" w:type="dxa"/>
            <w:vAlign w:val="bottom"/>
            <w:tcBorders>
              <w:bottom w:val="single" w:sz="8" w:color="auto"/>
            </w:tcBorders>
            <w:gridSpan w:val="2"/>
          </w:tcPr>
          <w:p>
            <w:pPr>
              <w:ind w:left="120"/>
              <w:spacing w:after="0" w:line="155" w:lineRule="exact"/>
              <w:rPr>
                <w:sz w:val="20"/>
                <w:szCs w:val="20"/>
                <w:color w:val="auto"/>
              </w:rPr>
            </w:pPr>
            <w:r>
              <w:rPr>
                <w:rFonts w:ascii="Arial" w:cs="Arial" w:eastAsia="Arial" w:hAnsi="Arial"/>
                <w:sz w:val="14"/>
                <w:szCs w:val="14"/>
                <w:color w:val="auto"/>
              </w:rPr>
              <w:t>More than 5 Years</w:t>
            </w:r>
          </w:p>
        </w:tc>
        <w:tc>
          <w:tcPr>
            <w:tcW w:w="98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color w:val="auto"/>
              </w:rPr>
              <w:t>Total</w:t>
            </w:r>
          </w:p>
        </w:tc>
      </w:tr>
      <w:tr>
        <w:trPr>
          <w:trHeight w:val="155"/>
        </w:trPr>
        <w:tc>
          <w:tcPr>
            <w:tcW w:w="38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(in thousands)</w:t>
            </w:r>
          </w:p>
        </w:tc>
      </w:tr>
      <w:tr>
        <w:trPr>
          <w:trHeight w:val="39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99"/>
              </w:rPr>
              <w:t>$ 7,988</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$ 14,849</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$ 15,611</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$ 66,399</w:t>
            </w:r>
          </w:p>
        </w:tc>
      </w:tr>
    </w:tbl>
    <w:p>
      <w:pPr>
        <w:spacing w:after="0" w:line="184" w:lineRule="exact"/>
        <w:rPr>
          <w:sz w:val="20"/>
          <w:szCs w:val="20"/>
          <w:color w:val="auto"/>
        </w:rPr>
      </w:pPr>
    </w:p>
    <w:p>
      <w:pPr>
        <w:ind w:left="60" w:right="599"/>
        <w:spacing w:after="0" w:line="271" w:lineRule="auto"/>
        <w:rPr>
          <w:sz w:val="20"/>
          <w:szCs w:val="20"/>
          <w:color w:val="auto"/>
        </w:rPr>
      </w:pPr>
      <w:r>
        <w:rPr>
          <w:rFonts w:ascii="Arial" w:cs="Arial" w:eastAsia="Arial" w:hAnsi="Arial"/>
          <w:sz w:val="18"/>
          <w:szCs w:val="18"/>
          <w:color w:val="auto"/>
        </w:rPr>
        <w:t>When our lease in Watertown, MA commences in 2026, it will add approximately $7.3 million to our future operating lease commitments</w:t>
      </w:r>
    </w:p>
    <w:p>
      <w:pPr>
        <w:spacing w:after="0" w:line="127"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Payment obligations under our license, collaboration, and acquisition and merger agreements as of September 30, 2025 are contingent upon future events such as our achievement of pre-specified development, regulatory, and commercial milestones, or royalties on net product sales. As of September 30, 2025, the timing and likelihood of achieving the milestones and success payments and generating future product sales are uncertain and therefore, any related payments are not included in the table above. We also enter into agreements in the normal course of business for sponsored research, preclinical studies, contract manufacturing, and other services and products for operating purposes, which are generally cancelable upon written notice. These obligations and commitments are not included in the table above. See Note 8 “Commitments and contingencies” for additional information.</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commitments under operating leases for certain facilities used in our operations.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171"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As a company with less than $1.235 billion in revenue during our last fiscal year, we qualify as an “emerging growth company” as defined in the Jumpstart Our Business Startups Act of 2012, or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p>
      <w:pPr>
        <w:spacing w:after="0" w:line="149" w:lineRule="exact"/>
        <w:rPr>
          <w:sz w:val="20"/>
          <w:szCs w:val="20"/>
          <w:color w:val="auto"/>
        </w:rPr>
      </w:pPr>
    </w:p>
    <w:p>
      <w:pPr>
        <w:ind w:left="720" w:right="299" w:hanging="319"/>
        <w:spacing w:after="0" w:line="270" w:lineRule="auto"/>
        <w:tabs>
          <w:tab w:leader="none" w:pos="7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not being required to have our registered independent public accounting firm attest to management’s assessment of our internal control over financial reporting;</w:t>
      </w:r>
    </w:p>
    <w:p>
      <w:pPr>
        <w:spacing w:after="0" w:line="11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presenting reduced disclosure about our executive compensation arrangements;</w:t>
      </w:r>
    </w:p>
    <w:p>
      <w:pPr>
        <w:spacing w:after="0" w:line="183" w:lineRule="exact"/>
        <w:rPr>
          <w:rFonts w:ascii="Times New Roman" w:cs="Times New Roman" w:eastAsia="Times New Roman" w:hAnsi="Times New Roman"/>
          <w:sz w:val="18"/>
          <w:szCs w:val="18"/>
          <w:color w:val="auto"/>
        </w:rPr>
      </w:pPr>
    </w:p>
    <w:p>
      <w:pPr>
        <w:ind w:left="720" w:right="359" w:hanging="319"/>
        <w:spacing w:after="0" w:line="252" w:lineRule="auto"/>
        <w:tabs>
          <w:tab w:leader="none" w:pos="7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143" w:lineRule="exact"/>
        <w:rPr>
          <w:rFonts w:ascii="Times New Roman" w:cs="Times New Roman" w:eastAsia="Times New Roman" w:hAnsi="Times New Roman"/>
          <w:sz w:val="18"/>
          <w:szCs w:val="18"/>
          <w:color w:val="auto"/>
        </w:rPr>
      </w:pPr>
    </w:p>
    <w:p>
      <w:pPr>
        <w:ind w:left="720" w:right="179" w:hanging="319"/>
        <w:spacing w:after="0" w:line="270" w:lineRule="auto"/>
        <w:tabs>
          <w:tab w:leader="none" w:pos="7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not being required to hold non-binding advisory votes on executive compensation or golden parachute arrangements; and,</w:t>
      </w:r>
    </w:p>
    <w:p>
      <w:pPr>
        <w:spacing w:after="0" w:line="11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18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153"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We will remain an emerging growth company until the earliest of (i) December 31, 2026,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3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last business day of the second fiscal quarter of such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5"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Refer to Note 2, Summary of Significant Accounting Policies, included in Part I, Item 1 of this Quarterly Report on Form 10-Q for a discussion of our critical accounting policies.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259"/>
        <w:spacing w:after="0" w:line="275" w:lineRule="auto"/>
        <w:rPr>
          <w:sz w:val="20"/>
          <w:szCs w:val="20"/>
          <w:color w:val="auto"/>
        </w:rPr>
      </w:pPr>
      <w:r>
        <w:rPr>
          <w:rFonts w:ascii="Arial" w:cs="Arial" w:eastAsia="Arial" w:hAnsi="Arial"/>
          <w:sz w:val="17"/>
          <w:szCs w:val="17"/>
          <w:color w:val="auto"/>
        </w:rPr>
        <w:t>During the nine months ended September 30, 2025, there were no material changes to our critical accounting policies from those described in our audited financial statements for the year ended December 31, 2024 included in our Annual Report on Form 10-K filed with the SEC on March 19, 2025, except as noted above.</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5" w:lineRule="exact"/>
        <w:rPr>
          <w:sz w:val="20"/>
          <w:szCs w:val="20"/>
          <w:color w:val="auto"/>
        </w:rPr>
      </w:pPr>
    </w:p>
    <w:p>
      <w:pPr>
        <w:jc w:val="both"/>
        <w:ind w:left="60" w:right="379"/>
        <w:spacing w:after="0" w:line="253"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We do not currently have any material exposure to foreign currency fluctuations and do not engage in any hedging activities as part of our normal course of business.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9" w:lineRule="exact"/>
        <w:rPr>
          <w:sz w:val="20"/>
          <w:szCs w:val="20"/>
          <w:color w:val="auto"/>
        </w:rPr>
      </w:pPr>
    </w:p>
    <w:p>
      <w:pPr>
        <w:ind w:left="60" w:right="99"/>
        <w:spacing w:after="0" w:line="261" w:lineRule="auto"/>
        <w:rPr>
          <w:sz w:val="20"/>
          <w:szCs w:val="20"/>
          <w:color w:val="auto"/>
        </w:rPr>
      </w:pPr>
      <w:r>
        <w:rPr>
          <w:rFonts w:ascii="Arial" w:cs="Arial" w:eastAsia="Arial" w:hAnsi="Arial"/>
          <w:sz w:val="17"/>
          <w:szCs w:val="17"/>
          <w:color w:val="auto"/>
        </w:rPr>
        <w:t>We had cash, cash equivalents, and restricted cash of $ 58.7 million as of September 30, 2025, which consisted of bank deposits and money market funds. We also had investments of $77.2 million as of September 30, 2025. Our primary exposure to market risk is interest income sensitivity, which is affected by changes in the general level of U.S. interest rates. However, because of the low risk profile of the instruments in our portfolio, a change in market interest rates would not have a material impact on our financial condition and/or results of operations.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Banking Instability</w:t>
      </w:r>
    </w:p>
    <w:p>
      <w:pPr>
        <w:spacing w:after="0" w:line="169" w:lineRule="exact"/>
        <w:rPr>
          <w:sz w:val="20"/>
          <w:szCs w:val="20"/>
          <w:color w:val="auto"/>
        </w:rPr>
      </w:pPr>
    </w:p>
    <w:p>
      <w:pPr>
        <w:ind w:left="60" w:right="79"/>
        <w:spacing w:after="0" w:line="301" w:lineRule="auto"/>
        <w:rPr>
          <w:sz w:val="20"/>
          <w:szCs w:val="20"/>
          <w:color w:val="auto"/>
        </w:rPr>
      </w:pPr>
      <w:r>
        <w:rPr>
          <w:rFonts w:ascii="Arial" w:cs="Arial" w:eastAsia="Arial" w:hAnsi="Arial"/>
          <w:sz w:val="17"/>
          <w:szCs w:val="17"/>
          <w:color w:val="auto"/>
        </w:rPr>
        <w:t>Future disruptions of financial institutions where we bank or have credit arrangements, or disruptions of the financial services industry in general, could adversely affect our ability to access our cash and cash equivalents.</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83" w:lineRule="exact"/>
        <w:rPr>
          <w:sz w:val="20"/>
          <w:szCs w:val="20"/>
          <w:color w:val="auto"/>
        </w:rPr>
      </w:pPr>
    </w:p>
    <w:p>
      <w:pPr>
        <w:ind w:left="60" w:right="639"/>
        <w:spacing w:after="0" w:line="271" w:lineRule="auto"/>
        <w:rPr>
          <w:sz w:val="20"/>
          <w:szCs w:val="20"/>
          <w:color w:val="auto"/>
        </w:rPr>
      </w:pPr>
      <w:r>
        <w:rPr>
          <w:rFonts w:ascii="Arial" w:cs="Arial" w:eastAsia="Arial" w:hAnsi="Arial"/>
          <w:sz w:val="18"/>
          <w:szCs w:val="18"/>
          <w:color w:val="auto"/>
        </w:rPr>
        <w:t>Inflation generally affects us by increasing our cost of labor and laboratory consumables. We believe that inflation has not had a material effect on our financial statements.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56" w:lineRule="exact"/>
        <w:rPr>
          <w:sz w:val="20"/>
          <w:szCs w:val="20"/>
          <w:color w:val="auto"/>
        </w:rPr>
      </w:pPr>
    </w:p>
    <w:p>
      <w:pPr>
        <w:ind w:left="60" w:right="59"/>
        <w:spacing w:after="0" w:line="24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disclosures controls and procedures, as defined in Rules 13a-15(e) and 15d-</w:t>
      </w:r>
    </w:p>
    <w:p>
      <w:pPr>
        <w:ind w:left="60" w:right="79"/>
        <w:spacing w:after="0" w:line="236" w:lineRule="auto"/>
        <w:rPr>
          <w:sz w:val="20"/>
          <w:szCs w:val="20"/>
          <w:color w:val="auto"/>
        </w:rPr>
      </w:pPr>
      <w:r>
        <w:rPr>
          <w:rFonts w:ascii="Arial" w:cs="Arial" w:eastAsia="Arial" w:hAnsi="Arial"/>
          <w:sz w:val="18"/>
          <w:szCs w:val="18"/>
          <w:color w:val="auto"/>
        </w:rPr>
        <w:t>15(e) under the Exchange Act, as of September 30,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2025, our principal executive officer and principal financial officer concluded that, as of such date, our disclosure controls and procedures were effective at a reasonable assurance level.</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9"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color w:val="auto"/>
        </w:rPr>
        <w:t>Management determined that, as of September 30, 2025, there were no changes in our internal control over financial reporting that occurred during the three months then ended that have materially affected, or are reasonably likely to materially affect, our internal control over financial reporting.</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5"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Our management believes that there are currently no claims or actions pending against us, the ultimate disposition of which would have a material adverse effect on our results of operations, financial condition or cash flows.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There have been no material changes in our risk factors from those disclosed in our Annual Report on Form 10-K for the year ended December 31, 2024.</w:t>
      </w:r>
    </w:p>
    <w:p>
      <w:pPr>
        <w:spacing w:after="0" w:line="113" w:lineRule="exact"/>
        <w:rPr>
          <w:sz w:val="20"/>
          <w:szCs w:val="20"/>
          <w:color w:val="auto"/>
        </w:rPr>
      </w:pPr>
    </w:p>
    <w:p>
      <w:pPr>
        <w:ind w:left="60" w:right="699"/>
        <w:spacing w:after="0" w:line="281" w:lineRule="auto"/>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were no unregistered sales of equity securities during the period covered by this report.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Rule 10b5-1 Trading Plans</w:t>
      </w:r>
    </w:p>
    <w:p>
      <w:pPr>
        <w:spacing w:after="0" w:line="171"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During the quarter ended September 30, 2025, none of our directors or officers (as defined in Rule 16a-1 under the Exchange Act) adopted or terminated a "Rule 10b5-1 trading arrangement" or "non-Rule 10b5-1 trading arrangement" (as those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Exhibit</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wp:posOffset>
            </wp:positionV>
            <wp:extent cx="56489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0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76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Certification of Principal Executive Officer Pursuant to Rules 13a-14(a) and 15d-14(a) under the</w:t>
            </w:r>
          </w:p>
        </w:tc>
        <w:tc>
          <w:tcPr>
            <w:tcW w:w="3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7940" w:type="dxa"/>
            <w:vAlign w:val="bottom"/>
            <w:gridSpan w:val="8"/>
          </w:tcPr>
          <w:p>
            <w:pPr>
              <w:spacing w:after="0" w:line="182" w:lineRule="exact"/>
              <w:rPr>
                <w:sz w:val="20"/>
                <w:szCs w:val="20"/>
                <w:color w:val="auto"/>
              </w:rPr>
            </w:pPr>
            <w:r>
              <w:rPr>
                <w:rFonts w:ascii="Arial" w:cs="Arial" w:eastAsia="Arial" w:hAnsi="Arial"/>
                <w:sz w:val="18"/>
                <w:szCs w:val="18"/>
                <w:color w:val="0000EE"/>
              </w:rPr>
              <w:t>Securities Exchange Act of 1934, as Adopted Pursuant to Section 302 of the Sarbanes-Oxley Act</w:t>
            </w:r>
          </w:p>
        </w:tc>
        <w:tc>
          <w:tcPr>
            <w:tcW w:w="0" w:type="dxa"/>
            <w:vAlign w:val="bottom"/>
          </w:tcPr>
          <w:p>
            <w:pPr>
              <w:spacing w:after="0"/>
              <w:rPr>
                <w:sz w:val="1"/>
                <w:szCs w:val="1"/>
                <w:color w:val="auto"/>
              </w:rPr>
            </w:pPr>
          </w:p>
        </w:tc>
      </w:tr>
      <w:tr>
        <w:trPr>
          <w:trHeight w:val="182"/>
        </w:trPr>
        <w:tc>
          <w:tcPr>
            <w:tcW w:w="94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774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of 2002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54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9"/>
              </w:rPr>
              <w:t>Certification of Principal Financial Officer Pursuant to Rules 13a-14(a) and 15d-14(a) under the</w:t>
            </w:r>
          </w:p>
        </w:tc>
        <w:tc>
          <w:tcPr>
            <w:tcW w:w="4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7940" w:type="dxa"/>
            <w:vAlign w:val="bottom"/>
            <w:gridSpan w:val="8"/>
          </w:tcPr>
          <w:p>
            <w:pPr>
              <w:spacing w:after="0" w:line="182" w:lineRule="exact"/>
              <w:rPr>
                <w:sz w:val="20"/>
                <w:szCs w:val="20"/>
                <w:color w:val="auto"/>
              </w:rPr>
            </w:pPr>
            <w:r>
              <w:rPr>
                <w:rFonts w:ascii="Arial" w:cs="Arial" w:eastAsia="Arial" w:hAnsi="Arial"/>
                <w:sz w:val="18"/>
                <w:szCs w:val="18"/>
                <w:color w:val="0000EE"/>
              </w:rPr>
              <w:t>Securities Exchange Act of 1934, as Adopted Pursuant to Section 302 of the Sarbanes-Oxley Act</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774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of 2002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940" w:type="dxa"/>
            <w:vAlign w:val="bottom"/>
            <w:gridSpan w:val="8"/>
          </w:tcPr>
          <w:p>
            <w:pPr>
              <w:spacing w:after="0" w:line="196" w:lineRule="exact"/>
              <w:rPr>
                <w:sz w:val="20"/>
                <w:szCs w:val="20"/>
                <w:color w:val="auto"/>
              </w:rPr>
            </w:pPr>
            <w:r>
              <w:rPr>
                <w:rFonts w:ascii="Arial" w:cs="Arial" w:eastAsia="Arial" w:hAnsi="Arial"/>
                <w:sz w:val="18"/>
                <w:szCs w:val="18"/>
                <w:color w:val="0000EE"/>
                <w:w w:val="99"/>
              </w:rPr>
              <w:t>Certification of Principal Executive Officer pursuant to 18 U.S.C. Section 1350, as adopted pursuant</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396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to Section 906 of the Sarbanes-Oxley Act of 2002</w:t>
            </w:r>
          </w:p>
        </w:tc>
        <w:tc>
          <w:tcPr>
            <w:tcW w:w="396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vMerge w:val="continue"/>
          </w:tcPr>
          <w:p>
            <w:pPr>
              <w:spacing w:after="0"/>
              <w:rPr>
                <w:sz w:val="17"/>
                <w:szCs w:val="17"/>
                <w:color w:val="auto"/>
              </w:rPr>
            </w:pPr>
          </w:p>
        </w:tc>
        <w:tc>
          <w:tcPr>
            <w:tcW w:w="7940" w:type="dxa"/>
            <w:vAlign w:val="bottom"/>
            <w:gridSpan w:val="8"/>
          </w:tcPr>
          <w:p>
            <w:pPr>
              <w:spacing w:after="0" w:line="196" w:lineRule="exact"/>
              <w:rPr>
                <w:sz w:val="20"/>
                <w:szCs w:val="20"/>
                <w:color w:val="auto"/>
              </w:rPr>
            </w:pPr>
            <w:r>
              <w:rPr>
                <w:rFonts w:ascii="Arial" w:cs="Arial" w:eastAsia="Arial" w:hAnsi="Arial"/>
                <w:sz w:val="18"/>
                <w:szCs w:val="18"/>
                <w:color w:val="0000EE"/>
              </w:rPr>
              <w:t>Certification of Principal Financial Officer pursuant to 18 U.S.C. Section 1350, as adopted pursuant</w:t>
            </w:r>
          </w:p>
        </w:tc>
        <w:tc>
          <w:tcPr>
            <w:tcW w:w="0" w:type="dxa"/>
            <w:vAlign w:val="bottom"/>
          </w:tcPr>
          <w:p>
            <w:pPr>
              <w:spacing w:after="0"/>
              <w:rPr>
                <w:sz w:val="1"/>
                <w:szCs w:val="1"/>
                <w:color w:val="auto"/>
              </w:rPr>
            </w:pPr>
          </w:p>
        </w:tc>
      </w:tr>
      <w:tr>
        <w:trPr>
          <w:trHeight w:val="183"/>
        </w:trPr>
        <w:tc>
          <w:tcPr>
            <w:tcW w:w="94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396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to Section 906 of the Sarbanes-Oxley Act of 2002</w:t>
            </w:r>
          </w:p>
        </w:tc>
        <w:tc>
          <w:tcPr>
            <w:tcW w:w="3900" w:type="dxa"/>
            <w:vAlign w:val="bottom"/>
            <w:tcBorders>
              <w:top w:val="single" w:sz="8" w:color="0000EE"/>
            </w:tcBorders>
            <w:gridSpan w:val="4"/>
          </w:tcPr>
          <w:p>
            <w:pPr>
              <w:spacing w:after="0"/>
              <w:rPr>
                <w:sz w:val="15"/>
                <w:szCs w:val="15"/>
                <w:color w:val="auto"/>
              </w:rPr>
            </w:pP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40" w:type="dxa"/>
            <w:vAlign w:val="bottom"/>
            <w:vMerge w:val="continue"/>
          </w:tcPr>
          <w:p>
            <w:pPr>
              <w:spacing w:after="0"/>
              <w:rPr>
                <w:sz w:val="17"/>
                <w:szCs w:val="17"/>
                <w:color w:val="auto"/>
              </w:rPr>
            </w:pPr>
          </w:p>
        </w:tc>
        <w:tc>
          <w:tcPr>
            <w:tcW w:w="7940" w:type="dxa"/>
            <w:vAlign w:val="bottom"/>
            <w:gridSpan w:val="8"/>
          </w:tcPr>
          <w:p>
            <w:pPr>
              <w:spacing w:after="0" w:line="204" w:lineRule="exact"/>
              <w:rPr>
                <w:sz w:val="20"/>
                <w:szCs w:val="20"/>
                <w:color w:val="auto"/>
              </w:rPr>
            </w:pPr>
            <w:r>
              <w:rPr>
                <w:rFonts w:ascii="Arial" w:cs="Arial" w:eastAsia="Arial" w:hAnsi="Arial"/>
                <w:sz w:val="18"/>
                <w:szCs w:val="18"/>
                <w:color w:val="auto"/>
              </w:rPr>
              <w:t>Inline XBRL Instance Document (the instance document does not appear in the Interactive Data</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940" w:type="dxa"/>
            <w:vAlign w:val="bottom"/>
            <w:gridSpan w:val="8"/>
          </w:tcPr>
          <w:p>
            <w:pPr>
              <w:spacing w:after="0"/>
              <w:rPr>
                <w:sz w:val="20"/>
                <w:szCs w:val="20"/>
                <w:color w:val="auto"/>
              </w:rPr>
            </w:pPr>
            <w:r>
              <w:rPr>
                <w:rFonts w:ascii="Arial" w:cs="Arial" w:eastAsia="Arial" w:hAnsi="Arial"/>
                <w:sz w:val="18"/>
                <w:szCs w:val="18"/>
                <w:color w:val="auto"/>
              </w:rPr>
              <w:t>File because its XBRL tags are embedded within the Inline XBRL document)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794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794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794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794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794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bl>
    <w:p>
      <w:pPr>
        <w:ind w:left="1000" w:right="459" w:hanging="945"/>
        <w:spacing w:after="0" w:line="250"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cover page from Century Therapeutics, Inc. Quarterly Report on Form 10-Q for the quarter ended September 30, 2025,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52705</wp:posOffset>
            </wp:positionV>
            <wp:extent cx="141414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5" w:lineRule="exact"/>
        <w:rPr>
          <w:sz w:val="20"/>
          <w:szCs w:val="20"/>
          <w:color w:val="auto"/>
        </w:rPr>
      </w:pPr>
    </w:p>
    <w:p>
      <w:pPr>
        <w:ind w:left="440" w:hanging="385"/>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Quarterly Report on Form 10-Q pursuant to</w:t>
      </w:r>
    </w:p>
    <w:p>
      <w:pPr>
        <w:spacing w:after="0" w:line="13" w:lineRule="exact"/>
        <w:rPr>
          <w:rFonts w:ascii="Arial" w:cs="Arial" w:eastAsia="Arial" w:hAnsi="Arial"/>
          <w:sz w:val="18"/>
          <w:szCs w:val="18"/>
          <w:color w:val="auto"/>
        </w:rPr>
      </w:pPr>
    </w:p>
    <w:p>
      <w:pPr>
        <w:ind w:left="440" w:right="99"/>
        <w:spacing w:after="0" w:line="239" w:lineRule="auto"/>
        <w:rPr>
          <w:rFonts w:ascii="Arial" w:cs="Arial" w:eastAsia="Arial" w:hAnsi="Arial"/>
          <w:sz w:val="18"/>
          <w:szCs w:val="18"/>
          <w:color w:val="auto"/>
        </w:rPr>
      </w:pPr>
      <w:r>
        <w:rPr>
          <w:rFonts w:ascii="Arial" w:cs="Arial" w:eastAsia="Arial" w:hAnsi="Arial"/>
          <w:sz w:val="18"/>
          <w:szCs w:val="18"/>
          <w:color w:val="auto"/>
        </w:rPr>
        <w:t>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left="60" w:right="539"/>
        <w:spacing w:after="0" w:line="253"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3260" w:type="dxa"/>
            <w:vAlign w:val="bottom"/>
          </w:tcPr>
          <w:p>
            <w:pPr>
              <w:spacing w:after="0"/>
              <w:rPr>
                <w:sz w:val="20"/>
                <w:szCs w:val="20"/>
                <w:color w:val="auto"/>
              </w:rPr>
            </w:pPr>
          </w:p>
        </w:tc>
        <w:tc>
          <w:tcPr>
            <w:tcW w:w="5640" w:type="dxa"/>
            <w:vAlign w:val="bottom"/>
            <w:gridSpan w:val="2"/>
          </w:tcPr>
          <w:p>
            <w:pPr>
              <w:ind w:left="1200"/>
              <w:spacing w:after="0"/>
              <w:rPr>
                <w:sz w:val="20"/>
                <w:szCs w:val="20"/>
                <w:color w:val="auto"/>
              </w:rPr>
            </w:pPr>
            <w:r>
              <w:rPr>
                <w:rFonts w:ascii="Arial" w:cs="Arial" w:eastAsia="Arial" w:hAnsi="Arial"/>
                <w:sz w:val="18"/>
                <w:szCs w:val="18"/>
                <w:color w:val="auto"/>
              </w:rPr>
              <w:t>Century Therapeutics, Inc.</w:t>
            </w:r>
          </w:p>
        </w:tc>
      </w:tr>
      <w:tr>
        <w:trPr>
          <w:trHeight w:val="387"/>
        </w:trPr>
        <w:tc>
          <w:tcPr>
            <w:tcW w:w="3260" w:type="dxa"/>
            <w:vAlign w:val="bottom"/>
          </w:tcPr>
          <w:p>
            <w:pPr>
              <w:spacing w:after="0"/>
              <w:rPr>
                <w:sz w:val="20"/>
                <w:szCs w:val="20"/>
                <w:color w:val="auto"/>
              </w:rPr>
            </w:pPr>
            <w:r>
              <w:rPr>
                <w:rFonts w:ascii="Arial" w:cs="Arial" w:eastAsia="Arial" w:hAnsi="Arial"/>
                <w:sz w:val="18"/>
                <w:szCs w:val="18"/>
                <w:color w:val="auto"/>
              </w:rPr>
              <w:t>Date: November 13, 2025</w:t>
            </w:r>
          </w:p>
        </w:tc>
        <w:tc>
          <w:tcPr>
            <w:tcW w:w="1520" w:type="dxa"/>
            <w:vAlign w:val="bottom"/>
          </w:tcPr>
          <w:p>
            <w:pPr>
              <w:ind w:left="120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Brent Pfeiffenberger, PharmD, MBA</w:t>
            </w:r>
          </w:p>
        </w:tc>
      </w:tr>
      <w:tr>
        <w:trPr>
          <w:trHeight w:val="177"/>
        </w:trPr>
        <w:tc>
          <w:tcPr>
            <w:tcW w:w="3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120" w:type="dxa"/>
            <w:vAlign w:val="bottom"/>
          </w:tcPr>
          <w:p>
            <w:pPr>
              <w:jc w:val="center"/>
              <w:spacing w:after="0" w:line="177" w:lineRule="exact"/>
              <w:rPr>
                <w:sz w:val="20"/>
                <w:szCs w:val="20"/>
                <w:color w:val="auto"/>
              </w:rPr>
            </w:pPr>
            <w:r>
              <w:rPr>
                <w:rFonts w:ascii="Arial" w:cs="Arial" w:eastAsia="Arial" w:hAnsi="Arial"/>
                <w:sz w:val="18"/>
                <w:szCs w:val="18"/>
                <w:color w:val="auto"/>
                <w:w w:val="99"/>
              </w:rPr>
              <w:t>Brent Pfeiffenberger, PharmD, MBA</w:t>
            </w:r>
          </w:p>
        </w:tc>
      </w:tr>
      <w:tr>
        <w:trPr>
          <w:trHeight w:val="203"/>
        </w:trPr>
        <w:tc>
          <w:tcPr>
            <w:tcW w:w="3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120" w:type="dxa"/>
            <w:vAlign w:val="bottom"/>
          </w:tcPr>
          <w:p>
            <w:pPr>
              <w:jc w:val="center"/>
              <w:spacing w:after="0" w:line="202" w:lineRule="exact"/>
              <w:rPr>
                <w:sz w:val="20"/>
                <w:szCs w:val="20"/>
                <w:color w:val="auto"/>
              </w:rPr>
            </w:pPr>
            <w:r>
              <w:rPr>
                <w:rFonts w:ascii="Arial" w:cs="Arial" w:eastAsia="Arial" w:hAnsi="Arial"/>
                <w:sz w:val="18"/>
                <w:szCs w:val="18"/>
                <w:color w:val="auto"/>
                <w:w w:val="99"/>
              </w:rPr>
              <w:t>Chief Executive Officer</w:t>
            </w:r>
          </w:p>
        </w:tc>
      </w:tr>
      <w:tr>
        <w:trPr>
          <w:trHeight w:val="239"/>
        </w:trPr>
        <w:tc>
          <w:tcPr>
            <w:tcW w:w="3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r>
      <w:tr>
        <w:trPr>
          <w:trHeight w:val="400"/>
        </w:trPr>
        <w:tc>
          <w:tcPr>
            <w:tcW w:w="3260" w:type="dxa"/>
            <w:vAlign w:val="bottom"/>
          </w:tcPr>
          <w:p>
            <w:pPr>
              <w:spacing w:after="0"/>
              <w:rPr>
                <w:sz w:val="20"/>
                <w:szCs w:val="20"/>
                <w:color w:val="auto"/>
              </w:rPr>
            </w:pPr>
            <w:r>
              <w:rPr>
                <w:rFonts w:ascii="Arial" w:cs="Arial" w:eastAsia="Arial" w:hAnsi="Arial"/>
                <w:sz w:val="18"/>
                <w:szCs w:val="18"/>
                <w:color w:val="auto"/>
              </w:rPr>
              <w:t>Date: November 13, 2025</w:t>
            </w:r>
          </w:p>
        </w:tc>
        <w:tc>
          <w:tcPr>
            <w:tcW w:w="1520" w:type="dxa"/>
            <w:vAlign w:val="bottom"/>
          </w:tcPr>
          <w:p>
            <w:pPr>
              <w:ind w:left="1200"/>
              <w:spacing w:after="0"/>
              <w:rPr>
                <w:sz w:val="20"/>
                <w:szCs w:val="20"/>
                <w:color w:val="auto"/>
              </w:rPr>
            </w:pPr>
            <w:r>
              <w:rPr>
                <w:rFonts w:ascii="Arial" w:cs="Arial" w:eastAsia="Arial" w:hAnsi="Arial"/>
                <w:sz w:val="18"/>
                <w:szCs w:val="18"/>
                <w:color w:val="auto"/>
              </w:rPr>
              <w:t>By:</w:t>
            </w:r>
          </w:p>
        </w:tc>
        <w:tc>
          <w:tcPr>
            <w:tcW w:w="4120" w:type="dxa"/>
            <w:vAlign w:val="bottom"/>
          </w:tcPr>
          <w:p>
            <w:pPr>
              <w:jc w:val="center"/>
              <w:spacing w:after="0"/>
              <w:rPr>
                <w:sz w:val="20"/>
                <w:szCs w:val="20"/>
                <w:color w:val="auto"/>
              </w:rPr>
            </w:pPr>
            <w:r>
              <w:rPr>
                <w:rFonts w:ascii="Arial" w:cs="Arial" w:eastAsia="Arial" w:hAnsi="Arial"/>
                <w:sz w:val="18"/>
                <w:szCs w:val="18"/>
                <w:color w:val="auto"/>
                <w:w w:val="98"/>
              </w:rPr>
              <w:t>/s/ Douglas Carr, CPA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-7620</wp:posOffset>
            </wp:positionV>
            <wp:extent cx="26149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jc w:val="center"/>
        <w:ind w:left="4760"/>
        <w:spacing w:after="0" w:line="234" w:lineRule="auto"/>
        <w:rPr>
          <w:sz w:val="20"/>
          <w:szCs w:val="20"/>
          <w:color w:val="auto"/>
        </w:rPr>
      </w:pPr>
      <w:r>
        <w:rPr>
          <w:rFonts w:ascii="Arial" w:cs="Arial" w:eastAsia="Arial" w:hAnsi="Arial"/>
          <w:sz w:val="18"/>
          <w:szCs w:val="18"/>
          <w:color w:val="auto"/>
        </w:rPr>
        <w:t>Douglas Carr, CPA</w:t>
      </w:r>
    </w:p>
    <w:p>
      <w:pPr>
        <w:jc w:val="center"/>
        <w:ind w:left="4760"/>
        <w:spacing w:after="0" w:line="235" w:lineRule="auto"/>
        <w:rPr>
          <w:sz w:val="20"/>
          <w:szCs w:val="20"/>
          <w:color w:val="auto"/>
        </w:rPr>
      </w:pPr>
      <w:r>
        <w:rPr>
          <w:rFonts w:ascii="Arial" w:cs="Arial" w:eastAsia="Arial" w:hAnsi="Arial"/>
          <w:sz w:val="18"/>
          <w:szCs w:val="18"/>
          <w:color w:val="auto"/>
        </w:rPr>
        <w:t>Senior Vice President, Finance</w:t>
      </w:r>
    </w:p>
    <w:p>
      <w:pPr>
        <w:jc w:val="center"/>
        <w:ind w:left="4760"/>
        <w:spacing w:after="0" w:line="235" w:lineRule="auto"/>
        <w:rPr>
          <w:sz w:val="20"/>
          <w:szCs w:val="20"/>
          <w:color w:val="auto"/>
        </w:rPr>
      </w:pPr>
      <w:r>
        <w:rPr>
          <w:rFonts w:ascii="Arial" w:cs="Arial" w:eastAsia="Arial" w:hAnsi="Arial"/>
          <w:sz w:val="18"/>
          <w:szCs w:val="18"/>
          <w:color w:val="auto"/>
        </w:rPr>
        <w:t>(Principal Financial Officer and Principal</w:t>
      </w:r>
    </w:p>
    <w:p>
      <w:pPr>
        <w:jc w:val="center"/>
        <w:ind w:left="476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Brent Pfeiffenberger, certify that:</w:t>
      </w:r>
    </w:p>
    <w:p>
      <w:pPr>
        <w:spacing w:after="0" w:line="117" w:lineRule="exact"/>
        <w:rPr>
          <w:sz w:val="20"/>
          <w:szCs w:val="20"/>
          <w:color w:val="auto"/>
        </w:rPr>
      </w:pPr>
    </w:p>
    <w:p>
      <w:pPr>
        <w:ind w:left="880" w:hanging="440"/>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Century Therapeutics, Inc.;</w:t>
      </w:r>
    </w:p>
    <w:p>
      <w:pPr>
        <w:spacing w:after="0" w:line="11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880" w:right="20" w:hanging="440"/>
        <w:spacing w:after="0" w:line="266"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740" w:hanging="436"/>
        <w:spacing w:after="0" w:line="282" w:lineRule="auto"/>
        <w:tabs>
          <w:tab w:leader="none" w:pos="17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Brent Pfeiffenberger, PharmD,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Brent Pfeiffenberger, PharmD, MBA</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Carr, certify that:</w:t>
      </w:r>
    </w:p>
    <w:p>
      <w:pPr>
        <w:spacing w:after="0" w:line="117" w:lineRule="exact"/>
        <w:rPr>
          <w:sz w:val="20"/>
          <w:szCs w:val="20"/>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Century Therapeutics, Inc.;</w:t>
      </w:r>
    </w:p>
    <w:p>
      <w:pPr>
        <w:spacing w:after="0" w:line="11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880" w:right="20" w:hanging="440"/>
        <w:spacing w:after="0" w:line="266"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1" w:lineRule="auto"/>
        <w:tabs>
          <w:tab w:leader="none" w:pos="1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1740" w:hanging="436"/>
        <w:spacing w:after="0" w:line="266" w:lineRule="auto"/>
        <w:tabs>
          <w:tab w:leader="none" w:pos="1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740" w:hanging="436"/>
        <w:spacing w:after="0" w:line="282" w:lineRule="auto"/>
        <w:tabs>
          <w:tab w:leader="none" w:pos="1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Douglas Carr,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Douglas Carr. CPA</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Senior Vice President, Finance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Century Therapeutics, Inc. (the “Company”) on Form 10-Q for the quarter ended September 30, 2025,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0" w:lineRule="exact"/>
        <w:rPr>
          <w:sz w:val="20"/>
          <w:szCs w:val="20"/>
          <w:color w:val="auto"/>
        </w:rPr>
      </w:pPr>
    </w:p>
    <w:p>
      <w:pPr>
        <w:ind w:left="880" w:hanging="440"/>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Brent Pfeiffenberger, PharmD,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Brent Pfeiffenberger, PharmD, MBA</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Century Therapeutics, Inc. (the “Company”) on Form 10-Q for the quarter ended September 30, 2025,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0" w:lineRule="exact"/>
        <w:rPr>
          <w:sz w:val="20"/>
          <w:szCs w:val="20"/>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2025</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Douglas Carr,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Douglas Carr, CPA</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Senior Vice President, Finance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04"/>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2025-11-13T06:49:58Z</dcterms:created>
  <dcterms:modified xsi:type="dcterms:W3CDTF">2025-11-13T06:49:58Z</dcterms:modified>
</cp:coreProperties>
</file>