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1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1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15673T100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April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9" w:lineRule="exact"/>
        <w:rPr>
          <w:sz w:val="24"/>
          <w:szCs w:val="24"/>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13d-1(b)</w:t>
      </w:r>
    </w:p>
    <w:p>
      <w:pPr>
        <w:spacing w:after="0" w:line="219" w:lineRule="exact"/>
        <w:rPr>
          <w:rFonts w:ascii="MS PGothic" w:cs="MS PGothic" w:eastAsia="MS PGothic" w:hAnsi="MS PGothic"/>
          <w:sz w:val="22"/>
          <w:szCs w:val="22"/>
          <w:color w:val="auto"/>
        </w:rPr>
      </w:pPr>
    </w:p>
    <w:p>
      <w:pPr>
        <w:ind w:left="5140" w:hanging="240"/>
        <w:spacing w:after="0"/>
        <w:tabs>
          <w:tab w:leader="none" w:pos="5140" w:val="left"/>
        </w:tabs>
        <w:numPr>
          <w:ilvl w:val="2"/>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13d-1(c)</w:t>
      </w:r>
    </w:p>
    <w:p>
      <w:pPr>
        <w:spacing w:after="0" w:line="219" w:lineRule="exact"/>
        <w:rPr>
          <w:rFonts w:ascii="MS PGothic" w:cs="MS PGothic" w:eastAsia="MS PGothic" w:hAnsi="MS PGothic"/>
          <w:sz w:val="22"/>
          <w:szCs w:val="22"/>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06" w:lineRule="exact"/>
        <w:rPr>
          <w:rFonts w:ascii="MS PGothic" w:cs="MS PGothic" w:eastAsia="MS PGothic" w:hAnsi="MS PGothic"/>
          <w:sz w:val="22"/>
          <w:szCs w:val="22"/>
          <w:color w:val="auto"/>
        </w:rPr>
      </w:pPr>
    </w:p>
    <w:p>
      <w:pPr>
        <w:ind w:right="60"/>
        <w:spacing w:after="0" w:line="244" w:lineRule="auto"/>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3"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220" w:type="dxa"/>
            <w:vAlign w:val="bottom"/>
            <w:tcBorders>
              <w:top w:val="single" w:sz="8" w:color="auto"/>
              <w:left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15673T100</w:t>
            </w:r>
          </w:p>
        </w:tc>
        <w:tc>
          <w:tcPr>
            <w:tcW w:w="4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right w:val="single" w:sz="8" w:color="auto"/>
            </w:tcBorders>
          </w:tcPr>
          <w:p>
            <w:pPr>
              <w:spacing w:after="0"/>
              <w:rPr>
                <w:sz w:val="19"/>
                <w:szCs w:val="19"/>
                <w:color w:val="auto"/>
              </w:rPr>
            </w:pPr>
          </w:p>
        </w:tc>
        <w:tc>
          <w:tcPr>
            <w:tcW w:w="740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Boxer Capital,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2320" w:type="dxa"/>
            <w:vAlign w:val="bottom"/>
            <w:tcBorders>
              <w:bottom w:val="single" w:sz="8" w:color="auto"/>
            </w:tcBorders>
            <w:gridSpan w:val="5"/>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000" w:type="dxa"/>
            <w:vAlign w:val="bottom"/>
            <w:tcBorders>
              <w:right w:val="single" w:sz="8" w:color="BFBFBF"/>
            </w:tcBorders>
            <w:shd w:val="clear" w:color="auto" w:fill="BFBFBF"/>
          </w:tcPr>
          <w:p>
            <w:pPr>
              <w:spacing w:after="0"/>
              <w:rPr>
                <w:sz w:val="20"/>
                <w:szCs w:val="20"/>
                <w:color w:val="auto"/>
              </w:rPr>
            </w:pPr>
          </w:p>
        </w:tc>
        <w:tc>
          <w:tcPr>
            <w:tcW w:w="74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00" w:type="dxa"/>
            <w:vAlign w:val="bottom"/>
            <w:tcBorders>
              <w:right w:val="single" w:sz="8" w:color="BFBFBF"/>
            </w:tcBorders>
            <w:shd w:val="clear" w:color="auto" w:fill="BFBFBF"/>
          </w:tcPr>
          <w:p>
            <w:pPr>
              <w:spacing w:after="0"/>
              <w:rPr>
                <w:sz w:val="24"/>
                <w:szCs w:val="24"/>
                <w:color w:val="auto"/>
              </w:rPr>
            </w:pPr>
          </w:p>
        </w:tc>
        <w:tc>
          <w:tcPr>
            <w:tcW w:w="74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1000" w:type="dxa"/>
            <w:vAlign w:val="bottom"/>
            <w:tcBorders>
              <w:bottom w:val="single" w:sz="8" w:color="auto"/>
              <w:right w:val="single" w:sz="8" w:color="BFBFBF"/>
            </w:tcBorders>
            <w:shd w:val="clear" w:color="auto" w:fill="BFBFBF"/>
          </w:tcPr>
          <w:p>
            <w:pPr>
              <w:spacing w:after="0"/>
              <w:rPr>
                <w:sz w:val="23"/>
                <w:szCs w:val="23"/>
                <w:color w:val="auto"/>
              </w:rPr>
            </w:pPr>
          </w:p>
        </w:tc>
        <w:tc>
          <w:tcPr>
            <w:tcW w:w="74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4,901,603</w:t>
            </w:r>
          </w:p>
        </w:tc>
        <w:tc>
          <w:tcPr>
            <w:tcW w:w="7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74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74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4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4,901,603</w:t>
            </w: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1020" w:type="dxa"/>
            <w:vAlign w:val="bottom"/>
            <w:tcBorders>
              <w:bottom w:val="single" w:sz="8" w:color="auto"/>
            </w:tcBorders>
            <w:gridSpan w:val="2"/>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4,901,603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20" w:type="dxa"/>
            <w:vAlign w:val="bottom"/>
            <w:tcBorders>
              <w:bottom w:val="single" w:sz="8" w:color="auto"/>
            </w:tcBorders>
            <w:gridSpan w:val="2"/>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1020" w:type="dxa"/>
            <w:vAlign w:val="bottom"/>
            <w:tcBorders>
              <w:bottom w:val="single" w:sz="8" w:color="auto"/>
            </w:tcBorders>
            <w:gridSpan w:val="2"/>
          </w:tcPr>
          <w:p>
            <w:pPr>
              <w:spacing w:after="0"/>
              <w:rPr>
                <w:sz w:val="11"/>
                <w:szCs w:val="11"/>
                <w:color w:val="auto"/>
              </w:rPr>
            </w:pPr>
          </w:p>
        </w:tc>
        <w:tc>
          <w:tcPr>
            <w:tcW w:w="74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20" w:type="dxa"/>
            <w:vAlign w:val="bottom"/>
            <w:tcBorders>
              <w:bottom w:val="single" w:sz="8" w:color="auto"/>
            </w:tcBorders>
            <w:gridSpan w:val="2"/>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2"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20" w:type="dxa"/>
            <w:vAlign w:val="bottom"/>
            <w:tcBorders>
              <w:top w:val="single" w:sz="8" w:color="auto"/>
              <w:left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15673T100</w:t>
            </w:r>
          </w:p>
        </w:tc>
        <w:tc>
          <w:tcPr>
            <w:tcW w:w="4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right w:val="single" w:sz="8" w:color="auto"/>
            </w:tcBorders>
          </w:tcPr>
          <w:p>
            <w:pPr>
              <w:spacing w:after="0"/>
              <w:rPr>
                <w:sz w:val="19"/>
                <w:szCs w:val="19"/>
                <w:color w:val="auto"/>
              </w:rPr>
            </w:pPr>
          </w:p>
        </w:tc>
        <w:tc>
          <w:tcPr>
            <w:tcW w:w="740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Boxer Asset Management Inc.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2320" w:type="dxa"/>
            <w:vAlign w:val="bottom"/>
            <w:tcBorders>
              <w:bottom w:val="single" w:sz="8" w:color="auto"/>
            </w:tcBorders>
            <w:gridSpan w:val="5"/>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000" w:type="dxa"/>
            <w:vAlign w:val="bottom"/>
            <w:tcBorders>
              <w:right w:val="single" w:sz="8" w:color="BFBFBF"/>
            </w:tcBorders>
            <w:shd w:val="clear" w:color="auto" w:fill="BFBFBF"/>
          </w:tcPr>
          <w:p>
            <w:pPr>
              <w:spacing w:after="0"/>
              <w:rPr>
                <w:sz w:val="20"/>
                <w:szCs w:val="20"/>
                <w:color w:val="auto"/>
              </w:rPr>
            </w:pPr>
          </w:p>
        </w:tc>
        <w:tc>
          <w:tcPr>
            <w:tcW w:w="74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00" w:type="dxa"/>
            <w:vAlign w:val="bottom"/>
            <w:tcBorders>
              <w:right w:val="single" w:sz="8" w:color="BFBFBF"/>
            </w:tcBorders>
            <w:shd w:val="clear" w:color="auto" w:fill="BFBFBF"/>
          </w:tcPr>
          <w:p>
            <w:pPr>
              <w:spacing w:after="0"/>
              <w:rPr>
                <w:sz w:val="24"/>
                <w:szCs w:val="24"/>
                <w:color w:val="auto"/>
              </w:rPr>
            </w:pPr>
          </w:p>
        </w:tc>
        <w:tc>
          <w:tcPr>
            <w:tcW w:w="74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1000" w:type="dxa"/>
            <w:vAlign w:val="bottom"/>
            <w:tcBorders>
              <w:bottom w:val="single" w:sz="8" w:color="auto"/>
              <w:right w:val="single" w:sz="8" w:color="BFBFBF"/>
            </w:tcBorders>
            <w:shd w:val="clear" w:color="auto" w:fill="BFBFBF"/>
          </w:tcPr>
          <w:p>
            <w:pPr>
              <w:spacing w:after="0"/>
              <w:rPr>
                <w:sz w:val="23"/>
                <w:szCs w:val="23"/>
                <w:color w:val="auto"/>
              </w:rPr>
            </w:pPr>
          </w:p>
        </w:tc>
        <w:tc>
          <w:tcPr>
            <w:tcW w:w="74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Bahamas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4,901,603</w:t>
            </w:r>
          </w:p>
        </w:tc>
        <w:tc>
          <w:tcPr>
            <w:tcW w:w="7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74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74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4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4,901,603</w:t>
            </w: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1020" w:type="dxa"/>
            <w:vAlign w:val="bottom"/>
            <w:tcBorders>
              <w:bottom w:val="single" w:sz="8" w:color="auto"/>
            </w:tcBorders>
            <w:gridSpan w:val="2"/>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4,901,603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20" w:type="dxa"/>
            <w:vAlign w:val="bottom"/>
            <w:tcBorders>
              <w:bottom w:val="single" w:sz="8" w:color="auto"/>
            </w:tcBorders>
            <w:gridSpan w:val="2"/>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1020" w:type="dxa"/>
            <w:vAlign w:val="bottom"/>
            <w:tcBorders>
              <w:bottom w:val="single" w:sz="8" w:color="auto"/>
            </w:tcBorders>
            <w:gridSpan w:val="2"/>
          </w:tcPr>
          <w:p>
            <w:pPr>
              <w:spacing w:after="0"/>
              <w:rPr>
                <w:sz w:val="11"/>
                <w:szCs w:val="11"/>
                <w:color w:val="auto"/>
              </w:rPr>
            </w:pPr>
          </w:p>
        </w:tc>
        <w:tc>
          <w:tcPr>
            <w:tcW w:w="74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20" w:type="dxa"/>
            <w:vAlign w:val="bottom"/>
            <w:tcBorders>
              <w:bottom w:val="single" w:sz="8" w:color="auto"/>
            </w:tcBorders>
            <w:gridSpan w:val="2"/>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20" w:type="dxa"/>
            <w:vAlign w:val="bottom"/>
            <w:tcBorders>
              <w:top w:val="single" w:sz="8" w:color="auto"/>
              <w:left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15673T100</w:t>
            </w:r>
          </w:p>
        </w:tc>
        <w:tc>
          <w:tcPr>
            <w:tcW w:w="4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right w:val="single" w:sz="8" w:color="auto"/>
            </w:tcBorders>
          </w:tcPr>
          <w:p>
            <w:pPr>
              <w:spacing w:after="0"/>
              <w:rPr>
                <w:sz w:val="19"/>
                <w:szCs w:val="19"/>
                <w:color w:val="auto"/>
              </w:rPr>
            </w:pPr>
          </w:p>
        </w:tc>
        <w:tc>
          <w:tcPr>
            <w:tcW w:w="740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Joe Lewis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2320" w:type="dxa"/>
            <w:vAlign w:val="bottom"/>
            <w:tcBorders>
              <w:bottom w:val="single" w:sz="8" w:color="auto"/>
            </w:tcBorders>
            <w:gridSpan w:val="5"/>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000" w:type="dxa"/>
            <w:vAlign w:val="bottom"/>
            <w:tcBorders>
              <w:right w:val="single" w:sz="8" w:color="BFBFBF"/>
            </w:tcBorders>
            <w:shd w:val="clear" w:color="auto" w:fill="BFBFBF"/>
          </w:tcPr>
          <w:p>
            <w:pPr>
              <w:spacing w:after="0"/>
              <w:rPr>
                <w:sz w:val="20"/>
                <w:szCs w:val="20"/>
                <w:color w:val="auto"/>
              </w:rPr>
            </w:pPr>
          </w:p>
        </w:tc>
        <w:tc>
          <w:tcPr>
            <w:tcW w:w="74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00" w:type="dxa"/>
            <w:vAlign w:val="bottom"/>
            <w:tcBorders>
              <w:right w:val="single" w:sz="8" w:color="BFBFBF"/>
            </w:tcBorders>
            <w:shd w:val="clear" w:color="auto" w:fill="BFBFBF"/>
          </w:tcPr>
          <w:p>
            <w:pPr>
              <w:spacing w:after="0"/>
              <w:rPr>
                <w:sz w:val="24"/>
                <w:szCs w:val="24"/>
                <w:color w:val="auto"/>
              </w:rPr>
            </w:pPr>
          </w:p>
        </w:tc>
        <w:tc>
          <w:tcPr>
            <w:tcW w:w="74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1000" w:type="dxa"/>
            <w:vAlign w:val="bottom"/>
            <w:tcBorders>
              <w:bottom w:val="single" w:sz="8" w:color="auto"/>
              <w:right w:val="single" w:sz="8" w:color="BFBFBF"/>
            </w:tcBorders>
            <w:shd w:val="clear" w:color="auto" w:fill="BFBFBF"/>
          </w:tcPr>
          <w:p>
            <w:pPr>
              <w:spacing w:after="0"/>
              <w:rPr>
                <w:sz w:val="23"/>
                <w:szCs w:val="23"/>
                <w:color w:val="auto"/>
              </w:rPr>
            </w:pPr>
          </w:p>
        </w:tc>
        <w:tc>
          <w:tcPr>
            <w:tcW w:w="74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4,901,603</w:t>
            </w:r>
          </w:p>
        </w:tc>
        <w:tc>
          <w:tcPr>
            <w:tcW w:w="7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74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74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4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4,901,603</w:t>
            </w: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1020" w:type="dxa"/>
            <w:vAlign w:val="bottom"/>
            <w:tcBorders>
              <w:bottom w:val="single" w:sz="8" w:color="auto"/>
            </w:tcBorders>
            <w:gridSpan w:val="2"/>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4,901,603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20" w:type="dxa"/>
            <w:vAlign w:val="bottom"/>
            <w:tcBorders>
              <w:bottom w:val="single" w:sz="8" w:color="auto"/>
            </w:tcBorders>
            <w:gridSpan w:val="2"/>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1020" w:type="dxa"/>
            <w:vAlign w:val="bottom"/>
            <w:tcBorders>
              <w:bottom w:val="single" w:sz="8" w:color="auto"/>
            </w:tcBorders>
            <w:gridSpan w:val="2"/>
          </w:tcPr>
          <w:p>
            <w:pPr>
              <w:spacing w:after="0"/>
              <w:rPr>
                <w:sz w:val="11"/>
                <w:szCs w:val="11"/>
                <w:color w:val="auto"/>
              </w:rPr>
            </w:pPr>
          </w:p>
        </w:tc>
        <w:tc>
          <w:tcPr>
            <w:tcW w:w="74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20" w:type="dxa"/>
            <w:vAlign w:val="bottom"/>
            <w:tcBorders>
              <w:bottom w:val="single" w:sz="8" w:color="auto"/>
            </w:tcBorders>
            <w:gridSpan w:val="2"/>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2"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00" w:type="dxa"/>
            <w:vAlign w:val="bottom"/>
            <w:tcBorders>
              <w:top w:val="single" w:sz="8" w:color="auto"/>
              <w:left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15673T100</w:t>
            </w:r>
          </w:p>
        </w:tc>
        <w:tc>
          <w:tcPr>
            <w:tcW w:w="5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right w:val="single" w:sz="8" w:color="auto"/>
            </w:tcBorders>
          </w:tcPr>
          <w:p>
            <w:pPr>
              <w:spacing w:after="0"/>
              <w:rPr>
                <w:sz w:val="19"/>
                <w:szCs w:val="19"/>
                <w:color w:val="auto"/>
              </w:rPr>
            </w:pPr>
          </w:p>
        </w:tc>
        <w:tc>
          <w:tcPr>
            <w:tcW w:w="740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MVA Investors,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2320" w:type="dxa"/>
            <w:vAlign w:val="bottom"/>
            <w:tcBorders>
              <w:bottom w:val="single" w:sz="8" w:color="auto"/>
            </w:tcBorders>
            <w:gridSpan w:val="5"/>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000" w:type="dxa"/>
            <w:vAlign w:val="bottom"/>
            <w:tcBorders>
              <w:right w:val="single" w:sz="8" w:color="BFBFBF"/>
            </w:tcBorders>
            <w:shd w:val="clear" w:color="auto" w:fill="BFBFBF"/>
          </w:tcPr>
          <w:p>
            <w:pPr>
              <w:spacing w:after="0"/>
              <w:rPr>
                <w:sz w:val="20"/>
                <w:szCs w:val="20"/>
                <w:color w:val="auto"/>
              </w:rPr>
            </w:pPr>
          </w:p>
        </w:tc>
        <w:tc>
          <w:tcPr>
            <w:tcW w:w="74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00" w:type="dxa"/>
            <w:vAlign w:val="bottom"/>
            <w:tcBorders>
              <w:right w:val="single" w:sz="8" w:color="BFBFBF"/>
            </w:tcBorders>
            <w:shd w:val="clear" w:color="auto" w:fill="BFBFBF"/>
          </w:tcPr>
          <w:p>
            <w:pPr>
              <w:spacing w:after="0"/>
              <w:rPr>
                <w:sz w:val="24"/>
                <w:szCs w:val="24"/>
                <w:color w:val="auto"/>
              </w:rPr>
            </w:pPr>
          </w:p>
        </w:tc>
        <w:tc>
          <w:tcPr>
            <w:tcW w:w="74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1000" w:type="dxa"/>
            <w:vAlign w:val="bottom"/>
            <w:tcBorders>
              <w:bottom w:val="single" w:sz="8" w:color="auto"/>
              <w:right w:val="single" w:sz="8" w:color="BFBFBF"/>
            </w:tcBorders>
            <w:shd w:val="clear" w:color="auto" w:fill="BFBFBF"/>
          </w:tcPr>
          <w:p>
            <w:pPr>
              <w:spacing w:after="0"/>
              <w:rPr>
                <w:sz w:val="23"/>
                <w:szCs w:val="23"/>
                <w:color w:val="auto"/>
              </w:rPr>
            </w:pPr>
          </w:p>
        </w:tc>
        <w:tc>
          <w:tcPr>
            <w:tcW w:w="74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178,574</w:t>
            </w:r>
          </w:p>
        </w:tc>
        <w:tc>
          <w:tcPr>
            <w:tcW w:w="7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74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74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4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178,574</w:t>
            </w: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1020" w:type="dxa"/>
            <w:vAlign w:val="bottom"/>
            <w:tcBorders>
              <w:bottom w:val="single" w:sz="8" w:color="auto"/>
            </w:tcBorders>
            <w:gridSpan w:val="2"/>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178,574</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20" w:type="dxa"/>
            <w:vAlign w:val="bottom"/>
            <w:tcBorders>
              <w:bottom w:val="single" w:sz="8" w:color="auto"/>
            </w:tcBorders>
            <w:gridSpan w:val="2"/>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1020" w:type="dxa"/>
            <w:vAlign w:val="bottom"/>
            <w:tcBorders>
              <w:bottom w:val="single" w:sz="8" w:color="auto"/>
            </w:tcBorders>
            <w:gridSpan w:val="2"/>
          </w:tcPr>
          <w:p>
            <w:pPr>
              <w:spacing w:after="0"/>
              <w:rPr>
                <w:sz w:val="11"/>
                <w:szCs w:val="11"/>
                <w:color w:val="auto"/>
              </w:rPr>
            </w:pPr>
          </w:p>
        </w:tc>
        <w:tc>
          <w:tcPr>
            <w:tcW w:w="74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20" w:type="dxa"/>
            <w:vAlign w:val="bottom"/>
            <w:tcBorders>
              <w:bottom w:val="single" w:sz="8" w:color="auto"/>
            </w:tcBorders>
            <w:gridSpan w:val="2"/>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2"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tcBorders>
              <w:top w:val="single" w:sz="8" w:color="auto"/>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15673T100</w:t>
            </w:r>
          </w:p>
        </w:tc>
        <w:tc>
          <w:tcPr>
            <w:tcW w:w="6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right w:val="single" w:sz="8" w:color="auto"/>
            </w:tcBorders>
          </w:tcPr>
          <w:p>
            <w:pPr>
              <w:spacing w:after="0"/>
              <w:rPr>
                <w:sz w:val="19"/>
                <w:szCs w:val="19"/>
                <w:color w:val="auto"/>
              </w:rPr>
            </w:pPr>
          </w:p>
        </w:tc>
        <w:tc>
          <w:tcPr>
            <w:tcW w:w="740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Aaron I. Davis</w:t>
            </w: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2320" w:type="dxa"/>
            <w:vAlign w:val="bottom"/>
            <w:tcBorders>
              <w:bottom w:val="single" w:sz="8" w:color="auto"/>
            </w:tcBorders>
            <w:gridSpan w:val="4"/>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000" w:type="dxa"/>
            <w:vAlign w:val="bottom"/>
            <w:tcBorders>
              <w:right w:val="single" w:sz="8" w:color="BFBFBF"/>
            </w:tcBorders>
            <w:shd w:val="clear" w:color="auto" w:fill="BFBFBF"/>
          </w:tcPr>
          <w:p>
            <w:pPr>
              <w:spacing w:after="0"/>
              <w:rPr>
                <w:sz w:val="20"/>
                <w:szCs w:val="20"/>
                <w:color w:val="auto"/>
              </w:rPr>
            </w:pPr>
          </w:p>
        </w:tc>
        <w:tc>
          <w:tcPr>
            <w:tcW w:w="74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00" w:type="dxa"/>
            <w:vAlign w:val="bottom"/>
            <w:tcBorders>
              <w:right w:val="single" w:sz="8" w:color="BFBFBF"/>
            </w:tcBorders>
            <w:shd w:val="clear" w:color="auto" w:fill="BFBFBF"/>
          </w:tcPr>
          <w:p>
            <w:pPr>
              <w:spacing w:after="0"/>
              <w:rPr>
                <w:sz w:val="24"/>
                <w:szCs w:val="24"/>
                <w:color w:val="auto"/>
              </w:rPr>
            </w:pPr>
          </w:p>
        </w:tc>
        <w:tc>
          <w:tcPr>
            <w:tcW w:w="74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1000" w:type="dxa"/>
            <w:vAlign w:val="bottom"/>
            <w:tcBorders>
              <w:bottom w:val="single" w:sz="8" w:color="auto"/>
              <w:right w:val="single" w:sz="8" w:color="BFBFBF"/>
            </w:tcBorders>
            <w:shd w:val="clear" w:color="auto" w:fill="BFBFBF"/>
          </w:tcPr>
          <w:p>
            <w:pPr>
              <w:spacing w:after="0"/>
              <w:rPr>
                <w:sz w:val="23"/>
                <w:szCs w:val="23"/>
                <w:color w:val="auto"/>
              </w:rPr>
            </w:pPr>
          </w:p>
        </w:tc>
        <w:tc>
          <w:tcPr>
            <w:tcW w:w="74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178,574</w:t>
            </w:r>
          </w:p>
        </w:tc>
        <w:tc>
          <w:tcPr>
            <w:tcW w:w="7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74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74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4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178,574</w:t>
            </w: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tcBorders>
            <w:gridSpan w:val="2"/>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178,574</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spacing w:after="0"/>
              <w:rPr>
                <w:sz w:val="11"/>
                <w:szCs w:val="11"/>
                <w:color w:val="auto"/>
              </w:rPr>
            </w:pPr>
          </w:p>
        </w:tc>
        <w:tc>
          <w:tcPr>
            <w:tcW w:w="74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4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2"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(a)</w:t>
            </w: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392"/>
        </w:trPr>
        <w:tc>
          <w:tcPr>
            <w:tcW w:w="1100" w:type="dxa"/>
            <w:vAlign w:val="bottom"/>
          </w:tcPr>
          <w:p>
            <w:pPr>
              <w:spacing w:after="0"/>
              <w:rPr>
                <w:sz w:val="24"/>
                <w:szCs w:val="24"/>
                <w:color w:val="auto"/>
              </w:rPr>
            </w:pP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rPr>
              <w:t>The name of the issuer is Century Therapeutics, Inc. (the “Issuer”).</w:t>
            </w: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(b)</w:t>
            </w:r>
          </w:p>
        </w:tc>
        <w:tc>
          <w:tcPr>
            <w:tcW w:w="44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c>
          <w:tcPr>
            <w:tcW w:w="440" w:type="dxa"/>
            <w:vAlign w:val="bottom"/>
            <w:tcBorders>
              <w:top w:val="single" w:sz="8" w:color="auto"/>
            </w:tcBorders>
            <w:gridSpan w:val="3"/>
          </w:tcPr>
          <w:p>
            <w:pPr>
              <w:spacing w:after="0"/>
              <w:rPr>
                <w:sz w:val="24"/>
                <w:szCs w:val="24"/>
                <w:color w:val="auto"/>
              </w:rPr>
            </w:pPr>
          </w:p>
        </w:tc>
        <w:tc>
          <w:tcPr>
            <w:tcW w:w="5240" w:type="dxa"/>
            <w:vAlign w:val="bottom"/>
            <w:gridSpan w:val="6"/>
          </w:tcPr>
          <w:p>
            <w:pPr>
              <w:spacing w:after="0"/>
              <w:rPr>
                <w:sz w:val="24"/>
                <w:szCs w:val="24"/>
                <w:color w:val="auto"/>
              </w:rPr>
            </w:pPr>
          </w:p>
        </w:tc>
      </w:tr>
      <w:tr>
        <w:trPr>
          <w:trHeight w:val="582"/>
        </w:trPr>
        <w:tc>
          <w:tcPr>
            <w:tcW w:w="1100" w:type="dxa"/>
            <w:vAlign w:val="bottom"/>
          </w:tcPr>
          <w:p>
            <w:pPr>
              <w:spacing w:after="0"/>
              <w:rPr>
                <w:sz w:val="24"/>
                <w:szCs w:val="24"/>
                <w:color w:val="auto"/>
              </w:rPr>
            </w:pP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rPr>
              <w:t>The Issuer’s principal executive offices are located at 25 North 38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Philadelphia, PA 19104.</w:t>
            </w: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 (a)</w:t>
            </w: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405"/>
        </w:trPr>
        <w:tc>
          <w:tcPr>
            <w:tcW w:w="1100" w:type="dxa"/>
            <w:vAlign w:val="bottom"/>
          </w:tcPr>
          <w:p>
            <w:pPr>
              <w:spacing w:after="0"/>
              <w:rPr>
                <w:sz w:val="24"/>
                <w:szCs w:val="24"/>
                <w:color w:val="auto"/>
              </w:rPr>
            </w:pP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rPr>
              <w:t>This Schedule 13G is jointly filed by Boxer Capital, LLC (“Boxer Capital”), Boxer Asset Management Inc. (“Boxer Management”), Joe</w:t>
            </w:r>
          </w:p>
        </w:tc>
      </w:tr>
      <w:tr>
        <w:trPr>
          <w:trHeight w:val="20"/>
        </w:trPr>
        <w:tc>
          <w:tcPr>
            <w:tcW w:w="1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3"/>
          </w:tcPr>
          <w:p>
            <w:pPr>
              <w:ind w:left="240"/>
              <w:spacing w:after="0" w:line="196" w:lineRule="exact"/>
              <w:rPr>
                <w:sz w:val="20"/>
                <w:szCs w:val="20"/>
                <w:color w:val="auto"/>
              </w:rPr>
            </w:pPr>
            <w:r>
              <w:rPr>
                <w:rFonts w:ascii="Times New Roman" w:cs="Times New Roman" w:eastAsia="Times New Roman" w:hAnsi="Times New Roman"/>
                <w:sz w:val="18"/>
                <w:szCs w:val="18"/>
                <w:color w:val="auto"/>
              </w:rPr>
              <w:t>Lewis, MVA Investors, LLC (“MVA Investors”) and Aaron I. Davis (collectively, the “Reporting Persons”). Boxer Management is the</w:t>
            </w:r>
          </w:p>
        </w:tc>
      </w:tr>
      <w:tr>
        <w:trPr>
          <w:trHeight w:val="20"/>
        </w:trPr>
        <w:tc>
          <w:tcPr>
            <w:tcW w:w="1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r>
      <w:tr>
        <w:trPr>
          <w:trHeight w:val="218"/>
        </w:trPr>
        <w:tc>
          <w:tcPr>
            <w:tcW w:w="1100" w:type="dxa"/>
            <w:vAlign w:val="bottom"/>
          </w:tcPr>
          <w:p>
            <w:pPr>
              <w:spacing w:after="0"/>
              <w:rPr>
                <w:sz w:val="18"/>
                <w:szCs w:val="18"/>
                <w:color w:val="auto"/>
              </w:rPr>
            </w:pP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rPr>
              <w:t>managing member and majority owner of Boxer Capital. Joe Lewis is the sole indirect beneficial owner of and controls Boxer</w:t>
            </w:r>
          </w:p>
        </w:tc>
      </w:tr>
      <w:tr>
        <w:trPr>
          <w:trHeight w:val="216"/>
        </w:trPr>
        <w:tc>
          <w:tcPr>
            <w:tcW w:w="1100" w:type="dxa"/>
            <w:vAlign w:val="bottom"/>
          </w:tcPr>
          <w:p>
            <w:pPr>
              <w:spacing w:after="0"/>
              <w:rPr>
                <w:sz w:val="18"/>
                <w:szCs w:val="18"/>
                <w:color w:val="auto"/>
              </w:rPr>
            </w:pP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rPr>
              <w:t>Management. MVA Investors is the independent, personal investment vehicle of certain employees of Boxer Capital. Aaron I. Davis is a</w:t>
            </w:r>
          </w:p>
        </w:tc>
      </w:tr>
      <w:tr>
        <w:trPr>
          <w:trHeight w:val="234"/>
        </w:trPr>
        <w:tc>
          <w:tcPr>
            <w:tcW w:w="1100" w:type="dxa"/>
            <w:vAlign w:val="bottom"/>
          </w:tcPr>
          <w:p>
            <w:pPr>
              <w:spacing w:after="0"/>
              <w:rPr>
                <w:sz w:val="20"/>
                <w:szCs w:val="20"/>
                <w:color w:val="auto"/>
              </w:rPr>
            </w:pP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rPr>
              <w:t>member of and has voting and dispositive power over securities held by MVA Investors.</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 (b)</w:t>
            </w: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427"/>
        </w:trPr>
        <w:tc>
          <w:tcPr>
            <w:tcW w:w="1100" w:type="dxa"/>
            <w:vAlign w:val="bottom"/>
          </w:tcPr>
          <w:p>
            <w:pPr>
              <w:spacing w:after="0"/>
              <w:rPr>
                <w:sz w:val="24"/>
                <w:szCs w:val="24"/>
                <w:color w:val="auto"/>
              </w:rPr>
            </w:pP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rPr>
              <w:t>The principal business address of Boxer Capital, MVA Investors and Aaron I. Davis is: 12860 El Camino Real, Suite 300, San Diego,</w:t>
            </w:r>
          </w:p>
        </w:tc>
      </w:tr>
      <w:tr>
        <w:trPr>
          <w:trHeight w:val="216"/>
        </w:trPr>
        <w:tc>
          <w:tcPr>
            <w:tcW w:w="1100" w:type="dxa"/>
            <w:vAlign w:val="bottom"/>
          </w:tcPr>
          <w:p>
            <w:pPr>
              <w:spacing w:after="0"/>
              <w:rPr>
                <w:sz w:val="18"/>
                <w:szCs w:val="18"/>
                <w:color w:val="auto"/>
              </w:rPr>
            </w:pP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rPr>
              <w:t>CA 92130. The principal business address of Boxer Management and Joe Lewis is: Cay House, EP Taylor Drive N7776, Lyford Cay,</w:t>
            </w:r>
          </w:p>
        </w:tc>
      </w:tr>
      <w:tr>
        <w:trPr>
          <w:trHeight w:val="234"/>
        </w:trPr>
        <w:tc>
          <w:tcPr>
            <w:tcW w:w="1100" w:type="dxa"/>
            <w:vAlign w:val="bottom"/>
          </w:tcPr>
          <w:p>
            <w:pPr>
              <w:spacing w:after="0"/>
              <w:rPr>
                <w:sz w:val="20"/>
                <w:szCs w:val="20"/>
                <w:color w:val="auto"/>
              </w:rPr>
            </w:pP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rPr>
              <w:t>New Providence, Bahamas.</w:t>
            </w:r>
          </w:p>
        </w:tc>
      </w:tr>
      <w:tr>
        <w:trPr>
          <w:trHeight w:val="432"/>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Item 2. (c)</w:t>
            </w: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414"/>
        </w:trPr>
        <w:tc>
          <w:tcPr>
            <w:tcW w:w="1100" w:type="dxa"/>
            <w:vAlign w:val="bottom"/>
          </w:tcPr>
          <w:p>
            <w:pPr>
              <w:spacing w:after="0"/>
              <w:rPr>
                <w:sz w:val="24"/>
                <w:szCs w:val="24"/>
                <w:color w:val="auto"/>
              </w:rPr>
            </w:pP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rPr>
              <w:t>Boxer Capital and MVA Investors are limited liability companies organized under the laws of Delaware. Boxer Management is a</w:t>
            </w:r>
          </w:p>
        </w:tc>
      </w:tr>
      <w:tr>
        <w:trPr>
          <w:trHeight w:val="216"/>
        </w:trPr>
        <w:tc>
          <w:tcPr>
            <w:tcW w:w="1100" w:type="dxa"/>
            <w:vAlign w:val="bottom"/>
          </w:tcPr>
          <w:p>
            <w:pPr>
              <w:spacing w:after="0"/>
              <w:rPr>
                <w:sz w:val="18"/>
                <w:szCs w:val="18"/>
                <w:color w:val="auto"/>
              </w:rPr>
            </w:pP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rPr>
              <w:t>corporation organized under the laws of the Bahamas. Joe Lewis is a citizen of the United Kingdom. Aaron I. Davis is a citizen of the</w:t>
            </w:r>
          </w:p>
        </w:tc>
      </w:tr>
      <w:tr>
        <w:trPr>
          <w:trHeight w:val="234"/>
        </w:trPr>
        <w:tc>
          <w:tcPr>
            <w:tcW w:w="1100" w:type="dxa"/>
            <w:vAlign w:val="bottom"/>
          </w:tcPr>
          <w:p>
            <w:pPr>
              <w:spacing w:after="0"/>
              <w:rPr>
                <w:sz w:val="20"/>
                <w:szCs w:val="20"/>
                <w:color w:val="auto"/>
              </w:rPr>
            </w:pP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 (d)</w:t>
            </w: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05"/>
        </w:trPr>
        <w:tc>
          <w:tcPr>
            <w:tcW w:w="1100" w:type="dxa"/>
            <w:vAlign w:val="bottom"/>
          </w:tcPr>
          <w:p>
            <w:pPr>
              <w:spacing w:after="0"/>
              <w:rPr>
                <w:sz w:val="24"/>
                <w:szCs w:val="24"/>
                <w:color w:val="auto"/>
              </w:rPr>
            </w:pP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rPr>
              <w:t>Common Stock, $0.0001 par value per share (“Common Stock”).</w:t>
            </w: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 (e)</w:t>
            </w:r>
          </w:p>
        </w:tc>
        <w:tc>
          <w:tcPr>
            <w:tcW w:w="36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1120" w:type="dxa"/>
            <w:vAlign w:val="bottom"/>
            <w:tcBorders>
              <w:top w:val="single" w:sz="8" w:color="auto"/>
            </w:tcBorders>
            <w:gridSpan w:val="3"/>
          </w:tcPr>
          <w:p>
            <w:pPr>
              <w:spacing w:after="0"/>
              <w:rPr>
                <w:sz w:val="24"/>
                <w:szCs w:val="24"/>
                <w:color w:val="auto"/>
              </w:rPr>
            </w:pPr>
          </w:p>
        </w:tc>
        <w:tc>
          <w:tcPr>
            <w:tcW w:w="5380" w:type="dxa"/>
            <w:vAlign w:val="bottom"/>
            <w:gridSpan w:val="7"/>
          </w:tcPr>
          <w:p>
            <w:pPr>
              <w:spacing w:after="0"/>
              <w:rPr>
                <w:sz w:val="24"/>
                <w:szCs w:val="24"/>
                <w:color w:val="auto"/>
              </w:rPr>
            </w:pPr>
          </w:p>
        </w:tc>
      </w:tr>
      <w:tr>
        <w:trPr>
          <w:trHeight w:val="445"/>
        </w:trPr>
        <w:tc>
          <w:tcPr>
            <w:tcW w:w="1100" w:type="dxa"/>
            <w:vAlign w:val="bottom"/>
          </w:tcPr>
          <w:p>
            <w:pPr>
              <w:spacing w:after="0"/>
              <w:rPr>
                <w:sz w:val="24"/>
                <w:szCs w:val="24"/>
                <w:color w:val="auto"/>
              </w:rPr>
            </w:pP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rPr>
              <w:t>The CUSIP number for the Common Stock is 15673T100.</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 13d-1(b), or 13d-2(b) or (c), Check Whether the Person Filing is a:</w:t>
            </w:r>
          </w:p>
        </w:tc>
      </w:tr>
      <w:tr>
        <w:trPr>
          <w:trHeight w:val="432"/>
        </w:trPr>
        <w:tc>
          <w:tcPr>
            <w:tcW w:w="1100" w:type="dxa"/>
            <w:vAlign w:val="bottom"/>
          </w:tcPr>
          <w:p>
            <w:pPr>
              <w:spacing w:after="0"/>
              <w:rPr>
                <w:sz w:val="24"/>
                <w:szCs w:val="24"/>
                <w:color w:val="auto"/>
              </w:rPr>
            </w:pP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432"/>
        </w:trPr>
        <w:tc>
          <w:tcPr>
            <w:tcW w:w="1100" w:type="dxa"/>
            <w:vAlign w:val="bottom"/>
          </w:tcPr>
          <w:p>
            <w:pPr>
              <w:spacing w:after="0"/>
              <w:rPr>
                <w:sz w:val="24"/>
                <w:szCs w:val="24"/>
                <w:color w:val="auto"/>
              </w:rPr>
            </w:pPr>
          </w:p>
        </w:tc>
        <w:tc>
          <w:tcPr>
            <w:tcW w:w="1014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rPr>
              <w:t>(a)  Amount beneficially owned</w:t>
            </w:r>
          </w:p>
        </w:tc>
      </w:tr>
      <w:tr>
        <w:trPr>
          <w:trHeight w:val="830"/>
        </w:trPr>
        <w:tc>
          <w:tcPr>
            <w:tcW w:w="1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7" w:name="page8"/>
    <w:bookmarkEnd w:id="7"/>
    <w:p>
      <w:pPr>
        <w:jc w:val="both"/>
        <w:ind w:left="1360" w:right="200"/>
        <w:spacing w:after="0" w:line="266" w:lineRule="auto"/>
        <w:rPr>
          <w:sz w:val="20"/>
          <w:szCs w:val="20"/>
          <w:color w:val="auto"/>
        </w:rPr>
      </w:pPr>
      <w:r>
        <w:rPr>
          <w:rFonts w:ascii="Times New Roman" w:cs="Times New Roman" w:eastAsia="Times New Roman" w:hAnsi="Times New Roman"/>
          <w:sz w:val="18"/>
          <w:szCs w:val="18"/>
          <w:color w:val="auto"/>
        </w:rPr>
        <w:t>Boxer Capital, Boxer Management and Joe Lewis beneficially own 4,901,603 shares of Common Stock. MVA Investors and Aaron I. Davis beneficially own 178,574 shares of Common Stock. The Reporting Persons beneficially own, in the aggregate, 5,080,177 shares of Common Stock.</w:t>
      </w:r>
    </w:p>
    <w:p>
      <w:pPr>
        <w:spacing w:after="0" w:line="17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225" w:lineRule="exact"/>
        <w:rPr>
          <w:sz w:val="20"/>
          <w:szCs w:val="20"/>
          <w:color w:val="auto"/>
        </w:rPr>
      </w:pPr>
    </w:p>
    <w:p>
      <w:pPr>
        <w:jc w:val="both"/>
        <w:ind w:left="1360"/>
        <w:spacing w:after="0" w:line="256" w:lineRule="auto"/>
        <w:rPr>
          <w:sz w:val="20"/>
          <w:szCs w:val="20"/>
          <w:color w:val="auto"/>
        </w:rPr>
      </w:pPr>
      <w:r>
        <w:rPr>
          <w:rFonts w:ascii="Times New Roman" w:cs="Times New Roman" w:eastAsia="Times New Roman" w:hAnsi="Times New Roman"/>
          <w:sz w:val="18"/>
          <w:szCs w:val="18"/>
          <w:color w:val="auto"/>
        </w:rPr>
        <w:t xml:space="preserve">All percentages of beneficial ownership set forth herein are based on an aggregate of 85,226,207 shares of Common Stock outstanding, comprised of (i) 20,408,344 newly-issued shares of Common Stock, as reported in the 8-K filed with the Securities and Exchange Commission on April 11, 2024,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64,817,863 shares of Common Stock reported outstanding on February 29, 2024 in the Annual Report on Form 10-K filed by the Issuer with the Securities and Exchange Commission on March 14, 2024. The number of shares of Common Stock beneficially owned by the Reporting Persons in the aggregate represent 6.0% of the Issuer’s outstanding shares of Common Stock.</w:t>
      </w:r>
    </w:p>
    <w:p>
      <w:pPr>
        <w:spacing w:after="0" w:line="187" w:lineRule="exact"/>
        <w:rPr>
          <w:sz w:val="20"/>
          <w:szCs w:val="20"/>
          <w:color w:val="auto"/>
        </w:rPr>
      </w:pPr>
    </w:p>
    <w:p>
      <w:pPr>
        <w:ind w:left="2080" w:hanging="385"/>
        <w:spacing w:after="0"/>
        <w:tabs>
          <w:tab w:leader="none" w:pos="2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280" w:hanging="355"/>
        <w:spacing w:after="0"/>
        <w:tabs>
          <w:tab w:leader="none" w:pos="22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None of the Reporting Persons has sole power to vote or to direct the vote of any shares of Common Stock.</w:t>
      </w:r>
    </w:p>
    <w:p>
      <w:pPr>
        <w:spacing w:after="0" w:line="225" w:lineRule="exact"/>
        <w:rPr>
          <w:sz w:val="20"/>
          <w:szCs w:val="20"/>
          <w:color w:val="auto"/>
        </w:rPr>
      </w:pPr>
    </w:p>
    <w:p>
      <w:pPr>
        <w:ind w:left="2320" w:hanging="395"/>
        <w:spacing w:after="0"/>
        <w:tabs>
          <w:tab w:leader="none" w:pos="2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sz w:val="20"/>
          <w:szCs w:val="20"/>
          <w:color w:val="auto"/>
        </w:rPr>
      </w:pPr>
    </w:p>
    <w:p>
      <w:pPr>
        <w:jc w:val="both"/>
        <w:ind w:left="2380" w:right="240"/>
        <w:spacing w:after="0" w:line="266" w:lineRule="auto"/>
        <w:rPr>
          <w:sz w:val="20"/>
          <w:szCs w:val="20"/>
          <w:color w:val="auto"/>
        </w:rPr>
      </w:pPr>
      <w:r>
        <w:rPr>
          <w:rFonts w:ascii="Times New Roman" w:cs="Times New Roman" w:eastAsia="Times New Roman" w:hAnsi="Times New Roman"/>
          <w:sz w:val="18"/>
          <w:szCs w:val="18"/>
          <w:color w:val="auto"/>
        </w:rPr>
        <w:t>Boxer Capital, Boxer Management and Joe Lewis have shared power to vote or to direct the vote of 4,901,603 shares of Common Stock. MVA Investors and Aaron I. Davis have shared power to vote or to direct the vote of 178,574 shares of Common Stock.</w:t>
      </w:r>
    </w:p>
    <w:p>
      <w:pPr>
        <w:spacing w:after="0" w:line="176" w:lineRule="exact"/>
        <w:rPr>
          <w:sz w:val="20"/>
          <w:szCs w:val="20"/>
          <w:color w:val="auto"/>
        </w:rPr>
      </w:pPr>
    </w:p>
    <w:p>
      <w:pPr>
        <w:ind w:left="2380" w:hanging="455"/>
        <w:spacing w:after="0"/>
        <w:tabs>
          <w:tab w:leader="none" w:pos="2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5" w:lineRule="exact"/>
        <w:rPr>
          <w:rFonts w:ascii="Times New Roman" w:cs="Times New Roman" w:eastAsia="Times New Roman" w:hAnsi="Times New Roman"/>
          <w:sz w:val="18"/>
          <w:szCs w:val="18"/>
          <w:color w:val="auto"/>
        </w:rPr>
      </w:pPr>
    </w:p>
    <w:p>
      <w:pPr>
        <w:ind w:left="2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has sole power to dispose or to direct the disposition of any shares of Common Stock.</w:t>
      </w:r>
    </w:p>
    <w:p>
      <w:pPr>
        <w:spacing w:after="0" w:line="225" w:lineRule="exact"/>
        <w:rPr>
          <w:rFonts w:ascii="Times New Roman" w:cs="Times New Roman" w:eastAsia="Times New Roman" w:hAnsi="Times New Roman"/>
          <w:sz w:val="18"/>
          <w:szCs w:val="18"/>
          <w:color w:val="auto"/>
        </w:rPr>
      </w:pPr>
    </w:p>
    <w:p>
      <w:pPr>
        <w:ind w:left="2360" w:hanging="435"/>
        <w:spacing w:after="0"/>
        <w:tabs>
          <w:tab w:leader="none" w:pos="2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sz w:val="20"/>
          <w:szCs w:val="20"/>
          <w:color w:val="auto"/>
        </w:rPr>
      </w:pPr>
    </w:p>
    <w:p>
      <w:pPr>
        <w:jc w:val="both"/>
        <w:ind w:left="2380" w:right="160"/>
        <w:spacing w:after="0" w:line="266" w:lineRule="auto"/>
        <w:rPr>
          <w:sz w:val="20"/>
          <w:szCs w:val="20"/>
          <w:color w:val="auto"/>
        </w:rPr>
      </w:pPr>
      <w:r>
        <w:rPr>
          <w:rFonts w:ascii="Times New Roman" w:cs="Times New Roman" w:eastAsia="Times New Roman" w:hAnsi="Times New Roman"/>
          <w:sz w:val="18"/>
          <w:szCs w:val="18"/>
          <w:color w:val="auto"/>
        </w:rPr>
        <w:t>Boxer Capital, Boxer Management and Joe Lewis have shared power to dispose or to direct the disposition of 4,901,603 shares of Common Stock. MVA Investors and Aaron I. Davis have shared power to dispose or to direct the disposition of 178,574 shares of Common Stock.</w:t>
      </w:r>
    </w:p>
    <w:p>
      <w:pPr>
        <w:spacing w:after="0" w:line="17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43" w:lineRule="exact"/>
        <w:rPr>
          <w:sz w:val="20"/>
          <w:szCs w:val="20"/>
          <w:color w:val="auto"/>
        </w:rPr>
      </w:pPr>
    </w:p>
    <w:p>
      <w:pPr>
        <w:ind w:left="1360" w:right="260"/>
        <w:spacing w:after="0" w:line="282" w:lineRule="auto"/>
        <w:rPr>
          <w:sz w:val="20"/>
          <w:szCs w:val="20"/>
          <w:color w:val="auto"/>
        </w:rPr>
      </w:pPr>
      <w:r>
        <w:rPr>
          <w:rFonts w:ascii="Times New Roman" w:cs="Times New Roman" w:eastAsia="Times New Roman" w:hAnsi="Times New Roman"/>
          <w:sz w:val="18"/>
          <w:szCs w:val="18"/>
          <w:color w:val="auto"/>
        </w:rPr>
        <w:t>Other than as may result from indirect interests of investors in Boxer Capital and MVA Investors, no persons other than the Reporting Persons have the right to receive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6"/>
          <w:szCs w:val="16"/>
          <w:u w:val="single" w:color="auto"/>
          <w:color w:val="0000EE"/>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power to direct the receipt of dividends, or proceeds of sale of the securities disclosed herein.</w:t>
      </w:r>
    </w:p>
    <w:p>
      <w:pPr>
        <w:spacing w:after="0" w:line="22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Joint Filing Agreement, dated April 22, 2024, among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951865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40" w:space="660"/>
            <w:col w:w="9840"/>
          </w:cols>
          <w:pgMar w:left="320" w:top="553"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22, 2024</w:t>
      </w: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BOXER CAPITAL, LLC</w:t>
      </w:r>
    </w:p>
    <w:p>
      <w:pPr>
        <w:spacing w:after="0" w:line="229" w:lineRule="exact"/>
        <w:rPr>
          <w:sz w:val="20"/>
          <w:szCs w:val="20"/>
          <w:color w:val="auto"/>
        </w:rPr>
      </w:pPr>
    </w:p>
    <w:p>
      <w:pPr>
        <w:ind w:left="5860"/>
        <w:spacing w:after="0"/>
        <w:tabs>
          <w:tab w:leader="none" w:pos="628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2726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6300"/>
        <w:spacing w:after="0"/>
        <w:tabs>
          <w:tab w:leader="none" w:pos="6960" w:val="left"/>
        </w:tabs>
        <w:rPr>
          <w:sz w:val="20"/>
          <w:szCs w:val="20"/>
          <w:color w:val="auto"/>
        </w:rPr>
      </w:pPr>
      <w:r>
        <w:rPr>
          <w:rFonts w:ascii="Times New Roman" w:cs="Times New Roman" w:eastAsia="Times New Roman" w:hAnsi="Times New Roman"/>
          <w:sz w:val="18"/>
          <w:szCs w:val="18"/>
          <w:color w:val="auto"/>
        </w:rPr>
        <w:t>Name:</w:t>
        <w:tab/>
        <w:t>Aaron I. Davis</w:t>
      </w:r>
    </w:p>
    <w:p>
      <w:pPr>
        <w:spacing w:after="0" w:line="23" w:lineRule="exact"/>
        <w:rPr>
          <w:sz w:val="20"/>
          <w:szCs w:val="20"/>
          <w:color w:val="auto"/>
        </w:rPr>
      </w:pPr>
    </w:p>
    <w:p>
      <w:pPr>
        <w:ind w:left="63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BOXER ASSET MANAGEMENT INC.</w:t>
      </w:r>
    </w:p>
    <w:p>
      <w:pPr>
        <w:spacing w:after="0" w:line="229" w:lineRule="exact"/>
        <w:rPr>
          <w:sz w:val="20"/>
          <w:szCs w:val="20"/>
          <w:color w:val="auto"/>
        </w:rPr>
      </w:pPr>
    </w:p>
    <w:p>
      <w:pPr>
        <w:ind w:left="5860"/>
        <w:spacing w:after="0"/>
        <w:tabs>
          <w:tab w:leader="none" w:pos="6280" w:val="left"/>
        </w:tabs>
        <w:rPr>
          <w:sz w:val="20"/>
          <w:szCs w:val="20"/>
          <w:color w:val="auto"/>
        </w:rPr>
      </w:pPr>
      <w:r>
        <w:rPr>
          <w:rFonts w:ascii="Times New Roman" w:cs="Times New Roman" w:eastAsia="Times New Roman" w:hAnsi="Times New Roman"/>
          <w:sz w:val="18"/>
          <w:szCs w:val="18"/>
          <w:color w:val="auto"/>
        </w:rPr>
        <w:t>By:</w:t>
        <w:tab/>
        <w:t>/s/ Paul Higgs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27260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6300"/>
        <w:spacing w:after="0"/>
        <w:tabs>
          <w:tab w:leader="none" w:pos="6960" w:val="left"/>
        </w:tabs>
        <w:rPr>
          <w:sz w:val="20"/>
          <w:szCs w:val="20"/>
          <w:color w:val="auto"/>
        </w:rPr>
      </w:pPr>
      <w:r>
        <w:rPr>
          <w:rFonts w:ascii="Times New Roman" w:cs="Times New Roman" w:eastAsia="Times New Roman" w:hAnsi="Times New Roman"/>
          <w:sz w:val="18"/>
          <w:szCs w:val="18"/>
          <w:color w:val="auto"/>
        </w:rPr>
        <w:t>Name:</w:t>
        <w:tab/>
        <w:t>Paul Higgs</w:t>
      </w:r>
    </w:p>
    <w:p>
      <w:pPr>
        <w:spacing w:after="0" w:line="23" w:lineRule="exact"/>
        <w:rPr>
          <w:sz w:val="20"/>
          <w:szCs w:val="20"/>
          <w:color w:val="auto"/>
        </w:rPr>
      </w:pPr>
    </w:p>
    <w:p>
      <w:pPr>
        <w:ind w:left="63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JOSEPH C. LEWIS</w:t>
      </w:r>
    </w:p>
    <w:p>
      <w:pPr>
        <w:spacing w:after="0" w:line="2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008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Joseph C. Lewis, Individually</w:t>
      </w:r>
    </w:p>
    <w:p>
      <w:pPr>
        <w:spacing w:after="0" w:line="2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MVA INVESTORS, LLC</w:t>
      </w:r>
    </w:p>
    <w:p>
      <w:pPr>
        <w:spacing w:after="0" w:line="229" w:lineRule="exact"/>
        <w:rPr>
          <w:sz w:val="20"/>
          <w:szCs w:val="20"/>
          <w:color w:val="auto"/>
        </w:rPr>
      </w:pPr>
    </w:p>
    <w:p>
      <w:pPr>
        <w:ind w:left="5860"/>
        <w:spacing w:after="0"/>
        <w:tabs>
          <w:tab w:leader="none" w:pos="628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27260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6300"/>
        <w:spacing w:after="0"/>
        <w:tabs>
          <w:tab w:leader="none" w:pos="6960" w:val="left"/>
        </w:tabs>
        <w:rPr>
          <w:sz w:val="20"/>
          <w:szCs w:val="20"/>
          <w:color w:val="auto"/>
        </w:rPr>
      </w:pPr>
      <w:r>
        <w:rPr>
          <w:rFonts w:ascii="Times New Roman" w:cs="Times New Roman" w:eastAsia="Times New Roman" w:hAnsi="Times New Roman"/>
          <w:sz w:val="18"/>
          <w:szCs w:val="18"/>
          <w:color w:val="auto"/>
        </w:rPr>
        <w:t>Name:</w:t>
        <w:tab/>
        <w:t>Aaron I. Davis</w:t>
      </w:r>
    </w:p>
    <w:p>
      <w:pPr>
        <w:spacing w:after="0" w:line="23" w:lineRule="exact"/>
        <w:rPr>
          <w:sz w:val="20"/>
          <w:szCs w:val="20"/>
          <w:color w:val="auto"/>
        </w:rPr>
      </w:pPr>
    </w:p>
    <w:p>
      <w:pPr>
        <w:ind w:left="63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AARON I. DAVIS</w:t>
      </w:r>
    </w:p>
    <w:p>
      <w:pPr>
        <w:spacing w:after="0" w:line="2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0086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Aaron I. Davis, Individually</w:t>
      </w:r>
    </w:p>
    <w:p>
      <w:pPr>
        <w:sectPr>
          <w:pgSz w:w="11900" w:h="16838" w:orient="portrait"/>
          <w:cols w:equalWidth="0" w:num="1">
            <w:col w:w="11240"/>
          </w:cols>
          <w:pgMar w:left="320" w:top="333"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in respect of the Common Stock of Century Therapeutics, Inc.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April 22, 2024.</w:t>
      </w: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BOXER CAPITAL, LLC</w:t>
      </w:r>
    </w:p>
    <w:p>
      <w:pPr>
        <w:spacing w:after="0" w:line="229" w:lineRule="exact"/>
        <w:rPr>
          <w:sz w:val="20"/>
          <w:szCs w:val="20"/>
          <w:color w:val="auto"/>
        </w:rPr>
      </w:pPr>
    </w:p>
    <w:p>
      <w:pPr>
        <w:ind w:left="5860"/>
        <w:spacing w:after="0"/>
        <w:tabs>
          <w:tab w:leader="none" w:pos="628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2726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7" w:lineRule="exact"/>
        <w:rPr>
          <w:sz w:val="20"/>
          <w:szCs w:val="20"/>
          <w:color w:val="auto"/>
        </w:rPr>
      </w:pPr>
    </w:p>
    <w:p>
      <w:pPr>
        <w:ind w:left="6300"/>
        <w:spacing w:after="0"/>
        <w:tabs>
          <w:tab w:leader="none" w:pos="6960" w:val="left"/>
        </w:tabs>
        <w:rPr>
          <w:sz w:val="20"/>
          <w:szCs w:val="20"/>
          <w:color w:val="auto"/>
        </w:rPr>
      </w:pPr>
      <w:r>
        <w:rPr>
          <w:rFonts w:ascii="Times New Roman" w:cs="Times New Roman" w:eastAsia="Times New Roman" w:hAnsi="Times New Roman"/>
          <w:sz w:val="18"/>
          <w:szCs w:val="18"/>
          <w:color w:val="auto"/>
        </w:rPr>
        <w:t>Name:</w:t>
        <w:tab/>
        <w:t>Aaron I. Davis</w:t>
      </w:r>
    </w:p>
    <w:p>
      <w:pPr>
        <w:spacing w:after="0" w:line="23" w:lineRule="exact"/>
        <w:rPr>
          <w:sz w:val="20"/>
          <w:szCs w:val="20"/>
          <w:color w:val="auto"/>
        </w:rPr>
      </w:pPr>
    </w:p>
    <w:p>
      <w:pPr>
        <w:ind w:left="63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BOXER ASSET MANAGEMENT INC.</w:t>
      </w:r>
    </w:p>
    <w:p>
      <w:pPr>
        <w:spacing w:after="0" w:line="229" w:lineRule="exact"/>
        <w:rPr>
          <w:sz w:val="20"/>
          <w:szCs w:val="20"/>
          <w:color w:val="auto"/>
        </w:rPr>
      </w:pPr>
    </w:p>
    <w:p>
      <w:pPr>
        <w:ind w:left="5860"/>
        <w:spacing w:after="0"/>
        <w:tabs>
          <w:tab w:leader="none" w:pos="6280" w:val="left"/>
        </w:tabs>
        <w:rPr>
          <w:sz w:val="20"/>
          <w:szCs w:val="20"/>
          <w:color w:val="auto"/>
        </w:rPr>
      </w:pPr>
      <w:r>
        <w:rPr>
          <w:rFonts w:ascii="Times New Roman" w:cs="Times New Roman" w:eastAsia="Times New Roman" w:hAnsi="Times New Roman"/>
          <w:sz w:val="18"/>
          <w:szCs w:val="18"/>
          <w:color w:val="auto"/>
        </w:rPr>
        <w:t>By:</w:t>
        <w:tab/>
        <w:t>/s/ Paul Higgs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27260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6300"/>
        <w:spacing w:after="0"/>
        <w:tabs>
          <w:tab w:leader="none" w:pos="6960" w:val="left"/>
        </w:tabs>
        <w:rPr>
          <w:sz w:val="20"/>
          <w:szCs w:val="20"/>
          <w:color w:val="auto"/>
        </w:rPr>
      </w:pPr>
      <w:r>
        <w:rPr>
          <w:rFonts w:ascii="Times New Roman" w:cs="Times New Roman" w:eastAsia="Times New Roman" w:hAnsi="Times New Roman"/>
          <w:sz w:val="18"/>
          <w:szCs w:val="18"/>
          <w:color w:val="auto"/>
        </w:rPr>
        <w:t>Name:</w:t>
        <w:tab/>
        <w:t>Paul Higgs</w:t>
      </w:r>
    </w:p>
    <w:p>
      <w:pPr>
        <w:spacing w:after="0" w:line="23" w:lineRule="exact"/>
        <w:rPr>
          <w:sz w:val="20"/>
          <w:szCs w:val="20"/>
          <w:color w:val="auto"/>
        </w:rPr>
      </w:pPr>
    </w:p>
    <w:p>
      <w:pPr>
        <w:ind w:left="63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JOSEPH C. LEWIS</w:t>
      </w:r>
    </w:p>
    <w:p>
      <w:pPr>
        <w:spacing w:after="0" w:line="2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0086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Joseph C. Lewis, Individually</w:t>
      </w:r>
    </w:p>
    <w:p>
      <w:pPr>
        <w:spacing w:after="0" w:line="2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MVA INVESTORS, LLC</w:t>
      </w:r>
    </w:p>
    <w:p>
      <w:pPr>
        <w:spacing w:after="0" w:line="229" w:lineRule="exact"/>
        <w:rPr>
          <w:sz w:val="20"/>
          <w:szCs w:val="20"/>
          <w:color w:val="auto"/>
        </w:rPr>
      </w:pPr>
    </w:p>
    <w:p>
      <w:pPr>
        <w:ind w:left="5860"/>
        <w:spacing w:after="0"/>
        <w:tabs>
          <w:tab w:leader="none" w:pos="628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27260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7" w:lineRule="exact"/>
        <w:rPr>
          <w:sz w:val="20"/>
          <w:szCs w:val="20"/>
          <w:color w:val="auto"/>
        </w:rPr>
      </w:pPr>
    </w:p>
    <w:p>
      <w:pPr>
        <w:ind w:left="6300"/>
        <w:spacing w:after="0"/>
        <w:tabs>
          <w:tab w:leader="none" w:pos="6960" w:val="left"/>
        </w:tabs>
        <w:rPr>
          <w:sz w:val="20"/>
          <w:szCs w:val="20"/>
          <w:color w:val="auto"/>
        </w:rPr>
      </w:pPr>
      <w:r>
        <w:rPr>
          <w:rFonts w:ascii="Times New Roman" w:cs="Times New Roman" w:eastAsia="Times New Roman" w:hAnsi="Times New Roman"/>
          <w:sz w:val="18"/>
          <w:szCs w:val="18"/>
          <w:color w:val="auto"/>
        </w:rPr>
        <w:t>Name:</w:t>
        <w:tab/>
        <w:t>Aaron I. Davis</w:t>
      </w:r>
    </w:p>
    <w:p>
      <w:pPr>
        <w:spacing w:after="0" w:line="23" w:lineRule="exact"/>
        <w:rPr>
          <w:sz w:val="20"/>
          <w:szCs w:val="20"/>
          <w:color w:val="auto"/>
        </w:rPr>
      </w:pPr>
    </w:p>
    <w:p>
      <w:pPr>
        <w:ind w:left="63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AARON I. DAVIS</w:t>
      </w:r>
    </w:p>
    <w:p>
      <w:pPr>
        <w:spacing w:after="0" w:line="2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0086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Aaron I. Davis, Individually</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19495CFF"/>
    <w:multiLevelType w:val="hybridMultilevel"/>
    <w:lvl w:ilvl="0">
      <w:lvlJc w:val="left"/>
      <w:lvlText w:val="(%1)"/>
      <w:numFmt w:val="lowerLetter"/>
      <w:start w:val="3"/>
    </w:lvl>
    <w:lvl w:ilvl="1">
      <w:lvlJc w:val="left"/>
      <w:lvlText w:val="(%2)"/>
      <w:numFmt w:val="lowerLetter"/>
      <w:start w:val="9"/>
    </w:lvl>
  </w:abstractNum>
  <w:abstractNum w:abstractNumId="2">
    <w:nsid w:val="2AE8944A"/>
    <w:multiLevelType w:val="hybridMultilevel"/>
    <w:lvl w:ilvl="0">
      <w:lvlJc w:val="left"/>
      <w:lvlText w:val="(%1)"/>
      <w:numFmt w:val="lowerRoman"/>
      <w:start w:val="2"/>
    </w:lvl>
  </w:abstractNum>
  <w:abstractNum w:abstractNumId="3">
    <w:nsid w:val="625558EC"/>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2024-04-22T18:28:01Z</dcterms:created>
  <dcterms:modified xsi:type="dcterms:W3CDTF">2024-04-22T18:28:01Z</dcterms:modified>
</cp:coreProperties>
</file>