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305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3055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Farid Adrienne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03/06/2024</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Operations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03/06/2024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30,684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1.03</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144,833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03/06/2024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30,684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4.9648</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114,149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03/07/2024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22,831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1.03</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136,980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03/07/2024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22,831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5.1396</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114,149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03/06/2024</w:t>
            </w:r>
          </w:p>
        </w:tc>
        <w:tc>
          <w:tcPr>
            <w:tcW w:w="1100" w:type="dxa"/>
            <w:vAlign w:val="bottom"/>
          </w:tcPr>
          <w:p>
            <w:pPr>
              <w:spacing w:after="0"/>
              <w:rPr>
                <w:sz w:val="16"/>
                <w:szCs w:val="16"/>
                <w:color w:val="auto"/>
              </w:rPr>
            </w:pPr>
          </w:p>
        </w:tc>
        <w:tc>
          <w:tcPr>
            <w:tcW w:w="7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30,684</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07/17/2029</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30,684</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191,486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03/07/2024</w:t>
            </w:r>
          </w:p>
        </w:tc>
        <w:tc>
          <w:tcPr>
            <w:tcW w:w="1100" w:type="dxa"/>
            <w:vAlign w:val="bottom"/>
          </w:tcPr>
          <w:p>
            <w:pPr>
              <w:spacing w:after="0"/>
              <w:rPr>
                <w:sz w:val="16"/>
                <w:szCs w:val="16"/>
                <w:color w:val="auto"/>
              </w:rPr>
            </w:pPr>
          </w:p>
        </w:tc>
        <w:tc>
          <w:tcPr>
            <w:tcW w:w="7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22,831</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07/17/2029</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22,831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168,655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pursuant to a Rule 10b5-1 trading plan adopted by the Reporting Person on November 17, 2022.</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$4.85 to $5.07,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$4.87 to $5.48,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Adrienne Farid</w:t>
            </w:r>
          </w:p>
        </w:tc>
        <w:tc>
          <w:tcPr>
            <w:tcW w:w="9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03/08/2024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7310"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2024-03-08T17:32:23Z</dcterms:created>
  <dcterms:modified xsi:type="dcterms:W3CDTF">2024-03-08T17:32:23Z</dcterms:modified>
</cp:coreProperties>
</file>