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65"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43"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70" w:hanging="370"/>
        <w:spacing w:after="0"/>
        <w:tabs>
          <w:tab w:leader="none" w:pos="3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5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September 30, 2024</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5" w:lineRule="exact"/>
        <w:rPr>
          <w:sz w:val="24"/>
          <w:szCs w:val="24"/>
          <w:color w:val="auto"/>
        </w:rPr>
      </w:pPr>
    </w:p>
    <w:p>
      <w:pPr>
        <w:ind w:left="370" w:hanging="370"/>
        <w:spacing w:after="0"/>
        <w:tabs>
          <w:tab w:leader="none" w:pos="37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 w:lineRule="exact"/>
        <w:rPr>
          <w:rFonts w:ascii="MS PGothic" w:cs="MS PGothic" w:eastAsia="MS PGothic" w:hAnsi="MS PGothic"/>
          <w:sz w:val="16"/>
          <w:szCs w:val="16"/>
          <w:color w:val="auto"/>
          <w:highlight w:val="black"/>
        </w:rPr>
      </w:pPr>
    </w:p>
    <w:p>
      <w:pPr>
        <w:ind w:left="2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9" w:lineRule="exact"/>
        <w:rPr>
          <w:rFonts w:ascii="MS PGothic" w:cs="MS PGothic" w:eastAsia="MS PGothic" w:hAnsi="MS PGothic"/>
          <w:sz w:val="16"/>
          <w:szCs w:val="16"/>
          <w:color w:val="auto"/>
          <w:highlight w:val="black"/>
        </w:rPr>
      </w:pPr>
    </w:p>
    <w:p>
      <w:pPr>
        <w:ind w:left="3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87"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Century Therapeutics, Inc.</w:t>
      </w:r>
    </w:p>
    <w:p>
      <w:pPr>
        <w:spacing w:after="0" w:line="4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64" w:lineRule="exact"/>
        <w:rPr>
          <w:sz w:val="24"/>
          <w:szCs w:val="24"/>
          <w:color w:val="auto"/>
        </w:rPr>
      </w:pPr>
    </w:p>
    <w:tbl>
      <w:tblPr>
        <w:tblLayout w:type="fixed"/>
        <w:tblInd w:w="1270" w:type="dxa"/>
        <w:tblCellMar>
          <w:top w:w="0" w:type="dxa"/>
          <w:left w:w="0" w:type="dxa"/>
          <w:bottom w:w="0" w:type="dxa"/>
          <w:right w:w="0" w:type="dxa"/>
        </w:tblCellMar>
      </w:tblP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8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84-2040295</w:t>
            </w:r>
          </w:p>
        </w:tc>
      </w:tr>
      <w:tr>
        <w:trPr>
          <w:trHeight w:val="189"/>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(State or other jurisdiction of</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(I.R.S. Employer</w:t>
            </w:r>
          </w:p>
        </w:tc>
      </w:tr>
      <w:tr>
        <w:trPr>
          <w:trHeight w:val="176"/>
        </w:trPr>
        <w:tc>
          <w:tcPr>
            <w:tcW w:w="4540" w:type="dxa"/>
            <w:vAlign w:val="bottom"/>
          </w:tcPr>
          <w:p>
            <w:pPr>
              <w:jc w:val="center"/>
              <w:ind w:right="1419"/>
              <w:spacing w:after="0" w:line="176" w:lineRule="exact"/>
              <w:rPr>
                <w:sz w:val="20"/>
                <w:szCs w:val="20"/>
                <w:color w:val="auto"/>
              </w:rPr>
            </w:pPr>
            <w:r>
              <w:rPr>
                <w:rFonts w:ascii="Arial" w:cs="Arial" w:eastAsia="Arial" w:hAnsi="Arial"/>
                <w:sz w:val="16"/>
                <w:szCs w:val="16"/>
                <w:b w:val="1"/>
                <w:bCs w:val="1"/>
                <w:color w:val="auto"/>
              </w:rPr>
              <w:t>incorporation or organization)</w:t>
            </w:r>
          </w:p>
        </w:tc>
        <w:tc>
          <w:tcPr>
            <w:tcW w:w="2880" w:type="dxa"/>
            <w:vAlign w:val="bottom"/>
          </w:tcPr>
          <w:p>
            <w:pPr>
              <w:jc w:val="center"/>
              <w:ind w:left="1439"/>
              <w:spacing w:after="0" w:line="176" w:lineRule="exact"/>
              <w:rPr>
                <w:sz w:val="20"/>
                <w:szCs w:val="20"/>
                <w:color w:val="auto"/>
              </w:rPr>
            </w:pPr>
            <w:r>
              <w:rPr>
                <w:rFonts w:ascii="Arial" w:cs="Arial" w:eastAsia="Arial" w:hAnsi="Arial"/>
                <w:sz w:val="16"/>
                <w:szCs w:val="16"/>
                <w:b w:val="1"/>
                <w:bCs w:val="1"/>
                <w:color w:val="auto"/>
              </w:rPr>
              <w:t>Identification No.)</w:t>
            </w:r>
          </w:p>
        </w:tc>
      </w:tr>
      <w:tr>
        <w:trPr>
          <w:trHeight w:val="202"/>
        </w:trPr>
        <w:tc>
          <w:tcPr>
            <w:tcW w:w="4540" w:type="dxa"/>
            <w:vAlign w:val="bottom"/>
          </w:tcPr>
          <w:p>
            <w:pPr>
              <w:jc w:val="center"/>
              <w:ind w:right="1439"/>
              <w:spacing w:after="0" w:line="202" w:lineRule="exact"/>
              <w:rPr>
                <w:sz w:val="20"/>
                <w:szCs w:val="20"/>
                <w:color w:val="auto"/>
              </w:rPr>
            </w:pPr>
            <w:r>
              <w:rPr>
                <w:rFonts w:ascii="Arial" w:cs="Arial" w:eastAsia="Arial" w:hAnsi="Arial"/>
                <w:sz w:val="16"/>
                <w:szCs w:val="16"/>
                <w:b w:val="1"/>
                <w:bCs w:val="1"/>
                <w:color w:val="auto"/>
                <w:w w:val="98"/>
              </w:rPr>
              <w:t>25 N 38</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Street, 11</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Floor</w:t>
            </w:r>
          </w:p>
        </w:tc>
        <w:tc>
          <w:tcPr>
            <w:tcW w:w="2880" w:type="dxa"/>
            <w:vAlign w:val="bottom"/>
          </w:tcPr>
          <w:p>
            <w:pPr>
              <w:spacing w:after="0"/>
              <w:rPr>
                <w:sz w:val="17"/>
                <w:szCs w:val="17"/>
                <w:color w:val="auto"/>
              </w:rPr>
            </w:pP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Philadelphia, Pennsylvania</w:t>
            </w:r>
          </w:p>
        </w:tc>
        <w:tc>
          <w:tcPr>
            <w:tcW w:w="288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23"/>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(Address of principal executive offices)</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(Zip Code)</w:t>
            </w:r>
          </w:p>
        </w:tc>
      </w:tr>
    </w:tbl>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(267) 817-5790</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Not applicable</w:t>
      </w:r>
    </w:p>
    <w:p>
      <w:pPr>
        <w:spacing w:after="0" w:line="4" w:lineRule="exact"/>
        <w:rPr>
          <w:sz w:val="24"/>
          <w:szCs w:val="24"/>
          <w:color w:val="auto"/>
        </w:rPr>
      </w:pPr>
    </w:p>
    <w:p>
      <w:pPr>
        <w:ind w:left="265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52"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1"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vMerge w:val="restart"/>
          </w:tcPr>
          <w:p>
            <w:pPr>
              <w:spacing w:after="0"/>
              <w:rPr>
                <w:sz w:val="12"/>
                <w:szCs w:val="12"/>
                <w:color w:val="auto"/>
              </w:rPr>
            </w:pPr>
          </w:p>
        </w:tc>
        <w:tc>
          <w:tcPr>
            <w:tcW w:w="3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3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3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200" w:type="dxa"/>
            <w:vAlign w:val="bottom"/>
          </w:tcPr>
          <w:p>
            <w:pPr>
              <w:spacing w:after="0"/>
              <w:rPr>
                <w:sz w:val="18"/>
                <w:szCs w:val="18"/>
                <w:color w:val="auto"/>
              </w:rPr>
            </w:pPr>
          </w:p>
        </w:tc>
        <w:tc>
          <w:tcPr>
            <w:tcW w:w="35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IPSC</w:t>
            </w:r>
          </w:p>
        </w:tc>
        <w:tc>
          <w:tcPr>
            <w:tcW w:w="30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10" w:right="4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36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10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5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6" w:lineRule="exact"/>
        <w:rPr>
          <w:sz w:val="24"/>
          <w:szCs w:val="24"/>
          <w:color w:val="auto"/>
        </w:rPr>
      </w:pPr>
    </w:p>
    <w:p>
      <w:pPr>
        <w:ind w:left="10" w:right="30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0" w:right="1140"/>
        <w:spacing w:after="0" w:line="24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2024 the registrant had 85,029,042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78740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00" w:type="dxa"/>
            <w:vAlign w:val="bottom"/>
            <w:gridSpan w:val="4"/>
            <w:vMerge w:val="restart"/>
          </w:tcPr>
          <w:p>
            <w:pPr>
              <w:spacing w:after="0"/>
              <w:rPr>
                <w:sz w:val="20"/>
                <w:szCs w:val="20"/>
                <w:color w:val="auto"/>
              </w:rPr>
            </w:pPr>
            <w:r>
              <w:rPr>
                <w:rFonts w:ascii="Arial" w:cs="Arial" w:eastAsia="Arial" w:hAnsi="Arial"/>
                <w:sz w:val="18"/>
                <w:szCs w:val="18"/>
                <w:b w:val="1"/>
                <w:bCs w:val="1"/>
                <w:color w:val="0000EE"/>
              </w:rPr>
              <w:t>PART I.</w:t>
            </w:r>
          </w:p>
        </w:tc>
        <w:tc>
          <w:tcPr>
            <w:tcW w:w="7360" w:type="dxa"/>
            <w:vAlign w:val="bottom"/>
            <w:gridSpan w:val="23"/>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4"/>
            <w:vMerge w:val="continue"/>
          </w:tcPr>
          <w:p>
            <w:pPr>
              <w:spacing w:after="0"/>
              <w:rPr>
                <w:sz w:val="15"/>
                <w:szCs w:val="15"/>
                <w:color w:val="auto"/>
              </w:rPr>
            </w:pPr>
          </w:p>
        </w:tc>
        <w:tc>
          <w:tcPr>
            <w:tcW w:w="7360" w:type="dxa"/>
            <w:vAlign w:val="bottom"/>
            <w:gridSpan w:val="23"/>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4"/>
              </w:rPr>
              <w:t>Item 1.</w:t>
            </w:r>
          </w:p>
        </w:tc>
        <w:tc>
          <w:tcPr>
            <w:tcW w:w="340" w:type="dxa"/>
            <w:vAlign w:val="bottom"/>
            <w:gridSpan w:val="3"/>
          </w:tcPr>
          <w:p>
            <w:pPr>
              <w:spacing w:after="0"/>
              <w:rPr>
                <w:sz w:val="17"/>
                <w:szCs w:val="17"/>
                <w:color w:val="auto"/>
              </w:rPr>
            </w:pPr>
          </w:p>
        </w:tc>
        <w:tc>
          <w:tcPr>
            <w:tcW w:w="37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9"/>
              </w:rPr>
              <w:t>Unaudited Consolidated Financial Statements:</w:t>
            </w:r>
          </w:p>
        </w:tc>
        <w:tc>
          <w:tcPr>
            <w:tcW w:w="3660" w:type="dxa"/>
            <w:vAlign w:val="bottom"/>
            <w:gridSpan w:val="11"/>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3"/>
          </w:tcPr>
          <w:p>
            <w:pPr>
              <w:spacing w:after="0" w:line="196" w:lineRule="exact"/>
              <w:rPr>
                <w:sz w:val="20"/>
                <w:szCs w:val="20"/>
                <w:color w:val="auto"/>
              </w:rPr>
            </w:pPr>
            <w:r>
              <w:rPr>
                <w:rFonts w:ascii="Arial" w:cs="Arial" w:eastAsia="Arial" w:hAnsi="Arial"/>
                <w:sz w:val="18"/>
                <w:szCs w:val="18"/>
                <w:color w:val="0000EE"/>
              </w:rPr>
              <w:t>Consolidated Balance Sheets as of September 30, 2024 (unaudited) and December 31,</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202</w:t>
            </w:r>
            <w:r>
              <w:rPr>
                <w:rFonts w:ascii="Arial" w:cs="Arial" w:eastAsia="Arial" w:hAnsi="Arial"/>
                <w:sz w:val="18"/>
                <w:szCs w:val="18"/>
                <w:color w:val="000000"/>
              </w:rPr>
              <w:t>3</w:t>
            </w:r>
          </w:p>
        </w:tc>
        <w:tc>
          <w:tcPr>
            <w:tcW w:w="1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3"/>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Loss for the three and nine</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8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months ended September 30, 2024 and 2023 (unaudited)</w:t>
            </w:r>
          </w:p>
        </w:tc>
        <w:tc>
          <w:tcPr>
            <w:tcW w:w="240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3"/>
          </w:tcPr>
          <w:p>
            <w:pPr>
              <w:spacing w:after="0" w:line="196" w:lineRule="exact"/>
              <w:rPr>
                <w:sz w:val="20"/>
                <w:szCs w:val="20"/>
                <w:color w:val="auto"/>
              </w:rPr>
            </w:pPr>
            <w:r>
              <w:rPr>
                <w:rFonts w:ascii="Arial" w:cs="Arial" w:eastAsia="Arial" w:hAnsi="Arial"/>
                <w:sz w:val="18"/>
                <w:szCs w:val="18"/>
                <w:color w:val="0000EE"/>
              </w:rPr>
              <w:t>Consolidated Statements of Changes in Stockholders’ Equity for the three and nine months</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ended September 30, 2024 and 2023 (unaudited)</w:t>
            </w:r>
          </w:p>
        </w:tc>
        <w:tc>
          <w:tcPr>
            <w:tcW w:w="3300" w:type="dxa"/>
            <w:vAlign w:val="bottom"/>
            <w:tcBorders>
              <w:top w:val="single" w:sz="8" w:color="0000EE"/>
            </w:tcBorders>
            <w:gridSpan w:val="9"/>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3"/>
          </w:tcPr>
          <w:p>
            <w:pPr>
              <w:spacing w:after="0" w:line="196" w:lineRule="exact"/>
              <w:rPr>
                <w:sz w:val="20"/>
                <w:szCs w:val="20"/>
                <w:color w:val="auto"/>
              </w:rPr>
            </w:pPr>
            <w:r>
              <w:rPr>
                <w:rFonts w:ascii="Arial" w:cs="Arial" w:eastAsia="Arial" w:hAnsi="Arial"/>
                <w:sz w:val="18"/>
                <w:szCs w:val="18"/>
                <w:color w:val="0000EE"/>
              </w:rPr>
              <w:t>Consolidated Statements of Cash Flows for the nine months ended September 30, 2024</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and 2023 (unaudited)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3"/>
          </w:tcPr>
          <w:p>
            <w:pPr>
              <w:spacing w:after="0" w:line="19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color w:val="0000EE"/>
                <w:w w:val="94"/>
              </w:rPr>
              <w:t>Item 2.</w:t>
            </w:r>
          </w:p>
        </w:tc>
        <w:tc>
          <w:tcPr>
            <w:tcW w:w="340" w:type="dxa"/>
            <w:vAlign w:val="bottom"/>
            <w:gridSpan w:val="3"/>
            <w:vMerge w:val="restart"/>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line="20" w:lineRule="exact"/>
              <w:rPr>
                <w:sz w:val="1"/>
                <w:szCs w:val="1"/>
                <w:color w:val="auto"/>
              </w:rPr>
            </w:pPr>
          </w:p>
        </w:tc>
      </w:tr>
      <w:tr>
        <w:trPr>
          <w:trHeight w:val="196"/>
        </w:trPr>
        <w:tc>
          <w:tcPr>
            <w:tcW w:w="560" w:type="dxa"/>
            <w:vAlign w:val="bottom"/>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7360" w:type="dxa"/>
            <w:vAlign w:val="bottom"/>
            <w:gridSpan w:val="23"/>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4"/>
              </w:rPr>
              <w:t>Item 3.</w:t>
            </w:r>
          </w:p>
        </w:tc>
        <w:tc>
          <w:tcPr>
            <w:tcW w:w="340" w:type="dxa"/>
            <w:vAlign w:val="bottom"/>
            <w:gridSpan w:val="3"/>
          </w:tcPr>
          <w:p>
            <w:pPr>
              <w:spacing w:after="0"/>
              <w:rPr>
                <w:sz w:val="17"/>
                <w:szCs w:val="17"/>
                <w:color w:val="auto"/>
              </w:rPr>
            </w:pPr>
          </w:p>
        </w:tc>
        <w:tc>
          <w:tcPr>
            <w:tcW w:w="706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00" w:type="dxa"/>
            <w:vAlign w:val="bottom"/>
            <w:gridSpan w:val="3"/>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4"/>
              </w:rPr>
              <w:t>Item 4.</w:t>
            </w:r>
          </w:p>
        </w:tc>
        <w:tc>
          <w:tcPr>
            <w:tcW w:w="340" w:type="dxa"/>
            <w:vAlign w:val="bottom"/>
            <w:gridSpan w:val="3"/>
          </w:tcPr>
          <w:p>
            <w:pPr>
              <w:spacing w:after="0"/>
              <w:rPr>
                <w:sz w:val="17"/>
                <w:szCs w:val="17"/>
                <w:color w:val="auto"/>
              </w:rPr>
            </w:pPr>
          </w:p>
        </w:tc>
        <w:tc>
          <w:tcPr>
            <w:tcW w:w="470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Controls and Procedures</w:t>
            </w:r>
          </w:p>
        </w:tc>
        <w:tc>
          <w:tcPr>
            <w:tcW w:w="2660" w:type="dxa"/>
            <w:vAlign w:val="bottom"/>
            <w:gridSpan w:val="7"/>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5"/>
              </w:rPr>
              <w:t>PART II.</w:t>
            </w:r>
          </w:p>
        </w:tc>
        <w:tc>
          <w:tcPr>
            <w:tcW w:w="220" w:type="dxa"/>
            <w:vAlign w:val="bottom"/>
            <w:gridSpan w:val="2"/>
          </w:tcPr>
          <w:p>
            <w:pPr>
              <w:spacing w:after="0"/>
              <w:rPr>
                <w:sz w:val="24"/>
                <w:szCs w:val="24"/>
                <w:color w:val="auto"/>
              </w:rPr>
            </w:pPr>
          </w:p>
        </w:tc>
        <w:tc>
          <w:tcPr>
            <w:tcW w:w="19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w w:val="99"/>
              </w:rPr>
              <w:t>OTHER INFORMATION</w:t>
            </w:r>
          </w:p>
        </w:tc>
        <w:tc>
          <w:tcPr>
            <w:tcW w:w="5380" w:type="dxa"/>
            <w:vAlign w:val="bottom"/>
            <w:gridSpan w:val="14"/>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1.</w:t>
            </w:r>
          </w:p>
        </w:tc>
        <w:tc>
          <w:tcPr>
            <w:tcW w:w="340" w:type="dxa"/>
            <w:vAlign w:val="bottom"/>
            <w:gridSpan w:val="3"/>
          </w:tcPr>
          <w:p>
            <w:pPr>
              <w:spacing w:after="0"/>
              <w:rPr>
                <w:sz w:val="17"/>
                <w:szCs w:val="17"/>
                <w:color w:val="auto"/>
              </w:rPr>
            </w:pPr>
          </w:p>
        </w:tc>
        <w:tc>
          <w:tcPr>
            <w:tcW w:w="7360" w:type="dxa"/>
            <w:vAlign w:val="bottom"/>
            <w:gridSpan w:val="23"/>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60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8"/>
              </w:rPr>
              <w:t>Item 1A.</w:t>
            </w:r>
          </w:p>
        </w:tc>
        <w:tc>
          <w:tcPr>
            <w:tcW w:w="220" w:type="dxa"/>
            <w:vAlign w:val="bottom"/>
            <w:gridSpan w:val="2"/>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Risk Factors</w:t>
            </w:r>
          </w:p>
        </w:tc>
        <w:tc>
          <w:tcPr>
            <w:tcW w:w="6360" w:type="dxa"/>
            <w:vAlign w:val="bottom"/>
            <w:gridSpan w:val="19"/>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4"/>
            <w:vMerge w:val="restart"/>
          </w:tcPr>
          <w:p>
            <w:pPr>
              <w:spacing w:after="0"/>
              <w:rPr>
                <w:sz w:val="20"/>
                <w:szCs w:val="20"/>
                <w:color w:val="auto"/>
              </w:rPr>
            </w:pPr>
            <w:r>
              <w:rPr>
                <w:rFonts w:ascii="Arial" w:cs="Arial" w:eastAsia="Arial" w:hAnsi="Arial"/>
                <w:sz w:val="18"/>
                <w:szCs w:val="18"/>
                <w:color w:val="0000EE"/>
              </w:rPr>
              <w:t>Item 2.</w:t>
            </w:r>
          </w:p>
        </w:tc>
        <w:tc>
          <w:tcPr>
            <w:tcW w:w="714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9"/>
              </w:rPr>
              <w:t>Unregistered Sales of Equity Securities, Use of Proceeds, and Issuer Purchases of Equity</w:t>
            </w:r>
          </w:p>
        </w:tc>
        <w:tc>
          <w:tcPr>
            <w:tcW w:w="2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900" w:type="dxa"/>
            <w:vAlign w:val="bottom"/>
            <w:gridSpan w:val="4"/>
            <w:vMerge w:val="continue"/>
          </w:tcPr>
          <w:p>
            <w:pPr>
              <w:spacing w:after="0"/>
              <w:rPr>
                <w:sz w:val="6"/>
                <w:szCs w:val="6"/>
                <w:color w:val="auto"/>
              </w:rPr>
            </w:pPr>
          </w:p>
        </w:tc>
        <w:tc>
          <w:tcPr>
            <w:tcW w:w="7360" w:type="dxa"/>
            <w:vAlign w:val="bottom"/>
            <w:gridSpan w:val="23"/>
            <w:vMerge w:val="restart"/>
          </w:tcPr>
          <w:p>
            <w:pPr>
              <w:spacing w:after="0" w:line="182" w:lineRule="exact"/>
              <w:rPr>
                <w:sz w:val="20"/>
                <w:szCs w:val="20"/>
                <w:color w:val="auto"/>
              </w:rPr>
            </w:pPr>
            <w:r>
              <w:rPr>
                <w:rFonts w:ascii="Arial" w:cs="Arial" w:eastAsia="Arial" w:hAnsi="Arial"/>
                <w:sz w:val="18"/>
                <w:szCs w:val="18"/>
                <w:color w:val="0000EE"/>
              </w:rPr>
              <w:t>Securities</w:t>
            </w:r>
          </w:p>
        </w:tc>
        <w:tc>
          <w:tcPr>
            <w:tcW w:w="640" w:type="dxa"/>
            <w:vAlign w:val="bottom"/>
            <w:vMerge w:val="restart"/>
          </w:tcPr>
          <w:p>
            <w:pPr>
              <w:jc w:val="center"/>
              <w:spacing w:after="0" w:line="18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88"/>
        </w:trPr>
        <w:tc>
          <w:tcPr>
            <w:tcW w:w="560" w:type="dxa"/>
            <w:vAlign w:val="bottom"/>
            <w:tcBorders>
              <w:top w:val="single" w:sz="8" w:color="0000EE"/>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7360" w:type="dxa"/>
            <w:vAlign w:val="bottom"/>
            <w:gridSpan w:val="23"/>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color w:val="0000EE"/>
                <w:w w:val="94"/>
              </w:rPr>
              <w:t>Item 3.</w:t>
            </w:r>
          </w:p>
        </w:tc>
        <w:tc>
          <w:tcPr>
            <w:tcW w:w="340" w:type="dxa"/>
            <w:vAlign w:val="bottom"/>
            <w:gridSpan w:val="3"/>
            <w:vMerge w:val="restart"/>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20" w:type="dxa"/>
            <w:vAlign w:val="bottom"/>
            <w:gridSpan w:val="1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line="20" w:lineRule="exact"/>
              <w:rPr>
                <w:sz w:val="1"/>
                <w:szCs w:val="1"/>
                <w:color w:val="auto"/>
              </w:rPr>
            </w:pPr>
          </w:p>
        </w:tc>
      </w:tr>
      <w:tr>
        <w:trPr>
          <w:trHeight w:val="196"/>
        </w:trPr>
        <w:tc>
          <w:tcPr>
            <w:tcW w:w="560" w:type="dxa"/>
            <w:vAlign w:val="bottom"/>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7360" w:type="dxa"/>
            <w:vAlign w:val="bottom"/>
            <w:gridSpan w:val="23"/>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4"/>
              </w:rPr>
              <w:t>Item 4.</w:t>
            </w:r>
          </w:p>
        </w:tc>
        <w:tc>
          <w:tcPr>
            <w:tcW w:w="340" w:type="dxa"/>
            <w:vAlign w:val="bottom"/>
            <w:gridSpan w:val="3"/>
          </w:tcPr>
          <w:p>
            <w:pPr>
              <w:spacing w:after="0"/>
              <w:rPr>
                <w:sz w:val="17"/>
                <w:szCs w:val="17"/>
                <w:color w:val="auto"/>
              </w:rPr>
            </w:pPr>
          </w:p>
        </w:tc>
        <w:tc>
          <w:tcPr>
            <w:tcW w:w="25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Mine Safety Disclosures</w:t>
            </w:r>
          </w:p>
        </w:tc>
        <w:tc>
          <w:tcPr>
            <w:tcW w:w="4820" w:type="dxa"/>
            <w:vAlign w:val="bottom"/>
            <w:gridSpan w:val="1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4"/>
              </w:rPr>
              <w:t>Item 5.</w:t>
            </w:r>
          </w:p>
        </w:tc>
        <w:tc>
          <w:tcPr>
            <w:tcW w:w="340" w:type="dxa"/>
            <w:vAlign w:val="bottom"/>
            <w:gridSpan w:val="3"/>
          </w:tcPr>
          <w:p>
            <w:pPr>
              <w:spacing w:after="0"/>
              <w:rPr>
                <w:sz w:val="17"/>
                <w:szCs w:val="17"/>
                <w:color w:val="auto"/>
              </w:rPr>
            </w:pPr>
          </w:p>
        </w:tc>
        <w:tc>
          <w:tcPr>
            <w:tcW w:w="14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17"/>
                <w:szCs w:val="17"/>
                <w:color w:val="auto"/>
              </w:rPr>
            </w:pPr>
          </w:p>
        </w:tc>
        <w:tc>
          <w:tcPr>
            <w:tcW w:w="5440" w:type="dxa"/>
            <w:vAlign w:val="bottom"/>
            <w:gridSpan w:val="1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6.</w:t>
            </w:r>
          </w:p>
        </w:tc>
        <w:tc>
          <w:tcPr>
            <w:tcW w:w="340" w:type="dxa"/>
            <w:vAlign w:val="bottom"/>
            <w:gridSpan w:val="3"/>
          </w:tcPr>
          <w:p>
            <w:pPr>
              <w:spacing w:after="0"/>
              <w:rPr>
                <w:sz w:val="17"/>
                <w:szCs w:val="17"/>
                <w:color w:val="auto"/>
              </w:rPr>
            </w:pPr>
          </w:p>
        </w:tc>
        <w:tc>
          <w:tcPr>
            <w:tcW w:w="7360" w:type="dxa"/>
            <w:vAlign w:val="bottom"/>
            <w:gridSpan w:val="23"/>
          </w:tcPr>
          <w:p>
            <w:pPr>
              <w:spacing w:after="0" w:line="196" w:lineRule="exact"/>
              <w:rPr>
                <w:sz w:val="20"/>
                <w:szCs w:val="20"/>
                <w:color w:val="auto"/>
              </w:rPr>
            </w:pPr>
            <w:r>
              <w:rPr>
                <w:rFonts w:ascii="Arial" w:cs="Arial" w:eastAsia="Arial" w:hAnsi="Arial"/>
                <w:sz w:val="18"/>
                <w:szCs w:val="18"/>
                <w:color w:val="0000EE"/>
              </w:rPr>
              <w:t>Exhibits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line="20" w:lineRule="exact"/>
              <w:rPr>
                <w:sz w:val="1"/>
                <w:szCs w:val="1"/>
                <w:color w:val="auto"/>
              </w:rPr>
            </w:pP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0000EE"/>
              </w:rPr>
              <w:t>Signatures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Quarterly Report on Form 10-Q and the documents incorporated by reference herein contain forward-looking statements that involve substantial risks and uncertainties. All statements, other than statements of historical facts, included in this Quarterly Report on Form 10-Q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54"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3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spacing w:after="0" w:line="170"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54"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success of our lead product candidate, CNTY-101;</w:t>
      </w:r>
    </w:p>
    <w:p>
      <w:pPr>
        <w:spacing w:after="0" w:line="224" w:lineRule="exact"/>
        <w:rPr>
          <w:rFonts w:ascii="Times New Roman" w:cs="Times New Roman" w:eastAsia="Times New Roman" w:hAnsi="Times New Roman"/>
          <w:sz w:val="18"/>
          <w:szCs w:val="18"/>
          <w:color w:val="auto"/>
        </w:rPr>
      </w:pPr>
    </w:p>
    <w:p>
      <w:pPr>
        <w:jc w:val="both"/>
        <w:ind w:left="720" w:right="2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and autoimmune treatment of cancer, utilizing iPSC-derived natural killer cells (“iNK cells”) and iPSC-derived T cells (“iT cells”) and the challenges we will face due to the novel nature of such technology;</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224" w:lineRule="exact"/>
        <w:rPr>
          <w:rFonts w:ascii="Times New Roman" w:cs="Times New Roman" w:eastAsia="Times New Roman" w:hAnsi="Times New Roman"/>
          <w:sz w:val="18"/>
          <w:szCs w:val="18"/>
          <w:color w:val="auto"/>
        </w:rPr>
      </w:pPr>
    </w:p>
    <w:p>
      <w:pPr>
        <w:ind w:left="720" w:right="1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FUJIFILM Cellular Dynamics Inc. (“FCDI”) for access to key differentiation and reprogramming technology for the manufacturing and development of our product candidates;</w:t>
      </w:r>
    </w:p>
    <w:p>
      <w:pPr>
        <w:spacing w:after="0" w:line="170"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spacing w:after="0" w:line="154" w:lineRule="exact"/>
        <w:rPr>
          <w:rFonts w:ascii="Times New Roman" w:cs="Times New Roman" w:eastAsia="Times New Roman" w:hAnsi="Times New Roman"/>
          <w:sz w:val="18"/>
          <w:szCs w:val="18"/>
          <w:color w:val="auto"/>
        </w:rPr>
      </w:pPr>
    </w:p>
    <w:p>
      <w:pPr>
        <w:ind w:left="720" w:right="1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future investigational new drug (“IND”) applications and the likelihood of, and our ability to obtain and maintain, regulatory clearance of IND applications for our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5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170" w:lineRule="exact"/>
        <w:rPr>
          <w:rFonts w:ascii="Times New Roman" w:cs="Times New Roman" w:eastAsia="Times New Roman" w:hAnsi="Times New Roman"/>
          <w:sz w:val="18"/>
          <w:szCs w:val="18"/>
          <w:color w:val="auto"/>
        </w:rPr>
      </w:pPr>
    </w:p>
    <w:p>
      <w:pPr>
        <w:ind w:left="720" w:right="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Bristol-Myers Squibb Company (“Bristol-Myers Squibb”) in connection with the furtherance of our collaboration programs;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the anticipated benefits of our acquisition of Clade Therapeutics, Inc. (“Clade”);</w:t>
      </w:r>
    </w:p>
    <w:p>
      <w:pPr>
        <w:spacing w:after="0" w:line="224" w:lineRule="exact"/>
        <w:rPr>
          <w:rFonts w:ascii="Times New Roman" w:cs="Times New Roman" w:eastAsia="Times New Roman" w:hAnsi="Times New Roman"/>
          <w:sz w:val="18"/>
          <w:szCs w:val="18"/>
          <w:color w:val="auto"/>
        </w:rPr>
      </w:pPr>
    </w:p>
    <w:p>
      <w:pPr>
        <w:ind w:left="720" w:right="3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7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5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opinion and scrutiny of cell-based therapies and its potential impact on public perception of our company and product candidates;</w:t>
      </w:r>
    </w:p>
    <w:p>
      <w:pPr>
        <w:spacing w:after="0" w:line="154"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54"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224"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and retain key members of management and other clinical and scientific personnel;</w:t>
      </w:r>
    </w:p>
    <w:p>
      <w:pPr>
        <w:spacing w:after="0" w:line="235" w:lineRule="exact"/>
        <w:rPr>
          <w:rFonts w:ascii="Times New Roman" w:cs="Times New Roman" w:eastAsia="Times New Roman" w:hAnsi="Times New Roman"/>
          <w:sz w:val="17"/>
          <w:szCs w:val="17"/>
          <w:color w:val="auto"/>
        </w:rPr>
      </w:pPr>
    </w:p>
    <w:p>
      <w:pPr>
        <w:ind w:left="720" w:right="89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spacing w:after="0" w:line="131" w:lineRule="exact"/>
        <w:rPr>
          <w:rFonts w:ascii="Times New Roman" w:cs="Times New Roman" w:eastAsia="Times New Roman" w:hAnsi="Times New Roman"/>
          <w:sz w:val="17"/>
          <w:szCs w:val="17"/>
          <w:color w:val="auto"/>
        </w:rPr>
      </w:pPr>
    </w:p>
    <w:p>
      <w:pPr>
        <w:ind w:left="720" w:right="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pandemics, or any other global health crises may impact our business, including development activities, preclinical studies, clinical trials, supply chain and labor force;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II, Item 1A of this Quarterly Report on Form 10-Q, the section titled “Risk Factors” set forth in Part I, Item 1A of our Annual Report on Form 10-K for the year ended December 31, 2023 and the section titled “Risk Factors” set forth in Part II, Item 1A of our subsequent Quarterly Reports on Form 10-Q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61"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PART I—FINANCIAL INFORMATION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74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September 30, 2024</w:t>
            </w:r>
          </w:p>
        </w:tc>
        <w:tc>
          <w:tcPr>
            <w:tcW w:w="1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December 31, 2023</w:t>
            </w:r>
          </w:p>
        </w:tc>
      </w:tr>
      <w:tr>
        <w:trPr>
          <w:trHeight w:val="171"/>
        </w:trPr>
        <w:tc>
          <w:tcPr>
            <w:tcW w:w="2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28"/>
        </w:trPr>
        <w:tc>
          <w:tcPr>
            <w:tcW w:w="27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2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2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52,593</w:t>
            </w:r>
          </w:p>
        </w:tc>
        <w:tc>
          <w:tcPr>
            <w:tcW w:w="26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47,324</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145,519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125,414</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7,897</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4,256</w:t>
            </w:r>
          </w:p>
        </w:tc>
        <w:tc>
          <w:tcPr>
            <w:tcW w:w="280" w:type="dxa"/>
            <w:vAlign w:val="bottom"/>
            <w:tcBorders>
              <w:bottom w:val="single" w:sz="8" w:color="CCEEFF"/>
            </w:tcBorders>
          </w:tcPr>
          <w:p>
            <w:pPr>
              <w:spacing w:after="0"/>
              <w:rPr>
                <w:sz w:val="11"/>
                <w:szCs w:val="11"/>
                <w:color w:val="auto"/>
              </w:rPr>
            </w:pPr>
          </w:p>
        </w:tc>
      </w:tr>
      <w:tr>
        <w:trPr>
          <w:trHeight w:val="128"/>
        </w:trPr>
        <w:tc>
          <w:tcPr>
            <w:tcW w:w="2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206,009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176,994</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65,284</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71,705</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28,828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20,376</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2,839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1,979</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46,565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89,096</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Goodwill</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4,727</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Intangible assets</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33,800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Security deposits and non-current assets</w:t>
            </w:r>
          </w:p>
        </w:tc>
        <w:tc>
          <w:tcPr>
            <w:tcW w:w="2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565</w:t>
            </w: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541</w:t>
            </w:r>
          </w:p>
        </w:tc>
        <w:tc>
          <w:tcPr>
            <w:tcW w:w="280" w:type="dxa"/>
            <w:vAlign w:val="bottom"/>
            <w:shd w:val="clear" w:color="auto" w:fill="CCEEFF"/>
          </w:tcPr>
          <w:p>
            <w:pPr>
              <w:spacing w:after="0"/>
              <w:rPr>
                <w:sz w:val="11"/>
                <w:szCs w:val="11"/>
                <w:color w:val="auto"/>
              </w:rPr>
            </w:pPr>
          </w:p>
        </w:tc>
      </w:tr>
      <w:tr>
        <w:trPr>
          <w:trHeight w:val="168"/>
        </w:trPr>
        <w:tc>
          <w:tcPr>
            <w:tcW w:w="27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2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388,617</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360,691</w:t>
            </w:r>
          </w:p>
        </w:tc>
        <w:tc>
          <w:tcPr>
            <w:tcW w:w="280" w:type="dxa"/>
            <w:vAlign w:val="bottom"/>
            <w:tcBorders>
              <w:bottom w:val="single" w:sz="8" w:color="CCEEFF"/>
            </w:tcBorders>
          </w:tcPr>
          <w:p>
            <w:pPr>
              <w:spacing w:after="0"/>
              <w:rPr>
                <w:sz w:val="14"/>
                <w:szCs w:val="14"/>
                <w:color w:val="auto"/>
              </w:rPr>
            </w:pPr>
          </w:p>
        </w:tc>
      </w:tr>
      <w:tr>
        <w:trPr>
          <w:trHeight w:val="116"/>
        </w:trPr>
        <w:tc>
          <w:tcPr>
            <w:tcW w:w="2740" w:type="dxa"/>
            <w:vAlign w:val="bottom"/>
            <w:shd w:val="clear" w:color="auto" w:fill="CCEEFF"/>
          </w:tcPr>
          <w:p>
            <w:pPr>
              <w:spacing w:after="0"/>
              <w:rPr>
                <w:sz w:val="10"/>
                <w:szCs w:val="10"/>
                <w:color w:val="auto"/>
              </w:rPr>
            </w:pPr>
          </w:p>
        </w:tc>
        <w:tc>
          <w:tcPr>
            <w:tcW w:w="2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2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2,598</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2,741</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13,444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10,149</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584</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Deferred revenue, current</w:t>
            </w: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3,569</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4,372</w:t>
            </w:r>
          </w:p>
        </w:tc>
        <w:tc>
          <w:tcPr>
            <w:tcW w:w="280" w:type="dxa"/>
            <w:vAlign w:val="bottom"/>
            <w:tcBorders>
              <w:bottom w:val="single" w:sz="8" w:color="CCEEFF"/>
            </w:tcBorders>
          </w:tcPr>
          <w:p>
            <w:pPr>
              <w:spacing w:after="0"/>
              <w:rPr>
                <w:sz w:val="11"/>
                <w:szCs w:val="11"/>
                <w:color w:val="auto"/>
              </w:rPr>
            </w:pPr>
          </w:p>
        </w:tc>
      </w:tr>
      <w:tr>
        <w:trPr>
          <w:trHeight w:val="129"/>
        </w:trPr>
        <w:tc>
          <w:tcPr>
            <w:tcW w:w="2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19,820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17,846</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50,837</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46,658</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Security deposit, non-current</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Deposit liability, non-current</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Deferred revenue, non-current</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109,768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111,381</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Contingent consideration liability</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8,983</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Deferred tax liability</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3,503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29"/>
        </w:trPr>
        <w:tc>
          <w:tcPr>
            <w:tcW w:w="274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r>
      <w:tr>
        <w:trPr>
          <w:trHeight w:val="135"/>
        </w:trPr>
        <w:tc>
          <w:tcPr>
            <w:tcW w:w="274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b w:val="1"/>
                <w:bCs w:val="1"/>
                <w:color w:val="auto"/>
              </w:rPr>
              <w:t>Total liabilities</w:t>
            </w: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192,931</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175,941</w:t>
            </w:r>
          </w:p>
        </w:tc>
        <w:tc>
          <w:tcPr>
            <w:tcW w:w="280" w:type="dxa"/>
            <w:vAlign w:val="bottom"/>
            <w:tcBorders>
              <w:bottom w:val="single" w:sz="8" w:color="CCEEFF"/>
            </w:tcBorders>
          </w:tcPr>
          <w:p>
            <w:pPr>
              <w:spacing w:after="0"/>
              <w:rPr>
                <w:sz w:val="11"/>
                <w:szCs w:val="11"/>
                <w:color w:val="auto"/>
              </w:rPr>
            </w:pPr>
          </w:p>
        </w:tc>
      </w:tr>
      <w:tr>
        <w:trPr>
          <w:trHeight w:val="128"/>
        </w:trPr>
        <w:tc>
          <w:tcPr>
            <w:tcW w:w="27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9)</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17"/>
        </w:trPr>
        <w:tc>
          <w:tcPr>
            <w:tcW w:w="5020" w:type="dxa"/>
            <w:vAlign w:val="bottom"/>
            <w:gridSpan w:val="3"/>
          </w:tcPr>
          <w:p>
            <w:pPr>
              <w:ind w:left="20"/>
              <w:spacing w:after="0" w:line="117" w:lineRule="exact"/>
              <w:rPr>
                <w:sz w:val="20"/>
                <w:szCs w:val="20"/>
                <w:color w:val="auto"/>
              </w:rPr>
            </w:pPr>
            <w:r>
              <w:rPr>
                <w:rFonts w:ascii="Arial" w:cs="Arial" w:eastAsia="Arial" w:hAnsi="Arial"/>
                <w:sz w:val="13"/>
                <w:szCs w:val="13"/>
                <w:color w:val="auto"/>
              </w:rPr>
              <w:t>Preferred stock, $ 0.0001 par value, 10,000,000 shares authorized and 0 shares</w:t>
            </w: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53"/>
        </w:trPr>
        <w:tc>
          <w:tcPr>
            <w:tcW w:w="5020" w:type="dxa"/>
            <w:vAlign w:val="bottom"/>
            <w:gridSpan w:val="3"/>
          </w:tcPr>
          <w:p>
            <w:pPr>
              <w:ind w:left="20"/>
              <w:spacing w:after="0"/>
              <w:rPr>
                <w:sz w:val="20"/>
                <w:szCs w:val="20"/>
                <w:color w:val="auto"/>
              </w:rPr>
            </w:pPr>
            <w:r>
              <w:rPr>
                <w:rFonts w:ascii="Arial" w:cs="Arial" w:eastAsia="Arial" w:hAnsi="Arial"/>
                <w:sz w:val="13"/>
                <w:szCs w:val="13"/>
                <w:color w:val="auto"/>
              </w:rPr>
              <w:t>issued and outstanding at September 30, 2024 and December 31, 2023</w:t>
            </w:r>
          </w:p>
        </w:tc>
        <w:tc>
          <w:tcPr>
            <w:tcW w:w="18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117"/>
        </w:trPr>
        <w:tc>
          <w:tcPr>
            <w:tcW w:w="274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7"/>
              </w:rPr>
              <w:t>Common stock, $0.0001 par value, 300,000,000</w:t>
            </w:r>
          </w:p>
        </w:tc>
        <w:tc>
          <w:tcPr>
            <w:tcW w:w="2280" w:type="dxa"/>
            <w:vAlign w:val="bottom"/>
            <w:gridSpan w:val="2"/>
            <w:shd w:val="clear" w:color="auto" w:fill="CCEEFF"/>
          </w:tcPr>
          <w:p>
            <w:pPr>
              <w:jc w:val="right"/>
              <w:ind w:right="497"/>
              <w:spacing w:after="0" w:line="117" w:lineRule="exact"/>
              <w:rPr>
                <w:sz w:val="20"/>
                <w:szCs w:val="20"/>
                <w:color w:val="auto"/>
              </w:rPr>
            </w:pPr>
            <w:r>
              <w:rPr>
                <w:rFonts w:ascii="Arial" w:cs="Arial" w:eastAsia="Arial" w:hAnsi="Arial"/>
                <w:sz w:val="13"/>
                <w:szCs w:val="13"/>
                <w:color w:val="auto"/>
                <w:w w:val="96"/>
              </w:rPr>
              <w:t>shares authorized; 84,761,949</w:t>
            </w:r>
          </w:p>
        </w:tc>
        <w:tc>
          <w:tcPr>
            <w:tcW w:w="1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35"/>
        </w:trPr>
        <w:tc>
          <w:tcPr>
            <w:tcW w:w="502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and 60,335,701 shares issued and outstanding at September 30, 2024 and</w:t>
            </w: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5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2023, respectively</w:t>
            </w:r>
          </w:p>
        </w:tc>
        <w:tc>
          <w:tcPr>
            <w:tcW w:w="2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3"/>
                <w:szCs w:val="13"/>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941,185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840,407</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(746,266)</w:t>
            </w: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(655,771)</w:t>
            </w:r>
          </w:p>
        </w:tc>
      </w:tr>
      <w:tr>
        <w:trPr>
          <w:trHeight w:val="135"/>
        </w:trPr>
        <w:tc>
          <w:tcPr>
            <w:tcW w:w="274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Accumulated other comprehensive Income</w:t>
            </w: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758</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108</w:t>
            </w:r>
          </w:p>
        </w:tc>
        <w:tc>
          <w:tcPr>
            <w:tcW w:w="280" w:type="dxa"/>
            <w:vAlign w:val="bottom"/>
            <w:tcBorders>
              <w:bottom w:val="single" w:sz="8" w:color="CCEEFF"/>
            </w:tcBorders>
          </w:tcPr>
          <w:p>
            <w:pPr>
              <w:spacing w:after="0"/>
              <w:rPr>
                <w:sz w:val="11"/>
                <w:szCs w:val="11"/>
                <w:color w:val="auto"/>
              </w:rPr>
            </w:pPr>
          </w:p>
        </w:tc>
      </w:tr>
      <w:tr>
        <w:trPr>
          <w:trHeight w:val="128"/>
        </w:trPr>
        <w:tc>
          <w:tcPr>
            <w:tcW w:w="2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195,686</w:t>
            </w: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184,750</w:t>
            </w:r>
          </w:p>
        </w:tc>
        <w:tc>
          <w:tcPr>
            <w:tcW w:w="280" w:type="dxa"/>
            <w:vAlign w:val="bottom"/>
            <w:shd w:val="clear" w:color="auto" w:fill="CCEEFF"/>
          </w:tcPr>
          <w:p>
            <w:pPr>
              <w:spacing w:after="0"/>
              <w:rPr>
                <w:sz w:val="11"/>
                <w:szCs w:val="11"/>
                <w:color w:val="auto"/>
              </w:rPr>
            </w:pPr>
          </w:p>
        </w:tc>
      </w:tr>
      <w:tr>
        <w:trPr>
          <w:trHeight w:val="129"/>
        </w:trPr>
        <w:tc>
          <w:tcPr>
            <w:tcW w:w="27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12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388,617</w:t>
            </w:r>
          </w:p>
        </w:tc>
        <w:tc>
          <w:tcPr>
            <w:tcW w:w="26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360,691</w:t>
            </w:r>
          </w:p>
        </w:tc>
        <w:tc>
          <w:tcPr>
            <w:tcW w:w="280" w:type="dxa"/>
            <w:vAlign w:val="bottom"/>
          </w:tcPr>
          <w:p>
            <w:pPr>
              <w:spacing w:after="0"/>
              <w:rPr>
                <w:sz w:val="11"/>
                <w:szCs w:val="11"/>
                <w:color w:val="auto"/>
              </w:rPr>
            </w:pPr>
          </w:p>
        </w:tc>
      </w:tr>
      <w:tr>
        <w:trPr>
          <w:trHeight w:val="20"/>
        </w:trPr>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6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5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2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Nine Months Ended</w:t>
            </w: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Nine Months Ended</w:t>
            </w:r>
          </w:p>
        </w:tc>
        <w:tc>
          <w:tcPr>
            <w:tcW w:w="60" w:type="dxa"/>
            <w:vAlign w:val="bottom"/>
            <w:tcBorders>
              <w:right w:val="single" w:sz="8" w:color="auto"/>
            </w:tcBorders>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color w:val="auto"/>
              </w:rPr>
              <w:t>September 30, 2024</w:t>
            </w:r>
          </w:p>
        </w:tc>
        <w:tc>
          <w:tcPr>
            <w:tcW w:w="1580" w:type="dxa"/>
            <w:vAlign w:val="bottom"/>
            <w:gridSpan w:val="3"/>
          </w:tcPr>
          <w:p>
            <w:pPr>
              <w:ind w:left="40"/>
              <w:spacing w:after="0"/>
              <w:rPr>
                <w:sz w:val="20"/>
                <w:szCs w:val="20"/>
                <w:color w:val="auto"/>
              </w:rPr>
            </w:pPr>
            <w:r>
              <w:rPr>
                <w:rFonts w:ascii="Arial" w:cs="Arial" w:eastAsia="Arial" w:hAnsi="Arial"/>
                <w:sz w:val="14"/>
                <w:szCs w:val="14"/>
                <w:color w:val="auto"/>
              </w:rPr>
              <w:t>September 30, 2023</w:t>
            </w:r>
          </w:p>
        </w:tc>
        <w:tc>
          <w:tcPr>
            <w:tcW w:w="24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September 30, 2024</w:t>
            </w:r>
          </w:p>
        </w:tc>
        <w:tc>
          <w:tcPr>
            <w:tcW w:w="14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September 30, 2023</w:t>
            </w:r>
          </w:p>
        </w:tc>
      </w:tr>
      <w:tr>
        <w:trPr>
          <w:trHeight w:val="155"/>
        </w:trPr>
        <w:tc>
          <w:tcPr>
            <w:tcW w:w="26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Collaboration revenue</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1,967</w:t>
            </w:r>
          </w:p>
        </w:tc>
        <w:tc>
          <w:tcPr>
            <w:tcW w:w="60" w:type="dxa"/>
            <w:vAlign w:val="bottom"/>
            <w:tcBorders>
              <w:right w:val="single" w:sz="8" w:color="auto"/>
            </w:tcBorders>
            <w:shd w:val="clear" w:color="auto" w:fill="CCEEFF"/>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tcBorders>
              <w:right w:val="single" w:sz="8" w:color="auto"/>
            </w:tcBorders>
            <w:shd w:val="clear" w:color="auto" w:fill="CCEEFF"/>
          </w:tcPr>
          <w:p>
            <w:pPr>
              <w:spacing w:after="0"/>
              <w:rPr>
                <w:sz w:val="17"/>
                <w:szCs w:val="17"/>
                <w:color w:val="auto"/>
              </w:rPr>
            </w:pP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27,228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22,788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77,869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70,414</w:t>
            </w:r>
          </w:p>
        </w:tc>
        <w:tc>
          <w:tcPr>
            <w:tcW w:w="60" w:type="dxa"/>
            <w:vAlign w:val="bottom"/>
            <w:tcBorders>
              <w:right w:val="single" w:sz="8" w:color="auto"/>
            </w:tcBorders>
          </w:tcPr>
          <w:p>
            <w:pPr>
              <w:spacing w:after="0"/>
              <w:rPr>
                <w:sz w:val="17"/>
                <w:szCs w:val="17"/>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26,117</w:t>
            </w:r>
          </w:p>
        </w:tc>
        <w:tc>
          <w:tcPr>
            <w:tcW w:w="60" w:type="dxa"/>
            <w:vAlign w:val="bottom"/>
            <w:tcBorders>
              <w:right w:val="single" w:sz="8" w:color="auto"/>
            </w:tcBorders>
            <w:shd w:val="clear" w:color="auto" w:fill="CCEEFF"/>
          </w:tcPr>
          <w:p>
            <w:pPr>
              <w:spacing w:after="0"/>
              <w:rPr>
                <w:sz w:val="17"/>
                <w:szCs w:val="17"/>
                <w:color w:val="auto"/>
              </w:rPr>
            </w:pPr>
          </w:p>
        </w:tc>
      </w:tr>
      <w:tr>
        <w:trPr>
          <w:trHeight w:val="184"/>
        </w:trPr>
        <w:tc>
          <w:tcPr>
            <w:tcW w:w="2600" w:type="dxa"/>
            <w:vAlign w:val="bottom"/>
          </w:tcPr>
          <w:p>
            <w:pPr>
              <w:ind w:left="20"/>
              <w:spacing w:after="0" w:line="183" w:lineRule="exact"/>
              <w:rPr>
                <w:sz w:val="20"/>
                <w:szCs w:val="20"/>
                <w:color w:val="auto"/>
              </w:rPr>
            </w:pPr>
            <w:r>
              <w:rPr>
                <w:rFonts w:ascii="Arial" w:cs="Arial" w:eastAsia="Arial" w:hAnsi="Arial"/>
                <w:sz w:val="18"/>
                <w:szCs w:val="18"/>
                <w:color w:val="auto"/>
              </w:rPr>
              <w:t>In-process research and</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221"/>
        </w:trPr>
        <w:tc>
          <w:tcPr>
            <w:tcW w:w="260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Borders>
              <w:right w:val="single" w:sz="8" w:color="auto"/>
            </w:tcBorders>
          </w:tcPr>
          <w:p>
            <w:pPr>
              <w:spacing w:after="0"/>
              <w:rPr>
                <w:sz w:val="19"/>
                <w:szCs w:val="19"/>
                <w:color w:val="auto"/>
              </w:rPr>
            </w:pPr>
          </w:p>
        </w:tc>
      </w:tr>
      <w:tr>
        <w:trPr>
          <w:trHeight w:val="184"/>
        </w:trPr>
        <w:tc>
          <w:tcPr>
            <w:tcW w:w="26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Impairment of long-lived</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r>
      <w:tr>
        <w:trPr>
          <w:trHeight w:val="221"/>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60" w:type="dxa"/>
            <w:vAlign w:val="bottom"/>
            <w:tcBorders>
              <w:right w:val="single" w:sz="8" w:color="auto"/>
            </w:tcBorders>
            <w:shd w:val="clear" w:color="auto" w:fill="CCEEFF"/>
          </w:tcPr>
          <w:p>
            <w:pPr>
              <w:spacing w:after="0"/>
              <w:rPr>
                <w:sz w:val="19"/>
                <w:szCs w:val="19"/>
                <w:color w:val="auto"/>
              </w:rPr>
            </w:pPr>
          </w:p>
        </w:tc>
      </w:tr>
      <w:tr>
        <w:trPr>
          <w:trHeight w:val="196"/>
        </w:trPr>
        <w:tc>
          <w:tcPr>
            <w:tcW w:w="26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35,580</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35,774</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103,269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104,751</w:t>
            </w:r>
          </w:p>
        </w:tc>
        <w:tc>
          <w:tcPr>
            <w:tcW w:w="60" w:type="dxa"/>
            <w:vAlign w:val="bottom"/>
            <w:tcBorders>
              <w:bottom w:val="single" w:sz="8" w:color="CCEEFF"/>
              <w:right w:val="single" w:sz="8" w:color="auto"/>
            </w:tcBorders>
          </w:tcPr>
          <w:p>
            <w:pPr>
              <w:spacing w:after="0"/>
              <w:rPr>
                <w:sz w:val="17"/>
                <w:szCs w:val="17"/>
                <w:color w:val="auto"/>
              </w:rPr>
            </w:pPr>
          </w:p>
        </w:tc>
      </w:tr>
      <w:tr>
        <w:trPr>
          <w:trHeight w:val="196"/>
        </w:trPr>
        <w:tc>
          <w:tcPr>
            <w:tcW w:w="2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tcBorders>
              <w:right w:val="single" w:sz="8" w:color="auto"/>
            </w:tcBorders>
            <w:shd w:val="clear" w:color="auto" w:fill="CCEEFF"/>
          </w:tcPr>
          <w:p>
            <w:pPr>
              <w:spacing w:after="0"/>
              <w:rPr>
                <w:sz w:val="17"/>
                <w:szCs w:val="17"/>
                <w:color w:val="auto"/>
              </w:rPr>
            </w:pP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Loss from operations</w:t>
            </w:r>
          </w:p>
        </w:tc>
        <w:tc>
          <w:tcPr>
            <w:tcW w:w="26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(34,789)</w:t>
            </w:r>
          </w:p>
        </w:tc>
        <w:tc>
          <w:tcPr>
            <w:tcW w:w="26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(35,626)</w:t>
            </w:r>
          </w:p>
        </w:tc>
        <w:tc>
          <w:tcPr>
            <w:tcW w:w="24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(100,853)</w:t>
            </w:r>
          </w:p>
        </w:tc>
        <w:tc>
          <w:tcPr>
            <w:tcW w:w="28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(102,784)</w:t>
            </w:r>
          </w:p>
        </w:tc>
      </w:tr>
      <w:tr>
        <w:trPr>
          <w:trHeight w:val="203"/>
        </w:trPr>
        <w:tc>
          <w:tcPr>
            <w:tcW w:w="2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tcBorders>
              <w:right w:val="single" w:sz="8" w:color="auto"/>
            </w:tcBorders>
            <w:shd w:val="clear" w:color="auto" w:fill="CCEEFF"/>
          </w:tcPr>
          <w:p>
            <w:pPr>
              <w:spacing w:after="0"/>
              <w:rPr>
                <w:sz w:val="17"/>
                <w:szCs w:val="17"/>
                <w:color w:val="auto"/>
              </w:rPr>
            </w:pP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(540)</w:t>
            </w: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9,167</w:t>
            </w:r>
          </w:p>
        </w:tc>
        <w:tc>
          <w:tcPr>
            <w:tcW w:w="60" w:type="dxa"/>
            <w:vAlign w:val="bottom"/>
            <w:tcBorders>
              <w:right w:val="single" w:sz="8" w:color="auto"/>
            </w:tcBorders>
            <w:shd w:val="clear" w:color="auto" w:fill="CCEEFF"/>
          </w:tcPr>
          <w:p>
            <w:pPr>
              <w:spacing w:after="0"/>
              <w:rPr>
                <w:sz w:val="17"/>
                <w:szCs w:val="17"/>
                <w:color w:val="auto"/>
              </w:rPr>
            </w:pP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(368)</w:t>
            </w:r>
          </w:p>
        </w:tc>
      </w:tr>
      <w:tr>
        <w:trPr>
          <w:trHeight w:val="196"/>
        </w:trPr>
        <w:tc>
          <w:tcPr>
            <w:tcW w:w="26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other income</w:t>
            </w: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3,498</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10,374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8,259</w:t>
            </w:r>
          </w:p>
        </w:tc>
        <w:tc>
          <w:tcPr>
            <w:tcW w:w="60" w:type="dxa"/>
            <w:vAlign w:val="bottom"/>
            <w:tcBorders>
              <w:top w:val="single" w:sz="8" w:color="CCEEFF"/>
              <w:right w:val="single" w:sz="8" w:color="auto"/>
            </w:tcBorders>
            <w:shd w:val="clear" w:color="auto" w:fill="CCEEFF"/>
          </w:tcPr>
          <w:p>
            <w:pPr>
              <w:spacing w:after="0"/>
              <w:rPr>
                <w:sz w:val="17"/>
                <w:szCs w:val="17"/>
                <w:color w:val="auto"/>
              </w:rPr>
            </w:pPr>
          </w:p>
        </w:tc>
      </w:tr>
      <w:tr>
        <w:trPr>
          <w:trHeight w:val="184"/>
        </w:trPr>
        <w:tc>
          <w:tcPr>
            <w:tcW w:w="26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Loss before provision for</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221"/>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2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(31,234)</w:t>
            </w: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(32,128)</w:t>
            </w:r>
          </w:p>
        </w:tc>
        <w:tc>
          <w:tcPr>
            <w:tcW w:w="2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(90,479)</w:t>
            </w:r>
          </w:p>
        </w:tc>
        <w:tc>
          <w:tcPr>
            <w:tcW w:w="28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(94,525)</w:t>
            </w:r>
          </w:p>
        </w:tc>
      </w:tr>
      <w:tr>
        <w:trPr>
          <w:trHeight w:val="184"/>
        </w:trPr>
        <w:tc>
          <w:tcPr>
            <w:tcW w:w="26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Benefit (provision) for income</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r>
      <w:tr>
        <w:trPr>
          <w:trHeight w:val="221"/>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(2,750)</w:t>
            </w:r>
          </w:p>
        </w:tc>
      </w:tr>
      <w:tr>
        <w:trPr>
          <w:trHeight w:val="236"/>
        </w:trPr>
        <w:tc>
          <w:tcPr>
            <w:tcW w:w="26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(31,226)</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(32,720)</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(90,493)</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(97,275)</w:t>
            </w:r>
          </w:p>
        </w:tc>
        <w:tc>
          <w:tcPr>
            <w:tcW w:w="60" w:type="dxa"/>
            <w:vAlign w:val="bottom"/>
            <w:tcBorders>
              <w:bottom w:val="single" w:sz="8" w:color="CCEEFF"/>
              <w:right w:val="single" w:sz="8" w:color="auto"/>
            </w:tcBorders>
          </w:tcPr>
          <w:p>
            <w:pPr>
              <w:spacing w:after="0"/>
              <w:rPr>
                <w:sz w:val="20"/>
                <w:szCs w:val="20"/>
                <w:color w:val="auto"/>
              </w:rPr>
            </w:pPr>
          </w:p>
        </w:tc>
      </w:tr>
      <w:tr>
        <w:trPr>
          <w:trHeight w:val="183"/>
        </w:trPr>
        <w:tc>
          <w:tcPr>
            <w:tcW w:w="2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r>
      <w:tr>
        <w:trPr>
          <w:trHeight w:val="184"/>
        </w:trPr>
        <w:tc>
          <w:tcPr>
            <w:tcW w:w="2600" w:type="dxa"/>
            <w:vAlign w:val="bottom"/>
          </w:tcPr>
          <w:p>
            <w:pPr>
              <w:ind w:left="20"/>
              <w:spacing w:after="0" w:line="183" w:lineRule="exact"/>
              <w:rPr>
                <w:sz w:val="20"/>
                <w:szCs w:val="20"/>
                <w:color w:val="auto"/>
              </w:rPr>
            </w:pPr>
            <w:r>
              <w:rPr>
                <w:rFonts w:ascii="Arial" w:cs="Arial" w:eastAsia="Arial" w:hAnsi="Arial"/>
                <w:sz w:val="18"/>
                <w:szCs w:val="18"/>
                <w:color w:val="auto"/>
              </w:rPr>
              <w:t>Net loss per common share</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221"/>
        </w:trPr>
        <w:tc>
          <w:tcPr>
            <w:tcW w:w="260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(1.65)</w:t>
            </w:r>
          </w:p>
        </w:tc>
      </w:tr>
      <w:tr>
        <w:trPr>
          <w:trHeight w:val="184"/>
        </w:trPr>
        <w:tc>
          <w:tcPr>
            <w:tcW w:w="26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Weighted average common</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r>
      <w:tr>
        <w:trPr>
          <w:trHeight w:val="203"/>
        </w:trPr>
        <w:tc>
          <w:tcPr>
            <w:tcW w:w="2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outstanding</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tcBorders>
              <w:right w:val="single" w:sz="8" w:color="auto"/>
            </w:tcBorders>
            <w:shd w:val="clear" w:color="auto" w:fill="CCEEFF"/>
          </w:tcPr>
          <w:p>
            <w:pPr>
              <w:spacing w:after="0"/>
              <w:rPr>
                <w:sz w:val="17"/>
                <w:szCs w:val="17"/>
                <w:color w:val="auto"/>
              </w:rPr>
            </w:pPr>
          </w:p>
        </w:tc>
      </w:tr>
      <w:tr>
        <w:trPr>
          <w:trHeight w:val="221"/>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84,704,352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59,448,229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76,394,266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59,087,374</w:t>
            </w:r>
          </w:p>
        </w:tc>
        <w:tc>
          <w:tcPr>
            <w:tcW w:w="60" w:type="dxa"/>
            <w:vAlign w:val="bottom"/>
            <w:tcBorders>
              <w:right w:val="single" w:sz="8" w:color="auto"/>
            </w:tcBorders>
            <w:shd w:val="clear" w:color="auto" w:fill="CCEEFF"/>
          </w:tcPr>
          <w:p>
            <w:pPr>
              <w:spacing w:after="0"/>
              <w:rPr>
                <w:sz w:val="19"/>
                <w:szCs w:val="19"/>
                <w:color w:val="auto"/>
              </w:rPr>
            </w:pPr>
          </w:p>
        </w:tc>
      </w:tr>
      <w:tr>
        <w:trPr>
          <w:trHeight w:val="203"/>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r>
      <w:tr>
        <w:trPr>
          <w:trHeight w:val="203"/>
        </w:trPr>
        <w:tc>
          <w:tcPr>
            <w:tcW w:w="2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(31,226)</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(32,720)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(90,493)</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(97,275)</w:t>
            </w:r>
          </w:p>
        </w:tc>
      </w:tr>
      <w:tr>
        <w:trPr>
          <w:trHeight w:val="184"/>
        </w:trPr>
        <w:tc>
          <w:tcPr>
            <w:tcW w:w="2600" w:type="dxa"/>
            <w:vAlign w:val="bottom"/>
          </w:tcPr>
          <w:p>
            <w:pPr>
              <w:ind w:left="120"/>
              <w:spacing w:after="0" w:line="183" w:lineRule="exact"/>
              <w:rPr>
                <w:sz w:val="20"/>
                <w:szCs w:val="20"/>
                <w:color w:val="auto"/>
              </w:rPr>
            </w:pPr>
            <w:r>
              <w:rPr>
                <w:rFonts w:ascii="Arial" w:cs="Arial" w:eastAsia="Arial" w:hAnsi="Arial"/>
                <w:sz w:val="18"/>
                <w:szCs w:val="18"/>
                <w:color w:val="auto"/>
              </w:rPr>
              <w:t>Unrealized gain (loss) on</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r>
      <w:tr>
        <w:trPr>
          <w:trHeight w:val="221"/>
        </w:trPr>
        <w:tc>
          <w:tcPr>
            <w:tcW w:w="260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Borders>
              <w:right w:val="single" w:sz="8" w:color="auto"/>
            </w:tcBorders>
          </w:tcPr>
          <w:p>
            <w:pPr>
              <w:spacing w:after="0"/>
              <w:rPr>
                <w:sz w:val="19"/>
                <w:szCs w:val="19"/>
                <w:color w:val="auto"/>
              </w:rPr>
            </w:pPr>
          </w:p>
        </w:tc>
      </w:tr>
      <w:tr>
        <w:trPr>
          <w:trHeight w:val="184"/>
        </w:trPr>
        <w:tc>
          <w:tcPr>
            <w:tcW w:w="26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r>
      <w:tr>
        <w:trPr>
          <w:trHeight w:val="221"/>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gain</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196"/>
        </w:trPr>
        <w:tc>
          <w:tcPr>
            <w:tcW w:w="260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(30,159)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(32,817)</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(89,843)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(96,119)</w:t>
            </w:r>
          </w:p>
        </w:tc>
        <w:tc>
          <w:tcPr>
            <w:tcW w:w="60" w:type="dxa"/>
            <w:vAlign w:val="bottom"/>
            <w:tcBorders>
              <w:bottom w:val="single" w:sz="8" w:color="auto"/>
              <w:right w:val="single" w:sz="8" w:color="auto"/>
            </w:tcBorders>
          </w:tcPr>
          <w:p>
            <w:pPr>
              <w:spacing w:after="0"/>
              <w:rPr>
                <w:sz w:val="17"/>
                <w:szCs w:val="17"/>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jc w:val="center"/>
        <w:spacing w:after="0" w:line="186" w:lineRule="auto"/>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181" w:lineRule="auto"/>
        <w:rPr>
          <w:sz w:val="20"/>
          <w:szCs w:val="20"/>
          <w:color w:val="auto"/>
        </w:rPr>
      </w:pPr>
      <w:r>
        <w:rPr>
          <w:rFonts w:ascii="Arial" w:cs="Arial" w:eastAsia="Arial" w:hAnsi="Arial"/>
          <w:sz w:val="25"/>
          <w:szCs w:val="25"/>
          <w:b w:val="1"/>
          <w:bCs w:val="1"/>
          <w:color w:val="auto"/>
        </w:rPr>
        <w:t>(Unaudited)</w:t>
      </w: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64808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4"/>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center"/>
              <w:ind w:right="64"/>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5"/>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6"/>
        </w:trPr>
        <w:tc>
          <w:tcPr>
            <w:tcW w:w="39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4"/>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25"/>
              <w:spacing w:after="0" w:line="155" w:lineRule="exact"/>
              <w:rPr>
                <w:sz w:val="20"/>
                <w:szCs w:val="20"/>
                <w:color w:val="auto"/>
              </w:rPr>
            </w:pPr>
            <w:r>
              <w:rPr>
                <w:rFonts w:ascii="Arial" w:cs="Arial" w:eastAsia="Arial" w:hAnsi="Arial"/>
                <w:sz w:val="14"/>
                <w:szCs w:val="14"/>
                <w:color w:val="auto"/>
              </w:rPr>
              <w:t>Deficit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84"/>
              <w:spacing w:after="0" w:line="155" w:lineRule="exact"/>
              <w:rPr>
                <w:sz w:val="20"/>
                <w:szCs w:val="20"/>
                <w:color w:val="auto"/>
              </w:rPr>
            </w:pPr>
            <w:r>
              <w:rPr>
                <w:rFonts w:ascii="Arial" w:cs="Arial" w:eastAsia="Arial" w:hAnsi="Arial"/>
                <w:sz w:val="14"/>
                <w:szCs w:val="14"/>
                <w:color w:val="auto"/>
              </w:rPr>
              <w:t>Loss</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65"/>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5"/>
        </w:trPr>
        <w:tc>
          <w:tcPr>
            <w:tcW w:w="396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2023</w:t>
            </w:r>
          </w:p>
        </w:tc>
        <w:tc>
          <w:tcPr>
            <w:tcW w:w="7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60,335,701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840,407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(655,771)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184,750</w:t>
            </w:r>
          </w:p>
        </w:tc>
        <w:tc>
          <w:tcPr>
            <w:tcW w:w="0" w:type="dxa"/>
            <w:vAlign w:val="bottom"/>
          </w:tcPr>
          <w:p>
            <w:pPr>
              <w:spacing w:after="0"/>
              <w:rPr>
                <w:sz w:val="1"/>
                <w:szCs w:val="1"/>
                <w:color w:val="auto"/>
              </w:rPr>
            </w:pP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 and 2021 ESPP</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220,647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366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366</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24,734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34,900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142</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109,108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3960" w:type="dxa"/>
            <w:vAlign w:val="bottom"/>
          </w:tcPr>
          <w:p>
            <w:pPr>
              <w:spacing w:after="0" w:line="109" w:lineRule="exact"/>
              <w:rPr>
                <w:sz w:val="20"/>
                <w:szCs w:val="20"/>
                <w:color w:val="auto"/>
              </w:rPr>
            </w:pPr>
            <w:r>
              <w:rPr>
                <w:rFonts w:ascii="Arial" w:cs="Arial" w:eastAsia="Arial" w:hAnsi="Arial"/>
                <w:sz w:val="11"/>
                <w:szCs w:val="11"/>
                <w:color w:val="auto"/>
              </w:rPr>
              <w:t>Issuance of common stock upon the exercise of ATM, net of underwriting</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20"/>
                <w:szCs w:val="20"/>
                <w:color w:val="auto"/>
              </w:rPr>
            </w:pPr>
            <w:r>
              <w:rPr>
                <w:rFonts w:ascii="Arial" w:cs="Arial" w:eastAsia="Arial" w:hAnsi="Arial"/>
                <w:sz w:val="11"/>
                <w:szCs w:val="11"/>
                <w:color w:val="auto"/>
              </w:rPr>
              <w:t>discounts and commissions and other issuance costs</w:t>
            </w:r>
          </w:p>
        </w:tc>
        <w:tc>
          <w:tcPr>
            <w:tcW w:w="780" w:type="dxa"/>
            <w:vAlign w:val="bottom"/>
          </w:tcPr>
          <w:p>
            <w:pPr>
              <w:jc w:val="right"/>
              <w:spacing w:after="0"/>
              <w:rPr>
                <w:sz w:val="20"/>
                <w:szCs w:val="20"/>
                <w:color w:val="auto"/>
              </w:rPr>
            </w:pPr>
            <w:r>
              <w:rPr>
                <w:rFonts w:ascii="Arial" w:cs="Arial" w:eastAsia="Arial" w:hAnsi="Arial"/>
                <w:sz w:val="11"/>
                <w:szCs w:val="11"/>
                <w:color w:val="auto"/>
              </w:rPr>
              <w:t>4,084,502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17,829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17,829</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(351)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(351)</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3,207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3,207</w:t>
            </w:r>
          </w:p>
        </w:tc>
        <w:tc>
          <w:tcPr>
            <w:tcW w:w="0" w:type="dxa"/>
            <w:vAlign w:val="bottom"/>
          </w:tcPr>
          <w:p>
            <w:pPr>
              <w:spacing w:after="0"/>
              <w:rPr>
                <w:sz w:val="1"/>
                <w:szCs w:val="1"/>
                <w:color w:val="auto"/>
              </w:rPr>
            </w:pPr>
          </w:p>
        </w:tc>
      </w:tr>
      <w:tr>
        <w:trPr>
          <w:trHeight w:val="122"/>
        </w:trPr>
        <w:tc>
          <w:tcPr>
            <w:tcW w:w="396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(28,062)</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(28,062)</w:t>
            </w:r>
          </w:p>
        </w:tc>
        <w:tc>
          <w:tcPr>
            <w:tcW w:w="0" w:type="dxa"/>
            <w:vAlign w:val="bottom"/>
          </w:tcPr>
          <w:p>
            <w:pPr>
              <w:spacing w:after="0"/>
              <w:rPr>
                <w:sz w:val="1"/>
                <w:szCs w:val="1"/>
                <w:color w:val="auto"/>
              </w:rPr>
            </w:pPr>
          </w:p>
        </w:tc>
      </w:tr>
      <w:tr>
        <w:trPr>
          <w:trHeight w:val="115"/>
        </w:trPr>
        <w:tc>
          <w:tcPr>
            <w:tcW w:w="396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2024</w:t>
            </w: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64,809,592</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861,951</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(683,833)</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(241)</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177,883</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1"/>
                <w:szCs w:val="11"/>
                <w:color w:val="auto"/>
              </w:rPr>
              <w:t>Issuance of common stock upon the exercise of stock options and 2021 ESPP</w:t>
            </w: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60" w:type="dxa"/>
            <w:vAlign w:val="bottom"/>
            <w:vMerge w:val="continue"/>
          </w:tcPr>
          <w:p>
            <w:pPr>
              <w:spacing w:after="0"/>
              <w:rPr>
                <w:sz w:val="8"/>
                <w:szCs w:val="8"/>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1"/>
                <w:szCs w:val="11"/>
                <w:color w:val="auto"/>
              </w:rPr>
              <w:t>100,305</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103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103</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27,169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141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141</w:t>
            </w:r>
          </w:p>
        </w:tc>
        <w:tc>
          <w:tcPr>
            <w:tcW w:w="0" w:type="dxa"/>
            <w:vAlign w:val="bottom"/>
          </w:tcPr>
          <w:p>
            <w:pPr>
              <w:spacing w:after="0"/>
              <w:rPr>
                <w:sz w:val="1"/>
                <w:szCs w:val="1"/>
                <w:color w:val="auto"/>
              </w:rPr>
            </w:pP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Issuance of common stock in connection with the transaction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3,741,646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15,154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15,154</w:t>
            </w:r>
          </w:p>
        </w:tc>
        <w:tc>
          <w:tcPr>
            <w:tcW w:w="0" w:type="dxa"/>
            <w:vAlign w:val="bottom"/>
          </w:tcPr>
          <w:p>
            <w:pPr>
              <w:spacing w:after="0"/>
              <w:rPr>
                <w:sz w:val="1"/>
                <w:szCs w:val="1"/>
                <w:color w:val="auto"/>
              </w:rPr>
            </w:pPr>
          </w:p>
        </w:tc>
      </w:tr>
      <w:tr>
        <w:trPr>
          <w:trHeight w:val="108"/>
        </w:trPr>
        <w:tc>
          <w:tcPr>
            <w:tcW w:w="396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upon the exercise of PIPE, net of underwriting</w:t>
            </w: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20"/>
                <w:szCs w:val="20"/>
                <w:color w:val="auto"/>
              </w:rPr>
            </w:pPr>
            <w:r>
              <w:rPr>
                <w:rFonts w:ascii="Arial" w:cs="Arial" w:eastAsia="Arial" w:hAnsi="Arial"/>
                <w:sz w:val="11"/>
                <w:szCs w:val="11"/>
                <w:color w:val="auto"/>
              </w:rPr>
              <w:t>discounts and commissions and other issuance costs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15,873,011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56,593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56,595</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(102)</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34</w:t>
            </w:r>
          </w:p>
        </w:tc>
        <w:tc>
          <w:tcPr>
            <w:tcW w:w="0" w:type="dxa"/>
            <w:vAlign w:val="bottom"/>
          </w:tcPr>
          <w:p>
            <w:pPr>
              <w:spacing w:after="0"/>
              <w:rPr>
                <w:sz w:val="1"/>
                <w:szCs w:val="1"/>
                <w:color w:val="auto"/>
              </w:rPr>
            </w:pP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3,503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3,503</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(31,207)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(31,207)</w:t>
            </w:r>
          </w:p>
        </w:tc>
        <w:tc>
          <w:tcPr>
            <w:tcW w:w="0" w:type="dxa"/>
            <w:vAlign w:val="bottom"/>
          </w:tcPr>
          <w:p>
            <w:pPr>
              <w:spacing w:after="0"/>
              <w:rPr>
                <w:sz w:val="1"/>
                <w:szCs w:val="1"/>
                <w:color w:val="auto"/>
              </w:rPr>
            </w:pPr>
          </w:p>
        </w:tc>
      </w:tr>
      <w:tr>
        <w:trPr>
          <w:trHeight w:val="155"/>
        </w:trPr>
        <w:tc>
          <w:tcPr>
            <w:tcW w:w="396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Balance, June 30, 2024</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84,551,723</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937,445</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(715,040)</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(309)</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222,104</w:t>
            </w:r>
          </w:p>
        </w:tc>
        <w:tc>
          <w:tcPr>
            <w:tcW w:w="0" w:type="dxa"/>
            <w:vAlign w:val="bottom"/>
          </w:tcPr>
          <w:p>
            <w:pPr>
              <w:spacing w:after="0"/>
              <w:rPr>
                <w:sz w:val="1"/>
                <w:szCs w:val="1"/>
                <w:color w:val="auto"/>
              </w:rPr>
            </w:pPr>
          </w:p>
        </w:tc>
      </w:tr>
      <w:tr>
        <w:trPr>
          <w:trHeight w:val="102"/>
        </w:trPr>
        <w:tc>
          <w:tcPr>
            <w:tcW w:w="396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Issuance of common stock upon the exercise of stock options and 2021 ESPP</w:t>
            </w:r>
          </w:p>
        </w:tc>
        <w:tc>
          <w:tcPr>
            <w:tcW w:w="7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159,428</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281</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282</w:t>
            </w:r>
          </w:p>
        </w:tc>
        <w:tc>
          <w:tcPr>
            <w:tcW w:w="0" w:type="dxa"/>
            <w:vAlign w:val="bottom"/>
          </w:tcPr>
          <w:p>
            <w:pPr>
              <w:spacing w:after="0"/>
              <w:rPr>
                <w:sz w:val="1"/>
                <w:szCs w:val="1"/>
                <w:color w:val="auto"/>
              </w:rPr>
            </w:pP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27,169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141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141</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23,629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1,075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1,075</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(8)</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3,318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3,318</w:t>
            </w:r>
          </w:p>
        </w:tc>
        <w:tc>
          <w:tcPr>
            <w:tcW w:w="0" w:type="dxa"/>
            <w:vAlign w:val="bottom"/>
          </w:tcPr>
          <w:p>
            <w:pPr>
              <w:spacing w:after="0"/>
              <w:rPr>
                <w:sz w:val="1"/>
                <w:szCs w:val="1"/>
                <w:color w:val="auto"/>
              </w:rPr>
            </w:pPr>
          </w:p>
        </w:tc>
      </w:tr>
      <w:tr>
        <w:trPr>
          <w:trHeight w:val="121"/>
        </w:trPr>
        <w:tc>
          <w:tcPr>
            <w:tcW w:w="396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(31,226)</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(31,226)</w:t>
            </w:r>
          </w:p>
        </w:tc>
        <w:tc>
          <w:tcPr>
            <w:tcW w:w="0" w:type="dxa"/>
            <w:vAlign w:val="bottom"/>
          </w:tcPr>
          <w:p>
            <w:pPr>
              <w:spacing w:after="0"/>
              <w:rPr>
                <w:sz w:val="1"/>
                <w:szCs w:val="1"/>
                <w:color w:val="auto"/>
              </w:rPr>
            </w:pPr>
          </w:p>
        </w:tc>
      </w:tr>
      <w:tr>
        <w:trPr>
          <w:trHeight w:val="115"/>
        </w:trPr>
        <w:tc>
          <w:tcPr>
            <w:tcW w:w="396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September 30, 2024</w:t>
            </w: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84,761,949</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941,185</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(746,266)</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758</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195,686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351790</wp:posOffset>
            </wp:positionV>
            <wp:extent cx="64808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2" w:right="8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360680</wp:posOffset>
            </wp:positionV>
            <wp:extent cx="64808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4"/>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05"/>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rPr>
              <w:t>Accumulated</w:t>
            </w: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90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3"/>
                <w:szCs w:val="13"/>
                <w:color w:val="auto"/>
              </w:rPr>
            </w:pPr>
          </w:p>
        </w:tc>
        <w:tc>
          <w:tcPr>
            <w:tcW w:w="660" w:type="dxa"/>
            <w:vAlign w:val="bottom"/>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64"/>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3"/>
                <w:szCs w:val="13"/>
                <w:color w:val="auto"/>
              </w:rPr>
            </w:pPr>
          </w:p>
        </w:tc>
        <w:tc>
          <w:tcPr>
            <w:tcW w:w="100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rPr>
              <w:t>Loss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125"/>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5"/>
        </w:trPr>
        <w:tc>
          <w:tcPr>
            <w:tcW w:w="39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58,473,660</w:t>
            </w:r>
          </w:p>
        </w:tc>
        <w:tc>
          <w:tcPr>
            <w:tcW w:w="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824,292</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(519,098)</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(2,462)</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302,738</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452,102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448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448</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95,877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85,145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269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269</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gain on investments</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1,196</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3,797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3,797</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(31,264)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(31,264)</w:t>
            </w:r>
          </w:p>
        </w:tc>
        <w:tc>
          <w:tcPr>
            <w:tcW w:w="0" w:type="dxa"/>
            <w:vAlign w:val="bottom"/>
          </w:tcPr>
          <w:p>
            <w:pPr>
              <w:spacing w:after="0"/>
              <w:rPr>
                <w:sz w:val="1"/>
                <w:szCs w:val="1"/>
                <w:color w:val="auto"/>
              </w:rPr>
            </w:pPr>
          </w:p>
        </w:tc>
      </w:tr>
      <w:tr>
        <w:trPr>
          <w:trHeight w:val="115"/>
        </w:trPr>
        <w:tc>
          <w:tcPr>
            <w:tcW w:w="39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2023</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59,106,784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828,806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(550,362)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(1,275)</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277,175</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1"/>
                <w:szCs w:val="11"/>
                <w:color w:val="auto"/>
              </w:rPr>
              <w:t>Issuance of common stock upon the exercise of stock options</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60" w:type="dxa"/>
            <w:vAlign w:val="bottom"/>
            <w:vMerge w:val="continue"/>
          </w:tcPr>
          <w:p>
            <w:pPr>
              <w:spacing w:after="0"/>
              <w:rPr>
                <w:sz w:val="8"/>
                <w:szCs w:val="8"/>
                <w:color w:val="auto"/>
              </w:rPr>
            </w:pPr>
          </w:p>
        </w:tc>
        <w:tc>
          <w:tcPr>
            <w:tcW w:w="7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118,567</w:t>
            </w: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125</w:t>
            </w: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83,645</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Unrealized gain on investments</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59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3,285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3,285</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(33,291)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(33,291)</w:t>
            </w:r>
          </w:p>
        </w:tc>
        <w:tc>
          <w:tcPr>
            <w:tcW w:w="0" w:type="dxa"/>
            <w:vAlign w:val="bottom"/>
          </w:tcPr>
          <w:p>
            <w:pPr>
              <w:spacing w:after="0"/>
              <w:rPr>
                <w:sz w:val="1"/>
                <w:szCs w:val="1"/>
                <w:color w:val="auto"/>
              </w:rPr>
            </w:pPr>
          </w:p>
        </w:tc>
      </w:tr>
      <w:tr>
        <w:trPr>
          <w:trHeight w:val="155"/>
        </w:trPr>
        <w:tc>
          <w:tcPr>
            <w:tcW w:w="396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Balance, June 30, 2023</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59,308,996</w:t>
            </w:r>
          </w:p>
        </w:tc>
        <w:tc>
          <w:tcPr>
            <w:tcW w:w="1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832,425</w:t>
            </w: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(583,653)</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(1,207)</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247,571</w:t>
            </w:r>
          </w:p>
        </w:tc>
        <w:tc>
          <w:tcPr>
            <w:tcW w:w="0" w:type="dxa"/>
            <w:vAlign w:val="bottom"/>
          </w:tcPr>
          <w:p>
            <w:pPr>
              <w:spacing w:after="0"/>
              <w:rPr>
                <w:sz w:val="1"/>
                <w:szCs w:val="1"/>
                <w:color w:val="auto"/>
              </w:rPr>
            </w:pPr>
          </w:p>
        </w:tc>
      </w:tr>
      <w:tr>
        <w:trPr>
          <w:trHeight w:val="102"/>
        </w:trPr>
        <w:tc>
          <w:tcPr>
            <w:tcW w:w="396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Issuance of common stock upon the exercise of stock options</w:t>
            </w:r>
          </w:p>
        </w:tc>
        <w:tc>
          <w:tcPr>
            <w:tcW w:w="7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131,074</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299</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299</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74,512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199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199</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gain on investments</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(95)</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(95)</w:t>
            </w:r>
          </w:p>
        </w:tc>
        <w:tc>
          <w:tcPr>
            <w:tcW w:w="0" w:type="dxa"/>
            <w:vAlign w:val="bottom"/>
          </w:tcPr>
          <w:p>
            <w:pPr>
              <w:spacing w:after="0"/>
              <w:rPr>
                <w:sz w:val="1"/>
                <w:szCs w:val="1"/>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3,978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3,978</w:t>
            </w:r>
          </w:p>
        </w:tc>
        <w:tc>
          <w:tcPr>
            <w:tcW w:w="0" w:type="dxa"/>
            <w:vAlign w:val="bottom"/>
          </w:tcPr>
          <w:p>
            <w:pPr>
              <w:spacing w:after="0"/>
              <w:rPr>
                <w:sz w:val="1"/>
                <w:szCs w:val="1"/>
                <w:color w:val="auto"/>
              </w:rPr>
            </w:pPr>
          </w:p>
        </w:tc>
      </w:tr>
      <w:tr>
        <w:trPr>
          <w:trHeight w:val="121"/>
        </w:trPr>
        <w:tc>
          <w:tcPr>
            <w:tcW w:w="39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(32,720)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(32,720)</w:t>
            </w:r>
          </w:p>
        </w:tc>
        <w:tc>
          <w:tcPr>
            <w:tcW w:w="0" w:type="dxa"/>
            <w:vAlign w:val="bottom"/>
          </w:tcPr>
          <w:p>
            <w:pPr>
              <w:spacing w:after="0"/>
              <w:rPr>
                <w:sz w:val="1"/>
                <w:szCs w:val="1"/>
                <w:color w:val="auto"/>
              </w:rPr>
            </w:pPr>
          </w:p>
        </w:tc>
      </w:tr>
      <w:tr>
        <w:trPr>
          <w:trHeight w:val="115"/>
        </w:trPr>
        <w:tc>
          <w:tcPr>
            <w:tcW w:w="39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September 30, 2023</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59,514,582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836,901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(616,373)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(1,304)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219,230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351790</wp:posOffset>
            </wp:positionV>
            <wp:extent cx="64808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2" w:right="85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color w:val="auto"/>
              </w:rPr>
              <w:t>Nine Months Ended</w:t>
            </w:r>
          </w:p>
        </w:tc>
        <w:tc>
          <w:tcPr>
            <w:tcW w:w="140" w:type="dxa"/>
            <w:vAlign w:val="bottom"/>
          </w:tcPr>
          <w:p>
            <w:pPr>
              <w:spacing w:after="0"/>
              <w:rPr>
                <w:sz w:val="14"/>
                <w:szCs w:val="14"/>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color w:val="auto"/>
              </w:rPr>
              <w:t>September 30, 2024</w:t>
            </w:r>
          </w:p>
        </w:tc>
        <w:tc>
          <w:tcPr>
            <w:tcW w:w="140" w:type="dxa"/>
            <w:vAlign w:val="bottom"/>
          </w:tcPr>
          <w:p>
            <w:pPr>
              <w:spacing w:after="0"/>
              <w:rPr>
                <w:sz w:val="16"/>
                <w:szCs w:val="16"/>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color w:val="auto"/>
              </w:rPr>
              <w:t>September 30, 2023</w:t>
            </w:r>
          </w:p>
        </w:tc>
        <w:tc>
          <w:tcPr>
            <w:tcW w:w="0" w:type="dxa"/>
            <w:vAlign w:val="bottom"/>
          </w:tcPr>
          <w:p>
            <w:pPr>
              <w:spacing w:after="0"/>
              <w:rPr>
                <w:sz w:val="1"/>
                <w:szCs w:val="1"/>
                <w:color w:val="auto"/>
              </w:rPr>
            </w:pPr>
          </w:p>
        </w:tc>
      </w:tr>
      <w:tr>
        <w:trPr>
          <w:trHeight w:val="143"/>
        </w:trPr>
        <w:tc>
          <w:tcPr>
            <w:tcW w:w="4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(90,493)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900" w:type="dxa"/>
            <w:vAlign w:val="bottom"/>
            <w:gridSpan w:val="2"/>
          </w:tcPr>
          <w:p>
            <w:pPr>
              <w:jc w:val="right"/>
              <w:ind w:right="380"/>
              <w:spacing w:after="0"/>
              <w:rPr>
                <w:sz w:val="20"/>
                <w:szCs w:val="20"/>
                <w:color w:val="auto"/>
              </w:rPr>
            </w:pPr>
            <w:r>
              <w:rPr>
                <w:rFonts w:ascii="Arial" w:cs="Arial" w:eastAsia="Arial" w:hAnsi="Arial"/>
                <w:sz w:val="14"/>
                <w:szCs w:val="14"/>
                <w:color w:val="auto"/>
              </w:rPr>
              <w:t>(97,275)</w:t>
            </w:r>
          </w:p>
        </w:tc>
        <w:tc>
          <w:tcPr>
            <w:tcW w:w="0" w:type="dxa"/>
            <w:vAlign w:val="bottom"/>
          </w:tcPr>
          <w:p>
            <w:pPr>
              <w:spacing w:after="0"/>
              <w:rPr>
                <w:sz w:val="1"/>
                <w:szCs w:val="1"/>
                <w:color w:val="auto"/>
              </w:rPr>
            </w:pPr>
          </w:p>
        </w:tc>
      </w:tr>
      <w:tr>
        <w:trPr>
          <w:trHeight w:val="153"/>
        </w:trPr>
        <w:tc>
          <w:tcPr>
            <w:tcW w:w="49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b w:val="1"/>
                <w:bCs w:val="1"/>
                <w:color w:val="auto"/>
              </w:rPr>
              <w:t>Adjustments to reconcile net loss to net cash used in operating</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activities: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9,986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9,492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Non-cash operating lease expense (benefit)</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(394)</w:t>
            </w:r>
          </w:p>
        </w:tc>
        <w:tc>
          <w:tcPr>
            <w:tcW w:w="140" w:type="dxa"/>
            <w:vAlign w:val="bottom"/>
          </w:tcPr>
          <w:p>
            <w:pPr>
              <w:spacing w:after="0"/>
              <w:rPr>
                <w:sz w:val="14"/>
                <w:szCs w:val="14"/>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11,060</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Impairment</w:t>
            </w:r>
          </w:p>
        </w:tc>
        <w:tc>
          <w:tcPr>
            <w:tcW w:w="120" w:type="dxa"/>
            <w:vAlign w:val="bottom"/>
          </w:tcPr>
          <w:p>
            <w:pPr>
              <w:spacing w:after="0"/>
              <w:rPr>
                <w:sz w:val="14"/>
                <w:szCs w:val="14"/>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4,220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Amortization/accretion of investments</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(3,779)</w:t>
            </w:r>
          </w:p>
        </w:tc>
        <w:tc>
          <w:tcPr>
            <w:tcW w:w="14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Change in fair value of contingent liabilities</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(1,111)</w:t>
            </w:r>
          </w:p>
        </w:tc>
        <w:tc>
          <w:tcPr>
            <w:tcW w:w="140" w:type="dxa"/>
            <w:vAlign w:val="bottom"/>
          </w:tcPr>
          <w:p>
            <w:pPr>
              <w:spacing w:after="0"/>
              <w:rPr>
                <w:sz w:val="14"/>
                <w:szCs w:val="14"/>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Decrease in lease liability due to lease termination</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Escrow deposit</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(2,863)</w:t>
            </w: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408</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liability</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(2,599)</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11,447</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(2,416)</w:t>
            </w:r>
          </w:p>
        </w:tc>
        <w:tc>
          <w:tcPr>
            <w:tcW w:w="140" w:type="dxa"/>
            <w:vAlign w:val="bottom"/>
          </w:tcPr>
          <w:p>
            <w:pPr>
              <w:spacing w:after="0"/>
              <w:rPr>
                <w:sz w:val="14"/>
                <w:szCs w:val="14"/>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4"/>
                <w:szCs w:val="14"/>
                <w:color w:val="auto"/>
              </w:rPr>
              <w:t>(1,967)</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(1,946)</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(1,304)</w:t>
            </w: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1,657</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Non-current security deposit</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12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(85,912)</w:t>
            </w:r>
          </w:p>
        </w:tc>
        <w:tc>
          <w:tcPr>
            <w:tcW w:w="2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(62,118)</w:t>
            </w:r>
          </w:p>
        </w:tc>
        <w:tc>
          <w:tcPr>
            <w:tcW w:w="3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property and equipment</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(12,756)</w:t>
            </w: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(102,145)</w:t>
            </w:r>
          </w:p>
        </w:tc>
        <w:tc>
          <w:tcPr>
            <w:tcW w:w="140" w:type="dxa"/>
            <w:vAlign w:val="bottom"/>
          </w:tcPr>
          <w:p>
            <w:pPr>
              <w:spacing w:after="0"/>
              <w:rPr>
                <w:sz w:val="14"/>
                <w:szCs w:val="14"/>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4"/>
                <w:szCs w:val="14"/>
                <w:color w:val="auto"/>
              </w:rPr>
              <w:t>(199,342)</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128,608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254,627</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Acquisition of Clade Therapeutics, Inc., net of cash acquired</w:t>
            </w:r>
          </w:p>
        </w:tc>
        <w:tc>
          <w:tcPr>
            <w:tcW w:w="1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4"/>
                <w:szCs w:val="14"/>
                <w:color w:val="auto"/>
              </w:rPr>
              <w:t>(9,608)</w:t>
            </w:r>
          </w:p>
        </w:tc>
        <w:tc>
          <w:tcPr>
            <w:tcW w:w="140" w:type="dxa"/>
            <w:vAlign w:val="bottom"/>
          </w:tcPr>
          <w:p>
            <w:pPr>
              <w:spacing w:after="0"/>
              <w:rPr>
                <w:sz w:val="14"/>
                <w:szCs w:val="14"/>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9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provided by investing activities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16,876</w:t>
            </w: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42,529</w:t>
            </w:r>
          </w:p>
        </w:tc>
        <w:tc>
          <w:tcPr>
            <w:tcW w:w="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 and ESPP</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Payments on long term debt</w:t>
            </w:r>
          </w:p>
        </w:tc>
        <w:tc>
          <w:tcPr>
            <w:tcW w:w="120" w:type="dxa"/>
            <w:vAlign w:val="bottom"/>
          </w:tcPr>
          <w:p>
            <w:pPr>
              <w:spacing w:after="0"/>
              <w:rPr>
                <w:sz w:val="14"/>
                <w:szCs w:val="14"/>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4"/>
                <w:szCs w:val="14"/>
                <w:color w:val="auto"/>
              </w:rPr>
              <w:t>(10,241)</w:t>
            </w: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ATM, net of issuance costs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17,829</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Proceeds from PIPE, net of issuance costs</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56,593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980" w:type="dxa"/>
            <w:vAlign w:val="bottom"/>
            <w:tcBorders>
              <w:top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75,165</w:t>
            </w: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(9,369)</w:t>
            </w:r>
          </w:p>
        </w:tc>
        <w:tc>
          <w:tcPr>
            <w:tcW w:w="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80" w:type="dxa"/>
            <w:vAlign w:val="bottom"/>
            <w:shd w:val="clear" w:color="auto" w:fill="CCEEFF"/>
          </w:tcPr>
          <w:p>
            <w:pPr>
              <w:ind w:left="340"/>
              <w:spacing w:after="0" w:line="153" w:lineRule="exact"/>
              <w:rPr>
                <w:sz w:val="20"/>
                <w:szCs w:val="20"/>
                <w:color w:val="auto"/>
              </w:rPr>
            </w:pPr>
            <w:r>
              <w:rPr>
                <w:rFonts w:ascii="Arial" w:cs="Arial" w:eastAsia="Arial" w:hAnsi="Arial"/>
                <w:sz w:val="14"/>
                <w:szCs w:val="14"/>
                <w:b w:val="1"/>
                <w:bCs w:val="1"/>
                <w:color w:val="auto"/>
              </w:rPr>
              <w:t>Net increase (decrease) in cash, cash equivalents, and</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restricted cash</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6,129</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(28,958)</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49,303</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86,244</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55,432</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57,286</w:t>
            </w:r>
          </w:p>
        </w:tc>
        <w:tc>
          <w:tcPr>
            <w:tcW w:w="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80" w:type="dxa"/>
            <w:vAlign w:val="bottom"/>
          </w:tcPr>
          <w:p>
            <w:pPr>
              <w:ind w:left="140"/>
              <w:spacing w:after="0"/>
              <w:rPr>
                <w:sz w:val="20"/>
                <w:szCs w:val="20"/>
                <w:color w:val="auto"/>
              </w:rPr>
            </w:pPr>
            <w:r>
              <w:rPr>
                <w:rFonts w:ascii="Arial" w:cs="Arial" w:eastAsia="Arial" w:hAnsi="Arial"/>
                <w:sz w:val="14"/>
                <w:szCs w:val="14"/>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586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80" w:type="dxa"/>
            <w:vAlign w:val="bottom"/>
            <w:tcBorders>
              <w:top w:val="single" w:sz="8" w:color="CCEEFF"/>
              <w:bottom w:val="single" w:sz="8" w:color="CCEEFF"/>
            </w:tcBorders>
            <w:shd w:val="clear" w:color="auto" w:fill="CCEEFF"/>
          </w:tcPr>
          <w:p>
            <w:pPr>
              <w:ind w:left="140"/>
              <w:spacing w:after="0" w:line="143" w:lineRule="exact"/>
              <w:rPr>
                <w:sz w:val="20"/>
                <w:szCs w:val="20"/>
                <w:color w:val="auto"/>
              </w:rPr>
            </w:pPr>
            <w:r>
              <w:rPr>
                <w:rFonts w:ascii="Arial" w:cs="Arial" w:eastAsia="Arial" w:hAnsi="Arial"/>
                <w:sz w:val="14"/>
                <w:szCs w:val="14"/>
                <w:color w:val="auto"/>
              </w:rPr>
              <w:t>Cash paid for income tax</w:t>
            </w:r>
          </w:p>
        </w:tc>
        <w:tc>
          <w:tcPr>
            <w:tcW w:w="1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911</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activities: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Stock issued in connection with the Acquisition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15,154</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80" w:type="dxa"/>
            <w:vAlign w:val="bottom"/>
            <w:tcBorders>
              <w:bottom w:val="single" w:sz="8" w:color="CCEEFF"/>
            </w:tcBorders>
            <w:shd w:val="clear" w:color="auto" w:fill="CCEEFF"/>
          </w:tcPr>
          <w:p>
            <w:pPr>
              <w:ind w:left="120"/>
              <w:spacing w:after="0" w:line="143" w:lineRule="exact"/>
              <w:rPr>
                <w:sz w:val="20"/>
                <w:szCs w:val="20"/>
                <w:color w:val="auto"/>
              </w:rPr>
            </w:pPr>
            <w:r>
              <w:rPr>
                <w:rFonts w:ascii="Arial" w:cs="Arial" w:eastAsia="Arial" w:hAnsi="Arial"/>
                <w:sz w:val="14"/>
                <w:szCs w:val="14"/>
                <w:color w:val="auto"/>
              </w:rPr>
              <w:t>Purchase of property and equipment, accrued and unpaid</w:t>
            </w: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54</w:t>
            </w:r>
          </w:p>
        </w:tc>
        <w:tc>
          <w:tcPr>
            <w:tcW w:w="3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120"/>
              <w:spacing w:after="0"/>
              <w:rPr>
                <w:sz w:val="20"/>
                <w:szCs w:val="20"/>
                <w:color w:val="auto"/>
              </w:rPr>
            </w:pPr>
            <w:r>
              <w:rPr>
                <w:rFonts w:ascii="Arial" w:cs="Arial" w:eastAsia="Arial" w:hAnsi="Arial"/>
                <w:sz w:val="14"/>
                <w:szCs w:val="14"/>
                <w:color w:val="auto"/>
              </w:rPr>
              <w:t>Landlord paid leasehold improvements</w:t>
            </w: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8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934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both solid tumor and hematological malignancies and autoimmune diseases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183"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the Company’s subsidiaries, Century Therapeutics Canada ULC (“Century Canada”), Clade Therapeutics (“Clade”) and Gadeta B.V. (“Gadeta”). All intercompany balances and transactions have been eliminated in consolidation.</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95"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Since inception, the Company has incurred net losses and negative cash flows from operations. During the three and nine months ended September 30, 2024, the Company incurred a net loss of $31,226 and $ 90,493, respectively. During the nine months ended September 30, 2024, the Company used $85,912 of cash in operations. Cash and cash equivalents and investments were $244,677 at September 30, 2024.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(“U.S. GAAP”) for interim financial information and with the interim period reporting requirements of Form 10-Q and Article 10 of Regulation S-X. The consolidated balance sheet as of September 30, 2024, and the consolidated statements of operations and comprehensive loss, consolidated statements of changes in stockholders’ equity, and the consolidated statements of cash flows for the nine months ended September 30, 2024 and 2023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2024 or for any other subsequent interim period. The consolidated balance sheet at December 31, 2023 has been derived from the Company’s audited consolidated financial statements.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Certain prior year information has been reclassified to conform to the fiscal year 2024 presentation.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83"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6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intangible assets acquired in business combinations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September 30, 2024 and December 31, 2023, the Company has not experienced any losses on its deposits of cash and cash equivalents.</w:t>
      </w:r>
    </w:p>
    <w:p>
      <w:pPr>
        <w:spacing w:after="0" w:line="138"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49"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Products developed by the Company require clearances from the U.S. Food and Drug Administration (the “FDA”)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6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44" w:lineRule="exact"/>
        <w:rPr>
          <w:sz w:val="20"/>
          <w:szCs w:val="20"/>
          <w:color w:val="auto"/>
        </w:rPr>
      </w:pPr>
    </w:p>
    <w:p>
      <w:pPr>
        <w:ind w:left="700" w:right="359" w:hanging="647"/>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13" w:lineRule="exact"/>
        <w:rPr>
          <w:sz w:val="20"/>
          <w:szCs w:val="20"/>
          <w:color w:val="auto"/>
        </w:rPr>
      </w:pPr>
    </w:p>
    <w:p>
      <w:pPr>
        <w:ind w:left="700" w:right="279" w:hanging="647"/>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39" w:hanging="647"/>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1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69"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83"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As of September 30, 2024 and December 31, 2023, the Company had $2,839 and $1,979, respectively in cash on deposit to secure certain lease commitments. Restricted cash is recorded separately in the Company’s consolidated balance sheets.</w:t>
      </w:r>
    </w:p>
    <w:p>
      <w:pPr>
        <w:spacing w:after="0" w:line="128"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September 30, 2024</w:t>
            </w: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2023</w:t>
            </w:r>
          </w:p>
        </w:tc>
      </w:tr>
      <w:tr>
        <w:trPr>
          <w:trHeight w:val="196"/>
        </w:trPr>
        <w:tc>
          <w:tcPr>
            <w:tcW w:w="6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52,593</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47,324</w:t>
            </w:r>
          </w:p>
        </w:tc>
      </w:tr>
      <w:tr>
        <w:trPr>
          <w:trHeight w:val="203"/>
        </w:trPr>
        <w:tc>
          <w:tcPr>
            <w:tcW w:w="61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2,839</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r>
      <w:tr>
        <w:trPr>
          <w:trHeight w:val="196"/>
        </w:trPr>
        <w:tc>
          <w:tcPr>
            <w:tcW w:w="6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55,432</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49,303</w:t>
            </w:r>
          </w:p>
        </w:tc>
      </w:tr>
      <w:tr>
        <w:trPr>
          <w:trHeight w:val="20"/>
        </w:trPr>
        <w:tc>
          <w:tcPr>
            <w:tcW w:w="6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16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loss on the consolidated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18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3"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Black 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6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The functional currency of Gadeta is the Euro. Assets and liabilities of Century Canada and Gadeta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and comprehensive loss. The Company has not utilized any foreign currency hedging strategies to mitigate the effect of its foreign currency exposure.</w:t>
      </w:r>
    </w:p>
    <w:p>
      <w:pPr>
        <w:spacing w:after="0" w:line="127" w:lineRule="exact"/>
        <w:rPr>
          <w:sz w:val="20"/>
          <w:szCs w:val="20"/>
          <w:color w:val="auto"/>
        </w:rPr>
      </w:pPr>
    </w:p>
    <w:p>
      <w:pPr>
        <w:jc w:val="both"/>
        <w:ind w:left="60" w:right="259"/>
        <w:spacing w:after="0" w:line="275"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is anti-dilutive during periods of net loss, there were no differences between the Company’s basic and diluted net loss per common share for the three and nine months ended September 30, 2024 and 2023.</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69"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3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5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43"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deferred revenue, current. Amounts not expected to be recognized as revenue within the 12 months following the balance sheet date are classified as deferred revenue, non-current.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53"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2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18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Acquisition-related contingent consideration consist of our future obligation owed to shareholders of Clade and Gadeta and includes contingent milestone payments, earn out considerations, and indemnification obligations. Acquisition-related contingent consideration was recorded on the acquisition date at the estimated fair value of the obligation, in accordance with the acquisition method of accounting. The fair value measurement is based on significant inputs that are unobservable in the market and thus represents a Level 3 fair value measurement. The fair value of the acquisition-related contingent considerations are remeasured each reporting period, with changes in fair value recorded in the consolidated statements of operations and comprehensive loss with general and administrative expense.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Combinations</w:t>
      </w:r>
    </w:p>
    <w:p>
      <w:pPr>
        <w:spacing w:after="0" w:line="169" w:lineRule="exact"/>
        <w:rPr>
          <w:sz w:val="20"/>
          <w:szCs w:val="20"/>
          <w:color w:val="auto"/>
        </w:rPr>
      </w:pPr>
    </w:p>
    <w:p>
      <w:pPr>
        <w:jc w:val="both"/>
        <w:ind w:left="60" w:right="79"/>
        <w:spacing w:after="0" w:line="242" w:lineRule="auto"/>
        <w:rPr>
          <w:sz w:val="20"/>
          <w:szCs w:val="20"/>
          <w:color w:val="auto"/>
        </w:rPr>
      </w:pPr>
      <w:r>
        <w:rPr>
          <w:rFonts w:ascii="Arial" w:cs="Arial" w:eastAsia="Arial" w:hAnsi="Arial"/>
          <w:sz w:val="18"/>
          <w:szCs w:val="18"/>
          <w:color w:val="auto"/>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 identifiable assets and liabilities is recorded as goodwill. Acquisition related costs are expensed as incurred. Upon acquisition, the accounts and results of operations are consolidated as of and subsequent to the acquisition date.</w:t>
      </w:r>
    </w:p>
    <w:p>
      <w:pPr>
        <w:spacing w:after="0" w:line="7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When determining the fair values of assets acquired and liabilities assumed, management makes significant estimates and assumptions, especially with respect to intangible assets. The Company utilizes commonly accepted valuation techniques, such as the income approach in establishing the fair value of intangible assets. See “Note 3 – Business combination” for additional detail.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 and Intangible Assets</w:t>
      </w:r>
    </w:p>
    <w:p>
      <w:pPr>
        <w:spacing w:after="0" w:line="18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Goodwill represents the excess of the purchase price over the net amount of identifiable assets acquired and liabilities assumed in a business combination measured at fair value. Goodwill is not amortized but is tested for impairment at least annually. The Company reviews goodwill for impairment annually in the fourth quarter and whenever events or changes in circumstances indicate that the fair value of a reporting unit may be less than its carrying amount (a “triggering event”). Triggering events may include a sustained period where the Company’s carrying value is in excess of its market capitalization or adverse changes in business climate. The Company first assesses qualitative factors to determine whether it is more likely than not that the fair value of its reporting unit is less than its carrying amount as a basis for determining whether it is necessary to perform the quantitative goodwill impairment test described in ASC Topic 350, Intangibles – Goodwill and Other. The more likely than not threshold is defined as having a likelihood of more than 50 percent. If, after assessing the totality of events or circumstances, the Company determines that it is not more likely than not that the fair value of a reporting unit is less than its carrying amount, then performing the quantitative goodwill impairment test is unnecessary and goodwill is considered to be unimpaired. However, if based on the qualitative assessment the Company concludes that it is more likely than not that the fair value of a reporting unit is less than its carrying amount, the Company will proceed with performing the quantitative goodwill impairment test. In performing the quantitative goodwill impairment test, the Company determines the fair value of its reporting unit and compares it to its carrying value. If the fair value of the reporting unit exceeds the carrying value of the net assets assigned to that unit, goodwill is not impaired. If the carrying value of the reporting unit exceeds its fair value, the Company records an impairment loss equal to the difference. For the three and nine months ended September 30, 2024 there were no impairment charges.</w:t>
      </w:r>
    </w:p>
    <w:p>
      <w:pPr>
        <w:spacing w:after="0" w:line="15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Indefinite-lived intangibles are carried at the initially recorded fair value less any recognized impairment. Indefinite-lived intangibles are tested at least annually for impairment. Impairment assessments are conducted more frequently if certain conditions exist, including a change in the competitive landscape, any internal decisions to pursue new or different technology strategies, or a significant change in the marketplace, including changes in the size of the market for the Company’s products. In performing the impairment test, the Company estimates the fair value of the indefinite-lived intangible asset and compares it to the carrying value. If they carrying value exceeds the estimated fair value, the Company records an impairment loss for the difference. For the three and nine months ended September 30, 2024, there were no impairment charges. For further discussion of identified intangible assets, see “Note 3 – Business Combination”.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("ASU 2023-09"). ASU 2023-09 requires entities to provide additional information in their tax rate reconciliation and additional disclosures about income taxes paid by jurisdiction. ASU 2023-09 is effective for annual reporting periods beginning after December 15, 2024, with early adoption permitted. The guidance should be applied prospectively, but entities have the option to apply it retrospectively for each period presented. The Company is currently evaluating the impact of adopting this new accounting guidance.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In November 2023, the Financial Accounting Standard Board ("FASB") issued Accounting Standards Update ("ASU") No. 2023-07, Segment Reporting (Topic 280): Improvements to Reportable Segment Disclosures, which requires disclosure of incremental segment information on an interim and annual basis. This ASU is effective for fiscal years beginning after December 15, 2023, and interim periods within fiscal periods beginning after December 15, 2024, and requires retrospective application to all prior periods presented in the financial statements. The Company is currently evaluating the impact of the guidance on the financial statements and disclosures.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 – Business combination</w:t>
      </w:r>
    </w:p>
    <w:p>
      <w:pPr>
        <w:spacing w:after="0" w:line="173" w:lineRule="exact"/>
        <w:rPr>
          <w:sz w:val="20"/>
          <w:szCs w:val="20"/>
          <w:color w:val="auto"/>
        </w:rPr>
      </w:pPr>
    </w:p>
    <w:p>
      <w:pPr>
        <w:ind w:left="60" w:right="139"/>
        <w:spacing w:after="0" w:line="227" w:lineRule="auto"/>
        <w:rPr>
          <w:sz w:val="20"/>
          <w:szCs w:val="20"/>
          <w:color w:val="auto"/>
        </w:rPr>
      </w:pPr>
      <w:r>
        <w:rPr>
          <w:rFonts w:ascii="Arial" w:cs="Arial" w:eastAsia="Arial" w:hAnsi="Arial"/>
          <w:sz w:val="18"/>
          <w:szCs w:val="18"/>
          <w:color w:val="auto"/>
        </w:rPr>
        <w:t>On April 11, 2024, the Company acquired 100% of Clade, a privately held biotechnology company focused on discovering and delivering engineerable, off-the-shelf, scalable, and consistent stem cell-based medicines, with a focus on iPSC-derived αβ T cells. The acquisition brings us novel technology enhancing our efforts on Allo-Evasion</w:t>
      </w:r>
      <w:r>
        <w:rPr>
          <w:rFonts w:ascii="Arial" w:cs="Arial" w:eastAsia="Arial" w:hAnsi="Arial"/>
          <w:sz w:val="26"/>
          <w:szCs w:val="26"/>
          <w:color w:val="231F20"/>
          <w:vertAlign w:val="superscript"/>
        </w:rPr>
        <w:t>TM</w:t>
      </w:r>
      <w:r>
        <w:rPr>
          <w:rFonts w:ascii="Arial" w:cs="Arial" w:eastAsia="Arial" w:hAnsi="Arial"/>
          <w:sz w:val="18"/>
          <w:szCs w:val="18"/>
          <w:color w:val="auto"/>
        </w:rPr>
        <w:t xml:space="preserve"> and a newly expanded pipeline incorporating three additional preclinical-stage programs from Clade’s αβ iT platform spanning across cancer and autoimmune diseases. The results of Clade’s operations have been included in the consolidated financial statements since that date. A total of 3,741,646 common shares were issued to the Clade shareholders on the date of close, which were valued based on the closing price of common stock on that date.</w:t>
      </w:r>
    </w:p>
    <w:p>
      <w:pPr>
        <w:spacing w:after="0" w:line="14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Contingent consideration was estimated at fair value on the date of the close and consists of both additional stock consideration (“Holdback Shares”) as well as a contingent milestone payment of $10,000 (“Clade Milestone”). The Holdback Shares total up to 793,687 shares of common stock consideration which will be issued and delivered to the sellers on the eighteen-month anniversary of the Closing Date, subject to potential reduction based on indemnification claims favoring the Company, if any. This contingent consideration was recorded at fair value as of the closing date, based on the closing stock price on that date, adjusted for a discount for lack of marketability, and totaled $2,600. Contingent consideration also includes the Clade Milestone, which consists of one potential clinical development milestone payment of $ 10,000, which may be paid in cash, shares, or a combination thereof, upon the achievement of the milestone. The fair value of this contingent consideration was estimated based on the probability of milestone achievement, and an estimated discount rate, and totaled $7,100.</w:t>
      </w:r>
    </w:p>
    <w:p>
      <w:pPr>
        <w:spacing w:after="0" w:line="159"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Company recognized $895 of acquisition-related costs during the nine months ended September 30, 2024, which were expensed as incurred in the consolidated statement of operations.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the provisional fair values of the assets acquired and liabilities assumed at the date of the acquisition:</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20"/>
                <w:szCs w:val="20"/>
                <w:color w:val="auto"/>
              </w:rPr>
              <w:t>Consideration transferred:</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Cash consideration</w:t>
            </w:r>
          </w:p>
        </w:tc>
        <w:tc>
          <w:tcPr>
            <w:tcW w:w="800" w:type="dxa"/>
            <w:vAlign w:val="bottom"/>
            <w:gridSpan w:val="2"/>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14,854</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Fair value of common stock (3,741,646 at closing price of $4.05)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15,154</w:t>
            </w:r>
          </w:p>
        </w:tc>
      </w:tr>
      <w:tr>
        <w:trPr>
          <w:trHeight w:val="216"/>
        </w:trPr>
        <w:tc>
          <w:tcPr>
            <w:tcW w:w="6740" w:type="dxa"/>
            <w:vAlign w:val="bottom"/>
            <w:tcBorders>
              <w:bottom w:val="single" w:sz="8" w:color="CCEEFF"/>
            </w:tcBorders>
          </w:tcPr>
          <w:p>
            <w:pPr>
              <w:ind w:left="100"/>
              <w:spacing w:after="0" w:line="216" w:lineRule="exact"/>
              <w:rPr>
                <w:sz w:val="20"/>
                <w:szCs w:val="20"/>
                <w:color w:val="auto"/>
              </w:rPr>
            </w:pPr>
            <w:r>
              <w:rPr>
                <w:rFonts w:ascii="Arial" w:cs="Arial" w:eastAsia="Arial" w:hAnsi="Arial"/>
                <w:sz w:val="20"/>
                <w:szCs w:val="20"/>
                <w:color w:val="auto"/>
              </w:rPr>
              <w:t>Contingent consideration</w:t>
            </w: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9,722</w:t>
            </w:r>
          </w:p>
        </w:tc>
      </w:tr>
      <w:tr>
        <w:trPr>
          <w:trHeight w:val="209"/>
        </w:trPr>
        <w:tc>
          <w:tcPr>
            <w:tcW w:w="6740" w:type="dxa"/>
            <w:vAlign w:val="bottom"/>
            <w:tcBorders>
              <w:bottom w:val="single" w:sz="8" w:color="CCEEFF"/>
            </w:tcBorders>
            <w:shd w:val="clear" w:color="auto" w:fill="CCEEFF"/>
          </w:tcPr>
          <w:p>
            <w:pPr>
              <w:ind w:left="220"/>
              <w:spacing w:after="0" w:line="209" w:lineRule="exact"/>
              <w:rPr>
                <w:sz w:val="20"/>
                <w:szCs w:val="20"/>
                <w:color w:val="auto"/>
              </w:rPr>
            </w:pPr>
            <w:r>
              <w:rPr>
                <w:rFonts w:ascii="Arial" w:cs="Arial" w:eastAsia="Arial" w:hAnsi="Arial"/>
                <w:sz w:val="20"/>
                <w:szCs w:val="20"/>
                <w:color w:val="auto"/>
              </w:rPr>
              <w:t>Total consideration transferred</w:t>
            </w: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39,730</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Assets acquired: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Cash and restricted cash</w:t>
            </w:r>
          </w:p>
        </w:tc>
        <w:tc>
          <w:tcPr>
            <w:tcW w:w="800" w:type="dxa"/>
            <w:vAlign w:val="bottom"/>
            <w:gridSpan w:val="2"/>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5,246</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Prepaid expenses and other assets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400</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Property and equipment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2,652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Right-of-use operating lease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8,065</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In-process research and development ("IPR&amp;D")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33,800</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Goodwill</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4,727</w:t>
            </w:r>
          </w:p>
        </w:tc>
      </w:tr>
      <w:tr>
        <w:trPr>
          <w:trHeight w:val="250"/>
        </w:trPr>
        <w:tc>
          <w:tcPr>
            <w:tcW w:w="6740" w:type="dxa"/>
            <w:vAlign w:val="bottom"/>
            <w:tcBorders>
              <w:bottom w:val="single" w:sz="8" w:color="CCEEFF"/>
            </w:tcBorders>
          </w:tcPr>
          <w:p>
            <w:pPr>
              <w:ind w:left="220"/>
              <w:spacing w:after="0" w:line="209" w:lineRule="exact"/>
              <w:rPr>
                <w:sz w:val="20"/>
                <w:szCs w:val="20"/>
                <w:color w:val="auto"/>
              </w:rPr>
            </w:pPr>
            <w:r>
              <w:rPr>
                <w:rFonts w:ascii="Arial" w:cs="Arial" w:eastAsia="Arial" w:hAnsi="Arial"/>
                <w:sz w:val="20"/>
                <w:szCs w:val="20"/>
                <w:color w:val="auto"/>
              </w:rPr>
              <w:t>Total assets acquired</w:t>
            </w:r>
          </w:p>
        </w:tc>
        <w:tc>
          <w:tcPr>
            <w:tcW w:w="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54,890</w:t>
            </w:r>
          </w:p>
        </w:tc>
      </w:tr>
      <w:tr>
        <w:trPr>
          <w:trHeight w:val="197"/>
        </w:trPr>
        <w:tc>
          <w:tcPr>
            <w:tcW w:w="6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Liabilities assumed: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Accounts payable</w:t>
            </w:r>
          </w:p>
        </w:tc>
        <w:tc>
          <w:tcPr>
            <w:tcW w:w="800" w:type="dxa"/>
            <w:vAlign w:val="bottom"/>
            <w:gridSpan w:val="2"/>
            <w:shd w:val="clear" w:color="auto" w:fill="CCEEFF"/>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868</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Accrued expenses and other current liabilities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2,352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Lease liabilities - operating lease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8,065</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Contingent consideration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372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Deferred tax liability</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3,503</w:t>
            </w:r>
          </w:p>
        </w:tc>
      </w:tr>
      <w:tr>
        <w:trPr>
          <w:trHeight w:val="210"/>
        </w:trPr>
        <w:tc>
          <w:tcPr>
            <w:tcW w:w="6740" w:type="dxa"/>
            <w:vAlign w:val="bottom"/>
            <w:tcBorders>
              <w:bottom w:val="single" w:sz="8" w:color="CCEEFF"/>
            </w:tcBorders>
          </w:tcPr>
          <w:p>
            <w:pPr>
              <w:ind w:left="220"/>
              <w:spacing w:after="0" w:line="209" w:lineRule="exact"/>
              <w:rPr>
                <w:sz w:val="20"/>
                <w:szCs w:val="20"/>
                <w:color w:val="auto"/>
              </w:rPr>
            </w:pPr>
            <w:r>
              <w:rPr>
                <w:rFonts w:ascii="Arial" w:cs="Arial" w:eastAsia="Arial" w:hAnsi="Arial"/>
                <w:sz w:val="20"/>
                <w:szCs w:val="20"/>
                <w:color w:val="auto"/>
              </w:rPr>
              <w:t>Total liabilities assumed</w:t>
            </w: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15,160</w:t>
            </w:r>
          </w:p>
        </w:tc>
      </w:tr>
      <w:tr>
        <w:trPr>
          <w:trHeight w:val="210"/>
        </w:trPr>
        <w:tc>
          <w:tcPr>
            <w:tcW w:w="6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09"/>
        </w:trPr>
        <w:tc>
          <w:tcPr>
            <w:tcW w:w="6740" w:type="dxa"/>
            <w:vAlign w:val="bottom"/>
          </w:tcPr>
          <w:p>
            <w:pPr>
              <w:ind w:left="100"/>
              <w:spacing w:after="0" w:line="209" w:lineRule="exact"/>
              <w:rPr>
                <w:sz w:val="20"/>
                <w:szCs w:val="20"/>
                <w:color w:val="auto"/>
              </w:rPr>
            </w:pPr>
            <w:r>
              <w:rPr>
                <w:rFonts w:ascii="Arial" w:cs="Arial" w:eastAsia="Arial" w:hAnsi="Arial"/>
                <w:sz w:val="20"/>
                <w:szCs w:val="20"/>
                <w:color w:val="auto"/>
              </w:rPr>
              <w:t>Net assets acquired</w:t>
            </w: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39,730</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amounts above represent the Company's provisional fair value estimates related to the acquisition as of April 11, 2024 and are subject to subsequent adjustments as additional information is obtained during the applicable measurement period. The primary areas of estimates that are not yet finalized include the valuation of the identifiable intangible assets and income taxes. The purchase price was allocated to the tangible assets and identifiable intangible assets acquired and liabilities assumed based on their acquisition date estimated fair values. The identifiable intangible assets consist of IPR&amp;D which were assigned fair values of $33,800. The fair value of the IPR&amp;D was estimated using the multi-period excess earnings method, which the Company estimates future cash flows attributable to the technology and applies a probability of success and a discount rate of 16.4%.</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nonrecurring fair value measurements are Level 3 measurements within the fair value hierarchy.</w:t>
      </w:r>
    </w:p>
    <w:p>
      <w:pPr>
        <w:spacing w:after="0" w:line="185"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Goodwill represents the excess of the purchase price over the net identifiable tangible and intangible assets acquired. The Company believes the goodwill related to the acquisition was attributable to the expected synergies and value of the assembled workforce as well as the collective experience of the management team with regards to its operations. The goodwill is not expected to be tax deductible.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Results for nine months ended September 30, 2024, included a net loss of $3,652 from Clade. The following table presents unaudited supplemental pro forma financial information as if the Clade acquisition had occurred on January 1, 2023.</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color w:val="auto"/>
              </w:rPr>
              <w:t>Three Months Ended</w:t>
            </w:r>
          </w:p>
        </w:tc>
        <w:tc>
          <w:tcPr>
            <w:tcW w:w="1700" w:type="dxa"/>
            <w:vAlign w:val="bottom"/>
            <w:gridSpan w:val="2"/>
          </w:tcPr>
          <w:p>
            <w:pPr>
              <w:ind w:left="60"/>
              <w:spacing w:after="0"/>
              <w:rPr>
                <w:sz w:val="20"/>
                <w:szCs w:val="20"/>
                <w:color w:val="auto"/>
              </w:rPr>
            </w:pPr>
            <w:r>
              <w:rPr>
                <w:rFonts w:ascii="Arial" w:cs="Arial" w:eastAsia="Arial" w:hAnsi="Arial"/>
                <w:sz w:val="14"/>
                <w:szCs w:val="14"/>
                <w:color w:val="auto"/>
              </w:rPr>
              <w:t>Three Months Ended</w:t>
            </w:r>
          </w:p>
        </w:tc>
        <w:tc>
          <w:tcPr>
            <w:tcW w:w="1700" w:type="dxa"/>
            <w:vAlign w:val="bottom"/>
            <w:gridSpan w:val="2"/>
          </w:tcPr>
          <w:p>
            <w:pPr>
              <w:ind w:left="100"/>
              <w:spacing w:after="0"/>
              <w:rPr>
                <w:sz w:val="20"/>
                <w:szCs w:val="20"/>
                <w:color w:val="auto"/>
              </w:rPr>
            </w:pPr>
            <w:r>
              <w:rPr>
                <w:rFonts w:ascii="Arial" w:cs="Arial" w:eastAsia="Arial" w:hAnsi="Arial"/>
                <w:sz w:val="14"/>
                <w:szCs w:val="14"/>
                <w:color w:val="auto"/>
              </w:rPr>
              <w:t>Nine Months Ended</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Nine Months Ended</w:t>
            </w:r>
          </w:p>
        </w:tc>
      </w:tr>
      <w:tr>
        <w:trPr>
          <w:trHeight w:val="198"/>
        </w:trPr>
        <w:tc>
          <w:tcPr>
            <w:tcW w:w="1080" w:type="dxa"/>
            <w:vAlign w:val="bottom"/>
          </w:tcPr>
          <w:p>
            <w:pPr>
              <w:spacing w:after="0"/>
              <w:rPr>
                <w:sz w:val="17"/>
                <w:szCs w:val="17"/>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color w:val="auto"/>
              </w:rPr>
              <w:t>September 30, 2024</w:t>
            </w:r>
          </w:p>
        </w:tc>
        <w:tc>
          <w:tcPr>
            <w:tcW w:w="1700" w:type="dxa"/>
            <w:vAlign w:val="bottom"/>
            <w:gridSpan w:val="2"/>
          </w:tcPr>
          <w:p>
            <w:pPr>
              <w:ind w:left="80"/>
              <w:spacing w:after="0"/>
              <w:rPr>
                <w:sz w:val="20"/>
                <w:szCs w:val="20"/>
                <w:color w:val="auto"/>
              </w:rPr>
            </w:pPr>
            <w:r>
              <w:rPr>
                <w:rFonts w:ascii="Arial" w:cs="Arial" w:eastAsia="Arial" w:hAnsi="Arial"/>
                <w:sz w:val="14"/>
                <w:szCs w:val="14"/>
                <w:color w:val="auto"/>
              </w:rPr>
              <w:t>September 30, 2023</w:t>
            </w:r>
          </w:p>
        </w:tc>
        <w:tc>
          <w:tcPr>
            <w:tcW w:w="1700" w:type="dxa"/>
            <w:vAlign w:val="bottom"/>
            <w:gridSpan w:val="2"/>
          </w:tcPr>
          <w:p>
            <w:pPr>
              <w:ind w:left="80"/>
              <w:spacing w:after="0"/>
              <w:rPr>
                <w:sz w:val="20"/>
                <w:szCs w:val="20"/>
                <w:color w:val="auto"/>
              </w:rPr>
            </w:pPr>
            <w:r>
              <w:rPr>
                <w:rFonts w:ascii="Arial" w:cs="Arial" w:eastAsia="Arial" w:hAnsi="Arial"/>
                <w:sz w:val="14"/>
                <w:szCs w:val="14"/>
                <w:color w:val="auto"/>
              </w:rPr>
              <w:t>September 30, 2024</w:t>
            </w:r>
          </w:p>
        </w:tc>
        <w:tc>
          <w:tcPr>
            <w:tcW w:w="1720" w:type="dxa"/>
            <w:vAlign w:val="bottom"/>
            <w:gridSpan w:val="2"/>
          </w:tcPr>
          <w:p>
            <w:pPr>
              <w:ind w:left="100"/>
              <w:spacing w:after="0"/>
              <w:rPr>
                <w:sz w:val="20"/>
                <w:szCs w:val="20"/>
                <w:color w:val="auto"/>
              </w:rPr>
            </w:pPr>
            <w:r>
              <w:rPr>
                <w:rFonts w:ascii="Arial" w:cs="Arial" w:eastAsia="Arial" w:hAnsi="Arial"/>
                <w:sz w:val="14"/>
                <w:szCs w:val="14"/>
                <w:color w:val="auto"/>
              </w:rPr>
              <w:t>September 30, 2023</w:t>
            </w:r>
          </w:p>
        </w:tc>
      </w:tr>
      <w:tr>
        <w:trPr>
          <w:trHeight w:val="209"/>
        </w:trPr>
        <w:tc>
          <w:tcPr>
            <w:tcW w:w="1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w:t>
            </w:r>
          </w:p>
        </w:tc>
        <w:tc>
          <w:tcPr>
            <w:tcW w:w="1480" w:type="dxa"/>
            <w:vAlign w:val="bottom"/>
            <w:tcBorders>
              <w:top w:val="single" w:sz="8" w:color="auto"/>
            </w:tcBorders>
            <w:shd w:val="clear" w:color="auto" w:fill="CCEEFF"/>
          </w:tcPr>
          <w:p>
            <w:pPr>
              <w:jc w:val="right"/>
              <w:ind w:right="495"/>
              <w:spacing w:after="0" w:line="209" w:lineRule="exact"/>
              <w:rPr>
                <w:sz w:val="20"/>
                <w:szCs w:val="20"/>
                <w:color w:val="auto"/>
              </w:rPr>
            </w:pPr>
            <w:r>
              <w:rPr>
                <w:rFonts w:ascii="Arial" w:cs="Arial" w:eastAsia="Arial" w:hAnsi="Arial"/>
                <w:sz w:val="20"/>
                <w:szCs w:val="20"/>
                <w:color w:val="auto"/>
              </w:rPr>
              <w:t>791</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495"/>
              <w:spacing w:after="0" w:line="209" w:lineRule="exact"/>
              <w:rPr>
                <w:sz w:val="20"/>
                <w:szCs w:val="20"/>
                <w:color w:val="auto"/>
              </w:rPr>
            </w:pPr>
            <w:r>
              <w:rPr>
                <w:rFonts w:ascii="Arial" w:cs="Arial" w:eastAsia="Arial" w:hAnsi="Arial"/>
                <w:sz w:val="20"/>
                <w:szCs w:val="20"/>
                <w:color w:val="auto"/>
              </w:rPr>
              <w:t>148</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415"/>
              <w:spacing w:after="0" w:line="209" w:lineRule="exact"/>
              <w:rPr>
                <w:sz w:val="20"/>
                <w:szCs w:val="20"/>
                <w:color w:val="auto"/>
              </w:rPr>
            </w:pPr>
            <w:r>
              <w:rPr>
                <w:rFonts w:ascii="Arial" w:cs="Arial" w:eastAsia="Arial" w:hAnsi="Arial"/>
                <w:sz w:val="20"/>
                <w:szCs w:val="20"/>
                <w:color w:val="auto"/>
              </w:rPr>
              <w:t>2,416</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415"/>
              <w:spacing w:after="0" w:line="209" w:lineRule="exact"/>
              <w:rPr>
                <w:sz w:val="20"/>
                <w:szCs w:val="20"/>
                <w:color w:val="auto"/>
              </w:rPr>
            </w:pPr>
            <w:r>
              <w:rPr>
                <w:rFonts w:ascii="Arial" w:cs="Arial" w:eastAsia="Arial" w:hAnsi="Arial"/>
                <w:sz w:val="20"/>
                <w:szCs w:val="20"/>
                <w:color w:val="auto"/>
              </w:rPr>
              <w:t>1,967</w:t>
            </w:r>
          </w:p>
        </w:tc>
        <w:tc>
          <w:tcPr>
            <w:tcW w:w="220" w:type="dxa"/>
            <w:vAlign w:val="bottom"/>
            <w:tcBorders>
              <w:top w:val="single" w:sz="8" w:color="CCEEFF"/>
            </w:tcBorders>
            <w:shd w:val="clear" w:color="auto" w:fill="CCEEFF"/>
          </w:tcPr>
          <w:p>
            <w:pPr>
              <w:spacing w:after="0"/>
              <w:rPr>
                <w:sz w:val="18"/>
                <w:szCs w:val="18"/>
                <w:color w:val="auto"/>
              </w:rPr>
            </w:pPr>
          </w:p>
        </w:tc>
      </w:tr>
      <w:tr>
        <w:trPr>
          <w:trHeight w:val="261"/>
        </w:trPr>
        <w:tc>
          <w:tcPr>
            <w:tcW w:w="1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80" w:type="dxa"/>
            <w:vAlign w:val="bottom"/>
          </w:tcPr>
          <w:p>
            <w:pPr>
              <w:jc w:val="right"/>
              <w:ind w:right="295"/>
              <w:spacing w:after="0"/>
              <w:rPr>
                <w:sz w:val="20"/>
                <w:szCs w:val="20"/>
                <w:color w:val="auto"/>
              </w:rPr>
            </w:pPr>
            <w:r>
              <w:rPr>
                <w:rFonts w:ascii="Arial" w:cs="Arial" w:eastAsia="Arial" w:hAnsi="Arial"/>
                <w:sz w:val="20"/>
                <w:szCs w:val="20"/>
                <w:color w:val="auto"/>
              </w:rPr>
              <w:t>(31,226)</w:t>
            </w:r>
          </w:p>
        </w:tc>
        <w:tc>
          <w:tcPr>
            <w:tcW w:w="220" w:type="dxa"/>
            <w:vAlign w:val="bottom"/>
          </w:tcPr>
          <w:p>
            <w:pPr>
              <w:spacing w:after="0"/>
              <w:rPr>
                <w:sz w:val="22"/>
                <w:szCs w:val="22"/>
                <w:color w:val="auto"/>
              </w:rPr>
            </w:pPr>
          </w:p>
        </w:tc>
        <w:tc>
          <w:tcPr>
            <w:tcW w:w="1480" w:type="dxa"/>
            <w:vAlign w:val="bottom"/>
          </w:tcPr>
          <w:p>
            <w:pPr>
              <w:jc w:val="right"/>
              <w:ind w:right="295"/>
              <w:spacing w:after="0"/>
              <w:rPr>
                <w:sz w:val="20"/>
                <w:szCs w:val="20"/>
                <w:color w:val="auto"/>
              </w:rPr>
            </w:pPr>
            <w:r>
              <w:rPr>
                <w:rFonts w:ascii="Arial" w:cs="Arial" w:eastAsia="Arial" w:hAnsi="Arial"/>
                <w:sz w:val="20"/>
                <w:szCs w:val="20"/>
                <w:color w:val="auto"/>
              </w:rPr>
              <w:t>(42,911)</w:t>
            </w:r>
          </w:p>
        </w:tc>
        <w:tc>
          <w:tcPr>
            <w:tcW w:w="220" w:type="dxa"/>
            <w:vAlign w:val="bottom"/>
          </w:tcPr>
          <w:p>
            <w:pPr>
              <w:spacing w:after="0"/>
              <w:rPr>
                <w:sz w:val="22"/>
                <w:szCs w:val="22"/>
                <w:color w:val="auto"/>
              </w:rPr>
            </w:pPr>
          </w:p>
        </w:tc>
        <w:tc>
          <w:tcPr>
            <w:tcW w:w="1480" w:type="dxa"/>
            <w:vAlign w:val="bottom"/>
          </w:tcPr>
          <w:p>
            <w:pPr>
              <w:jc w:val="right"/>
              <w:ind w:right="235"/>
              <w:spacing w:after="0"/>
              <w:rPr>
                <w:sz w:val="20"/>
                <w:szCs w:val="20"/>
                <w:color w:val="auto"/>
              </w:rPr>
            </w:pPr>
            <w:r>
              <w:rPr>
                <w:rFonts w:ascii="Arial" w:cs="Arial" w:eastAsia="Arial" w:hAnsi="Arial"/>
                <w:sz w:val="20"/>
                <w:szCs w:val="20"/>
                <w:color w:val="auto"/>
              </w:rPr>
              <w:t>(101,039)</w:t>
            </w:r>
          </w:p>
        </w:tc>
        <w:tc>
          <w:tcPr>
            <w:tcW w:w="220" w:type="dxa"/>
            <w:vAlign w:val="bottom"/>
          </w:tcPr>
          <w:p>
            <w:pPr>
              <w:spacing w:after="0"/>
              <w:rPr>
                <w:sz w:val="22"/>
                <w:szCs w:val="22"/>
                <w:color w:val="auto"/>
              </w:rPr>
            </w:pPr>
          </w:p>
        </w:tc>
        <w:tc>
          <w:tcPr>
            <w:tcW w:w="1500" w:type="dxa"/>
            <w:vAlign w:val="bottom"/>
          </w:tcPr>
          <w:p>
            <w:pPr>
              <w:jc w:val="right"/>
              <w:ind w:right="235"/>
              <w:spacing w:after="0"/>
              <w:rPr>
                <w:sz w:val="20"/>
                <w:szCs w:val="20"/>
                <w:color w:val="auto"/>
              </w:rPr>
            </w:pPr>
            <w:r>
              <w:rPr>
                <w:rFonts w:ascii="Arial" w:cs="Arial" w:eastAsia="Arial" w:hAnsi="Arial"/>
                <w:sz w:val="20"/>
                <w:szCs w:val="20"/>
                <w:color w:val="auto"/>
              </w:rPr>
              <w:t>(127,584)</w:t>
            </w:r>
          </w:p>
        </w:tc>
        <w:tc>
          <w:tcPr>
            <w:tcW w:w="220" w:type="dxa"/>
            <w:vAlign w:val="bottom"/>
          </w:tcPr>
          <w:p>
            <w:pPr>
              <w:spacing w:after="0"/>
              <w:rPr>
                <w:sz w:val="22"/>
                <w:szCs w:val="22"/>
                <w:color w:val="auto"/>
              </w:rPr>
            </w:pPr>
          </w:p>
        </w:tc>
      </w:tr>
    </w:tbl>
    <w:p>
      <w:pPr>
        <w:spacing w:after="0" w:line="13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pro forma financial information presented above has been prepared by combining the Company’s historical results and the historical results of Clade and adjusting those results to eliminate historical transaction costs and to reflect the effects of the acquisition as if they occurred on January 1, 2023. These results do not purport to be indicative of the results of operations which actually would have resulted had the acquisitions occurred on the date indicated above, or that may result in the future, and do not reflect potential synergies or additional costs following the acquisition.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4—Financial instruments and fair value measurements</w:t>
      </w:r>
    </w:p>
    <w:p>
      <w:pPr>
        <w:spacing w:after="0" w:line="173"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September 30, 2024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6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1</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2</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3</w:t>
            </w: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48,005</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35,795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35,795</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156,289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156,289</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48,005</w:t>
            </w: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192,084</w:t>
            </w: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240,089</w:t>
            </w: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8,983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8,983</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8,983</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8,983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2023,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6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3</w:t>
            </w: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42,263</w:t>
            </w:r>
          </w:p>
        </w:tc>
        <w:tc>
          <w:tcPr>
            <w:tcW w:w="102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42,263</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7"/>
                <w:szCs w:val="17"/>
                <w:color w:val="auto"/>
              </w:rPr>
            </w:pPr>
          </w:p>
        </w:tc>
        <w:tc>
          <w:tcPr>
            <w:tcW w:w="8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26,114</w:t>
            </w:r>
          </w:p>
        </w:tc>
        <w:tc>
          <w:tcPr>
            <w:tcW w:w="280" w:type="dxa"/>
            <w:vAlign w:val="bottom"/>
          </w:tcPr>
          <w:p>
            <w:pPr>
              <w:spacing w:after="0"/>
              <w:rPr>
                <w:sz w:val="17"/>
                <w:szCs w:val="17"/>
                <w:color w:val="auto"/>
              </w:rPr>
            </w:pPr>
          </w:p>
        </w:tc>
        <w:tc>
          <w:tcPr>
            <w:tcW w:w="3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26,114</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188,396</w:t>
            </w:r>
          </w:p>
        </w:tc>
        <w:tc>
          <w:tcPr>
            <w:tcW w:w="2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188,396</w:t>
            </w:r>
          </w:p>
        </w:tc>
      </w:tr>
      <w:tr>
        <w:trPr>
          <w:trHeight w:val="236"/>
        </w:trPr>
        <w:tc>
          <w:tcPr>
            <w:tcW w:w="5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42,263</w:t>
            </w:r>
          </w:p>
        </w:tc>
        <w:tc>
          <w:tcPr>
            <w:tcW w:w="10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$ 214,510</w:t>
            </w:r>
          </w:p>
        </w:tc>
        <w:tc>
          <w:tcPr>
            <w:tcW w:w="28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256,773</w:t>
            </w:r>
          </w:p>
        </w:tc>
      </w:tr>
    </w:tbl>
    <w:p>
      <w:pPr>
        <w:spacing w:after="0" w:line="184"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There were no transfers between levels during the period ended September 30, 2024. The Company uses the services of its investment manager, which uses widely accepted models for assumptions in valuing securities with inputs from major third-party data providers.</w:t>
      </w:r>
    </w:p>
    <w:p>
      <w:pPr>
        <w:spacing w:after="0" w:line="142"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September 30, 2024:</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820" w:type="dxa"/>
            <w:vAlign w:val="bottom"/>
            <w:gridSpan w:val="2"/>
          </w:tcPr>
          <w:p>
            <w:pPr>
              <w:jc w:val="right"/>
              <w:ind w:right="17"/>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120" w:type="dxa"/>
            <w:vAlign w:val="bottom"/>
          </w:tcPr>
          <w:p>
            <w:pPr>
              <w:spacing w:after="0"/>
              <w:rPr>
                <w:sz w:val="14"/>
                <w:szCs w:val="14"/>
                <w:color w:val="auto"/>
              </w:rPr>
            </w:pPr>
          </w:p>
        </w:tc>
        <w:tc>
          <w:tcPr>
            <w:tcW w:w="2840" w:type="dxa"/>
            <w:vAlign w:val="bottom"/>
            <w:gridSpan w:val="3"/>
          </w:tcPr>
          <w:p>
            <w:pPr>
              <w:ind w:left="1800"/>
              <w:spacing w:after="0"/>
              <w:rPr>
                <w:sz w:val="20"/>
                <w:szCs w:val="20"/>
                <w:color w:val="auto"/>
              </w:rPr>
            </w:pPr>
            <w:r>
              <w:rPr>
                <w:rFonts w:ascii="Arial" w:cs="Arial" w:eastAsia="Arial" w:hAnsi="Arial"/>
                <w:sz w:val="14"/>
                <w:szCs w:val="14"/>
                <w:color w:val="auto"/>
              </w:rPr>
              <w:t>Amortized Cost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18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35,612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35,795</w:t>
            </w:r>
          </w:p>
        </w:tc>
      </w:tr>
      <w:tr>
        <w:trPr>
          <w:trHeight w:val="203"/>
        </w:trPr>
        <w:tc>
          <w:tcPr>
            <w:tcW w:w="31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bonds</w:t>
            </w:r>
          </w:p>
        </w:tc>
        <w:tc>
          <w:tcPr>
            <w:tcW w:w="18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155,627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156,289</w:t>
            </w:r>
          </w:p>
        </w:tc>
      </w:tr>
      <w:tr>
        <w:trPr>
          <w:trHeight w:val="196"/>
        </w:trPr>
        <w:tc>
          <w:tcPr>
            <w:tcW w:w="3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191,239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856</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192,084</w:t>
            </w:r>
          </w:p>
        </w:tc>
      </w:tr>
      <w:tr>
        <w:trPr>
          <w:trHeight w:val="20"/>
        </w:trPr>
        <w:tc>
          <w:tcPr>
            <w:tcW w:w="3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2023:</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Gross</w:t>
            </w:r>
          </w:p>
        </w:tc>
        <w:tc>
          <w:tcPr>
            <w:tcW w:w="92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Unrealized</w:t>
            </w:r>
          </w:p>
        </w:tc>
        <w:tc>
          <w:tcPr>
            <w:tcW w:w="920" w:type="dxa"/>
            <w:vAlign w:val="bottom"/>
            <w:gridSpan w:val="4"/>
          </w:tcPr>
          <w:p>
            <w:pPr>
              <w:jc w:val="right"/>
              <w:ind w:right="20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Amortized 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color w:val="auto"/>
              </w:rPr>
              <w:t>Gains</w:t>
            </w:r>
          </w:p>
        </w:tc>
        <w:tc>
          <w:tcPr>
            <w:tcW w:w="920" w:type="dxa"/>
            <w:vAlign w:val="bottom"/>
            <w:gridSpan w:val="4"/>
          </w:tcPr>
          <w:p>
            <w:pPr>
              <w:jc w:val="right"/>
              <w:ind w:right="20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26,070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26,114</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188,219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399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w w:val="99"/>
              </w:rPr>
              <w:t>(222)</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188,396</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214,289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(222)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214,510</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03"/>
        </w:trPr>
        <w:tc>
          <w:tcPr>
            <w:tcW w:w="7420" w:type="dxa"/>
            <w:vAlign w:val="bottom"/>
            <w:gridSpan w:val="9"/>
          </w:tcPr>
          <w:p>
            <w:pPr>
              <w:ind w:left="2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8"/>
        </w:trPr>
        <w:tc>
          <w:tcPr>
            <w:tcW w:w="5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5"/>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spacing w:after="0"/>
              <w:rPr>
                <w:sz w:val="17"/>
                <w:szCs w:val="17"/>
                <w:color w:val="auto"/>
              </w:rPr>
            </w:pPr>
          </w:p>
        </w:tc>
      </w:tr>
      <w:tr>
        <w:trPr>
          <w:trHeight w:val="156"/>
        </w:trPr>
        <w:tc>
          <w:tcPr>
            <w:tcW w:w="50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color w:val="auto"/>
              </w:rPr>
              <w:t>September 30, 2024</w:t>
            </w:r>
          </w:p>
        </w:tc>
        <w:tc>
          <w:tcPr>
            <w:tcW w:w="2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December 31, 2023</w:t>
            </w: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145,519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125,414</w:t>
            </w:r>
          </w:p>
        </w:tc>
      </w:tr>
      <w:tr>
        <w:trPr>
          <w:trHeight w:val="203"/>
        </w:trPr>
        <w:tc>
          <w:tcPr>
            <w:tcW w:w="50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46,565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89,096</w:t>
            </w:r>
          </w:p>
        </w:tc>
      </w:tr>
      <w:tr>
        <w:trPr>
          <w:trHeight w:val="196"/>
        </w:trPr>
        <w:tc>
          <w:tcPr>
            <w:tcW w:w="5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192,084</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214,510</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47"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At September 30, 2024 and December 31, 2023, the Company had 12 and 25 available-for-sale investment debt securities in an unrealized loss position without an allowance for credit losses, respectively. Unrealized losses on corporate debt securities have not been recognized into income because the issuers’ bonds are of high 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bonds approach maturity.</w:t>
      </w:r>
    </w:p>
    <w:p>
      <w:pPr>
        <w:spacing w:after="0" w:line="180"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As of September 30, 2024 and December 31, 2023, accrued interest receivable on available-for-sale investment debt securities totaling $1,349 and $ 1,570, respectively, is excluded from the estimate of credit losses and is included in prepaid expenses and other current assets.</w:t>
      </w:r>
    </w:p>
    <w:p>
      <w:pPr>
        <w:spacing w:after="0" w:line="169"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is a rollforward of the components of the Company’s contingent consideration liability (See Note 9 – Commitments and contingencies):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Gadeta</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20"/>
                <w:szCs w:val="20"/>
                <w:color w:val="auto"/>
                <w:w w:val="99"/>
              </w:rPr>
              <w:t>Holdback Shares</w:t>
            </w:r>
          </w:p>
        </w:tc>
        <w:tc>
          <w:tcPr>
            <w:tcW w:w="1280" w:type="dxa"/>
            <w:vAlign w:val="bottom"/>
            <w:gridSpan w:val="2"/>
          </w:tcPr>
          <w:p>
            <w:pPr>
              <w:ind w:left="40"/>
              <w:spacing w:after="0"/>
              <w:rPr>
                <w:sz w:val="20"/>
                <w:szCs w:val="20"/>
                <w:color w:val="auto"/>
              </w:rPr>
            </w:pPr>
            <w:r>
              <w:rPr>
                <w:rFonts w:ascii="Arial" w:cs="Arial" w:eastAsia="Arial" w:hAnsi="Arial"/>
                <w:sz w:val="20"/>
                <w:szCs w:val="20"/>
                <w:color w:val="auto"/>
              </w:rPr>
              <w:t>Milestone</w:t>
            </w:r>
          </w:p>
        </w:tc>
        <w:tc>
          <w:tcPr>
            <w:tcW w:w="940" w:type="dxa"/>
            <w:vAlign w:val="bottom"/>
            <w:gridSpan w:val="2"/>
          </w:tcPr>
          <w:p>
            <w:pPr>
              <w:ind w:left="260"/>
              <w:spacing w:after="0"/>
              <w:rPr>
                <w:sz w:val="20"/>
                <w:szCs w:val="20"/>
                <w:color w:val="auto"/>
              </w:rPr>
            </w:pPr>
            <w:r>
              <w:rPr>
                <w:rFonts w:ascii="Arial" w:cs="Arial" w:eastAsia="Arial" w:hAnsi="Arial"/>
                <w:sz w:val="20"/>
                <w:szCs w:val="20"/>
                <w:color w:val="auto"/>
              </w:rPr>
              <w:t>Total</w:t>
            </w:r>
          </w:p>
        </w:tc>
      </w:tr>
      <w:tr>
        <w:trPr>
          <w:trHeight w:val="216"/>
        </w:trPr>
        <w:tc>
          <w:tcPr>
            <w:tcW w:w="332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Balance as of April 11, 2024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372</w:t>
            </w:r>
          </w:p>
        </w:tc>
        <w:tc>
          <w:tcPr>
            <w:tcW w:w="196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2,588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7,134</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10,094</w:t>
            </w:r>
          </w:p>
        </w:tc>
        <w:tc>
          <w:tcPr>
            <w:tcW w:w="20" w:type="dxa"/>
            <w:vAlign w:val="bottom"/>
          </w:tcPr>
          <w:p>
            <w:pPr>
              <w:spacing w:after="0"/>
              <w:rPr>
                <w:sz w:val="18"/>
                <w:szCs w:val="18"/>
                <w:color w:val="auto"/>
              </w:rPr>
            </w:pPr>
          </w:p>
        </w:tc>
      </w:tr>
      <w:tr>
        <w:trPr>
          <w:trHeight w:val="216"/>
        </w:trPr>
        <w:tc>
          <w:tcPr>
            <w:tcW w:w="3320" w:type="dxa"/>
            <w:vAlign w:val="bottom"/>
          </w:tcPr>
          <w:p>
            <w:pPr>
              <w:ind w:left="20"/>
              <w:spacing w:after="0" w:line="216" w:lineRule="exact"/>
              <w:rPr>
                <w:sz w:val="20"/>
                <w:szCs w:val="20"/>
                <w:color w:val="auto"/>
              </w:rPr>
            </w:pPr>
            <w:r>
              <w:rPr>
                <w:rFonts w:ascii="Arial" w:cs="Arial" w:eastAsia="Arial" w:hAnsi="Arial"/>
                <w:sz w:val="20"/>
                <w:szCs w:val="20"/>
                <w:color w:val="auto"/>
              </w:rPr>
              <w:t>Changes in fair value</w:t>
            </w:r>
          </w:p>
        </w:tc>
        <w:tc>
          <w:tcPr>
            <w:tcW w:w="22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Arial" w:cs="Arial" w:eastAsia="Arial" w:hAnsi="Arial"/>
                <w:sz w:val="20"/>
                <w:szCs w:val="20"/>
                <w:color w:val="auto"/>
              </w:rPr>
              <w:t>6</w:t>
            </w:r>
          </w:p>
        </w:tc>
        <w:tc>
          <w:tcPr>
            <w:tcW w:w="2340" w:type="dxa"/>
            <w:vAlign w:val="bottom"/>
            <w:gridSpan w:val="4"/>
          </w:tcPr>
          <w:p>
            <w:pPr>
              <w:jc w:val="right"/>
              <w:ind w:right="380"/>
              <w:spacing w:after="0" w:line="216" w:lineRule="exact"/>
              <w:rPr>
                <w:sz w:val="20"/>
                <w:szCs w:val="20"/>
                <w:color w:val="auto"/>
              </w:rPr>
            </w:pPr>
            <w:r>
              <w:rPr>
                <w:rFonts w:ascii="Arial" w:cs="Arial" w:eastAsia="Arial" w:hAnsi="Arial"/>
                <w:sz w:val="20"/>
                <w:szCs w:val="20"/>
                <w:color w:val="auto"/>
              </w:rPr>
              <w:t>(1,509)</w:t>
            </w: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auto"/>
              </w:rPr>
              <w:t>392</w:t>
            </w:r>
          </w:p>
        </w:tc>
        <w:tc>
          <w:tcPr>
            <w:tcW w:w="38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(1,111)</w:t>
            </w:r>
          </w:p>
        </w:tc>
        <w:tc>
          <w:tcPr>
            <w:tcW w:w="20" w:type="dxa"/>
            <w:vAlign w:val="bottom"/>
          </w:tcPr>
          <w:p>
            <w:pPr>
              <w:spacing w:after="0"/>
              <w:rPr>
                <w:sz w:val="18"/>
                <w:szCs w:val="18"/>
                <w:color w:val="auto"/>
              </w:rPr>
            </w:pPr>
          </w:p>
        </w:tc>
      </w:tr>
      <w:tr>
        <w:trPr>
          <w:trHeight w:val="209"/>
        </w:trPr>
        <w:tc>
          <w:tcPr>
            <w:tcW w:w="3320" w:type="dxa"/>
            <w:vAlign w:val="bottom"/>
            <w:tcBorders>
              <w:top w:val="single" w:sz="8" w:color="CCEEFF"/>
              <w:bottom w:val="single" w:sz="8" w:color="CCEEFF"/>
            </w:tcBorders>
            <w:shd w:val="clear" w:color="auto" w:fill="CCEEFF"/>
          </w:tcPr>
          <w:p>
            <w:pPr>
              <w:ind w:left="20"/>
              <w:spacing w:after="0" w:line="209" w:lineRule="exact"/>
              <w:rPr>
                <w:sz w:val="20"/>
                <w:szCs w:val="20"/>
                <w:color w:val="auto"/>
              </w:rPr>
            </w:pPr>
            <w:r>
              <w:rPr>
                <w:rFonts w:ascii="Arial" w:cs="Arial" w:eastAsia="Arial" w:hAnsi="Arial"/>
                <w:sz w:val="20"/>
                <w:szCs w:val="20"/>
                <w:color w:val="auto"/>
              </w:rPr>
              <w:t>Balance as of September 30, 2024</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378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1,079</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7,526</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8,983</w:t>
            </w:r>
          </w:p>
        </w:tc>
        <w:tc>
          <w:tcPr>
            <w:tcW w:w="2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5"/>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9"/>
        </w:trPr>
        <w:tc>
          <w:tcPr>
            <w:tcW w:w="3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table includes quantitative information about the significant unobservable inputs for the components of the Company’s contingent consideration liability as of the April 11, 2024 acquisition date and September 30, 2024:</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April 11, 2024</w:t>
            </w: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20"/>
                <w:szCs w:val="20"/>
                <w:color w:val="auto"/>
              </w:rPr>
              <w:t>September 30, 2024</w:t>
            </w:r>
          </w:p>
        </w:tc>
      </w:tr>
      <w:tr>
        <w:trPr>
          <w:trHeight w:val="210"/>
        </w:trPr>
        <w:tc>
          <w:tcPr>
            <w:tcW w:w="4060" w:type="dxa"/>
            <w:vAlign w:val="bottom"/>
            <w:shd w:val="clear" w:color="auto" w:fill="CCEEFF"/>
          </w:tcPr>
          <w:p>
            <w:pPr>
              <w:ind w:left="20"/>
              <w:spacing w:after="0" w:line="209" w:lineRule="exact"/>
              <w:rPr>
                <w:sz w:val="20"/>
                <w:szCs w:val="20"/>
                <w:color w:val="auto"/>
              </w:rPr>
            </w:pPr>
            <w:r>
              <w:rPr>
                <w:rFonts w:ascii="Arial" w:cs="Arial" w:eastAsia="Arial" w:hAnsi="Arial"/>
                <w:sz w:val="20"/>
                <w:szCs w:val="20"/>
                <w:color w:val="auto"/>
              </w:rPr>
              <w:t>Gadeta Earnout:</w:t>
            </w:r>
          </w:p>
        </w:tc>
        <w:tc>
          <w:tcPr>
            <w:tcW w:w="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20"/>
                <w:szCs w:val="20"/>
                <w:color w:val="auto"/>
              </w:rPr>
              <w:t>Probability adjusted value of payment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line="216" w:lineRule="exact"/>
              <w:rPr>
                <w:sz w:val="20"/>
                <w:szCs w:val="20"/>
                <w:color w:val="auto"/>
              </w:rPr>
            </w:pPr>
            <w:r>
              <w:rPr>
                <w:rFonts w:ascii="Arial" w:cs="Arial" w:eastAsia="Arial" w:hAnsi="Arial"/>
                <w:sz w:val="20"/>
                <w:szCs w:val="20"/>
                <w:color w:val="auto"/>
                <w:w w:val="99"/>
              </w:rPr>
              <w:t>1,060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center"/>
              <w:spacing w:after="0" w:line="216" w:lineRule="exact"/>
              <w:rPr>
                <w:sz w:val="20"/>
                <w:szCs w:val="20"/>
                <w:color w:val="auto"/>
              </w:rPr>
            </w:pPr>
            <w:r>
              <w:rPr>
                <w:rFonts w:ascii="Arial" w:cs="Arial" w:eastAsia="Arial" w:hAnsi="Arial"/>
                <w:sz w:val="20"/>
                <w:szCs w:val="20"/>
                <w:color w:val="auto"/>
                <w:w w:val="99"/>
              </w:rPr>
              <w:t>1,060</w:t>
            </w: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Discount rate</w:t>
            </w:r>
          </w:p>
        </w:tc>
        <w:tc>
          <w:tcPr>
            <w:tcW w:w="6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8"/>
              </w:rPr>
              <w:t>12.6%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line="216" w:lineRule="exact"/>
              <w:rPr>
                <w:sz w:val="20"/>
                <w:szCs w:val="20"/>
                <w:color w:val="auto"/>
              </w:rPr>
            </w:pPr>
            <w:r>
              <w:rPr>
                <w:rFonts w:ascii="Arial" w:cs="Arial" w:eastAsia="Arial" w:hAnsi="Arial"/>
                <w:sz w:val="20"/>
                <w:szCs w:val="20"/>
                <w:color w:val="auto"/>
                <w:w w:val="98"/>
              </w:rPr>
              <w:t>12.6%</w:t>
            </w: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20"/>
                <w:szCs w:val="20"/>
                <w:color w:val="auto"/>
              </w:rPr>
              <w:t>Discount period (years)</w:t>
            </w:r>
          </w:p>
        </w:tc>
        <w:tc>
          <w:tcPr>
            <w:tcW w:w="640" w:type="dxa"/>
            <w:vAlign w:val="bottom"/>
          </w:tcPr>
          <w:p>
            <w:pPr>
              <w:spacing w:after="0"/>
              <w:rPr>
                <w:sz w:val="18"/>
                <w:szCs w:val="18"/>
                <w:color w:val="auto"/>
              </w:rPr>
            </w:pPr>
          </w:p>
        </w:tc>
        <w:tc>
          <w:tcPr>
            <w:tcW w:w="1460" w:type="dxa"/>
            <w:vAlign w:val="bottom"/>
          </w:tcPr>
          <w:p>
            <w:pPr>
              <w:jc w:val="center"/>
              <w:spacing w:after="0" w:line="216" w:lineRule="exact"/>
              <w:rPr>
                <w:sz w:val="20"/>
                <w:szCs w:val="20"/>
                <w:color w:val="auto"/>
              </w:rPr>
            </w:pPr>
            <w:r>
              <w:rPr>
                <w:rFonts w:ascii="Arial" w:cs="Arial" w:eastAsia="Arial" w:hAnsi="Arial"/>
                <w:sz w:val="20"/>
                <w:szCs w:val="20"/>
                <w:color w:val="auto"/>
                <w:w w:val="93"/>
              </w:rPr>
              <w:t>8.8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center"/>
              <w:spacing w:after="0" w:line="216" w:lineRule="exact"/>
              <w:rPr>
                <w:sz w:val="20"/>
                <w:szCs w:val="20"/>
                <w:color w:val="auto"/>
              </w:rPr>
            </w:pPr>
            <w:r>
              <w:rPr>
                <w:rFonts w:ascii="Arial" w:cs="Arial" w:eastAsia="Arial" w:hAnsi="Arial"/>
                <w:sz w:val="20"/>
                <w:szCs w:val="20"/>
                <w:color w:val="auto"/>
              </w:rPr>
              <w:t>8.3</w:t>
            </w: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20"/>
                <w:szCs w:val="20"/>
                <w:color w:val="auto"/>
              </w:rPr>
              <w:t>Holdback Shares</w:t>
            </w: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Closing stock price on valuation date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7"/>
              </w:rPr>
              <w:t>4.05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line="216" w:lineRule="exact"/>
              <w:rPr>
                <w:sz w:val="20"/>
                <w:szCs w:val="20"/>
                <w:color w:val="auto"/>
              </w:rPr>
            </w:pPr>
            <w:r>
              <w:rPr>
                <w:rFonts w:ascii="Arial" w:cs="Arial" w:eastAsia="Arial" w:hAnsi="Arial"/>
                <w:sz w:val="20"/>
                <w:szCs w:val="20"/>
                <w:color w:val="auto"/>
                <w:w w:val="97"/>
              </w:rPr>
              <w:t>1.71</w:t>
            </w: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20"/>
                <w:szCs w:val="20"/>
                <w:color w:val="auto"/>
              </w:rPr>
              <w:t>Discount for lack of marketability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line="216" w:lineRule="exact"/>
              <w:rPr>
                <w:sz w:val="20"/>
                <w:szCs w:val="20"/>
                <w:color w:val="auto"/>
              </w:rPr>
            </w:pPr>
            <w:r>
              <w:rPr>
                <w:rFonts w:ascii="Arial" w:cs="Arial" w:eastAsia="Arial" w:hAnsi="Arial"/>
                <w:sz w:val="20"/>
                <w:szCs w:val="20"/>
                <w:color w:val="auto"/>
                <w:w w:val="95"/>
              </w:rPr>
              <w:t>(0.79)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center"/>
              <w:spacing w:after="0" w:line="216" w:lineRule="exact"/>
              <w:rPr>
                <w:sz w:val="20"/>
                <w:szCs w:val="20"/>
                <w:color w:val="auto"/>
              </w:rPr>
            </w:pPr>
            <w:r>
              <w:rPr>
                <w:rFonts w:ascii="Arial" w:cs="Arial" w:eastAsia="Arial" w:hAnsi="Arial"/>
                <w:sz w:val="20"/>
                <w:szCs w:val="20"/>
                <w:color w:val="auto"/>
                <w:w w:val="99"/>
              </w:rPr>
              <w:t>(0.35)</w:t>
            </w: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20"/>
                <w:szCs w:val="20"/>
                <w:color w:val="auto"/>
              </w:rPr>
              <w:t>Clade Milestone:</w:t>
            </w: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Probability adjusted value of payments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9"/>
              </w:rPr>
              <w:t>9,000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line="216" w:lineRule="exact"/>
              <w:rPr>
                <w:sz w:val="20"/>
                <w:szCs w:val="20"/>
                <w:color w:val="auto"/>
              </w:rPr>
            </w:pPr>
            <w:r>
              <w:rPr>
                <w:rFonts w:ascii="Arial" w:cs="Arial" w:eastAsia="Arial" w:hAnsi="Arial"/>
                <w:sz w:val="20"/>
                <w:szCs w:val="20"/>
                <w:color w:val="auto"/>
                <w:w w:val="99"/>
              </w:rPr>
              <w:t>9,000</w:t>
            </w: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20"/>
                <w:szCs w:val="20"/>
                <w:color w:val="auto"/>
              </w:rPr>
              <w:t>Discount rate</w:t>
            </w:r>
          </w:p>
        </w:tc>
        <w:tc>
          <w:tcPr>
            <w:tcW w:w="640" w:type="dxa"/>
            <w:vAlign w:val="bottom"/>
          </w:tcPr>
          <w:p>
            <w:pPr>
              <w:spacing w:after="0"/>
              <w:rPr>
                <w:sz w:val="18"/>
                <w:szCs w:val="18"/>
                <w:color w:val="auto"/>
              </w:rPr>
            </w:pPr>
          </w:p>
        </w:tc>
        <w:tc>
          <w:tcPr>
            <w:tcW w:w="1460" w:type="dxa"/>
            <w:vAlign w:val="bottom"/>
          </w:tcPr>
          <w:p>
            <w:pPr>
              <w:jc w:val="center"/>
              <w:spacing w:after="0" w:line="216" w:lineRule="exact"/>
              <w:rPr>
                <w:sz w:val="20"/>
                <w:szCs w:val="20"/>
                <w:color w:val="auto"/>
              </w:rPr>
            </w:pPr>
            <w:r>
              <w:rPr>
                <w:rFonts w:ascii="Arial" w:cs="Arial" w:eastAsia="Arial" w:hAnsi="Arial"/>
                <w:sz w:val="20"/>
                <w:szCs w:val="20"/>
                <w:color w:val="auto"/>
                <w:w w:val="98"/>
              </w:rPr>
              <w:t>10.6%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center"/>
              <w:spacing w:after="0" w:line="216" w:lineRule="exact"/>
              <w:rPr>
                <w:sz w:val="20"/>
                <w:szCs w:val="20"/>
                <w:color w:val="auto"/>
              </w:rPr>
            </w:pPr>
            <w:r>
              <w:rPr>
                <w:rFonts w:ascii="Arial" w:cs="Arial" w:eastAsia="Arial" w:hAnsi="Arial"/>
                <w:sz w:val="20"/>
                <w:szCs w:val="20"/>
                <w:color w:val="auto"/>
                <w:w w:val="98"/>
              </w:rPr>
              <w:t>10.2%</w:t>
            </w: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Discount period (years)</w:t>
            </w:r>
          </w:p>
        </w:tc>
        <w:tc>
          <w:tcPr>
            <w:tcW w:w="6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3"/>
              </w:rPr>
              <w:t>2.3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line="216" w:lineRule="exact"/>
              <w:rPr>
                <w:sz w:val="20"/>
                <w:szCs w:val="20"/>
                <w:color w:val="auto"/>
              </w:rPr>
            </w:pPr>
            <w:r>
              <w:rPr>
                <w:rFonts w:ascii="Arial" w:cs="Arial" w:eastAsia="Arial" w:hAnsi="Arial"/>
                <w:sz w:val="20"/>
                <w:szCs w:val="20"/>
                <w:color w:val="auto"/>
              </w:rPr>
              <w:t>1.8</w:t>
            </w:r>
          </w:p>
        </w:tc>
        <w:tc>
          <w:tcPr>
            <w:tcW w:w="740" w:type="dxa"/>
            <w:vAlign w:val="bottom"/>
            <w:shd w:val="clear" w:color="auto" w:fill="CCEEFF"/>
          </w:tcPr>
          <w:p>
            <w:pPr>
              <w:spacing w:after="0"/>
              <w:rPr>
                <w:sz w:val="18"/>
                <w:szCs w:val="18"/>
                <w:color w:val="auto"/>
              </w:rPr>
            </w:pPr>
          </w:p>
        </w:tc>
      </w:tr>
      <w:tr>
        <w:trPr>
          <w:trHeight w:val="473"/>
        </w:trPr>
        <w:tc>
          <w:tcPr>
            <w:tcW w:w="4060" w:type="dxa"/>
            <w:vAlign w:val="bottom"/>
          </w:tcPr>
          <w:p>
            <w:pPr>
              <w:ind w:left="20"/>
              <w:spacing w:after="0"/>
              <w:rPr>
                <w:sz w:val="20"/>
                <w:szCs w:val="20"/>
                <w:color w:val="auto"/>
              </w:rPr>
            </w:pPr>
            <w:r>
              <w:rPr>
                <w:rFonts w:ascii="Arial" w:cs="Arial" w:eastAsia="Arial" w:hAnsi="Arial"/>
                <w:sz w:val="22"/>
                <w:szCs w:val="22"/>
                <w:color w:val="auto"/>
              </w:rPr>
              <w:t>Note 5—Property and equipment, net</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6160" w:type="dxa"/>
            <w:vAlign w:val="bottom"/>
            <w:gridSpan w:val="3"/>
          </w:tcPr>
          <w:p>
            <w:pPr>
              <w:ind w:left="20"/>
              <w:spacing w:after="0"/>
              <w:rPr>
                <w:sz w:val="20"/>
                <w:szCs w:val="20"/>
                <w:color w:val="auto"/>
              </w:rPr>
            </w:pPr>
            <w:r>
              <w:rPr>
                <w:rFonts w:ascii="Arial" w:cs="Arial" w:eastAsia="Arial" w:hAnsi="Arial"/>
                <w:sz w:val="22"/>
                <w:szCs w:val="22"/>
                <w:color w:val="auto"/>
              </w:rPr>
              <w:t>The following is a summary of property and equipment, net:</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4"/>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Arial" w:cs="Arial" w:eastAsia="Arial" w:hAnsi="Arial"/>
                <w:sz w:val="14"/>
                <w:szCs w:val="14"/>
                <w:color w:val="auto"/>
              </w:rPr>
              <w:t>September 30, 2024</w:t>
            </w:r>
          </w:p>
        </w:tc>
        <w:tc>
          <w:tcPr>
            <w:tcW w:w="12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December 31, 2023</w:t>
            </w:r>
          </w:p>
        </w:tc>
      </w:tr>
      <w:tr>
        <w:trPr>
          <w:trHeight w:val="196"/>
        </w:trPr>
        <w:tc>
          <w:tcPr>
            <w:tcW w:w="4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6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32,379</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29,597</w:t>
            </w: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61,516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60,862</w:t>
            </w:r>
          </w:p>
        </w:tc>
      </w:tr>
      <w:tr>
        <w:trPr>
          <w:trHeight w:val="203"/>
        </w:trPr>
        <w:tc>
          <w:tcPr>
            <w:tcW w:w="4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2,899</w:t>
            </w:r>
          </w:p>
        </w:tc>
      </w:tr>
      <w:tr>
        <w:trPr>
          <w:trHeight w:val="203"/>
        </w:trPr>
        <w:tc>
          <w:tcPr>
            <w:tcW w:w="4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1,061</w:t>
            </w:r>
          </w:p>
        </w:tc>
      </w:tr>
      <w:tr>
        <w:trPr>
          <w:trHeight w:val="196"/>
        </w:trPr>
        <w:tc>
          <w:tcPr>
            <w:tcW w:w="40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98,024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94,543</w:t>
            </w:r>
          </w:p>
        </w:tc>
      </w:tr>
      <w:tr>
        <w:trPr>
          <w:trHeight w:val="203"/>
        </w:trPr>
        <w:tc>
          <w:tcPr>
            <w:tcW w:w="4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(32,740)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(22,838)</w:t>
            </w:r>
          </w:p>
        </w:tc>
      </w:tr>
      <w:tr>
        <w:trPr>
          <w:trHeight w:val="196"/>
        </w:trPr>
        <w:tc>
          <w:tcPr>
            <w:tcW w:w="406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65,284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71,705</w:t>
            </w:r>
          </w:p>
        </w:tc>
      </w:tr>
      <w:tr>
        <w:trPr>
          <w:trHeight w:val="20"/>
        </w:trPr>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Depreciation expense was $3,297 and $3,350 for the three months ended September 30, 2024 and 2023, respectively. The Company recognized $ 4,002 in impairment on property and equipment, net during the nine months ended September 30, 2023. See Note 16, “Impairment of long-lived assets”.</w:t>
      </w:r>
    </w:p>
    <w:p>
      <w:pPr>
        <w:spacing w:after="0" w:line="128"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Depreciation expense was $9,986 and $9,492 for the nine months ended September 30, 2024 and 2023, respectively.</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6—Accrued expenses and other liabilities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September 30, 2024</w:t>
            </w: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Payroll and bonuses</w:t>
            </w:r>
          </w:p>
        </w:tc>
        <w:tc>
          <w:tcPr>
            <w:tcW w:w="2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6,218</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Accrued clinical trial related costs</w:t>
            </w:r>
          </w:p>
        </w:tc>
        <w:tc>
          <w:tcPr>
            <w:tcW w:w="2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1,322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2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2,061</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2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3,759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2220" w:type="dxa"/>
            <w:vAlign w:val="bottom"/>
          </w:tcPr>
          <w:p>
            <w:pPr>
              <w:spacing w:after="0"/>
              <w:rPr>
                <w:sz w:val="17"/>
                <w:szCs w:val="17"/>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13,444</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20" w:type="dxa"/>
            <w:vAlign w:val="bottom"/>
            <w:vMerge w:val="restart"/>
          </w:tcPr>
          <w:p>
            <w:pPr>
              <w:jc w:val="right"/>
              <w:ind w:right="1470"/>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9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9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7—Long-term debt</w:t>
      </w:r>
    </w:p>
    <w:p>
      <w:pPr>
        <w:spacing w:after="0" w:line="106" w:lineRule="exact"/>
        <w:rPr>
          <w:sz w:val="20"/>
          <w:szCs w:val="20"/>
          <w:color w:val="auto"/>
        </w:rPr>
      </w:pPr>
    </w:p>
    <w:p>
      <w:pPr>
        <w:ind w:left="60" w:right="240"/>
        <w:spacing w:after="0" w:line="247"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The Company granted Hercules a lien on substantially all of the Company’s assets, excluding intellectual property.</w:t>
      </w:r>
    </w:p>
    <w:p>
      <w:pPr>
        <w:spacing w:after="0" w:line="66" w:lineRule="exact"/>
        <w:rPr>
          <w:sz w:val="20"/>
          <w:szCs w:val="20"/>
          <w:color w:val="auto"/>
        </w:rPr>
      </w:pPr>
    </w:p>
    <w:p>
      <w:pPr>
        <w:ind w:left="60" w:right="180"/>
        <w:spacing w:after="0"/>
        <w:rPr>
          <w:sz w:val="20"/>
          <w:szCs w:val="20"/>
          <w:color w:val="auto"/>
        </w:rPr>
      </w:pPr>
      <w:r>
        <w:rPr>
          <w:rFonts w:ascii="Arial" w:cs="Arial" w:eastAsia="Arial" w:hAnsi="Arial"/>
          <w:sz w:val="18"/>
          <w:szCs w:val="18"/>
          <w:color w:val="auto"/>
        </w:rPr>
        <w:t>On May 1, 2023, the Company prepaid the Loan Agreement in full. The total amount paid to Hercules in connection with the prepayment was $10,617, which included all outstanding principal, accrued and unpaid interest and end of term and prepayment charges (“the Payoff Amount”). The Payoff Amount included a prepayment charge of $100 (equal to 1.0% of the outstanding principal), and an end of term fee of $395, which is being recognized as interest expense and accreted over the term of the Loan Agreement using the effective interest method. Upon receipt by Hercules of the Payoff Amount on May 1, 2023, all obligations, covenants, debts and liabilities of the Company under the Loan Agreement were satisfied and discharged in full, and the Loan Agreement was terminated.</w:t>
      </w:r>
    </w:p>
    <w:p>
      <w:pPr>
        <w:spacing w:after="0" w:line="72" w:lineRule="exact"/>
        <w:rPr>
          <w:sz w:val="20"/>
          <w:szCs w:val="20"/>
          <w:color w:val="auto"/>
        </w:rPr>
      </w:pPr>
    </w:p>
    <w:p>
      <w:pPr>
        <w:ind w:left="60" w:right="160"/>
        <w:spacing w:after="0" w:line="242"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Interest expense attributable to the Loan Agreement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color w:val="auto"/>
              </w:rPr>
              <w:t>For the Nine Months Ended</w:t>
            </w:r>
          </w:p>
        </w:tc>
        <w:tc>
          <w:tcPr>
            <w:tcW w:w="1780" w:type="dxa"/>
            <w:vAlign w:val="bottom"/>
            <w:gridSpan w:val="2"/>
          </w:tcPr>
          <w:p>
            <w:pPr>
              <w:spacing w:after="0"/>
              <w:rPr>
                <w:sz w:val="20"/>
                <w:szCs w:val="20"/>
                <w:color w:val="auto"/>
              </w:rPr>
            </w:pPr>
            <w:r>
              <w:rPr>
                <w:rFonts w:ascii="Arial" w:cs="Arial" w:eastAsia="Arial" w:hAnsi="Arial"/>
                <w:sz w:val="14"/>
                <w:szCs w:val="14"/>
                <w:color w:val="auto"/>
              </w:rPr>
              <w:t>For the Nine Months Ended</w:t>
            </w:r>
          </w:p>
        </w:tc>
      </w:tr>
      <w:tr>
        <w:trPr>
          <w:trHeight w:val="17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color w:val="auto"/>
              </w:rPr>
              <w:t>September 30, 2024</w:t>
            </w:r>
          </w:p>
        </w:tc>
        <w:tc>
          <w:tcPr>
            <w:tcW w:w="160" w:type="dxa"/>
            <w:vAlign w:val="bottom"/>
          </w:tcPr>
          <w:p>
            <w:pPr>
              <w:spacing w:after="0"/>
              <w:rPr>
                <w:sz w:val="14"/>
                <w:szCs w:val="14"/>
                <w:color w:val="auto"/>
              </w:rPr>
            </w:pPr>
          </w:p>
        </w:tc>
        <w:tc>
          <w:tcPr>
            <w:tcW w:w="1620" w:type="dxa"/>
            <w:vAlign w:val="bottom"/>
          </w:tcPr>
          <w:p>
            <w:pPr>
              <w:jc w:val="right"/>
              <w:ind w:right="155"/>
              <w:spacing w:after="0"/>
              <w:rPr>
                <w:sz w:val="20"/>
                <w:szCs w:val="20"/>
                <w:color w:val="auto"/>
              </w:rPr>
            </w:pPr>
            <w:r>
              <w:rPr>
                <w:rFonts w:ascii="Arial" w:cs="Arial" w:eastAsia="Arial" w:hAnsi="Arial"/>
                <w:sz w:val="14"/>
                <w:szCs w:val="14"/>
                <w:color w:val="auto"/>
              </w:rPr>
              <w:t>September 30, 2023</w:t>
            </w:r>
          </w:p>
        </w:tc>
      </w:tr>
      <w:tr>
        <w:trPr>
          <w:trHeight w:val="196"/>
        </w:trPr>
        <w:tc>
          <w:tcPr>
            <w:tcW w:w="5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ind w:left="138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r>
      <w:tr>
        <w:trPr>
          <w:trHeight w:val="184"/>
        </w:trPr>
        <w:tc>
          <w:tcPr>
            <w:tcW w:w="5240" w:type="dxa"/>
            <w:vAlign w:val="bottom"/>
          </w:tcPr>
          <w:p>
            <w:pPr>
              <w:ind w:left="20"/>
              <w:spacing w:after="0" w:line="183" w:lineRule="exact"/>
              <w:rPr>
                <w:sz w:val="20"/>
                <w:szCs w:val="20"/>
                <w:color w:val="auto"/>
              </w:rPr>
            </w:pPr>
            <w:r>
              <w:rPr>
                <w:rFonts w:ascii="Arial" w:cs="Arial" w:eastAsia="Arial" w:hAnsi="Arial"/>
                <w:sz w:val="18"/>
                <w:szCs w:val="18"/>
                <w:color w:val="auto"/>
              </w:rPr>
              <w:t>Amortization of debt issuance costs, including end of term fee</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1"/>
        </w:trPr>
        <w:tc>
          <w:tcPr>
            <w:tcW w:w="5240" w:type="dxa"/>
            <w:vAlign w:val="bottom"/>
          </w:tcPr>
          <w:p>
            <w:pPr>
              <w:ind w:left="20"/>
              <w:spacing w:after="0"/>
              <w:rPr>
                <w:sz w:val="20"/>
                <w:szCs w:val="20"/>
                <w:color w:val="auto"/>
              </w:rPr>
            </w:pPr>
            <w:r>
              <w:rPr>
                <w:rFonts w:ascii="Arial" w:cs="Arial" w:eastAsia="Arial" w:hAnsi="Arial"/>
                <w:sz w:val="18"/>
                <w:szCs w:val="18"/>
                <w:color w:val="auto"/>
              </w:rPr>
              <w:t>accretion</w:t>
            </w:r>
          </w:p>
        </w:tc>
        <w:tc>
          <w:tcPr>
            <w:tcW w:w="180" w:type="dxa"/>
            <w:vAlign w:val="bottom"/>
          </w:tcPr>
          <w:p>
            <w:pPr>
              <w:spacing w:after="0"/>
              <w:rPr>
                <w:sz w:val="19"/>
                <w:szCs w:val="19"/>
                <w:color w:val="auto"/>
              </w:rPr>
            </w:pP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shd w:val="clear" w:color="auto" w:fill="CCEEFF"/>
          </w:tcPr>
          <w:p>
            <w:pPr>
              <w:ind w:left="138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 – Bristol-Myers Squibb Collaboration</w:t>
      </w:r>
    </w:p>
    <w:p>
      <w:pPr>
        <w:spacing w:after="0" w:line="106" w:lineRule="exact"/>
        <w:rPr>
          <w:sz w:val="20"/>
          <w:szCs w:val="20"/>
          <w:color w:val="auto"/>
        </w:rPr>
      </w:pPr>
    </w:p>
    <w:p>
      <w:pPr>
        <w:ind w:left="60" w:right="120"/>
        <w:spacing w:after="0"/>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72" w:lineRule="exact"/>
        <w:rPr>
          <w:sz w:val="20"/>
          <w:szCs w:val="20"/>
          <w:color w:val="auto"/>
        </w:rPr>
      </w:pPr>
    </w:p>
    <w:p>
      <w:pPr>
        <w:ind w:left="60" w:right="80"/>
        <w:spacing w:after="0" w:line="238"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proof-of-concept clinical trial. Bristol-Myers Squibb will be responsible for all regulatory, clinical, manufacturing (after the proof-of-concept clinical trial) and commercialization activities for such Development Candidates worldwide. The Company has the option to co-promote Development Candidates generated from certain specified Collaboration Programs.</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2" w:right="143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third-party license costs. If the Company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12-year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Bristol-Myers Squibb for such Licensed Product in such country will be fully paid-up, royalty-free, perpetual, and irrevocable.</w:t>
      </w:r>
    </w:p>
    <w:p>
      <w:pPr>
        <w:spacing w:after="0" w:line="157"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$23,187 in the aggregate (“Equity Premium”), and the remaining $26,813 was recorded as issuance of common stock in stockholders’ equity.</w:t>
      </w:r>
    </w:p>
    <w:p>
      <w:pPr>
        <w:spacing w:after="0" w:line="14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 performance obligations for purposes of recognizing revenue and will recognize revenue as the Company fulfills each performance obligation.</w:t>
      </w:r>
    </w:p>
    <w:p>
      <w:pPr>
        <w:spacing w:after="0" w:line="13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 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total transaction price of $123,187 was allocated to the performance obligations based on their estimated standalone selling price on January 7, 2022.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58" w:lineRule="exact"/>
        <w:rPr>
          <w:sz w:val="20"/>
          <w:szCs w:val="20"/>
          <w:color w:val="auto"/>
        </w:rPr>
      </w:pPr>
    </w:p>
    <w:p>
      <w:pPr>
        <w:ind w:left="720" w:right="219"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services: The Company recognizes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43" w:lineRule="exact"/>
        <w:rPr>
          <w:rFonts w:ascii="Times New Roman" w:cs="Times New Roman" w:eastAsia="Times New Roman" w:hAnsi="Times New Roman"/>
          <w:sz w:val="18"/>
          <w:szCs w:val="18"/>
          <w:color w:val="auto"/>
        </w:rPr>
      </w:pPr>
    </w:p>
    <w:p>
      <w:pPr>
        <w:ind w:left="720" w:right="79" w:hanging="319"/>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136"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September 30, 2024:</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4" w:lineRule="exact"/>
        <w:rPr>
          <w:sz w:val="20"/>
          <w:szCs w:val="20"/>
          <w:color w:val="auto"/>
        </w:rPr>
      </w:pPr>
    </w:p>
    <w:p>
      <w:pPr>
        <w:ind w:left="160" w:right="400"/>
        <w:spacing w:after="0" w:line="247" w:lineRule="auto"/>
        <w:rPr>
          <w:sz w:val="20"/>
          <w:szCs w:val="20"/>
          <w:color w:val="auto"/>
        </w:rPr>
      </w:pPr>
      <w:r>
        <w:rPr>
          <w:rFonts w:ascii="Arial" w:cs="Arial" w:eastAsia="Arial" w:hAnsi="Arial"/>
          <w:sz w:val="18"/>
          <w:szCs w:val="18"/>
          <w:color w:val="231F20"/>
        </w:rPr>
        <w:t>Less current portion of deferred revenue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4"/>
                <w:szCs w:val="14"/>
                <w:color w:val="231F20"/>
              </w:rPr>
              <w:t>Cumulative collaboration</w:t>
            </w:r>
          </w:p>
        </w:tc>
        <w:tc>
          <w:tcPr>
            <w:tcW w:w="180" w:type="dxa"/>
            <w:vAlign w:val="bottom"/>
          </w:tcPr>
          <w:p>
            <w:pPr>
              <w:spacing w:after="0"/>
              <w:rPr>
                <w:sz w:val="16"/>
                <w:szCs w:val="16"/>
                <w:color w:val="auto"/>
              </w:rPr>
            </w:pPr>
          </w:p>
        </w:tc>
        <w:tc>
          <w:tcPr>
            <w:tcW w:w="170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0"/>
        </w:trPr>
        <w:tc>
          <w:tcPr>
            <w:tcW w:w="1440" w:type="dxa"/>
            <w:vAlign w:val="bottom"/>
            <w:gridSpan w:val="3"/>
          </w:tcPr>
          <w:p>
            <w:pPr>
              <w:ind w:left="80"/>
              <w:spacing w:after="0"/>
              <w:rPr>
                <w:sz w:val="20"/>
                <w:szCs w:val="20"/>
                <w:color w:val="auto"/>
              </w:rPr>
            </w:pPr>
            <w:r>
              <w:rPr>
                <w:rFonts w:ascii="Arial" w:cs="Arial" w:eastAsia="Arial" w:hAnsi="Arial"/>
                <w:sz w:val="14"/>
                <w:szCs w:val="14"/>
                <w:color w:val="231F20"/>
              </w:rPr>
              <w:t>Transaction price</w:t>
            </w:r>
          </w:p>
        </w:tc>
        <w:tc>
          <w:tcPr>
            <w:tcW w:w="14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color w:val="231F20"/>
              </w:rPr>
              <w:t>revenue recognized</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4"/>
                <w:szCs w:val="14"/>
                <w:color w:val="231F20"/>
              </w:rPr>
              <w:t>collaboration revenue</w:t>
            </w:r>
          </w:p>
        </w:tc>
      </w:tr>
      <w:tr>
        <w:trPr>
          <w:trHeight w:val="195"/>
        </w:trPr>
        <w:tc>
          <w:tcPr>
            <w:tcW w:w="360" w:type="dxa"/>
            <w:vAlign w:val="bottom"/>
            <w:tcBorders>
              <w:top w:val="single" w:sz="8" w:color="auto"/>
            </w:tcBorders>
          </w:tcPr>
          <w:p>
            <w:pPr>
              <w:jc w:val="right"/>
              <w:ind w:right="176"/>
              <w:spacing w:after="0" w:line="195" w:lineRule="exact"/>
              <w:rPr>
                <w:sz w:val="20"/>
                <w:szCs w:val="20"/>
                <w:color w:val="auto"/>
              </w:rPr>
            </w:pPr>
            <w:r>
              <w:rPr>
                <w:rFonts w:ascii="Arial" w:cs="Arial" w:eastAsia="Arial" w:hAnsi="Arial"/>
                <w:sz w:val="18"/>
                <w:szCs w:val="18"/>
                <w:color w:val="231F20"/>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r>
      <w:tr>
        <w:trPr>
          <w:trHeight w:val="234"/>
        </w:trPr>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(9,850)</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28"/>
        </w:trPr>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113,337</w:t>
            </w:r>
          </w:p>
        </w:tc>
      </w:tr>
      <w:tr>
        <w:trPr>
          <w:trHeight w:val="387"/>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w:t>
            </w:r>
          </w:p>
        </w:tc>
      </w:tr>
      <w:tr>
        <w:trPr>
          <w:trHeight w:val="210"/>
        </w:trPr>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231F20"/>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109,768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-856615</wp:posOffset>
            </wp:positionV>
            <wp:extent cx="564896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-573405</wp:posOffset>
            </wp:positionV>
            <wp:extent cx="564896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564896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060" w:space="400"/>
            <w:col w:w="5559"/>
          </w:cols>
          <w:pgMar w:left="1440" w:top="512" w:right="1440" w:bottom="1440" w:gutter="0" w:footer="0" w:header="0"/>
          <w:type w:val="continuous"/>
        </w:sectPr>
      </w:pPr>
    </w:p>
    <w:p>
      <w:pPr>
        <w:ind w:left="60" w:right="479"/>
        <w:spacing w:after="0" w:line="253"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December 31, 2023:</w:t>
      </w:r>
    </w:p>
    <w:p>
      <w:pPr>
        <w:sectPr>
          <w:pgSz w:w="11900" w:h="16838" w:orient="portrait"/>
          <w:cols w:equalWidth="0" w:num="1">
            <w:col w:w="9019"/>
          </w:cols>
          <w:pgMar w:left="1440" w:top="512" w:right="1440" w:bottom="1440" w:gutter="0" w:footer="0" w:header="0"/>
          <w:type w:val="continuous"/>
        </w:sectPr>
      </w:pP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4" w:lineRule="exact"/>
        <w:rPr>
          <w:sz w:val="20"/>
          <w:szCs w:val="20"/>
          <w:color w:val="auto"/>
        </w:rPr>
      </w:pPr>
    </w:p>
    <w:p>
      <w:pPr>
        <w:ind w:left="160" w:right="400"/>
        <w:spacing w:after="0" w:line="247" w:lineRule="auto"/>
        <w:rPr>
          <w:sz w:val="20"/>
          <w:szCs w:val="20"/>
          <w:color w:val="auto"/>
        </w:rPr>
      </w:pPr>
      <w:r>
        <w:rPr>
          <w:rFonts w:ascii="Arial" w:cs="Arial" w:eastAsia="Arial" w:hAnsi="Arial"/>
          <w:sz w:val="18"/>
          <w:szCs w:val="18"/>
          <w:color w:val="231F20"/>
        </w:rPr>
        <w:t>Less current portion of deferred revenue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4"/>
                <w:szCs w:val="14"/>
                <w:color w:val="231F20"/>
              </w:rPr>
              <w:t>Cumulative collaboration</w:t>
            </w:r>
          </w:p>
        </w:tc>
        <w:tc>
          <w:tcPr>
            <w:tcW w:w="180" w:type="dxa"/>
            <w:vAlign w:val="bottom"/>
          </w:tcPr>
          <w:p>
            <w:pPr>
              <w:spacing w:after="0"/>
              <w:rPr>
                <w:sz w:val="16"/>
                <w:szCs w:val="16"/>
                <w:color w:val="auto"/>
              </w:rPr>
            </w:pPr>
          </w:p>
        </w:tc>
        <w:tc>
          <w:tcPr>
            <w:tcW w:w="170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0"/>
        </w:trPr>
        <w:tc>
          <w:tcPr>
            <w:tcW w:w="1440" w:type="dxa"/>
            <w:vAlign w:val="bottom"/>
            <w:gridSpan w:val="3"/>
          </w:tcPr>
          <w:p>
            <w:pPr>
              <w:ind w:left="80"/>
              <w:spacing w:after="0"/>
              <w:rPr>
                <w:sz w:val="20"/>
                <w:szCs w:val="20"/>
                <w:color w:val="auto"/>
              </w:rPr>
            </w:pPr>
            <w:r>
              <w:rPr>
                <w:rFonts w:ascii="Arial" w:cs="Arial" w:eastAsia="Arial" w:hAnsi="Arial"/>
                <w:sz w:val="14"/>
                <w:szCs w:val="14"/>
                <w:color w:val="231F20"/>
              </w:rPr>
              <w:t>Transaction price</w:t>
            </w:r>
          </w:p>
        </w:tc>
        <w:tc>
          <w:tcPr>
            <w:tcW w:w="14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color w:val="231F20"/>
              </w:rPr>
              <w:t>revenue recognized</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4"/>
                <w:szCs w:val="14"/>
                <w:color w:val="231F20"/>
              </w:rPr>
              <w:t>collaboration revenue</w:t>
            </w:r>
          </w:p>
        </w:tc>
      </w:tr>
      <w:tr>
        <w:trPr>
          <w:trHeight w:val="195"/>
        </w:trPr>
        <w:tc>
          <w:tcPr>
            <w:tcW w:w="360" w:type="dxa"/>
            <w:vAlign w:val="bottom"/>
            <w:tcBorders>
              <w:top w:val="single" w:sz="8" w:color="auto"/>
            </w:tcBorders>
          </w:tcPr>
          <w:p>
            <w:pPr>
              <w:jc w:val="right"/>
              <w:ind w:right="176"/>
              <w:spacing w:after="0" w:line="195" w:lineRule="exact"/>
              <w:rPr>
                <w:sz w:val="20"/>
                <w:szCs w:val="20"/>
                <w:color w:val="auto"/>
              </w:rPr>
            </w:pPr>
            <w:r>
              <w:rPr>
                <w:rFonts w:ascii="Arial" w:cs="Arial" w:eastAsia="Arial" w:hAnsi="Arial"/>
                <w:sz w:val="18"/>
                <w:szCs w:val="18"/>
                <w:color w:val="231F20"/>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r>
      <w:tr>
        <w:trPr>
          <w:trHeight w:val="234"/>
        </w:trPr>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(7,434)</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28"/>
        </w:trPr>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115,753</w:t>
            </w:r>
          </w:p>
        </w:tc>
      </w:tr>
      <w:tr>
        <w:trPr>
          <w:trHeight w:val="387"/>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10"/>
        </w:trPr>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231F20"/>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-856615</wp:posOffset>
            </wp:positionV>
            <wp:extent cx="564896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-573405</wp:posOffset>
            </wp:positionV>
            <wp:extent cx="564896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564896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00"/>
            <w:col w:w="5559"/>
          </w:cols>
          <w:pgMar w:left="1440" w:top="5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9—Commitments and contingencies</w:t>
      </w:r>
    </w:p>
    <w:p>
      <w:pPr>
        <w:spacing w:after="0" w:line="187"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71"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“Master Service Agreement”).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79"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The Company had $0 within accounts payable as of September 30, 2024 and $106 as of December 31, 2023, in its consolidated balance sheets related to the Master Service Agreement.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2024 or 2023.</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Clade Therapeutics</w:t>
      </w:r>
    </w:p>
    <w:p>
      <w:pPr>
        <w:spacing w:after="0" w:line="212"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In connection with the acquisition of Clade Therapeutics (Note – 3), the Company is subject to a contingent milestone payment to the shareholders of Clade. The milestone payment is $10,000 and is payable in cash, shares of Century, or a combination thereof, at the discretion of Century.</w:t>
      </w:r>
    </w:p>
    <w:p>
      <w:pPr>
        <w:spacing w:after="0" w:line="142" w:lineRule="exact"/>
        <w:rPr>
          <w:sz w:val="20"/>
          <w:szCs w:val="20"/>
          <w:color w:val="auto"/>
        </w:rPr>
      </w:pPr>
    </w:p>
    <w:p>
      <w:pPr>
        <w:ind w:left="60" w:right="139"/>
        <w:spacing w:after="0" w:line="261" w:lineRule="auto"/>
        <w:rPr>
          <w:sz w:val="20"/>
          <w:szCs w:val="20"/>
          <w:color w:val="auto"/>
        </w:rPr>
      </w:pPr>
      <w:r>
        <w:rPr>
          <w:rFonts w:ascii="Arial" w:cs="Arial" w:eastAsia="Arial" w:hAnsi="Arial"/>
          <w:sz w:val="17"/>
          <w:szCs w:val="17"/>
          <w:color w:val="auto"/>
        </w:rPr>
        <w:t>A total of 793,687 shares (“Holdback Shares”) representing approximately 10% of the aggregate consideration, were held back at the closing of the acquisition as recourse to satisfy certain indemnification obligations of the Clade shareholders under the Merger Agreement should they arise and, subject to any forfeiture of Holdback Shares as a result of indemnification claims made prior to the 18-month anniversary of the Closing, will be issued pursuant to the terms of the Merger Agreement following the 18-month anniversary of the Closing.</w:t>
      </w:r>
    </w:p>
    <w:p>
      <w:pPr>
        <w:spacing w:after="0" w:line="125" w:lineRule="exact"/>
        <w:rPr>
          <w:sz w:val="20"/>
          <w:szCs w:val="20"/>
          <w:color w:val="auto"/>
        </w:rPr>
      </w:pPr>
    </w:p>
    <w:p>
      <w:pPr>
        <w:ind w:left="60" w:right="719"/>
        <w:spacing w:after="0" w:line="247" w:lineRule="auto"/>
        <w:rPr>
          <w:sz w:val="20"/>
          <w:szCs w:val="20"/>
          <w:color w:val="auto"/>
        </w:rPr>
      </w:pPr>
      <w:r>
        <w:rPr>
          <w:rFonts w:ascii="Arial" w:cs="Arial" w:eastAsia="Arial" w:hAnsi="Arial"/>
          <w:sz w:val="18"/>
          <w:szCs w:val="18"/>
          <w:color w:val="auto"/>
        </w:rPr>
        <w:t>In connection with the acquisition of Clade, the Company also assumed an earn-out obligation (“Gadeta Milestone”) that is contingent on a clinical development milestone of a product that incorporates Gadeta intellectual property between the acquisition date and December 31, 2032. The total payment to the shareholders of Gadeta is upon the occurrence of such an event is $20,000.</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10—Leases</w:t>
      </w:r>
    </w:p>
    <w:p>
      <w:pPr>
        <w:spacing w:after="0" w:line="187"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$410 and $ 1,260 within security deposits and non-current assets in its consolidated balance sheets at September 30, 2024 and December 31, 2023, respectively. The Company’s leases have initial lease terms ranging from 5 to 16 years. Certain lease agreements contain provisions for future rent increases.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For the</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Nine Months Ended</w:t>
            </w:r>
          </w:p>
        </w:tc>
        <w:tc>
          <w:tcPr>
            <w:tcW w:w="2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September 30, 2024</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September 30, 2023</w:t>
            </w:r>
          </w:p>
        </w:tc>
        <w:tc>
          <w:tcPr>
            <w:tcW w:w="200" w:type="dxa"/>
            <w:vAlign w:val="bottom"/>
          </w:tcPr>
          <w:p>
            <w:pPr>
              <w:spacing w:after="0"/>
              <w:rPr>
                <w:sz w:val="14"/>
                <w:szCs w:val="14"/>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September 30, 2024</w:t>
            </w:r>
          </w:p>
        </w:tc>
        <w:tc>
          <w:tcPr>
            <w:tcW w:w="2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September 30, 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640" w:type="dxa"/>
            <w:vAlign w:val="bottom"/>
            <w:gridSpan w:val="2"/>
          </w:tcPr>
          <w:p>
            <w:pPr>
              <w:jc w:val="right"/>
              <w:ind w:right="328"/>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1,647</w:t>
            </w:r>
          </w:p>
        </w:tc>
        <w:tc>
          <w:tcPr>
            <w:tcW w:w="54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1,443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5,037</w:t>
            </w:r>
          </w:p>
        </w:tc>
        <w:tc>
          <w:tcPr>
            <w:tcW w:w="2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4,458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 term lease expense</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901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8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Total operating lease</w:t>
            </w:r>
          </w:p>
        </w:tc>
        <w:tc>
          <w:tcPr>
            <w:tcW w:w="640" w:type="dxa"/>
            <w:vAlign w:val="bottom"/>
            <w:gridSpan w:val="2"/>
            <w:vMerge w:val="restart"/>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540" w:type="dxa"/>
            <w:vAlign w:val="bottom"/>
            <w:gridSpan w:val="2"/>
            <w:vMerge w:val="restart"/>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2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6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380" w:type="dxa"/>
            <w:vAlign w:val="bottom"/>
            <w:gridSpan w:val="3"/>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260" w:type="dxa"/>
            <w:vAlign w:val="bottom"/>
            <w:gridSpan w:val="12"/>
          </w:tcPr>
          <w:p>
            <w:pPr>
              <w:ind w:left="2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gridSpan w:val="2"/>
          </w:tcPr>
          <w:p>
            <w:pPr>
              <w:jc w:val="center"/>
              <w:ind w:left="299"/>
              <w:spacing w:after="0"/>
              <w:rPr>
                <w:sz w:val="20"/>
                <w:szCs w:val="20"/>
                <w:color w:val="auto"/>
              </w:rPr>
            </w:pPr>
            <w:r>
              <w:rPr>
                <w:rFonts w:ascii="Arial" w:cs="Arial" w:eastAsia="Arial" w:hAnsi="Arial"/>
                <w:sz w:val="14"/>
                <w:szCs w:val="14"/>
                <w:color w:val="auto"/>
              </w:rPr>
              <w:t>As of</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As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3"/>
          </w:tcPr>
          <w:p>
            <w:pPr>
              <w:ind w:left="240"/>
              <w:spacing w:after="0"/>
              <w:rPr>
                <w:sz w:val="20"/>
                <w:szCs w:val="20"/>
                <w:color w:val="auto"/>
              </w:rPr>
            </w:pPr>
            <w:r>
              <w:rPr>
                <w:rFonts w:ascii="Arial" w:cs="Arial" w:eastAsia="Arial" w:hAnsi="Arial"/>
                <w:sz w:val="14"/>
                <w:szCs w:val="14"/>
                <w:color w:val="auto"/>
              </w:rPr>
              <w:t>Location in Balance Sheet</w:t>
            </w:r>
          </w:p>
        </w:tc>
        <w:tc>
          <w:tcPr>
            <w:tcW w:w="74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28,828</w:t>
            </w:r>
          </w:p>
        </w:tc>
        <w:tc>
          <w:tcPr>
            <w:tcW w:w="160" w:type="dxa"/>
            <w:vAlign w:val="bottom"/>
          </w:tcPr>
          <w:p>
            <w:pPr>
              <w:spacing w:after="0"/>
              <w:rPr>
                <w:sz w:val="17"/>
                <w:szCs w:val="17"/>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20,376</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3,759</w:t>
            </w:r>
          </w:p>
        </w:tc>
        <w:tc>
          <w:tcPr>
            <w:tcW w:w="1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r>
      <w:tr>
        <w:trPr>
          <w:trHeight w:val="221"/>
        </w:trPr>
        <w:tc>
          <w:tcPr>
            <w:tcW w:w="322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50,837</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46,658</w:t>
            </w:r>
          </w:p>
        </w:tc>
      </w:tr>
      <w:tr>
        <w:trPr>
          <w:trHeight w:val="196"/>
        </w:trPr>
        <w:tc>
          <w:tcPr>
            <w:tcW w:w="32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54,596</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48,171</w:t>
            </w:r>
          </w:p>
        </w:tc>
      </w:tr>
      <w:tr>
        <w:trPr>
          <w:trHeight w:val="20"/>
        </w:trPr>
        <w:tc>
          <w:tcPr>
            <w:tcW w:w="3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-548005</wp:posOffset>
            </wp:positionV>
            <wp:extent cx="568325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3250" cy="12890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-290830</wp:posOffset>
            </wp:positionV>
            <wp:extent cx="568325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3250"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220"/>
            <w:col w:w="567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As of September 30, 2024</w:t>
            </w:r>
          </w:p>
        </w:tc>
        <w:tc>
          <w:tcPr>
            <w:tcW w:w="1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As of December 31, 2023</w:t>
            </w:r>
          </w:p>
        </w:tc>
        <w:tc>
          <w:tcPr>
            <w:tcW w:w="160" w:type="dxa"/>
            <w:vAlign w:val="bottom"/>
          </w:tcPr>
          <w:p>
            <w:pPr>
              <w:spacing w:after="0"/>
              <w:rPr>
                <w:sz w:val="15"/>
                <w:szCs w:val="15"/>
                <w:color w:val="auto"/>
              </w:rPr>
            </w:pPr>
          </w:p>
        </w:tc>
      </w:tr>
      <w:tr>
        <w:trPr>
          <w:trHeight w:val="196"/>
        </w:trPr>
        <w:tc>
          <w:tcPr>
            <w:tcW w:w="5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 Years</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7.6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39"/>
        </w:trPr>
        <w:tc>
          <w:tcPr>
            <w:tcW w:w="51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10.4 %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9.9 %</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08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For the Nine Months</w:t>
            </w:r>
          </w:p>
        </w:tc>
        <w:tc>
          <w:tcPr>
            <w:tcW w:w="1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For the Nine Months</w:t>
            </w:r>
          </w:p>
        </w:tc>
      </w:tr>
      <w:tr>
        <w:trPr>
          <w:trHeight w:val="171"/>
        </w:trPr>
        <w:tc>
          <w:tcPr>
            <w:tcW w:w="6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Ended</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56"/>
              <w:spacing w:after="0"/>
              <w:rPr>
                <w:sz w:val="20"/>
                <w:szCs w:val="20"/>
                <w:color w:val="auto"/>
              </w:rPr>
            </w:pPr>
            <w:r>
              <w:rPr>
                <w:rFonts w:ascii="Arial" w:cs="Arial" w:eastAsia="Arial" w:hAnsi="Arial"/>
                <w:sz w:val="14"/>
                <w:szCs w:val="14"/>
                <w:color w:val="auto"/>
              </w:rPr>
              <w:t>Ended</w:t>
            </w:r>
          </w:p>
        </w:tc>
      </w:tr>
      <w:tr>
        <w:trPr>
          <w:trHeight w:val="162"/>
        </w:trPr>
        <w:tc>
          <w:tcPr>
            <w:tcW w:w="60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September 30, 2024</w:t>
            </w: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September 30, 2023</w:t>
            </w:r>
          </w:p>
        </w:tc>
      </w:tr>
      <w:tr>
        <w:trPr>
          <w:trHeight w:val="196"/>
        </w:trPr>
        <w:tc>
          <w:tcPr>
            <w:tcW w:w="6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(2,599)</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39"/>
        </w:trPr>
        <w:tc>
          <w:tcPr>
            <w:tcW w:w="60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following table reflects future minimum lease payments under noncancelable leases as of September 30, 2024: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520" w:type="dxa"/>
            <w:vAlign w:val="bottom"/>
            <w:tcBorders>
              <w:top w:val="single" w:sz="8" w:color="auto"/>
              <w:bottom w:val="single" w:sz="8" w:color="CCEEFF"/>
            </w:tcBorders>
          </w:tcPr>
          <w:p>
            <w:pPr>
              <w:spacing w:after="0"/>
              <w:rPr>
                <w:sz w:val="15"/>
                <w:szCs w:val="15"/>
                <w:color w:val="auto"/>
              </w:rPr>
            </w:pPr>
          </w:p>
        </w:tc>
        <w:tc>
          <w:tcPr>
            <w:tcW w:w="416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2024</w:t>
            </w:r>
          </w:p>
        </w:tc>
        <w:tc>
          <w:tcPr>
            <w:tcW w:w="4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9,766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4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4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4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4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(28,263)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Tenant incentive receivable</w:t>
            </w:r>
          </w:p>
        </w:tc>
        <w:tc>
          <w:tcPr>
            <w:tcW w:w="4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4160" w:type="dxa"/>
            <w:vAlign w:val="bottom"/>
          </w:tcPr>
          <w:p>
            <w:pPr>
              <w:spacing w:after="0"/>
              <w:rPr>
                <w:sz w:val="17"/>
                <w:szCs w:val="17"/>
                <w:color w:val="auto"/>
              </w:rPr>
            </w:pPr>
          </w:p>
        </w:tc>
        <w:tc>
          <w:tcPr>
            <w:tcW w:w="3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160" w:type="dxa"/>
            <w:vAlign w:val="bottom"/>
            <w:vMerge w:val="restart"/>
          </w:tcPr>
          <w:p>
            <w:pPr>
              <w:jc w:val="right"/>
              <w:ind w:right="3030"/>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5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11—Income taxes</w:t>
      </w:r>
    </w:p>
    <w:p>
      <w:pPr>
        <w:spacing w:after="0" w:line="21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During the three and nine months ended September 30, 2024, the Company recorded an immaterial tax benefit (provision), related to its income tax obligations of its Canadian operations.</w:t>
      </w:r>
    </w:p>
    <w:p>
      <w:pPr>
        <w:spacing w:after="0" w:line="127"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During the three and nine months ended September 30, 2023, the Company recorded tax expense of $592 and $2,750, respectively, due primarily to revenue recognition for tax purposes from the Company’s Research Collaboration and License Agreement entered into with Bristol-Myers Squibb Company in 2022, combined with statutory limitations on deductions for research and development expenses, net operating losses, and research credits.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12—Basic and diluted net loss per common share</w:t>
      </w:r>
    </w:p>
    <w:p>
      <w:pPr>
        <w:spacing w:after="0" w:line="173"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Company’s potentially dilutive securities, which include RSUs (“Restricted Stock Units”), restricted stock, warrants, early exercised stock options and stock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nine months ended September 30, 2024 and 2023 because including them would have had an anti-dilutive effect.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color w:val="auto"/>
              </w:rPr>
              <w:t>Nine Months Ended</w:t>
            </w: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Nine Months Ended</w:t>
            </w:r>
          </w:p>
        </w:tc>
      </w:tr>
      <w:tr>
        <w:trPr>
          <w:trHeight w:val="162"/>
        </w:trPr>
        <w:tc>
          <w:tcPr>
            <w:tcW w:w="616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rPr>
              <w:t>September 30,</w:t>
            </w:r>
          </w:p>
        </w:tc>
        <w:tc>
          <w:tcPr>
            <w:tcW w:w="1300" w:type="dxa"/>
            <w:vAlign w:val="bottom"/>
          </w:tcPr>
          <w:p>
            <w:pPr>
              <w:jc w:val="center"/>
              <w:spacing w:after="0"/>
              <w:rPr>
                <w:sz w:val="20"/>
                <w:szCs w:val="20"/>
                <w:color w:val="auto"/>
              </w:rPr>
            </w:pPr>
            <w:r>
              <w:rPr>
                <w:rFonts w:ascii="Arial" w:cs="Arial" w:eastAsia="Arial" w:hAnsi="Arial"/>
                <w:sz w:val="14"/>
                <w:szCs w:val="14"/>
                <w:color w:val="auto"/>
              </w:rPr>
              <w:t>September 30,</w:t>
            </w:r>
          </w:p>
        </w:tc>
      </w:tr>
      <w:tr>
        <w:trPr>
          <w:trHeight w:val="171"/>
        </w:trPr>
        <w:tc>
          <w:tcPr>
            <w:tcW w:w="61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5,357,942</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8,290,588</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30,042</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227,499</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awards subject to future vesting</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24,685</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49,465</w:t>
            </w:r>
          </w:p>
        </w:tc>
      </w:tr>
      <w:tr>
        <w:trPr>
          <w:trHeight w:val="202"/>
        </w:trPr>
        <w:tc>
          <w:tcPr>
            <w:tcW w:w="616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4,113,289</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2,263,195</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16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r>
      <w:tr>
        <w:trPr>
          <w:trHeight w:val="196"/>
        </w:trPr>
        <w:tc>
          <w:tcPr>
            <w:tcW w:w="61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9,557,967</w:t>
            </w: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10,862,756</w:t>
            </w: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13—Stock-based compensation</w:t>
      </w:r>
    </w:p>
    <w:p>
      <w:pPr>
        <w:spacing w:after="0" w:line="18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128"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2023, the 2021 Incentive Plan reserved shares were increased under clause (i) by 2,954,788 shares, effective as of January 1, 2023. For 2024, the 2021 Incentive Plan reserved shares were increased under clause (i) by 3,025,220 shares, effective as of January 1, 2024. As of September 30, 2024, there were 4,059,523 shares available for issuance under the 2021 Incentive Plan.</w:t>
      </w:r>
    </w:p>
    <w:p>
      <w:pPr>
        <w:spacing w:after="0" w:line="15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June 30, 2023, the Company issued performance-based RSUs that represent a contingent right to receive one share of the Company’s common stock. The RSUs shall vest 50% on November 1, 2023, with the remaining 50% vesting upon the earlier of: (i) November 1, 2024; and (ii) satisfaction of certain performance criteria. The Company is currently recording expense for these RSUs on the straight-line basis.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payments as the employees vest in the awards.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2024, the Company had reserved shares of common stock for issuance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660" w:type="dxa"/>
            <w:vAlign w:val="bottom"/>
          </w:tcPr>
          <w:p>
            <w:pPr>
              <w:jc w:val="right"/>
              <w:ind w:right="514"/>
              <w:spacing w:after="0"/>
              <w:rPr>
                <w:sz w:val="20"/>
                <w:szCs w:val="20"/>
                <w:color w:val="auto"/>
              </w:rPr>
            </w:pPr>
            <w:r>
              <w:rPr>
                <w:rFonts w:ascii="Arial" w:cs="Arial" w:eastAsia="Arial" w:hAnsi="Arial"/>
                <w:sz w:val="14"/>
                <w:szCs w:val="14"/>
                <w:color w:val="auto"/>
              </w:rPr>
              <w:t>Shares</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and RSUs issued and outstanding</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9,471,231</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4,059,523</w:t>
            </w: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845,312</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14,376,066</w:t>
            </w:r>
          </w:p>
        </w:tc>
      </w:tr>
      <w:tr>
        <w:trPr>
          <w:trHeight w:val="20"/>
        </w:trPr>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shares of Common Stock available under the 2021 Incentive Plan as of September 30, 2024 are as follows: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7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80" w:type="dxa"/>
            <w:vAlign w:val="bottom"/>
            <w:gridSpan w:val="2"/>
          </w:tcPr>
          <w:p>
            <w:pPr>
              <w:ind w:left="60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8"/>
                <w:szCs w:val="18"/>
                <w:b w:val="1"/>
                <w:bCs w:val="1"/>
                <w:color w:val="auto"/>
              </w:rPr>
              <w:t>Balance December 31, 2023</w:t>
            </w:r>
          </w:p>
        </w:tc>
        <w:tc>
          <w:tcPr>
            <w:tcW w:w="35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3,128,244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Shares reserved for issuance</w:t>
            </w:r>
          </w:p>
        </w:tc>
        <w:tc>
          <w:tcPr>
            <w:tcW w:w="5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3,025,220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granted</w:t>
            </w:r>
          </w:p>
        </w:tc>
        <w:tc>
          <w:tcPr>
            <w:tcW w:w="5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(2,215,363)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RSU’s granted</w:t>
            </w:r>
          </w:p>
        </w:tc>
        <w:tc>
          <w:tcPr>
            <w:tcW w:w="5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(659,020)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and RSUs forfeited / cancelled</w:t>
            </w:r>
          </w:p>
        </w:tc>
        <w:tc>
          <w:tcPr>
            <w:tcW w:w="5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780,442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September 30, 2024</w:t>
            </w:r>
          </w:p>
        </w:tc>
        <w:tc>
          <w:tcPr>
            <w:tcW w:w="350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4,059,523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500" w:type="dxa"/>
            <w:vAlign w:val="bottom"/>
            <w:vMerge w:val="restart"/>
          </w:tcPr>
          <w:p>
            <w:pPr>
              <w:jc w:val="right"/>
              <w:ind w:right="2590"/>
              <w:spacing w:after="0"/>
              <w:rPr>
                <w:sz w:val="20"/>
                <w:szCs w:val="20"/>
                <w:color w:val="auto"/>
              </w:rPr>
            </w:pPr>
            <w:r>
              <w:rPr>
                <w:rFonts w:ascii="Arial" w:cs="Arial" w:eastAsia="Arial" w:hAnsi="Arial"/>
                <w:sz w:val="18"/>
                <w:szCs w:val="18"/>
                <w:color w:val="auto"/>
              </w:rPr>
              <w:t>29</w:t>
            </w: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7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7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nine-month period ended September 30,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9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ind w:right="257"/>
              <w:spacing w:after="0"/>
              <w:rPr>
                <w:sz w:val="20"/>
                <w:szCs w:val="20"/>
                <w:color w:val="auto"/>
              </w:rPr>
            </w:pPr>
            <w:r>
              <w:rPr>
                <w:rFonts w:ascii="Arial" w:cs="Arial" w:eastAsia="Arial" w:hAnsi="Arial"/>
                <w:sz w:val="14"/>
                <w:szCs w:val="14"/>
                <w:color w:val="auto"/>
              </w:rPr>
              <w:t>Weighted Average</w:t>
            </w: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color w:val="auto"/>
              </w:rPr>
              <w:t>Remaining</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Contractual</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7"/>
              </w:rPr>
              <w:t>Term</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Shares</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Exercise Price</w:t>
            </w:r>
          </w:p>
        </w:tc>
        <w:tc>
          <w:tcPr>
            <w:tcW w:w="740" w:type="dxa"/>
            <w:vAlign w:val="bottom"/>
          </w:tcPr>
          <w:p>
            <w:pPr>
              <w:jc w:val="center"/>
              <w:spacing w:after="0"/>
              <w:rPr>
                <w:sz w:val="20"/>
                <w:szCs w:val="20"/>
                <w:color w:val="auto"/>
              </w:rPr>
            </w:pPr>
            <w:r>
              <w:rPr>
                <w:rFonts w:ascii="Arial" w:cs="Arial" w:eastAsia="Arial" w:hAnsi="Arial"/>
                <w:sz w:val="14"/>
                <w:szCs w:val="14"/>
                <w:color w:val="auto"/>
              </w:rPr>
              <w:t>(years)</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2024</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3,938,006</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7.11</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w:t>
            </w: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2,215,363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4.36</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(282,187)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(509,795)</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(3,445)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Outstanding, September 30, 2024</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5,357,942</w:t>
            </w:r>
          </w:p>
        </w:tc>
        <w:tc>
          <w:tcPr>
            <w:tcW w:w="1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5.65</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4.32</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Exercisable at September 30, 2024</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5,345,193</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5.65</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weighted average grant date fair value of awards for options granted during the nine months ended September 30, 2024 was $3.07. As of September 30, 2024, there was $15,495 of total unrecognized compensation expense related to unvested stock options with time-based vesting terms, which is expected to be recognized over a weighted average period of 2.65 years. The aggregate intrinsic value of options vested and exercisable as of September 30, 2024 and 2023 is calculated based on the difference between the exercise price and the fair value of our common stock. The intrinsic value of options exercised in 2024 and 2023 was $917 and $1,862, respectively.</w:t>
      </w:r>
    </w:p>
    <w:p>
      <w:pPr>
        <w:spacing w:after="0" w:line="14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color w:val="auto"/>
              </w:rPr>
              <w:t>September 30, 2024</w:t>
            </w:r>
          </w:p>
        </w:tc>
        <w:tc>
          <w:tcPr>
            <w:tcW w:w="1480" w:type="dxa"/>
            <w:vAlign w:val="bottom"/>
            <w:gridSpan w:val="3"/>
          </w:tcPr>
          <w:p>
            <w:pPr>
              <w:ind w:left="20"/>
              <w:spacing w:after="0"/>
              <w:rPr>
                <w:sz w:val="20"/>
                <w:szCs w:val="20"/>
                <w:color w:val="auto"/>
              </w:rPr>
            </w:pPr>
            <w:r>
              <w:rPr>
                <w:rFonts w:ascii="Arial" w:cs="Arial" w:eastAsia="Arial" w:hAnsi="Arial"/>
                <w:sz w:val="14"/>
                <w:szCs w:val="14"/>
                <w:color w:val="auto"/>
              </w:rPr>
              <w:t>December 31, 2023</w:t>
            </w:r>
          </w:p>
        </w:tc>
      </w:tr>
      <w:tr>
        <w:trPr>
          <w:trHeight w:val="196"/>
        </w:trPr>
        <w:tc>
          <w:tcPr>
            <w:tcW w:w="3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25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3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4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78.33 %</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77.87 %</w:t>
            </w:r>
          </w:p>
        </w:tc>
        <w:tc>
          <w:tcPr>
            <w:tcW w:w="20" w:type="dxa"/>
            <w:vAlign w:val="bottom"/>
          </w:tcPr>
          <w:p>
            <w:pPr>
              <w:spacing w:after="0"/>
              <w:rPr>
                <w:sz w:val="17"/>
                <w:szCs w:val="17"/>
                <w:color w:val="auto"/>
              </w:rPr>
            </w:pPr>
          </w:p>
        </w:tc>
      </w:tr>
      <w:tr>
        <w:trPr>
          <w:trHeight w:val="239"/>
        </w:trPr>
        <w:tc>
          <w:tcPr>
            <w:tcW w:w="3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100" w:type="dxa"/>
            <w:vAlign w:val="bottom"/>
            <w:gridSpan w:val="3"/>
          </w:tcPr>
          <w:p>
            <w:pPr>
              <w:jc w:val="right"/>
              <w:ind w:right="100"/>
              <w:spacing w:after="0"/>
              <w:rPr>
                <w:sz w:val="20"/>
                <w:szCs w:val="20"/>
                <w:color w:val="auto"/>
              </w:rPr>
            </w:pPr>
            <w:r>
              <w:rPr>
                <w:rFonts w:ascii="Arial" w:cs="Arial" w:eastAsia="Arial" w:hAnsi="Arial"/>
                <w:sz w:val="18"/>
                <w:szCs w:val="18"/>
                <w:color w:val="auto"/>
              </w:rPr>
              <w:t>4.29 %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3.68 %</w:t>
            </w:r>
          </w:p>
        </w:tc>
        <w:tc>
          <w:tcPr>
            <w:tcW w:w="20" w:type="dxa"/>
            <w:vAlign w:val="bottom"/>
          </w:tcPr>
          <w:p>
            <w:pPr>
              <w:spacing w:after="0"/>
              <w:rPr>
                <w:sz w:val="20"/>
                <w:szCs w:val="20"/>
                <w:color w:val="auto"/>
              </w:rPr>
            </w:pPr>
          </w:p>
        </w:tc>
      </w:tr>
      <w:tr>
        <w:trPr>
          <w:trHeight w:val="818"/>
        </w:trPr>
        <w:tc>
          <w:tcPr>
            <w:tcW w:w="3340" w:type="dxa"/>
            <w:vAlign w:val="bottom"/>
          </w:tcPr>
          <w:p>
            <w:pPr>
              <w:spacing w:after="0"/>
              <w:rPr>
                <w:sz w:val="24"/>
                <w:szCs w:val="24"/>
                <w:color w:val="auto"/>
              </w:rPr>
            </w:pPr>
          </w:p>
        </w:tc>
        <w:tc>
          <w:tcPr>
            <w:tcW w:w="2520" w:type="dxa"/>
            <w:vAlign w:val="bottom"/>
          </w:tcPr>
          <w:p>
            <w:pPr>
              <w:jc w:val="right"/>
              <w:ind w:right="1210"/>
              <w:spacing w:after="0"/>
              <w:rPr>
                <w:sz w:val="20"/>
                <w:szCs w:val="20"/>
                <w:color w:val="auto"/>
              </w:rPr>
            </w:pPr>
            <w:r>
              <w:rPr>
                <w:rFonts w:ascii="Arial" w:cs="Arial" w:eastAsia="Arial" w:hAnsi="Arial"/>
                <w:sz w:val="18"/>
                <w:szCs w:val="18"/>
                <w:color w:val="auto"/>
              </w:rPr>
              <w:t>30</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(the “ESPP”) were allocated to research and development and general and administrative expense as follows: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5300" w:type="dxa"/>
            <w:vAlign w:val="bottom"/>
            <w:gridSpan w:val="8"/>
          </w:tcPr>
          <w:p>
            <w:pPr>
              <w:jc w:val="right"/>
              <w:spacing w:after="0"/>
              <w:rPr>
                <w:sz w:val="20"/>
                <w:szCs w:val="20"/>
                <w:color w:val="auto"/>
              </w:rPr>
            </w:pPr>
            <w:r>
              <w:rPr>
                <w:rFonts w:ascii="Arial" w:cs="Arial" w:eastAsia="Arial" w:hAnsi="Arial"/>
                <w:sz w:val="14"/>
                <w:szCs w:val="14"/>
                <w:color w:val="auto"/>
              </w:rPr>
              <w:t>Three Months Ended Three Months Ended Nine Months Ended Nine Months Ended</w:t>
            </w:r>
          </w:p>
        </w:tc>
      </w:tr>
      <w:tr>
        <w:trPr>
          <w:trHeight w:val="203"/>
        </w:trPr>
        <w:tc>
          <w:tcPr>
            <w:tcW w:w="3600" w:type="dxa"/>
            <w:vAlign w:val="bottom"/>
          </w:tcPr>
          <w:p>
            <w:pPr>
              <w:spacing w:after="0"/>
              <w:rPr>
                <w:sz w:val="17"/>
                <w:szCs w:val="17"/>
                <w:color w:val="auto"/>
              </w:rPr>
            </w:pPr>
          </w:p>
        </w:tc>
        <w:tc>
          <w:tcPr>
            <w:tcW w:w="1400" w:type="dxa"/>
            <w:vAlign w:val="bottom"/>
            <w:gridSpan w:val="2"/>
          </w:tcPr>
          <w:p>
            <w:pPr>
              <w:jc w:val="right"/>
              <w:ind w:right="195"/>
              <w:spacing w:after="0"/>
              <w:rPr>
                <w:sz w:val="20"/>
                <w:szCs w:val="20"/>
                <w:color w:val="auto"/>
              </w:rPr>
            </w:pPr>
            <w:r>
              <w:rPr>
                <w:rFonts w:ascii="Arial" w:cs="Arial" w:eastAsia="Arial" w:hAnsi="Arial"/>
                <w:sz w:val="14"/>
                <w:szCs w:val="14"/>
                <w:color w:val="auto"/>
              </w:rPr>
              <w:t>September 30,</w:t>
            </w:r>
          </w:p>
        </w:tc>
        <w:tc>
          <w:tcPr>
            <w:tcW w:w="1360" w:type="dxa"/>
            <w:vAlign w:val="bottom"/>
            <w:gridSpan w:val="2"/>
          </w:tcPr>
          <w:p>
            <w:pPr>
              <w:jc w:val="right"/>
              <w:ind w:right="195"/>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jc w:val="right"/>
              <w:ind w:right="115"/>
              <w:spacing w:after="0"/>
              <w:rPr>
                <w:sz w:val="20"/>
                <w:szCs w:val="20"/>
                <w:color w:val="auto"/>
              </w:rPr>
            </w:pPr>
            <w:r>
              <w:rPr>
                <w:rFonts w:ascii="Arial" w:cs="Arial" w:eastAsia="Arial" w:hAnsi="Arial"/>
                <w:sz w:val="14"/>
                <w:szCs w:val="14"/>
                <w:color w:val="auto"/>
              </w:rPr>
              <w:t>September 30,</w:t>
            </w:r>
          </w:p>
        </w:tc>
      </w:tr>
      <w:tr>
        <w:trPr>
          <w:trHeight w:val="204"/>
        </w:trPr>
        <w:tc>
          <w:tcPr>
            <w:tcW w:w="36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2023</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2023</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2,130</w:t>
            </w:r>
          </w:p>
        </w:tc>
        <w:tc>
          <w:tcPr>
            <w:tcW w:w="34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2,220</w:t>
            </w:r>
          </w:p>
        </w:tc>
        <w:tc>
          <w:tcPr>
            <w:tcW w:w="3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6,044</w:t>
            </w:r>
          </w:p>
        </w:tc>
        <w:tc>
          <w:tcPr>
            <w:tcW w:w="32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6,504</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1,188</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1,758</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3,984</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4,556</w:t>
            </w:r>
          </w:p>
        </w:tc>
      </w:tr>
      <w:tr>
        <w:trPr>
          <w:trHeight w:val="196"/>
        </w:trPr>
        <w:tc>
          <w:tcPr>
            <w:tcW w:w="36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stock-based compensation</w:t>
            </w:r>
          </w:p>
        </w:tc>
        <w:tc>
          <w:tcPr>
            <w:tcW w:w="36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3,318</w:t>
            </w:r>
          </w:p>
        </w:tc>
        <w:tc>
          <w:tcPr>
            <w:tcW w:w="3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3,978</w:t>
            </w:r>
          </w:p>
        </w:tc>
        <w:tc>
          <w:tcPr>
            <w:tcW w:w="300" w:type="dxa"/>
            <w:vAlign w:val="bottom"/>
            <w:tcBorders>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10,028</w:t>
            </w:r>
          </w:p>
        </w:tc>
        <w:tc>
          <w:tcPr>
            <w:tcW w:w="32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11,060</w:t>
            </w:r>
          </w:p>
        </w:tc>
      </w:tr>
      <w:tr>
        <w:trPr>
          <w:trHeight w:val="20"/>
        </w:trPr>
        <w:tc>
          <w:tcPr>
            <w:tcW w:w="3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options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units</w:t>
      </w:r>
    </w:p>
    <w:p>
      <w:pPr>
        <w:ind w:left="60"/>
        <w:spacing w:after="0" w:line="234" w:lineRule="auto"/>
        <w:rPr>
          <w:sz w:val="20"/>
          <w:szCs w:val="20"/>
          <w:color w:val="auto"/>
        </w:rPr>
      </w:pPr>
      <w:r>
        <w:rPr>
          <w:rFonts w:ascii="Arial" w:cs="Arial" w:eastAsia="Arial" w:hAnsi="Arial"/>
          <w:sz w:val="18"/>
          <w:szCs w:val="18"/>
          <w:color w:val="auto"/>
        </w:rPr>
        <w:t>Restricted stock awards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 stock purchase plan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 stock-based compensation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4"/>
          <w:szCs w:val="14"/>
          <w:color w:val="auto"/>
        </w:rPr>
        <w:t>Three Months Ended Three Months Ended Nine Months Ended Nine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gridSpan w:val="2"/>
          </w:tcPr>
          <w:p>
            <w:pPr>
              <w:jc w:val="right"/>
              <w:ind w:right="173"/>
              <w:spacing w:after="0"/>
              <w:rPr>
                <w:sz w:val="20"/>
                <w:szCs w:val="20"/>
                <w:color w:val="auto"/>
              </w:rPr>
            </w:pPr>
            <w:r>
              <w:rPr>
                <w:rFonts w:ascii="Arial" w:cs="Arial" w:eastAsia="Arial" w:hAnsi="Arial"/>
                <w:sz w:val="14"/>
                <w:szCs w:val="14"/>
                <w:color w:val="auto"/>
              </w:rPr>
              <w:t>September 30,</w:t>
            </w:r>
          </w:p>
        </w:tc>
        <w:tc>
          <w:tcPr>
            <w:tcW w:w="1360" w:type="dxa"/>
            <w:vAlign w:val="bottom"/>
            <w:gridSpan w:val="2"/>
          </w:tcPr>
          <w:p>
            <w:pPr>
              <w:jc w:val="right"/>
              <w:ind w:right="173"/>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jc w:val="right"/>
              <w:ind w:right="93"/>
              <w:spacing w:after="0"/>
              <w:rPr>
                <w:sz w:val="20"/>
                <w:szCs w:val="20"/>
                <w:color w:val="auto"/>
              </w:rPr>
            </w:pPr>
            <w:r>
              <w:rPr>
                <w:rFonts w:ascii="Arial" w:cs="Arial" w:eastAsia="Arial" w:hAnsi="Arial"/>
                <w:sz w:val="14"/>
                <w:szCs w:val="14"/>
                <w:color w:val="auto"/>
              </w:rPr>
              <w:t>September 30,</w:t>
            </w:r>
          </w:p>
        </w:tc>
      </w:tr>
      <w:tr>
        <w:trPr>
          <w:trHeight w:val="207"/>
        </w:trPr>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2023</w:t>
            </w:r>
          </w:p>
        </w:tc>
      </w:tr>
      <w:tr>
        <w:trPr>
          <w:trHeight w:val="181"/>
        </w:trPr>
        <w:tc>
          <w:tcPr>
            <w:tcW w:w="380" w:type="dxa"/>
            <w:vAlign w:val="bottom"/>
          </w:tcPr>
          <w:p>
            <w:pPr>
              <w:jc w:val="right"/>
              <w:ind w:right="56"/>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2,151</w:t>
            </w:r>
          </w:p>
        </w:tc>
        <w:tc>
          <w:tcPr>
            <w:tcW w:w="34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2,243</w:t>
            </w:r>
          </w:p>
        </w:tc>
        <w:tc>
          <w:tcPr>
            <w:tcW w:w="32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6,510</w:t>
            </w:r>
          </w:p>
        </w:tc>
        <w:tc>
          <w:tcPr>
            <w:tcW w:w="320" w:type="dxa"/>
            <w:vAlign w:val="bottom"/>
          </w:tcPr>
          <w:p>
            <w:pPr>
              <w:jc w:val="right"/>
              <w:ind w:right="36"/>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7,919</w:t>
            </w:r>
          </w:p>
        </w:tc>
      </w:tr>
      <w:tr>
        <w:trPr>
          <w:trHeight w:val="203"/>
        </w:trPr>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1,072</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1,629</w:t>
            </w: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3,219</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2,774</w:t>
            </w:r>
          </w:p>
        </w:tc>
      </w:tr>
      <w:tr>
        <w:trPr>
          <w:trHeight w:val="203"/>
        </w:trPr>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21"/>
        </w:trPr>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196"/>
        </w:trPr>
        <w:tc>
          <w:tcPr>
            <w:tcW w:w="38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3,318</w:t>
            </w:r>
          </w:p>
        </w:tc>
        <w:tc>
          <w:tcPr>
            <w:tcW w:w="34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3,978</w:t>
            </w:r>
          </w:p>
        </w:tc>
        <w:tc>
          <w:tcPr>
            <w:tcW w:w="3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10,028</w:t>
            </w:r>
          </w:p>
        </w:tc>
        <w:tc>
          <w:tcPr>
            <w:tcW w:w="3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11,060</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-685165</wp:posOffset>
            </wp:positionV>
            <wp:extent cx="56489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-419100</wp:posOffset>
            </wp:positionV>
            <wp:extent cx="564896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-161925</wp:posOffset>
            </wp:positionV>
            <wp:extent cx="564896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2920" w:space="720"/>
            <w:col w:w="537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summarizes RSU activity for the nine months ended September 30, 2024:</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color w:val="auto"/>
              </w:rPr>
              <w:t>Weighted Average</w:t>
            </w:r>
          </w:p>
        </w:tc>
      </w:tr>
      <w:tr>
        <w:trPr>
          <w:trHeight w:val="210"/>
        </w:trPr>
        <w:tc>
          <w:tcPr>
            <w:tcW w:w="63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Grant Date Fair Value</w:t>
            </w:r>
          </w:p>
        </w:tc>
      </w:tr>
      <w:tr>
        <w:trPr>
          <w:trHeight w:val="196"/>
        </w:trPr>
        <w:tc>
          <w:tcPr>
            <w:tcW w:w="63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2023</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3,721,471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659,020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4.39</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(267,202)</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196"/>
        </w:trPr>
        <w:tc>
          <w:tcPr>
            <w:tcW w:w="6360" w:type="dxa"/>
            <w:vAlign w:val="bottom"/>
          </w:tcPr>
          <w:p>
            <w:pPr>
              <w:ind w:left="20"/>
              <w:spacing w:after="0" w:line="196" w:lineRule="exact"/>
              <w:rPr>
                <w:sz w:val="20"/>
                <w:szCs w:val="20"/>
                <w:color w:val="auto"/>
              </w:rPr>
            </w:pPr>
            <w:r>
              <w:rPr>
                <w:rFonts w:ascii="Arial" w:cs="Arial" w:eastAsia="Arial" w:hAnsi="Arial"/>
                <w:sz w:val="18"/>
                <w:szCs w:val="18"/>
                <w:color w:val="auto"/>
              </w:rPr>
              <w:t>Total Unvested September 30, 2024</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4,113,289</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w:t>
            </w:r>
          </w:p>
        </w:tc>
      </w:tr>
      <w:tr>
        <w:trPr>
          <w:trHeight w:val="20"/>
        </w:trPr>
        <w:tc>
          <w:tcPr>
            <w:tcW w:w="6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As of September 30, 2024, there was $5,085 of total unrecognized compensation expense related to the unvested restricted stock with time-based vesting terms, which is expected to be recognized over a weighted average period of 2.54 years.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September 30, 2024 and December 31, 2023:</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6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71"/>
        </w:trPr>
        <w:tc>
          <w:tcPr>
            <w:tcW w:w="6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2023</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49,416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Vested</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(24,731)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7.27</w:t>
            </w:r>
          </w:p>
        </w:tc>
      </w:tr>
      <w:tr>
        <w:trPr>
          <w:trHeight w:val="196"/>
        </w:trPr>
        <w:tc>
          <w:tcPr>
            <w:tcW w:w="6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September 30, 2024</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24,685</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
        </w:trPr>
        <w:tc>
          <w:tcPr>
            <w:tcW w:w="6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As of September 30, 2024, there was $311 of total unrecognized compensation expense related to the unvested restricted stock with time-based vesting terms, which is expected to be recognized over a weighted average period of 0.47 years. All restricted stock vests over a four-year period.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83" w:lineRule="exact"/>
        <w:rPr>
          <w:sz w:val="20"/>
          <w:szCs w:val="20"/>
          <w:color w:val="auto"/>
        </w:rPr>
      </w:pPr>
    </w:p>
    <w:p>
      <w:pPr>
        <w:jc w:val="both"/>
        <w:ind w:left="60" w:right="99"/>
        <w:spacing w:after="0" w:line="253" w:lineRule="auto"/>
        <w:rPr>
          <w:sz w:val="20"/>
          <w:szCs w:val="20"/>
          <w:color w:val="auto"/>
        </w:rPr>
      </w:pPr>
      <w:r>
        <w:rPr>
          <w:rFonts w:ascii="Arial" w:cs="Arial" w:eastAsia="Arial" w:hAnsi="Arial"/>
          <w:sz w:val="18"/>
          <w:szCs w:val="18"/>
          <w:color w:val="auto"/>
        </w:rPr>
        <w:t>Certain equity award holders early exercised unvested equity awards. The cash received upon early exercise of options of $209 and $906 was recorded as a deposit liability on the Company’s balance sheet as of September 30, 2024 and September 30, 2023, respectively.</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16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ESPP was adopted by the Board of Directors in May 2021. A total of 564,071 shares of common stock were initially reserved for issuance under this plan, which shall be increased, upon approval by the Board of Directors, on January 1, 2022 and each January 1 thereafter, to the lesser of (i) one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clause (i) by 550,055 shares, effective as of January 1, 2022. For 2023 and 2024, the board waived the annual increase to the shares reserved under the ESPP. As of September 30, 2024, there were 845,312 shares available for issuance, under the ESPP.</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14—Related party transactions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w:t>
      </w:r>
    </w:p>
    <w:p>
      <w:pPr>
        <w:spacing w:after="0" w:line="169"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The Company owns licenses and other contracts with FUJIFILM Cellular Dynamics, Inc. (“FCDI”). FCDI is a shareholder of the Company. The acquired licenses and other contracts with FCDI are as follows: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Agreements</w:t>
      </w:r>
    </w:p>
    <w:p>
      <w:pPr>
        <w:spacing w:after="0" w:line="183"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The Company owns a non-exclusive license agreement with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3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Company also owns an exclusive license agreement with FCDI (“Differentiation Licenses Agreement”). The Differentiation Licenses Agreement provides the Company with patents and know-how related to human iPSC exclusively manufactured by FCDI.</w:t>
      </w:r>
    </w:p>
    <w:p>
      <w:pPr>
        <w:spacing w:after="0" w:line="12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October 2019, the Company entered into the Master Collaboration Agreement with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 31, 2022. In July, 2022 the Company amended the Collaboration Agreement to extend the term through September 30, 2025, and in September 2023, the Company amended the Collaboration Agreement in connection with the Autoimmune License (as defined below).</w:t>
      </w:r>
    </w:p>
    <w:p>
      <w:pPr>
        <w:spacing w:after="0" w:line="158"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 March 2021, the Company entered into a Manufacturing Agreement with FCDI (“Manufacturing Agreement”), pursuant to which FCDI will provide certain agreed upon technology transfer, process development, analytical testing and cGMP manufacturing services to the Company.</w:t>
      </w:r>
    </w:p>
    <w:p>
      <w:pPr>
        <w:spacing w:after="0" w:line="128"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Company expects that FCDI will continue to manufacture CNTY-101 for the ELiPSE clinical Trial, and the Company will manufacture CNTY-101 for the CALiPSO clinical Trial.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January 2022, the Company and FCDI entered into a letter agreement (the “Letter Agreement”), which amended the Reprogramming License Agreement, Differentiation License Agreement and Manufacturing Agreement (the “FCDI Agreements”) pursuant to the Company’s Research Collaboration and License Agreement with Bristol-Myers Squibb. Pursuant to the Letter Agreement, and in consideration for amending 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 royalties received by the Company under the FCDI Collaboration Agreement in respect of sales of products in Japan.</w:t>
      </w:r>
    </w:p>
    <w:p>
      <w:pPr>
        <w:spacing w:after="0" w:line="15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w:t>
      </w:r>
    </w:p>
    <w:p>
      <w:pPr>
        <w:spacing w:after="0" w:line="143"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During the three and nine months ended September 30, 2024, the Company made payments of $3,727 and $6,558 and incurred research and development expenses of $981 and $5,152, and recorded within research and development expenses in its consolidated statements of operations and comprehensive loss, respectively.</w:t>
      </w:r>
    </w:p>
    <w:p>
      <w:pPr>
        <w:spacing w:after="0" w:line="111" w:lineRule="exact"/>
        <w:rPr>
          <w:sz w:val="20"/>
          <w:szCs w:val="20"/>
          <w:color w:val="auto"/>
        </w:rPr>
      </w:pPr>
    </w:p>
    <w:p>
      <w:pPr>
        <w:ind w:left="60" w:right="539"/>
        <w:spacing w:after="0" w:line="446" w:lineRule="auto"/>
        <w:rPr>
          <w:sz w:val="20"/>
          <w:szCs w:val="20"/>
          <w:color w:val="auto"/>
        </w:rPr>
      </w:pPr>
      <w:r>
        <w:rPr>
          <w:rFonts w:ascii="Arial" w:cs="Arial" w:eastAsia="Arial" w:hAnsi="Arial"/>
          <w:sz w:val="18"/>
          <w:szCs w:val="18"/>
          <w:color w:val="auto"/>
        </w:rPr>
        <w:t xml:space="preserve">During the three and nine months ended September 30, 2023, the amounts paid to FCDI were immaterial. </w:t>
      </w:r>
      <w:r>
        <w:rPr>
          <w:rFonts w:ascii="Arial" w:cs="Arial" w:eastAsia="Arial" w:hAnsi="Arial"/>
          <w:sz w:val="18"/>
          <w:szCs w:val="18"/>
          <w:i w:val="1"/>
          <w:iCs w:val="1"/>
          <w:color w:val="auto"/>
        </w:rPr>
        <w:t>Bayer Option Agreement</w:t>
      </w:r>
    </w:p>
    <w:p>
      <w:pPr>
        <w:jc w:val="both"/>
        <w:ind w:left="60" w:right="219"/>
        <w:spacing w:after="0" w:line="247" w:lineRule="auto"/>
        <w:rPr>
          <w:sz w:val="20"/>
          <w:szCs w:val="20"/>
          <w:color w:val="auto"/>
        </w:rPr>
      </w:pPr>
      <w:r>
        <w:rPr>
          <w:rFonts w:ascii="Arial" w:cs="Arial" w:eastAsia="Arial" w:hAnsi="Arial"/>
          <w:sz w:val="18"/>
          <w:szCs w:val="18"/>
          <w:color w:val="auto"/>
        </w:rPr>
        <w:t>Bayer Health, LLC (“Bayer”)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 – Common Stock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At-The-Market</w:t>
      </w:r>
    </w:p>
    <w:p>
      <w:pPr>
        <w:spacing w:after="0" w:line="185"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The Company has a Sales Agreement (“Sales Agreement”), with Cowen and Company, LLC, or (“Cowen”) to provide for the offering, issuance and sale of up to an aggregate amount of $150,000 of common stock from time to time in “at-the-market” offerings (the “ATM Program”) pursuant to its shelf registration statement on Form S-3 (File No. 333-265975) and subject to the limitations thereof. During the nine months ended September 30, 2024, the Company sold 4,084,502 shares pursuant to the ATM Program for net proceeds of $17,829, after deducting commissions of $551.</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Private Placement Offering</w:t>
      </w:r>
    </w:p>
    <w:p>
      <w:pPr>
        <w:spacing w:after="0" w:line="171"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In April, 2024, the Company entered into a securities purchase agreement (the “Securities Purchase Agreement”) with certain institutional accredited investors (the “Investors”), pursuant to which the Company agreed to issue and sell to the Investors in a private placement an aggregate of 15,873,011 shares of the Company’s common stock (the “Private Placement Shares”), at a price of $3.78 per share (the “Private Placement”).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Private Placement closed on April 15, 2024. The Company received aggregate net proceeds from the Private Placement of approximately $56,593, after deducting placement agent fees and offering expenses. The Company intends to use the net proceeds from the private placement to support the expansion of CNTY-101 in autoimmune indications and for working capital and general corporate purposes.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 – Impairment of long-lived assets</w:t>
      </w:r>
    </w:p>
    <w:p>
      <w:pPr>
        <w:spacing w:after="0" w:line="18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the second quarter of 2023, the Company made the strategic decision to consolidate two of its existing leased lab facilities in Philadelphia. The company concluded it would exit one of the leases early and as a result the Company completed an impairment analysis of its right of use asset related to this lease along with the related property and equipment at this facility. The Company reviewed its long-lived assets for impairment following Financial Accounting Standards Board’s Accounting Standards Codification (ASC) 360 for Property, Plant, and Equipment. The Company evaluated its long-lived assets for recoverability due to changes in circumstances that indicated that the carrying amounts may not be recoverable.</w:t>
      </w:r>
    </w:p>
    <w:p>
      <w:pPr>
        <w:spacing w:after="0" w:line="144"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The Company reviewed its property and equipment related assets for impairment by comparing the carrying values of the assets with their estimated future undiscounted cash flows. Impairment charge was calculated as the difference between asset carrying values and fair value as discounted cash flows, indicative fair market quotes received which are considered level three fair value estimates.</w:t>
      </w:r>
    </w:p>
    <w:p>
      <w:pPr>
        <w:spacing w:after="0" w:line="133"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The Company analyzed its right-of used assets for impairment based on fair values calculated as discounted cash flows estimated to be received from the lease assets where applicable. The difference between fair value and carrying value of the right of use asset was recognized as an impairment in June 2023 of $4,220.</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17—Reduction in force</w:t>
      </w:r>
    </w:p>
    <w:p>
      <w:pPr>
        <w:spacing w:after="0" w:line="18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January 2023, the Company's Board of Directors approved, and management implemented, a new portfolio prioritization and capital allocation strategy. The resulting changes included pausing investments in CNTY-103 for glioblastoma as well as a discovery program in hematologic malignancies. The Company has shifted focus to CNTY-101 and will accelerate key programs, including one follow-on candidate for lymphoma, CNTY-102, CNTY-107 for Nectin-4+ solid tumors, and CNTY-101 in moderate to severe Systemic Lupus Eythematosus (“SLE”), lupus nephritis (“LN”), diffuse cutaneous systemic sclerosis (“dcSSc”), and idiopathic inflammatory myopathy (“IMM”). In addition, the Company continues its partnered programs with Bristol Myers Squibb. The restructuring plan resulted in a reduction in the Company's workforce of approximately 25%. In connection with the restructuring plan, lab operations in Seattle and Hamilton, Ontario were closed and research activities were consolidated in Philadelphia.</w:t>
      </w:r>
    </w:p>
    <w:p>
      <w:pPr>
        <w:spacing w:after="0" w:line="13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During the nine months ended September 30, 2023, the Company incurred $2,032 of cash-based expenses related to employee severances, benefits and related costs. Of these amounts, $292 related to general and administrative expense, while $1,740 related to R&amp;D expense. In addition, the Company recorded non-cash stock-based compensation charge of $581 related to modification of equity awards for employees impacted by the restructuring during the year ended December 31, 2023. Of these amounts, $171 related to G&amp;A expense, while $410 related to R&amp;D expense. There were no remaining outstanding liabilities related to the reduction in force at September 30, 2024 and no related expenses incurred during the three and nine months ended September 30, 2024.</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18—Subsequent Events</w:t>
      </w:r>
    </w:p>
    <w:p>
      <w:pPr>
        <w:spacing w:after="0" w:line="17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2023 and the related Management’s Discussion and Analysis of Financial Condition and Results of Operations, which are contained in our Annual Report on Form 10-K filed with the Securities and Exchange Commission (the “SEC”) on March 14, 2024 (the “Annual Report”). This Quarterly Report on Form 10-Q contains “forward-looking statements” within the meaning of Section 27A of the Securities Act and Section 21E of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are an innovative biotechnology company harnessing the power of adult stem cells to develop curative cell therapy products for cancer and autoimmune diseases that we believe will allow us to overcome the limitations of first-generation cell therapies. We have created a comprehensive, genetically engineered allogeneic cell therapy platform that includes:</w:t>
      </w:r>
    </w:p>
    <w:p>
      <w:pPr>
        <w:spacing w:after="0" w:line="160" w:lineRule="exact"/>
        <w:rPr>
          <w:sz w:val="20"/>
          <w:szCs w:val="20"/>
          <w:color w:val="auto"/>
        </w:rPr>
      </w:pPr>
    </w:p>
    <w:p>
      <w:pPr>
        <w:ind w:left="1040" w:right="219" w:hanging="639"/>
        <w:spacing w:after="0" w:line="271"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Industry-leading induced pluripotent stem cells (“iPSCs”) and differentiated know-how to generate immune effector cells from iPSCs (“iPSC-derived cells”);</w:t>
      </w:r>
    </w:p>
    <w:p>
      <w:pPr>
        <w:spacing w:after="0" w:line="140" w:lineRule="exact"/>
        <w:rPr>
          <w:rFonts w:ascii="Arial" w:cs="Arial" w:eastAsia="Arial" w:hAnsi="Arial"/>
          <w:sz w:val="18"/>
          <w:szCs w:val="18"/>
          <w:color w:val="auto"/>
        </w:rPr>
      </w:pPr>
    </w:p>
    <w:p>
      <w:pPr>
        <w:ind w:left="1040" w:right="419" w:hanging="639"/>
        <w:spacing w:after="0" w:line="25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Clustered regularly interspaced short palindromic repeats (“CRISPR”) mediated precision gene editing that allows us to incorporate multiple transgenes and remove target genes intended to optimize cell product performance;</w:t>
      </w:r>
    </w:p>
    <w:p>
      <w:pPr>
        <w:spacing w:after="0" w:line="155" w:lineRule="exact"/>
        <w:rPr>
          <w:rFonts w:ascii="Arial" w:cs="Arial" w:eastAsia="Arial" w:hAnsi="Arial"/>
          <w:sz w:val="18"/>
          <w:szCs w:val="18"/>
          <w:color w:val="auto"/>
        </w:rPr>
      </w:pPr>
    </w:p>
    <w:p>
      <w:pPr>
        <w:ind w:left="1040" w:right="559" w:hanging="639"/>
        <w:spacing w:after="0" w:line="271"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Sophisticated protein engineering capabilities to develop proprietary next generation chimeric antigen receptors (“CARs”);</w:t>
      </w:r>
    </w:p>
    <w:p>
      <w:pPr>
        <w:spacing w:after="0" w:line="132" w:lineRule="exact"/>
        <w:rPr>
          <w:rFonts w:ascii="Arial" w:cs="Arial" w:eastAsia="Arial" w:hAnsi="Arial"/>
          <w:sz w:val="18"/>
          <w:szCs w:val="18"/>
          <w:color w:val="auto"/>
        </w:rPr>
      </w:pPr>
    </w:p>
    <w:p>
      <w:pPr>
        <w:ind w:left="1040" w:right="159" w:hanging="639"/>
        <w:spacing w:after="0" w:line="212"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proprietary Allo-Evasion</w:t>
      </w:r>
      <w:r>
        <w:rPr>
          <w:rFonts w:ascii="Arial" w:cs="Arial" w:eastAsia="Arial" w:hAnsi="Arial"/>
          <w:sz w:val="26"/>
          <w:szCs w:val="26"/>
          <w:color w:val="231F20"/>
          <w:vertAlign w:val="superscript"/>
        </w:rPr>
        <w:t>TM</w:t>
      </w:r>
      <w:r>
        <w:rPr>
          <w:rFonts w:ascii="Arial" w:cs="Arial" w:eastAsia="Arial" w:hAnsi="Arial"/>
          <w:sz w:val="18"/>
          <w:szCs w:val="18"/>
          <w:color w:val="auto"/>
        </w:rPr>
        <w:t xml:space="preserve"> technology intended to prevent rejection of our cell products by the host immune system; and</w:t>
      </w:r>
    </w:p>
    <w:p>
      <w:pPr>
        <w:spacing w:after="0" w:line="167" w:lineRule="exact"/>
        <w:rPr>
          <w:rFonts w:ascii="Arial" w:cs="Arial" w:eastAsia="Arial" w:hAnsi="Arial"/>
          <w:sz w:val="18"/>
          <w:szCs w:val="18"/>
          <w:color w:val="auto"/>
        </w:rPr>
      </w:pPr>
    </w:p>
    <w:p>
      <w:pPr>
        <w:ind w:left="1040" w:hanging="63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Cutting edge manufacturing capabilities intended to minimize product development and supply risk.</w:t>
      </w:r>
    </w:p>
    <w:p>
      <w:pPr>
        <w:spacing w:after="0" w:line="19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that these vertically integrated capabilities will allow us to further expand our existing pipeline and develop therapeutics from iPSC-derived natural killer cells (“iNK cells”) and iPSC-derived T cells (“iT cells”) that may provide enhanced clinical outcomes compared to available therapeutic options. We believe our commitment to developing off-the-shelf cell therapies will expand patient access and provide an unparalleled opportunity to advance the course of treatment. Our vision is to become a premier fully integrated biotechnology company by developing and ultimately commercializing off-the-shelf allogeneic cell therapies that dramatically and positively transform the lives of patients suffering from life-threatening cancers, as well as autoimmune diseases. To achieve our vision, we have assembled a world-class team with decades of collective experience in cell therapy and drug development, manufacturing, and commercialization.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conducting our ELiPSE-1 clinical trial, initiating our CALiPSO-1 clinical trial, undertaking preclinical studies, in-licensing intellectual property, and acquiring and integrating Clade Therapeutics. All of our programs are currently in the development stage, and we do not have any products approved for sale. Since our inception, we have incurred net losses each year. We had an accumulated deficit of $746.3 million as of September 30, 2024. Substantially all of our losses have resulted from expenses incurred in connection with our research and development programs, the acquisition of in-process research and development and from general and administrative costs associated with our operations.</w:t>
      </w:r>
    </w:p>
    <w:p>
      <w:pPr>
        <w:spacing w:after="0" w:line="15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To date, we have funded our operations from the issuance and sale of our equity securities and the receipt of payments from Bristol-Myers Squibb, in connection with our collaborations as described below, and have not generated any revenues. Since our inception, through September 30, 2024, we have raised approximately $666 million in net proceeds from sales of our equity securities. As of September 30, 2024, we had cash and cash equivalents of $52.6 million and investments of $192.1 million.</w:t>
      </w:r>
    </w:p>
    <w:p>
      <w:pPr>
        <w:spacing w:after="0" w:line="13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August 2022, the U.S. Food and Drug Administration (“FDA”) notified us that our ELiPSE-1 clinical trial may proceed to assess CNTY-101 in patients with relapsed or refractory CD19 positive B-cell malignancies. The Phase 1 trial, ELiPSE-1, is ongoing in patients with relapsed or refractory CD19-positive B-cell malignancies. In December 2023, we announced preliminary clinical data from seven participants treated at the two lowest dose levels in the trial. In June 2024, we presented encouraging interim efficacy and safety data for 12 safety evaluable and 10 efficacy evaluable participants. We have evaluated dose escalation of CNTY-101 at schedule A (single dose per cycle) up to Dose Level 4 (3 billion cells) and schedule B (3 doses per cycle) up to Dose Level 3 (1 billion cells). As of the data snapshot October 15, 2024, eight additional participants have been treated with CNTY-101 for a total of 20 participants evaluable for safety and 19 for preliminary efficacy.</w:t>
      </w:r>
    </w:p>
    <w:p>
      <w:pPr>
        <w:spacing w:after="0" w:line="14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December 2023, we were notified by the FDA that the Phase 1 CALiPSO-1 clinical trial may proceed to assess CNTY-101 in participants with moderate to severe systemic lupus erythematosus (SLE) who have failed at least two standard immunosuppressive therapies. We amended the clinical protocol in June 2024 to include a new indication-specific cohort of Lupus Nephritis (LN) patients. To further expand evaluation of CNTY-101 in autoimmune diseases, in September 2024, we amended the protocol to include two additional new indication-specific cohorts of diffuse cutaneous Systemic Sclerosis (dcSSc) and idiopathic inflammatory myositis (IIM) patients. We have activated multiple clinical sites in the United States, and expect to activate additional sites in the coming months, with ability to enroll patients across indications. To further facilitate enrollment, we plan to expand trial sites to select European countries.</w:t>
      </w:r>
    </w:p>
    <w:p>
      <w:pPr>
        <w:spacing w:after="0" w:line="15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January 2023, we announced a strategic internal portfolio prioritization (the “January 2023 Strategic Reprioritization”) through which, among other discovery efforts, CNTY-103, a CAR-iNK product targeting CD133 and a discovery program for hematological malignancies, were de-prioritized, allowing us to further prioritize our CNTY-102 and CNTY-107 product candidates, which we believe have a higher probability of technical success and greater market potential. As a result of the operational restructuring, lab operations in Seattle, Washington and Hamilton, Ontario, were closed and research activities have been consolidated in Philadelphia, Pennsylvania.</w:t>
      </w:r>
    </w:p>
    <w:p>
      <w:pPr>
        <w:spacing w:after="0" w:line="144" w:lineRule="exact"/>
        <w:rPr>
          <w:sz w:val="20"/>
          <w:szCs w:val="20"/>
          <w:color w:val="auto"/>
        </w:rPr>
      </w:pPr>
    </w:p>
    <w:p>
      <w:pPr>
        <w:ind w:left="60" w:right="139"/>
        <w:spacing w:after="0" w:line="228" w:lineRule="auto"/>
        <w:rPr>
          <w:sz w:val="20"/>
          <w:szCs w:val="20"/>
          <w:color w:val="auto"/>
        </w:rPr>
      </w:pPr>
      <w:r>
        <w:rPr>
          <w:rFonts w:ascii="Arial" w:cs="Arial" w:eastAsia="Arial" w:hAnsi="Arial"/>
          <w:sz w:val="18"/>
          <w:szCs w:val="18"/>
          <w:color w:val="auto"/>
        </w:rPr>
        <w:t>In the second quarter of 2024, we announced plans to expand clinical development for CNTY-101 into additional autoimmune disease indications. To support these increased research and development activities in autoimmune diseases, in April 2024 we completed a private placement offering of our common stock to certain institutional investors and received $60 million in gross proceeds before deducting placement agent fees and other offering related expenses. Concurrently, we announced pipeline and platform enhancements through the acquisition of Clade Therapeutics, Inc. (“Clade”), a privately held biotechnology company focused on discovering and delivering engineerable, off-the-shelf, scalable, and consistent stem cell-based medicines, with a focus on iPSC-derived αβ T cells. The acquisition brings us novel technology enhancing our efforts on Allo-Evasion</w:t>
      </w:r>
      <w:r>
        <w:rPr>
          <w:rFonts w:ascii="Arial" w:cs="Arial" w:eastAsia="Arial" w:hAnsi="Arial"/>
          <w:sz w:val="26"/>
          <w:szCs w:val="26"/>
          <w:color w:val="231F20"/>
          <w:vertAlign w:val="superscript"/>
        </w:rPr>
        <w:t>TM</w:t>
      </w:r>
      <w:r>
        <w:rPr>
          <w:rFonts w:ascii="Arial" w:cs="Arial" w:eastAsia="Arial" w:hAnsi="Arial"/>
          <w:sz w:val="18"/>
          <w:szCs w:val="18"/>
          <w:color w:val="auto"/>
        </w:rPr>
        <w:t xml:space="preserve"> and a newly expanded pipeline incorporating three additional preclinical-stage programs from Clade’s αβ iT platform spanning across cancer and autoimmune diseases. We will share what we believe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be the first presentation of iPSC-derived CD4+ and CD8+ CAR T cells that demonstrate function comparable to primary αβ CAR-T cells at the 2024 American Society of Hematology Annual Meeting.</w:t>
      </w:r>
    </w:p>
    <w:p>
      <w:pPr>
        <w:spacing w:after="0" w:line="127"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Following the integration of Clade Therapeutics, we are conducting a strategic review of the pre-clinical pipeline to leverage the unique capabilities and technologies at Century towards high-value and differentiated programs. We expect to conclude and communicate the results of this review in the first quarter of 2025. As part of this review, in October, we implemented changes to the organization structure including elimination of overlapping technical and research capabilities to enhance ongoing efficiencies and alignment with the Company’s key programs. With these changes, we have extended expected cash runway into the second half of 2026.</w:t>
      </w:r>
    </w:p>
    <w:p>
      <w:pPr>
        <w:spacing w:after="0" w:line="12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Based on our current business plans, we believe our cash, cash equivalents and investments as of the date of this quarterly report will be sufficient for us to fund our operating expenses and capital expenditures requirements into the second half of 2026.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38"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97" w:lineRule="exact"/>
        <w:rPr>
          <w:rFonts w:ascii="Times New Roman" w:cs="Times New Roman" w:eastAsia="Times New Roman" w:hAnsi="Times New Roman"/>
          <w:sz w:val="18"/>
          <w:szCs w:val="18"/>
          <w:color w:val="auto"/>
        </w:rPr>
      </w:pPr>
    </w:p>
    <w:p>
      <w:pPr>
        <w:ind w:left="380" w:right="559" w:hanging="330"/>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progress clinical development of CNTY-101 and continue preclinical development of our other product candidates;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expand and validate our own clinical-scale current good manufacturing practices (“cGMP”), facilities;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incur costs associated with operating as a public company;</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Times New Roman" w:cs="Times New Roman" w:eastAsia="Times New Roman" w:hAnsi="Times New Roman"/>
          <w:sz w:val="18"/>
          <w:szCs w:val="18"/>
          <w:color w:val="auto"/>
        </w:rPr>
      </w:pPr>
    </w:p>
    <w:p>
      <w:pPr>
        <w:ind w:left="380" w:right="199" w:hanging="330"/>
        <w:spacing w:after="0" w:line="252"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pacing w:after="0" w:line="130"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97"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3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CNTY-102, CNTY-107, and CNTY-108, CNTY-308, CNTY-361, as well as CNTY-104 and CNTY-106 in collaboration with Bristol-Myers Squibb. Until such time, if ever, as we can generate significant product revenue, we expect to finance our operations with our existing cash and cash equivalents, investments, any future equity or debt financings; upfront, and, milestone, and royalty payments, if any, received under current and future licenses or collaborations. We may not be able to raise additional capital on terms acceptable to us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18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January 7, 2022, we entered into the Research, Collaboration and License Agreement, with Bristol-Myers Squibb (the “Collaboration Agreement”), to collaborate on the research, development and commercialization of iNK and iT cell programs for hematologic malignancies and solid tumors (the “Collaboration Program”), and each product candidate (each, a “Development Candidate”). We and Bristol-Myers Squibb will initially collaborate on two Collaboration Programs focused on acute myeloid leukemia, and multiple myeloma,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pre-clinical development, clinical development and commercialization on a worldwide basis. Following Bristol-Myers Squibb’s exercise of the License Option, we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We have the option to co-promote Development Candidates generated from certain specified Collaboration Programs.</w:t>
      </w:r>
    </w:p>
    <w:p>
      <w:pPr>
        <w:spacing w:after="0" w:line="14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and product candidates developed under a Licensed Program (the “Licensed Products”). For each Licensed Program, Bristol-Myers Squibb will pay up to $235 million in milestone payments upon the first achievement of certain development and regulatory milestones and will pay up to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4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147"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identified the following commitments under the arrangement: (i) research and development services under each of the two initial Collaboration Programs and (ii) License Option to elect to exclusively license the Development Candidates for each of the two initial Collaboration Programs. We determined that these four commitments represent distinct performance obligations for purposes of recognizing revenue and will recognize revenue as we fulfill each performance obligation.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On September 18, 2018, we entered into a license agreement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January 2023 Strategic Reprioritization.</w:t>
      </w:r>
    </w:p>
    <w:p>
      <w:pPr>
        <w:spacing w:after="0" w:line="176"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Also on September 18, 2018, we entered into the non-exclusive license, (the “Reprogramming License”), with FCDI. The Reprogramming License, as amended, provides us with a non-exclusive license under certain patents and know-how related to the reprogramming of human somatic cells to iPSCs and provide us access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a collaboration agreement (the” FCDI Collaboration Agreement”), with FCDI pursuant to which we agreed to fund research and development work at FCDI pursuant to a research plan.</w:t>
      </w:r>
    </w:p>
    <w:p>
      <w:pPr>
        <w:spacing w:after="0" w:line="17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79"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On January 7, 2022, we and FCDI entered into a letter agreement, which amends each of the FCDI agreements as further discussed in Note 14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65"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On September 22,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(the “Autoimmune License”).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 to also include inflammatory and autoimmune diseases.</w:t>
      </w:r>
    </w:p>
    <w:p>
      <w:pPr>
        <w:spacing w:after="0" w:line="156" w:lineRule="exact"/>
        <w:rPr>
          <w:sz w:val="20"/>
          <w:szCs w:val="20"/>
          <w:color w:val="auto"/>
        </w:rPr>
      </w:pPr>
    </w:p>
    <w:p>
      <w:pPr>
        <w:ind w:left="60" w:right="499"/>
        <w:spacing w:after="0" w:line="275" w:lineRule="auto"/>
        <w:rPr>
          <w:sz w:val="20"/>
          <w:szCs w:val="20"/>
          <w:color w:val="auto"/>
        </w:rPr>
      </w:pPr>
      <w:r>
        <w:rPr>
          <w:rFonts w:ascii="Arial" w:cs="Arial" w:eastAsia="Arial" w:hAnsi="Arial"/>
          <w:sz w:val="17"/>
          <w:szCs w:val="17"/>
          <w:color w:val="auto"/>
        </w:rPr>
        <w:t>During the three and nine months ended September 30, 2024, we made payments of $3.7 million and $6.6 million and incurred research and development expenses of $1.0 million and $6.3 million recorded within general and administrative expenses in its consolidated statements of operations and comprehensive loss.</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and nine months ended September 30, 2023, the amounts paid to FCDI were immaterial</w:t>
      </w:r>
    </w:p>
    <w:p>
      <w:pPr>
        <w:spacing w:after="0" w:line="171"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From inception of the FCDI Collaboration Agreement through September 30, 2024, we incurred $42.6 million of expenses under the FCDI Collaboration Agreement.</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76"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59"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6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auto"/>
        </w:rPr>
        <w:t>Interest expense relates to interest incurred on the September 14, 2020 $10.0 million Term Loan Agreement (the “Loan Agreement”) we entered into with Hercules Capital, Inc., as well as amortization of the related deferred financing cost. The loan was repaid in full in May 2023. See Note 7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consists of interest earned on our cash, cash equivalents and investment balances.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have incurred losses and recorded a full valuation allowance on all of our net deferred tax assets. For the nine months ended September 30, 2024, the Company recorded no income tax benefits for the net operating losses incurred or for the research and development tax credits generated in the U.S. due to its uncertainty of realizing a benefit from those items. The tax provision recorded during the 2023 interim period primarily consisted of current federal and state tax expense resulting from revenue recognition for tax purposes from the Company's Research Collaboration and License Agreement entered into with Bristol-Myers Squibb Company in 2022, combined with statutory limitations on deductions for research and development expenses, net operating losses, and research credits.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September 30, 2024 and 2023.</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Three Months Ended</w:t>
            </w: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color w:val="auto"/>
              </w:rPr>
              <w:t>September 30, 2024</w:t>
            </w:r>
          </w:p>
        </w:tc>
        <w:tc>
          <w:tcPr>
            <w:tcW w:w="10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color w:val="auto"/>
              </w:rPr>
              <w:t>September 30, 2023</w:t>
            </w:r>
          </w:p>
        </w:tc>
        <w:tc>
          <w:tcPr>
            <w:tcW w:w="120" w:type="dxa"/>
            <w:vAlign w:val="bottom"/>
          </w:tcPr>
          <w:p>
            <w:pPr>
              <w:spacing w:after="0"/>
              <w:rPr>
                <w:sz w:val="14"/>
                <w:szCs w:val="14"/>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Change</w:t>
            </w:r>
          </w:p>
        </w:tc>
      </w:tr>
      <w:tr>
        <w:trPr>
          <w:trHeight w:val="142"/>
        </w:trPr>
        <w:tc>
          <w:tcPr>
            <w:tcW w:w="50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w:t>
            </w: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27,228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4,440</w:t>
            </w:r>
          </w:p>
        </w:tc>
      </w:tr>
      <w:tr>
        <w:trPr>
          <w:trHeight w:val="203"/>
        </w:trPr>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8,352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8,986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(634)</w:t>
            </w:r>
          </w:p>
        </w:tc>
      </w:tr>
      <w:tr>
        <w:trPr>
          <w:trHeight w:val="203"/>
        </w:trPr>
        <w:tc>
          <w:tcPr>
            <w:tcW w:w="5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In-process research and development asset</w:t>
            </w: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196"/>
        </w:trPr>
        <w:tc>
          <w:tcPr>
            <w:tcW w:w="50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35,580</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35,774</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w:t>
            </w: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(34,789)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(35,626)</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r>
      <w:tr>
        <w:trPr>
          <w:trHeight w:val="196"/>
        </w:trPr>
        <w:tc>
          <w:tcPr>
            <w:tcW w:w="5000" w:type="dxa"/>
            <w:vAlign w:val="bottom"/>
            <w:tcBorders>
              <w:bottom w:val="single" w:sz="8" w:color="CCEEFF"/>
            </w:tcBorders>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3,555</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(31,234)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(32,128)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894</w:t>
            </w:r>
          </w:p>
        </w:tc>
      </w:tr>
      <w:tr>
        <w:trPr>
          <w:trHeight w:val="203"/>
        </w:trPr>
        <w:tc>
          <w:tcPr>
            <w:tcW w:w="5000" w:type="dxa"/>
            <w:vAlign w:val="bottom"/>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(592)</w:t>
            </w: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(31,226)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(32,720)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1,494</w:t>
            </w:r>
          </w:p>
        </w:tc>
      </w:tr>
      <w:tr>
        <w:trPr>
          <w:trHeight w:val="20"/>
        </w:trPr>
        <w:tc>
          <w:tcPr>
            <w:tcW w:w="5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During the three months ended September 30, 2024 and 2023, we recognized revenue of $ 0.8 million and $0.1 million under our collaboration agreement with Bristol-Myers Squibb, respectively. Revenue recognized under the collaboration agreement fluctuates based on the amount and timing of expenses incurred under the agreement.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2024</w:t>
            </w:r>
          </w:p>
        </w:tc>
        <w:tc>
          <w:tcPr>
            <w:tcW w:w="200" w:type="dxa"/>
            <w:vAlign w:val="bottom"/>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2023</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gridSpan w:val="3"/>
          </w:tcPr>
          <w:p>
            <w:pPr>
              <w:jc w:val="right"/>
              <w:ind w:right="47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11,056</w:t>
            </w:r>
          </w:p>
        </w:tc>
        <w:tc>
          <w:tcPr>
            <w:tcW w:w="6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10,237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5,502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6,361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(859)</w:t>
            </w:r>
          </w:p>
        </w:tc>
      </w:tr>
      <w:tr>
        <w:trPr>
          <w:trHeight w:val="405"/>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laboratory</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405"/>
        </w:trPr>
        <w:tc>
          <w:tcPr>
            <w:tcW w:w="5000" w:type="dxa"/>
            <w:vAlign w:val="bottom"/>
          </w:tcPr>
          <w:p>
            <w:pPr>
              <w:ind w:left="20"/>
              <w:spacing w:after="0"/>
              <w:rPr>
                <w:sz w:val="20"/>
                <w:szCs w:val="20"/>
                <w:color w:val="auto"/>
              </w:rPr>
            </w:pPr>
            <w:r>
              <w:rPr>
                <w:rFonts w:ascii="Arial" w:cs="Arial" w:eastAsia="Arial" w:hAnsi="Arial"/>
                <w:sz w:val="18"/>
                <w:szCs w:val="18"/>
                <w:color w:val="auto"/>
              </w:rPr>
              <w:t>Collaboration</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2,602</w:t>
            </w: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Consulting</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w:t>
            </w:r>
          </w:p>
        </w:tc>
      </w:tr>
      <w:tr>
        <w:trPr>
          <w:trHeight w:val="203"/>
        </w:trPr>
        <w:tc>
          <w:tcPr>
            <w:tcW w:w="50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410</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r>
      <w:tr>
        <w:trPr>
          <w:trHeight w:val="398"/>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 expense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27,228</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22,788</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expenses were $27.2 million and $22.8 million for the three months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2024 and 2023, respectively. The increase of $4.4 million was primarily due to:</w:t>
      </w:r>
    </w:p>
    <w:p>
      <w:pPr>
        <w:spacing w:after="0" w:line="153" w:lineRule="exact"/>
        <w:rPr>
          <w:sz w:val="20"/>
          <w:szCs w:val="20"/>
          <w:color w:val="auto"/>
        </w:rPr>
      </w:pPr>
    </w:p>
    <w:p>
      <w:pPr>
        <w:ind w:left="380" w:right="359" w:hanging="330"/>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personnel-related expenses of $0.8 million, including an increase in salary and benefit expense of $0.6 million, and an increase in stock compensation expense of $0.2 million. This is primarily the result of the acquisition of Clade.</w:t>
      </w:r>
    </w:p>
    <w:p>
      <w:pPr>
        <w:spacing w:after="0" w:line="130" w:lineRule="exact"/>
        <w:rPr>
          <w:rFonts w:ascii="Times New Roman" w:cs="Times New Roman" w:eastAsia="Times New Roman" w:hAnsi="Times New Roman"/>
          <w:sz w:val="18"/>
          <w:szCs w:val="18"/>
          <w:color w:val="auto"/>
        </w:rPr>
      </w:pPr>
    </w:p>
    <w:p>
      <w:pPr>
        <w:ind w:left="380" w:right="499" w:hanging="330"/>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$2.6 million in research and laboratory due to progression of ELiPSE-1 trial and start-up costs of CALiPSO-1 trial.</w:t>
      </w:r>
    </w:p>
    <w:p>
      <w:pPr>
        <w:spacing w:after="0" w:line="127" w:lineRule="exact"/>
        <w:rPr>
          <w:rFonts w:ascii="Times New Roman" w:cs="Times New Roman" w:eastAsia="Times New Roman" w:hAnsi="Times New Roman"/>
          <w:sz w:val="18"/>
          <w:szCs w:val="18"/>
          <w:color w:val="auto"/>
        </w:rPr>
      </w:pPr>
    </w:p>
    <w:p>
      <w:pPr>
        <w:ind w:left="380" w:right="859" w:hanging="330"/>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$1.6 million in collaboration due to manufacturing our CNTY-101 product candidate performed under our collaboration with FCDI.</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General and administrative expenses were $8.4 million for the three months ended September 30, 2024 and</w:t>
      </w:r>
    </w:p>
    <w:p>
      <w:pPr>
        <w:spacing w:after="0" w:line="14" w:lineRule="exact"/>
        <w:rPr>
          <w:sz w:val="20"/>
          <w:szCs w:val="20"/>
          <w:color w:val="auto"/>
        </w:rPr>
      </w:pPr>
    </w:p>
    <w:p>
      <w:pPr>
        <w:ind w:left="60" w:right="79"/>
        <w:spacing w:after="0" w:line="250" w:lineRule="auto"/>
        <w:rPr>
          <w:sz w:val="20"/>
          <w:szCs w:val="20"/>
          <w:color w:val="auto"/>
        </w:rPr>
      </w:pPr>
      <w:r>
        <w:rPr>
          <w:rFonts w:ascii="Arial" w:cs="Arial" w:eastAsia="Arial" w:hAnsi="Arial"/>
          <w:sz w:val="18"/>
          <w:szCs w:val="18"/>
          <w:color w:val="auto"/>
        </w:rPr>
        <w:t>$9.0 million for three months ended September 30, 2023. The decrease is primarily due to a gain recognized on contingent consideration liabilities.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60" w:right="359"/>
        <w:spacing w:after="0" w:line="301" w:lineRule="auto"/>
        <w:rPr>
          <w:sz w:val="20"/>
          <w:szCs w:val="20"/>
          <w:color w:val="auto"/>
        </w:rPr>
      </w:pPr>
      <w:r>
        <w:rPr>
          <w:rFonts w:ascii="Arial" w:cs="Arial" w:eastAsia="Arial" w:hAnsi="Arial"/>
          <w:sz w:val="17"/>
          <w:szCs w:val="17"/>
          <w:color w:val="auto"/>
        </w:rPr>
        <w:t>Interest income was $3.3 million and $3.5 million for the three months ended September 30, 2024 and 2023, respectively, which related to interest earned on our cash, cash equivalents, and investment balances.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2024 and 2023.</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Nine Months Ended</w:t>
            </w:r>
          </w:p>
        </w:tc>
        <w:tc>
          <w:tcPr>
            <w:tcW w:w="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Nine Months Ended</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71"/>
        </w:trPr>
        <w:tc>
          <w:tcPr>
            <w:tcW w:w="52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September 30, 2024</w:t>
            </w:r>
          </w:p>
        </w:tc>
        <w:tc>
          <w:tcPr>
            <w:tcW w:w="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September 30, 2023</w:t>
            </w:r>
          </w:p>
        </w:tc>
        <w:tc>
          <w:tcPr>
            <w:tcW w:w="160" w:type="dxa"/>
            <w:vAlign w:val="bottom"/>
          </w:tcPr>
          <w:p>
            <w:pPr>
              <w:spacing w:after="0"/>
              <w:rPr>
                <w:sz w:val="14"/>
                <w:szCs w:val="14"/>
                <w:color w:val="auto"/>
              </w:rPr>
            </w:pPr>
          </w:p>
        </w:tc>
        <w:tc>
          <w:tcPr>
            <w:tcW w:w="760" w:type="dxa"/>
            <w:vAlign w:val="bottom"/>
          </w:tcPr>
          <w:p>
            <w:pPr>
              <w:jc w:val="right"/>
              <w:ind w:right="111"/>
              <w:spacing w:after="0"/>
              <w:rPr>
                <w:sz w:val="20"/>
                <w:szCs w:val="20"/>
                <w:color w:val="auto"/>
              </w:rPr>
            </w:pPr>
            <w:r>
              <w:rPr>
                <w:rFonts w:ascii="Arial" w:cs="Arial" w:eastAsia="Arial" w:hAnsi="Arial"/>
                <w:sz w:val="14"/>
                <w:szCs w:val="14"/>
                <w:color w:val="auto"/>
              </w:rPr>
              <w:t>Change</w:t>
            </w:r>
          </w:p>
        </w:tc>
      </w:tr>
      <w:tr>
        <w:trPr>
          <w:trHeight w:val="142"/>
        </w:trPr>
        <w:tc>
          <w:tcPr>
            <w:tcW w:w="5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2,416</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r>
      <w:tr>
        <w:trPr>
          <w:trHeight w:val="203"/>
        </w:trPr>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25,400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26,117</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(717)</w:t>
            </w:r>
          </w:p>
        </w:tc>
      </w:tr>
      <w:tr>
        <w:trPr>
          <w:trHeight w:val="203"/>
        </w:trPr>
        <w:tc>
          <w:tcPr>
            <w:tcW w:w="5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In-process research and development</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Impairment of long-lived assets</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(4,220)</w:t>
            </w:r>
          </w:p>
        </w:tc>
      </w:tr>
      <w:tr>
        <w:trPr>
          <w:trHeight w:val="196"/>
        </w:trPr>
        <w:tc>
          <w:tcPr>
            <w:tcW w:w="520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103,269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104,751</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(1,482)</w:t>
            </w:r>
          </w:p>
        </w:tc>
      </w:tr>
      <w:tr>
        <w:trPr>
          <w:trHeight w:val="196"/>
        </w:trPr>
        <w:tc>
          <w:tcPr>
            <w:tcW w:w="520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(100,853)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(102,784)</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1,931</w:t>
            </w: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10,126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w:t>
            </w:r>
          </w:p>
        </w:tc>
      </w:tr>
      <w:tr>
        <w:trPr>
          <w:trHeight w:val="202"/>
        </w:trPr>
        <w:tc>
          <w:tcPr>
            <w:tcW w:w="52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616</w:t>
            </w:r>
          </w:p>
        </w:tc>
      </w:tr>
      <w:tr>
        <w:trPr>
          <w:trHeight w:val="196"/>
        </w:trPr>
        <w:tc>
          <w:tcPr>
            <w:tcW w:w="52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10,374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8,259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2,115</w:t>
            </w: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Loss before provision for income taxes</w:t>
            </w:r>
          </w:p>
        </w:tc>
        <w:tc>
          <w:tcPr>
            <w:tcW w:w="3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(90,479)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(94,525)</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4,046</w:t>
            </w:r>
          </w:p>
        </w:tc>
      </w:tr>
      <w:tr>
        <w:trPr>
          <w:trHeight w:val="202"/>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2,736</w:t>
            </w:r>
          </w:p>
        </w:tc>
      </w:tr>
      <w:tr>
        <w:trPr>
          <w:trHeight w:val="196"/>
        </w:trPr>
        <w:tc>
          <w:tcPr>
            <w:tcW w:w="52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(97,275)$</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6,782</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2"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During the nine months ended September 30, 2024 and 2023, we recognized revenue of $2.4 million and $2.0 million under our collaboration agreement with Bristol-Myers Squibb, respectively. Revenue recognized under the collaboration agreement fluctuates based on the amount and timing of expenses incurred under the agreement.</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Nine Months Ended</w:t>
            </w: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Nine Months Ended</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September 30, 2024</w:t>
            </w:r>
          </w:p>
        </w:tc>
        <w:tc>
          <w:tcPr>
            <w:tcW w:w="2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September 30, 2023</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31,757</w:t>
            </w:r>
          </w:p>
        </w:tc>
        <w:tc>
          <w:tcPr>
            <w:tcW w:w="62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16,738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18,587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(1,849)</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laboratory</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22,221</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17,267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4,954</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Collaboration</w:t>
            </w: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4,429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4,175</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Consulting</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1,472</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w:t>
            </w:r>
          </w:p>
        </w:tc>
      </w:tr>
      <w:tr>
        <w:trPr>
          <w:trHeight w:val="203"/>
        </w:trPr>
        <w:tc>
          <w:tcPr>
            <w:tcW w:w="51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1,252</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436</w:t>
            </w:r>
          </w:p>
        </w:tc>
      </w:tr>
      <w:tr>
        <w:trPr>
          <w:trHeight w:val="196"/>
        </w:trPr>
        <w:tc>
          <w:tcPr>
            <w:tcW w:w="51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77,869</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4"/>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70,414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7,455</w:t>
            </w:r>
          </w:p>
        </w:tc>
      </w:tr>
      <w:tr>
        <w:trPr>
          <w:trHeight w:val="20"/>
        </w:trPr>
        <w:tc>
          <w:tcPr>
            <w:tcW w:w="5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expenses were $77.9 million and $70.4 million for the nine months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2024 and 2023, respectively. The increase of $7.5 million was primarily due to:</w:t>
      </w:r>
    </w:p>
    <w:p>
      <w:pPr>
        <w:spacing w:after="0" w:line="86" w:lineRule="exact"/>
        <w:rPr>
          <w:sz w:val="20"/>
          <w:szCs w:val="20"/>
          <w:color w:val="auto"/>
        </w:rPr>
      </w:pPr>
    </w:p>
    <w:p>
      <w:pPr>
        <w:ind w:left="380" w:right="49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$4.9 million in research and laboratory due to progression of ELiPSE-1 trial and start-up costs of CALiPSO-1 trial.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1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personnel-related expenses of $0.8 million, including a decrease in salary and benefit expense of $0.3 million, and a decrease in stock compensation expense of $0.5 million.</w:t>
      </w:r>
    </w:p>
    <w:p>
      <w:pPr>
        <w:spacing w:after="0" w:line="46" w:lineRule="exact"/>
        <w:rPr>
          <w:rFonts w:ascii="Times New Roman" w:cs="Times New Roman" w:eastAsia="Times New Roman" w:hAnsi="Times New Roman"/>
          <w:sz w:val="18"/>
          <w:szCs w:val="18"/>
          <w:color w:val="auto"/>
        </w:rPr>
      </w:pPr>
    </w:p>
    <w:p>
      <w:pPr>
        <w:jc w:val="both"/>
        <w:ind w:left="380" w:right="239" w:hanging="330"/>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$1.9 million of facility and other allocated costs, which consists of a decrease in rent of $1.1 million, and a decrease of facility services of $1.2 million. This was offset by an increase in depreciation of $0.5 million.</w:t>
      </w:r>
    </w:p>
    <w:p>
      <w:pPr>
        <w:spacing w:after="0" w:line="62" w:lineRule="exact"/>
        <w:rPr>
          <w:rFonts w:ascii="Times New Roman" w:cs="Times New Roman" w:eastAsia="Times New Roman" w:hAnsi="Times New Roman"/>
          <w:sz w:val="18"/>
          <w:szCs w:val="18"/>
          <w:color w:val="auto"/>
        </w:rPr>
      </w:pPr>
    </w:p>
    <w:p>
      <w:pPr>
        <w:ind w:left="380" w:right="85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collaboration of $4.2 million due to manufacturing our CNTY-101 product candidate performed under our collaboration with FCDI.</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69" w:lineRule="exact"/>
        <w:rPr>
          <w:sz w:val="20"/>
          <w:szCs w:val="20"/>
          <w:color w:val="auto"/>
        </w:rPr>
      </w:pPr>
    </w:p>
    <w:p>
      <w:pPr>
        <w:jc w:val="both"/>
        <w:ind w:left="60" w:right="299"/>
        <w:spacing w:after="0" w:line="253" w:lineRule="auto"/>
        <w:rPr>
          <w:sz w:val="20"/>
          <w:szCs w:val="20"/>
          <w:color w:val="auto"/>
        </w:rPr>
      </w:pPr>
      <w:r>
        <w:rPr>
          <w:rFonts w:ascii="Arial" w:cs="Arial" w:eastAsia="Arial" w:hAnsi="Arial"/>
          <w:sz w:val="18"/>
          <w:szCs w:val="18"/>
          <w:color w:val="auto"/>
        </w:rPr>
        <w:t>General and administrative expenses were $25.4 million for the nine months ended September 30, 2024 and $26.1 million for nine months ended September 30, 2023. The decrease is primarily due to a gain recognized on contingent consideration liabilities.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Interest expense was $0.0 million and $0.5 million for the nine months ended September 30, 2024 and 2023, respectively, which related to our Loan Agreement with Hercules. On May 1, 2023, we repaid the loan in its entirety and thus expect our interest expenses to decrease accordingly in subsequent periods.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Interest income was $10.1 million and $9.2 million for the nine months ended September 30, 2024 and 2023, respectively, which related to interest earned on our cash, cash equivalents, and investment balances. The increase in our interest income was due to higher interest rates earned on average balances of cash, cash equivalents and investments.</w:t>
      </w:r>
    </w:p>
    <w:p>
      <w:pPr>
        <w:spacing w:after="0" w:line="147" w:lineRule="exact"/>
        <w:rPr>
          <w:sz w:val="20"/>
          <w:szCs w:val="20"/>
          <w:color w:val="auto"/>
        </w:rPr>
      </w:pPr>
    </w:p>
    <w:p>
      <w:pPr>
        <w:ind w:left="60" w:right="4419"/>
        <w:spacing w:after="0" w:line="438"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spacing w:after="0" w:line="1"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To date, we have funded our operations from the issuance and sale of our equity securities, debt financing and collaboration revenues. Since our inception, we have raised approximately $666 million in net proceeds from the sales of our equity securities. As of September 30, 2024, we had cash, and cash equivalents of $ 52.6 million and investments of $192.1 million. Based on our research and development plans, we believe our existing cash, cash equivalents and investments, will be sufficient to fund our operating expenses and capital expenditures requirements into the second half of 2026. Since our inception, we have incurred significant operating losses. We have not yet commercialized any products and we do not expect to generate revenue from sales of any product candidates for a number of years, if ever. We had an accumulated deficit of $746.2 million as of September 30, 2024.</w:t>
      </w:r>
    </w:p>
    <w:p>
      <w:pPr>
        <w:spacing w:after="0" w:line="15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July 2022, we entered into a Sales Agreement, with Cowen and Company, LLC (“Cowen”), under which we may offer and sell, from time to time in our sole discretion, shares of our common stock, having an aggregate offering price of up to $150 million through Cowen as sales agent. In February of 2024, 4,084,502 shares of common stock were issued and sold pursuant to the Sales Agreement at a weighted-average price of $4.50 per share, resulting in approximately $18.4 million in gross proceeds.</w:t>
      </w:r>
    </w:p>
    <w:p>
      <w:pPr>
        <w:spacing w:after="0" w:line="136"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In April 2024, we entered into a securities purchase agreement (the “Securities Purchase Agreement”) with certain institutional accredited investors (the “Investors”), pursuant to which we agreed to issue and sell to the Investors in a private placement an aggregate of 15,873,011 shares of common stock (the “Private Placement Shares”), at a price of $3.78 per share (the “Private Placement”). We received aggregate gross proceeds from the Private Placement of approximately $60 million, before deducting placement agent fees and offering expenses.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8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1" w:lineRule="exact"/>
        <w:rPr>
          <w:sz w:val="20"/>
          <w:szCs w:val="20"/>
          <w:color w:val="auto"/>
        </w:rPr>
      </w:pPr>
    </w:p>
    <w:p>
      <w:pPr>
        <w:ind w:left="380" w:right="31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97" w:lineRule="exact"/>
        <w:rPr>
          <w:rFonts w:ascii="Times New Roman" w:cs="Times New Roman" w:eastAsia="Times New Roman" w:hAnsi="Times New Roman"/>
          <w:sz w:val="18"/>
          <w:szCs w:val="18"/>
          <w:color w:val="auto"/>
        </w:rPr>
      </w:pPr>
    </w:p>
    <w:p>
      <w:pPr>
        <w:ind w:left="380" w:right="29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380" w:right="219" w:hanging="330"/>
        <w:spacing w:after="0" w:line="246"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36" w:lineRule="exact"/>
        <w:rPr>
          <w:rFonts w:ascii="Times New Roman" w:cs="Times New Roman" w:eastAsia="Times New Roman" w:hAnsi="Times New Roman"/>
          <w:sz w:val="18"/>
          <w:szCs w:val="18"/>
          <w:color w:val="auto"/>
        </w:rPr>
      </w:pPr>
    </w:p>
    <w:p>
      <w:pPr>
        <w:ind w:left="380" w:right="139" w:hanging="330"/>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43"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of operating as a public company;</w:t>
      </w:r>
    </w:p>
    <w:p>
      <w:pPr>
        <w:spacing w:after="0" w:line="197"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97"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pandemics,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w:t>
      </w:r>
    </w:p>
    <w:p>
      <w:pPr>
        <w:sectPr>
          <w:pgSz w:w="11900" w:h="16838" w:orient="portrait"/>
          <w:cols w:equalWidth="0" w:num="1">
            <w:col w:w="9019"/>
          </w:cols>
          <w:pgMar w:left="1440" w:top="512"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color w:val="auto"/>
              </w:rPr>
              <w:t>Nine Months Ended</w:t>
            </w:r>
          </w:p>
        </w:tc>
        <w:tc>
          <w:tcPr>
            <w:tcW w:w="12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color w:val="auto"/>
              </w:rPr>
              <w:t>September 30, 2024</w:t>
            </w:r>
          </w:p>
        </w:tc>
        <w:tc>
          <w:tcPr>
            <w:tcW w:w="16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September 30,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gridSpan w:val="4"/>
          </w:tcPr>
          <w:p>
            <w:pPr>
              <w:jc w:val="right"/>
              <w:ind w:right="1114"/>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(85,912)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(62,118)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75,165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58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Net (decrease) increase in cash, cash equivalents, and restricted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6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Net cash used in operating activities was $85.9 million and $ 62.1 million for the nine months ended September 30, 2024 and 2023, respectively. Net cash used in operating activities during the nine months ended September 30, 2024 consisted primarily of our net loss of $90.5 million and a decrease of $11.1 million in our net operating assets and liabilities, partially offset by non-cash charges of $15.7 million. The non-cash charges of $14.7 million consisted primarily of $10.0 million for depreciation expense, non-cash operating lease benefit of $0.4 million, a decrease in lease liability due to lease termination, and stock-based compensation expense of $10.0 million, partially offset by amortization of marketable securities of $3.8 million and gain on contingent consideration liability of $1.1 million. The change in operating assets and liabilities was primarily due to a $3.1 million increase in prepaid expenses and other assets, a $4.1 million decrease in operating lease liability, a $2.4 million decrease in deferred revenue, and a $1.8 million decrease in accounts payable.</w:t>
      </w:r>
    </w:p>
    <w:p>
      <w:pPr>
        <w:spacing w:after="0" w:line="16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Net cash used in operating activities was $ 62.1 million for the nine months ended September 30, 2023, which consisted primarily of our net loss of $97.3 million, partially offset by and an increase of $12.3 million in our net operating assets and liabilities and non-cash charges of $22.9 million. The non-cash charges of $22.9 million consisted of $ 9.5 million for depreciation expense, stock-based compensation expense of $11.1 million, and impairment of $ 4.2 million. The change in operating assets and liabilities was primarily due to the receipt of $11.7 million of tenant reimbursement, and a $1.7million increase in accrued expenses and other liabilities, partially offset by a $2.0 million increase in deferred revenue.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Net cash provided by investing activities was 16.9 million and $42.5 million for the nine months ended September 30, 2024 and 2023, respectively. Cash provided by investing activities for the nine months ended September 30, 2024 consisted primarily of the sale of fixed maturity securities, available for sale of $128.6 million, which was partially offset by purchases of fixed maturity securities of $102.1 million, and the acquisition of Clade of $9.6 million.</w:t>
      </w:r>
    </w:p>
    <w:p>
      <w:pPr>
        <w:spacing w:after="0" w:line="136" w:lineRule="exact"/>
        <w:rPr>
          <w:sz w:val="20"/>
          <w:szCs w:val="20"/>
          <w:color w:val="auto"/>
        </w:rPr>
      </w:pPr>
    </w:p>
    <w:p>
      <w:pPr>
        <w:ind w:left="60" w:right="459"/>
        <w:spacing w:after="0" w:line="247" w:lineRule="auto"/>
        <w:rPr>
          <w:sz w:val="20"/>
          <w:szCs w:val="20"/>
          <w:color w:val="auto"/>
        </w:rPr>
      </w:pPr>
      <w:r>
        <w:rPr>
          <w:rFonts w:ascii="Arial" w:cs="Arial" w:eastAsia="Arial" w:hAnsi="Arial"/>
          <w:sz w:val="18"/>
          <w:szCs w:val="18"/>
          <w:color w:val="auto"/>
        </w:rPr>
        <w:t>Cash provided by investing activities was $42.5 million for the nine months ended September 30, 2023 and consisted primarily of the sale of fixed maturity securities, available for sale of $254.6 million, which was partially offset by purchases of fixed maturity securities of $199.3 million and acquisition of property and equipment of $12.8 million.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4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Net cash provided by (used in) financing activities was $75.2 million and ($9.4) million for the nine months ended September 30, 2024 and 2023, respectively. Cash provided by financing activities consisted of $17.8 million from proceeds from our at-the-market capital raise, $56.6 million from proceeds from our PIPE financing, and $0.7 million from issuance of our common stock from equity incentive plans pursuant to the exercise of employee stock options.</w:t>
      </w:r>
    </w:p>
    <w:p>
      <w:pPr>
        <w:spacing w:after="0" w:line="109" w:lineRule="exact"/>
        <w:rPr>
          <w:sz w:val="20"/>
          <w:szCs w:val="20"/>
          <w:color w:val="auto"/>
        </w:rPr>
      </w:pPr>
    </w:p>
    <w:p>
      <w:pPr>
        <w:jc w:val="both"/>
        <w:ind w:left="60" w:right="379"/>
        <w:spacing w:after="0" w:line="247" w:lineRule="auto"/>
        <w:rPr>
          <w:sz w:val="20"/>
          <w:szCs w:val="20"/>
          <w:color w:val="auto"/>
        </w:rPr>
      </w:pPr>
      <w:r>
        <w:rPr>
          <w:rFonts w:ascii="Arial" w:cs="Arial" w:eastAsia="Arial" w:hAnsi="Arial"/>
          <w:sz w:val="18"/>
          <w:szCs w:val="18"/>
          <w:color w:val="auto"/>
        </w:rPr>
        <w:t>Net cash used in financing activities was $9.4 million for the nine months ended September 30, 2023. Cash provided by financing activities consisted of $10.2 million for payments on long term debt and offset by $0.9 million from issuance of our common stock from equity incentive plans pursuant to the exercise of employee stock options.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4"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summarizes our significant contractual obligations and commitments as of September 30, 2024: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88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Payments Due by Period</w:t>
            </w:r>
          </w:p>
        </w:tc>
      </w:tr>
      <w:tr>
        <w:trPr>
          <w:trHeight w:val="156"/>
        </w:trPr>
        <w:tc>
          <w:tcPr>
            <w:tcW w:w="3880" w:type="dxa"/>
            <w:vAlign w:val="bottom"/>
          </w:tcPr>
          <w:p>
            <w:pPr>
              <w:spacing w:after="0"/>
              <w:rPr>
                <w:sz w:val="13"/>
                <w:szCs w:val="13"/>
                <w:color w:val="auto"/>
              </w:rPr>
            </w:pPr>
          </w:p>
        </w:tc>
        <w:tc>
          <w:tcPr>
            <w:tcW w:w="74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color w:val="auto"/>
              </w:rPr>
              <w:t>1 Year</w:t>
            </w:r>
          </w:p>
        </w:tc>
        <w:tc>
          <w:tcPr>
            <w:tcW w:w="10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1 to 3 Years</w:t>
            </w:r>
          </w:p>
        </w:tc>
        <w:tc>
          <w:tcPr>
            <w:tcW w:w="100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 to 5 Years</w:t>
            </w:r>
          </w:p>
        </w:tc>
        <w:tc>
          <w:tcPr>
            <w:tcW w:w="130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More than 5 Years</w:t>
            </w:r>
          </w:p>
        </w:tc>
        <w:tc>
          <w:tcPr>
            <w:tcW w:w="98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8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39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$ 9,703</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$ 18,947</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$ 19,782</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$ 87,003</w:t>
            </w:r>
          </w:p>
        </w:tc>
      </w:tr>
    </w:tbl>
    <w:p>
      <w:pPr>
        <w:spacing w:after="0" w:line="18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Payment obligations under our license, collaboration, and acquisition and merger agreements as of September 30, 2024 are contingent upon future events such as our achievement of pre-specified development, regulatory, and commercial milestones, or royalties on net product sales. As of September 30, 2024, the timing and likelihood of achieving the milestones and success payments and generating future product sales are uncertain and therefore, any related payments are not included in the table above. 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9 “Commitments and contingencies” for additional information.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commitments under operating leases for certain facilities used in our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71"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36" w:lineRule="exact"/>
        <w:rPr>
          <w:sz w:val="20"/>
          <w:szCs w:val="20"/>
          <w:color w:val="auto"/>
        </w:rPr>
      </w:pPr>
    </w:p>
    <w:p>
      <w:pPr>
        <w:ind w:left="380" w:right="639" w:hanging="330"/>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183" w:lineRule="exact"/>
        <w:rPr>
          <w:rFonts w:ascii="Times New Roman" w:cs="Times New Roman" w:eastAsia="Times New Roman" w:hAnsi="Times New Roman"/>
          <w:sz w:val="18"/>
          <w:szCs w:val="18"/>
          <w:color w:val="auto"/>
        </w:rPr>
      </w:pPr>
    </w:p>
    <w:p>
      <w:pPr>
        <w:ind w:left="380" w:right="179" w:hanging="330"/>
        <w:spacing w:after="0" w:line="252"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30" w:lineRule="exact"/>
        <w:rPr>
          <w:rFonts w:ascii="Times New Roman" w:cs="Times New Roman" w:eastAsia="Times New Roman" w:hAnsi="Times New Roman"/>
          <w:sz w:val="18"/>
          <w:szCs w:val="18"/>
          <w:color w:val="auto"/>
        </w:rPr>
      </w:pPr>
    </w:p>
    <w:p>
      <w:pPr>
        <w:ind w:left="380" w:right="539" w:hanging="330"/>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53"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3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5"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113"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During the nine months ended September 30, 2024, there were no material changes to our critical accounting policies from those described in our audited financial statements for the year ended December 31, 2023 included in our Annual Report on Form 10-K filed with the SEC on March 14, 2024, except as noted above.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had cash, cash equivalents, and restricted cash of $ 52.6 million as of September 30, 2024, which consisted of bank deposits and money market funds. We also had investments of $192.1 million as of September 30, 2024.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83" w:lineRule="exact"/>
        <w:rPr>
          <w:sz w:val="20"/>
          <w:szCs w:val="20"/>
          <w:color w:val="auto"/>
        </w:rPr>
      </w:pPr>
    </w:p>
    <w:p>
      <w:pPr>
        <w:ind w:left="60" w:right="79"/>
        <w:spacing w:after="0" w:line="301"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services industry in general, could adversely affect our ability to access our cash and cash equivalents.</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69"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56" w:lineRule="exact"/>
        <w:rPr>
          <w:sz w:val="20"/>
          <w:szCs w:val="20"/>
          <w:color w:val="auto"/>
        </w:rPr>
      </w:pPr>
    </w:p>
    <w:p>
      <w:pPr>
        <w:ind w:left="60" w:right="59"/>
        <w:spacing w:after="0" w:line="24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ind w:left="60" w:right="79"/>
        <w:spacing w:after="0" w:line="236" w:lineRule="auto"/>
        <w:rPr>
          <w:sz w:val="20"/>
          <w:szCs w:val="20"/>
          <w:color w:val="auto"/>
        </w:rPr>
      </w:pPr>
      <w:r>
        <w:rPr>
          <w:rFonts w:ascii="Arial" w:cs="Arial" w:eastAsia="Arial" w:hAnsi="Arial"/>
          <w:sz w:val="18"/>
          <w:szCs w:val="18"/>
          <w:color w:val="auto"/>
        </w:rPr>
        <w:t>15(e) under the Exchange Act, as of September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principal executive officer and principal financial officer concluded that, as of such date, our disclosure controls and procedures were effective at a reasonable assurance level.</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3"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Management determined that, as of September 30, 2024, there were no changes in our internal control over financial reporting that occurred during the nine months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Other than what is set forth below, there have been no material changes in our risk factors from those disclosed in our Annual Report on Form 10-K for the year ended December 31, 2023 and our Quarterly Report on Form 10-Q for the quarter ended March 31, 2024.</w:t>
      </w:r>
    </w:p>
    <w:p>
      <w:pPr>
        <w:spacing w:after="0" w:line="142" w:lineRule="exact"/>
        <w:rPr>
          <w:sz w:val="20"/>
          <w:szCs w:val="20"/>
          <w:color w:val="auto"/>
        </w:rPr>
      </w:pPr>
    </w:p>
    <w:p>
      <w:pPr>
        <w:ind w:left="60" w:right="699"/>
        <w:spacing w:after="0" w:line="281" w:lineRule="auto"/>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Rule 10b-1 Trading Plans</w:t>
      </w:r>
    </w:p>
    <w:p>
      <w:pPr>
        <w:spacing w:after="0" w:line="171"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During the quarter ended September 30, 2024, none of our directors or officers (as defined in Rule 16a-1 under the Exchange Act) adopted or terminated a "Rule 10b5-1 trading arrangement" or "non-Rule 10b5-1 trading arrangement" (as those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7900" w:type="dxa"/>
            <w:vAlign w:val="bottom"/>
            <w:gridSpan w:val="14"/>
          </w:tcPr>
          <w:p>
            <w:pPr>
              <w:spacing w:after="0"/>
              <w:rPr>
                <w:sz w:val="20"/>
                <w:szCs w:val="20"/>
                <w:color w:val="auto"/>
              </w:rPr>
            </w:pPr>
            <w:r>
              <w:rPr>
                <w:rFonts w:ascii="Arial" w:cs="Arial" w:eastAsia="Arial" w:hAnsi="Arial"/>
                <w:sz w:val="18"/>
                <w:szCs w:val="18"/>
                <w:color w:val="0000EE"/>
              </w:rPr>
              <w:t>Executive Employment Agreement, dated September 20, 2024, by and between the Company and</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1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Morgan Conn</w:t>
            </w:r>
          </w:p>
        </w:tc>
        <w:tc>
          <w:tcPr>
            <w:tcW w:w="674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900" w:type="dxa"/>
            <w:vAlign w:val="bottom"/>
            <w:gridSpan w:val="14"/>
          </w:tcPr>
          <w:p>
            <w:pPr>
              <w:spacing w:after="0" w:line="196" w:lineRule="exact"/>
              <w:rPr>
                <w:sz w:val="20"/>
                <w:szCs w:val="20"/>
                <w:color w:val="auto"/>
              </w:rPr>
            </w:pPr>
            <w:r>
              <w:rPr>
                <w:rFonts w:ascii="Arial" w:cs="Arial" w:eastAsia="Arial" w:hAnsi="Arial"/>
                <w:sz w:val="18"/>
                <w:szCs w:val="18"/>
                <w:color w:val="0000EE"/>
              </w:rPr>
              <w:t>Executive Employment Agreement, dated September 13, 2024, by and between the Company and</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78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Chad Cowan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900" w:type="dxa"/>
            <w:vAlign w:val="bottom"/>
            <w:gridSpan w:val="14"/>
          </w:tcPr>
          <w:p>
            <w:pPr>
              <w:spacing w:after="0" w:line="196" w:lineRule="exact"/>
              <w:rPr>
                <w:sz w:val="20"/>
                <w:szCs w:val="20"/>
                <w:color w:val="auto"/>
              </w:rPr>
            </w:pPr>
            <w:r>
              <w:rPr>
                <w:rFonts w:ascii="Arial" w:cs="Arial" w:eastAsia="Arial" w:hAnsi="Arial"/>
                <w:sz w:val="18"/>
                <w:szCs w:val="18"/>
                <w:color w:val="0000EE"/>
              </w:rPr>
              <w:t>Form of Performance-Based Restricted Stock Unit Grant Notice and Award Agreement, under the</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30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Company’s 2021 Equity Incentive Plan</w:t>
            </w:r>
          </w:p>
        </w:tc>
        <w:tc>
          <w:tcPr>
            <w:tcW w:w="4680" w:type="dxa"/>
            <w:vAlign w:val="bottom"/>
            <w:tcBorders>
              <w:top w:val="single" w:sz="8" w:color="0000EE"/>
            </w:tcBorders>
            <w:gridSpan w:val="6"/>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6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Certification of Principal Executive Officer Pursuant to Rules 13a-14(a) and 15d-14(a) under the</w:t>
            </w:r>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900" w:type="dxa"/>
            <w:vAlign w:val="bottom"/>
            <w:gridSpan w:val="14"/>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77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of 2002</w:t>
            </w: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5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Rules 13a-14(a) and 15d-14(a) under the</w:t>
            </w:r>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900" w:type="dxa"/>
            <w:vAlign w:val="bottom"/>
            <w:gridSpan w:val="14"/>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77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of 2002</w:t>
            </w: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900" w:type="dxa"/>
            <w:vAlign w:val="bottom"/>
            <w:gridSpan w:val="14"/>
          </w:tcPr>
          <w:p>
            <w:pPr>
              <w:spacing w:after="0" w:line="196" w:lineRule="exact"/>
              <w:rPr>
                <w:sz w:val="20"/>
                <w:szCs w:val="20"/>
                <w:color w:val="auto"/>
              </w:rPr>
            </w:pPr>
            <w:r>
              <w:rPr>
                <w:rFonts w:ascii="Arial" w:cs="Arial" w:eastAsia="Arial" w:hAnsi="Arial"/>
                <w:sz w:val="18"/>
                <w:szCs w:val="18"/>
                <w:color w:val="0000EE"/>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376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Section 906 of the Sarbanes-Oxley Act of 2002</w:t>
            </w:r>
          </w:p>
        </w:tc>
        <w:tc>
          <w:tcPr>
            <w:tcW w:w="410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900" w:type="dxa"/>
            <w:vAlign w:val="bottom"/>
            <w:gridSpan w:val="14"/>
          </w:tcPr>
          <w:p>
            <w:pPr>
              <w:spacing w:after="0" w:line="196" w:lineRule="exact"/>
              <w:rPr>
                <w:sz w:val="20"/>
                <w:szCs w:val="20"/>
                <w:color w:val="auto"/>
              </w:rPr>
            </w:pPr>
            <w:r>
              <w:rPr>
                <w:rFonts w:ascii="Arial" w:cs="Arial" w:eastAsia="Arial" w:hAnsi="Arial"/>
                <w:sz w:val="18"/>
                <w:szCs w:val="18"/>
                <w:color w:val="0000EE"/>
              </w:rPr>
              <w:t>Certification of Principal Financial Officer pursuant to 18 U.S.C. Section 1350, as adopted pursuant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96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92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40" w:type="dxa"/>
            <w:vAlign w:val="bottom"/>
            <w:vMerge w:val="continue"/>
          </w:tcPr>
          <w:p>
            <w:pPr>
              <w:spacing w:after="0"/>
              <w:rPr>
                <w:sz w:val="17"/>
                <w:szCs w:val="17"/>
                <w:color w:val="auto"/>
              </w:rPr>
            </w:pPr>
          </w:p>
        </w:tc>
        <w:tc>
          <w:tcPr>
            <w:tcW w:w="7900" w:type="dxa"/>
            <w:vAlign w:val="bottom"/>
            <w:gridSpan w:val="14"/>
          </w:tcPr>
          <w:p>
            <w:pPr>
              <w:spacing w:after="0" w:line="204" w:lineRule="exact"/>
              <w:rPr>
                <w:sz w:val="20"/>
                <w:szCs w:val="20"/>
                <w:color w:val="auto"/>
              </w:rPr>
            </w:pPr>
            <w:r>
              <w:rPr>
                <w:rFonts w:ascii="Arial" w:cs="Arial" w:eastAsia="Arial" w:hAnsi="Arial"/>
                <w:sz w:val="18"/>
                <w:szCs w:val="18"/>
                <w:color w:val="auto"/>
              </w:rPr>
              <w:t>Inline XBRL Instance Document (the instance document does not appear in the Interactive Data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900" w:type="dxa"/>
            <w:vAlign w:val="bottom"/>
            <w:gridSpan w:val="14"/>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90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000" w:right="459" w:hanging="945"/>
        <w:spacing w:after="0" w:line="25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September 30, 2024,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1414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5" w:lineRule="exact"/>
        <w:rPr>
          <w:sz w:val="20"/>
          <w:szCs w:val="20"/>
          <w:color w:val="auto"/>
        </w:rPr>
      </w:pPr>
    </w:p>
    <w:p>
      <w:pPr>
        <w:ind w:left="440" w:hanging="385"/>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w:t>
      </w:r>
    </w:p>
    <w:p>
      <w:pPr>
        <w:spacing w:after="0" w:line="13" w:lineRule="exact"/>
        <w:rPr>
          <w:rFonts w:ascii="Arial" w:cs="Arial" w:eastAsia="Arial" w:hAnsi="Arial"/>
          <w:sz w:val="18"/>
          <w:szCs w:val="18"/>
          <w:color w:val="auto"/>
        </w:rPr>
      </w:pPr>
    </w:p>
    <w:p>
      <w:pPr>
        <w:ind w:left="440" w:right="99"/>
        <w:spacing w:after="0" w:line="234" w:lineRule="auto"/>
        <w:rPr>
          <w:rFonts w:ascii="Arial" w:cs="Arial" w:eastAsia="Arial" w:hAnsi="Arial"/>
          <w:sz w:val="18"/>
          <w:szCs w:val="18"/>
          <w:color w:val="auto"/>
        </w:rPr>
      </w:pPr>
      <w:r>
        <w:rPr>
          <w:rFonts w:ascii="Arial" w:cs="Arial" w:eastAsia="Arial" w:hAnsi="Arial"/>
          <w:sz w:val="18"/>
          <w:szCs w:val="18"/>
          <w:color w:val="auto"/>
        </w:rPr>
        <w:t>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3" w:lineRule="exact"/>
        <w:rPr>
          <w:sz w:val="20"/>
          <w:szCs w:val="20"/>
          <w:color w:val="auto"/>
        </w:rPr>
      </w:pPr>
    </w:p>
    <w:p>
      <w:pPr>
        <w:ind w:left="440" w:hanging="385"/>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p>
        </w:tc>
        <w:tc>
          <w:tcPr>
            <w:tcW w:w="5740" w:type="dxa"/>
            <w:vAlign w:val="bottom"/>
            <w:gridSpan w:val="2"/>
          </w:tcPr>
          <w:p>
            <w:pPr>
              <w:ind w:left="1300"/>
              <w:spacing w:after="0"/>
              <w:rPr>
                <w:sz w:val="20"/>
                <w:szCs w:val="20"/>
                <w:color w:val="auto"/>
              </w:rPr>
            </w:pPr>
            <w:r>
              <w:rPr>
                <w:rFonts w:ascii="Arial" w:cs="Arial" w:eastAsia="Arial" w:hAnsi="Arial"/>
                <w:sz w:val="18"/>
                <w:szCs w:val="18"/>
                <w:color w:val="auto"/>
              </w:rPr>
              <w:t>Century Therapeutics, Inc.</w:t>
            </w:r>
          </w:p>
        </w:tc>
      </w:tr>
      <w:tr>
        <w:trPr>
          <w:trHeight w:val="388"/>
        </w:trPr>
        <w:tc>
          <w:tcPr>
            <w:tcW w:w="3180" w:type="dxa"/>
            <w:vAlign w:val="bottom"/>
          </w:tcPr>
          <w:p>
            <w:pPr>
              <w:ind w:left="20"/>
              <w:spacing w:after="0"/>
              <w:rPr>
                <w:sz w:val="20"/>
                <w:szCs w:val="20"/>
                <w:color w:val="auto"/>
              </w:rPr>
            </w:pPr>
            <w:r>
              <w:rPr>
                <w:rFonts w:ascii="Arial" w:cs="Arial" w:eastAsia="Arial" w:hAnsi="Arial"/>
                <w:sz w:val="18"/>
                <w:szCs w:val="18"/>
                <w:color w:val="auto"/>
              </w:rPr>
              <w:t>Date: November 5, 2024</w:t>
            </w:r>
          </w:p>
        </w:tc>
        <w:tc>
          <w:tcPr>
            <w:tcW w:w="1620" w:type="dxa"/>
            <w:vAlign w:val="bottom"/>
          </w:tcPr>
          <w:p>
            <w:pPr>
              <w:ind w:left="130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Brent Pfeiffenberger, PharmD, MBA</w:t>
            </w:r>
          </w:p>
        </w:tc>
      </w:tr>
      <w:tr>
        <w:trPr>
          <w:trHeight w:val="177"/>
        </w:trPr>
        <w:tc>
          <w:tcPr>
            <w:tcW w:w="3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120" w:type="dxa"/>
            <w:vAlign w:val="bottom"/>
          </w:tcPr>
          <w:p>
            <w:pPr>
              <w:jc w:val="center"/>
              <w:spacing w:after="0" w:line="177" w:lineRule="exact"/>
              <w:rPr>
                <w:sz w:val="20"/>
                <w:szCs w:val="20"/>
                <w:color w:val="auto"/>
              </w:rPr>
            </w:pPr>
            <w:r>
              <w:rPr>
                <w:rFonts w:ascii="Arial" w:cs="Arial" w:eastAsia="Arial" w:hAnsi="Arial"/>
                <w:sz w:val="18"/>
                <w:szCs w:val="18"/>
                <w:color w:val="auto"/>
                <w:w w:val="99"/>
              </w:rPr>
              <w:t>Brent Pfeiffenberger, PharmD, MBA</w:t>
            </w:r>
          </w:p>
        </w:tc>
      </w:tr>
      <w:tr>
        <w:trPr>
          <w:trHeight w:val="203"/>
        </w:trPr>
        <w:tc>
          <w:tcPr>
            <w:tcW w:w="3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Chief Executive Officer</w:t>
            </w:r>
          </w:p>
        </w:tc>
      </w:tr>
      <w:tr>
        <w:trPr>
          <w:trHeight w:val="239"/>
        </w:trPr>
        <w:tc>
          <w:tcPr>
            <w:tcW w:w="3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388"/>
        </w:trPr>
        <w:tc>
          <w:tcPr>
            <w:tcW w:w="3180" w:type="dxa"/>
            <w:vAlign w:val="bottom"/>
          </w:tcPr>
          <w:p>
            <w:pPr>
              <w:ind w:left="20"/>
              <w:spacing w:after="0"/>
              <w:rPr>
                <w:sz w:val="20"/>
                <w:szCs w:val="20"/>
                <w:color w:val="auto"/>
              </w:rPr>
            </w:pPr>
            <w:r>
              <w:rPr>
                <w:rFonts w:ascii="Arial" w:cs="Arial" w:eastAsia="Arial" w:hAnsi="Arial"/>
                <w:sz w:val="18"/>
                <w:szCs w:val="18"/>
                <w:color w:val="auto"/>
              </w:rPr>
              <w:t>Date: November 5, 2024</w:t>
            </w:r>
          </w:p>
        </w:tc>
        <w:tc>
          <w:tcPr>
            <w:tcW w:w="1620" w:type="dxa"/>
            <w:vAlign w:val="bottom"/>
          </w:tcPr>
          <w:p>
            <w:pPr>
              <w:ind w:left="130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Morgan Conn, PhD</w:t>
            </w:r>
          </w:p>
        </w:tc>
      </w:tr>
      <w:tr>
        <w:trPr>
          <w:trHeight w:val="177"/>
        </w:trPr>
        <w:tc>
          <w:tcPr>
            <w:tcW w:w="3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120" w:type="dxa"/>
            <w:vAlign w:val="bottom"/>
          </w:tcPr>
          <w:p>
            <w:pPr>
              <w:jc w:val="center"/>
              <w:spacing w:after="0" w:line="177" w:lineRule="exact"/>
              <w:rPr>
                <w:sz w:val="20"/>
                <w:szCs w:val="20"/>
                <w:color w:val="auto"/>
              </w:rPr>
            </w:pPr>
            <w:r>
              <w:rPr>
                <w:rFonts w:ascii="Arial" w:cs="Arial" w:eastAsia="Arial" w:hAnsi="Arial"/>
                <w:sz w:val="18"/>
                <w:szCs w:val="18"/>
                <w:color w:val="auto"/>
              </w:rPr>
              <w:t>Morgan Conn</w:t>
            </w:r>
          </w:p>
        </w:tc>
      </w:tr>
      <w:tr>
        <w:trPr>
          <w:trHeight w:val="203"/>
        </w:trPr>
        <w:tc>
          <w:tcPr>
            <w:tcW w:w="3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Chief Financial Officer</w:t>
            </w:r>
          </w:p>
        </w:tc>
      </w:tr>
      <w:tr>
        <w:trPr>
          <w:trHeight w:val="239"/>
        </w:trPr>
        <w:tc>
          <w:tcPr>
            <w:tcW w:w="3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r>
        <w:trPr>
          <w:trHeight w:val="851"/>
        </w:trPr>
        <w:tc>
          <w:tcPr>
            <w:tcW w:w="318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4120" w:type="dxa"/>
            <w:vAlign w:val="bottom"/>
          </w:tcPr>
          <w:p>
            <w:pPr>
              <w:spacing w:after="0"/>
              <w:rPr>
                <w:sz w:val="24"/>
                <w:szCs w:val="24"/>
                <w:color w:val="auto"/>
              </w:rPr>
            </w:pPr>
          </w:p>
        </w:tc>
      </w:tr>
      <w:tr>
        <w:trPr>
          <w:trHeight w:val="543"/>
        </w:trPr>
        <w:tc>
          <w:tcPr>
            <w:tcW w:w="3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52" w:name="page53"/>
    <w:bookmarkEnd w:id="52"/>
    <w:p>
      <w:pPr>
        <w:ind w:left="744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20" w:lineRule="exact"/>
        <w:rPr>
          <w:sz w:val="20"/>
          <w:szCs w:val="20"/>
          <w:color w:val="auto"/>
        </w:rPr>
      </w:pPr>
    </w:p>
    <w:p>
      <w:pPr>
        <w:jc w:val="both"/>
        <w:ind w:left="200" w:right="219" w:firstLine="648"/>
        <w:spacing w:after="0" w:line="224" w:lineRule="auto"/>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dated </w:t>
      </w:r>
      <w:r>
        <w:rPr>
          <w:rFonts w:ascii="Times New Roman" w:cs="Times New Roman" w:eastAsia="Times New Roman" w:hAnsi="Times New Roman"/>
          <w:sz w:val="22"/>
          <w:szCs w:val="22"/>
          <w:b w:val="1"/>
          <w:bCs w:val="1"/>
          <w:color w:val="auto"/>
        </w:rPr>
        <w:t>September 20</w:t>
      </w:r>
      <w:r>
        <w:rPr>
          <w:rFonts w:ascii="Times New Roman" w:cs="Times New Roman" w:eastAsia="Times New Roman" w:hAnsi="Times New Roman"/>
          <w:sz w:val="32"/>
          <w:szCs w:val="32"/>
          <w:b w:val="1"/>
          <w:bCs w:val="1"/>
          <w:color w:val="auto"/>
          <w:vertAlign w:val="superscript"/>
        </w:rPr>
        <w:t>th</w:t>
      </w:r>
      <w:r>
        <w:rPr>
          <w:rFonts w:ascii="Times New Roman" w:cs="Times New Roman" w:eastAsia="Times New Roman" w:hAnsi="Times New Roman"/>
          <w:sz w:val="22"/>
          <w:szCs w:val="22"/>
          <w:b w:val="1"/>
          <w:bCs w:val="1"/>
          <w:color w:val="auto"/>
        </w:rPr>
        <w:t>, 2024</w:t>
      </w:r>
      <w:r>
        <w:rPr>
          <w:rFonts w:ascii="Times New Roman" w:cs="Times New Roman" w:eastAsia="Times New Roman" w:hAnsi="Times New Roman"/>
          <w:sz w:val="22"/>
          <w:szCs w:val="22"/>
          <w:color w:val="auto"/>
        </w:rPr>
        <w:t>, is made and entered into by and between CENTURY THERAPEUTICS,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Morgan Conn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xml:space="preserve">”), and will become effective on </w:t>
      </w:r>
      <w:r>
        <w:rPr>
          <w:rFonts w:ascii="Times New Roman" w:cs="Times New Roman" w:eastAsia="Times New Roman" w:hAnsi="Times New Roman"/>
          <w:sz w:val="22"/>
          <w:szCs w:val="22"/>
          <w:b w:val="1"/>
          <w:bCs w:val="1"/>
          <w:color w:val="auto"/>
        </w:rPr>
        <w:t xml:space="preserve">October 14, 2024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Introduction</w:t>
      </w:r>
    </w:p>
    <w:p>
      <w:pPr>
        <w:spacing w:after="0" w:line="220"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desires to employ Executive on the terms and conditions set forth herein; and</w:t>
      </w:r>
    </w:p>
    <w:p>
      <w:pPr>
        <w:spacing w:after="0" w:line="158"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WHEREAS, Executive desires to be employed by the Company on such terms and conditions.</w:t>
      </w:r>
    </w:p>
    <w:p>
      <w:pPr>
        <w:spacing w:after="0" w:line="158"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and intending to be legally bound hereby, the parties agree as follows:</w:t>
      </w:r>
    </w:p>
    <w:p>
      <w:pPr>
        <w:spacing w:after="0" w:line="182" w:lineRule="exact"/>
        <w:rPr>
          <w:sz w:val="20"/>
          <w:szCs w:val="20"/>
          <w:color w:val="auto"/>
        </w:rPr>
      </w:pPr>
    </w:p>
    <w:p>
      <w:pPr>
        <w:jc w:val="both"/>
        <w:ind w:left="200" w:right="219" w:firstLine="9"/>
        <w:spacing w:after="0" w:line="246"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w:t>
      </w:r>
      <w:r>
        <w:rPr>
          <w:rFonts w:ascii="Times New Roman" w:cs="Times New Roman" w:eastAsia="Times New Roman" w:hAnsi="Times New Roman"/>
          <w:sz w:val="22"/>
          <w:szCs w:val="22"/>
          <w:color w:val="auto"/>
        </w:rPr>
        <w:t>. Executive will serve as the</w:t>
      </w:r>
      <w:r>
        <w:rPr>
          <w:rFonts w:ascii="Times New Roman" w:cs="Times New Roman" w:eastAsia="Times New Roman" w:hAnsi="Times New Roman"/>
          <w:sz w:val="22"/>
          <w:szCs w:val="22"/>
          <w:b w:val="1"/>
          <w:bCs w:val="1"/>
          <w:color w:val="auto"/>
        </w:rPr>
        <w:t xml:space="preserve"> Chief Financial Officer </w:t>
      </w:r>
      <w:r>
        <w:rPr>
          <w:rFonts w:ascii="Times New Roman" w:cs="Times New Roman" w:eastAsia="Times New Roman" w:hAnsi="Times New Roman"/>
          <w:sz w:val="22"/>
          <w:szCs w:val="22"/>
          <w:color w:val="auto"/>
        </w:rPr>
        <w:t>of the Company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 directly to the Chief Executive Officer of the Company. In addition to performing the duties and responsibilities associated with that position, from time to time the Company may assign to Executive other duties and responsibilities reasonable and consistent with such position. Executive agrees to devote his full business time and best efforts to the performance of their duties and to the furtherance of the Company’s interests. Executive also agrees that during their employment with the Company, he will not engage in any other employment, consulting or business services without the written consent of the Company; provided, however, that without such consent, Executive may engage in charitable or public service, so long as such activities do not interfere with the performance of his duties and obligations to the Company.</w:t>
      </w:r>
    </w:p>
    <w:p>
      <w:pPr>
        <w:spacing w:after="0" w:line="187" w:lineRule="exact"/>
        <w:rPr>
          <w:rFonts w:ascii="Times New Roman" w:cs="Times New Roman" w:eastAsia="Times New Roman" w:hAnsi="Times New Roman"/>
          <w:sz w:val="22"/>
          <w:szCs w:val="22"/>
          <w:color w:val="auto"/>
        </w:rPr>
      </w:pPr>
    </w:p>
    <w:p>
      <w:pPr>
        <w:ind w:left="200" w:right="219" w:firstLine="9"/>
        <w:spacing w:after="0" w:line="275"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Executive’s employment pursuant to this Agreement will commence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Effective Date and will continue until terminated in accordance with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w:t>
      </w:r>
    </w:p>
    <w:p>
      <w:pPr>
        <w:spacing w:after="0" w:line="149" w:lineRule="exact"/>
        <w:rPr>
          <w:rFonts w:ascii="Times New Roman" w:cs="Times New Roman" w:eastAsia="Times New Roman" w:hAnsi="Times New Roman"/>
          <w:sz w:val="22"/>
          <w:szCs w:val="22"/>
          <w:color w:val="auto"/>
        </w:rPr>
      </w:pPr>
    </w:p>
    <w:p>
      <w:pPr>
        <w:jc w:val="both"/>
        <w:ind w:left="200" w:right="219" w:firstLine="9"/>
        <w:spacing w:after="0" w:line="259"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Place of Performance</w:t>
      </w:r>
      <w:r>
        <w:rPr>
          <w:rFonts w:ascii="Times New Roman" w:cs="Times New Roman" w:eastAsia="Times New Roman" w:hAnsi="Times New Roman"/>
          <w:sz w:val="22"/>
          <w:szCs w:val="22"/>
          <w:color w:val="auto"/>
        </w:rPr>
        <w:t>. Executive will perform services hereunder at the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headquarter offices of the Company in Philadelphia, PA; provided, however, that Executive may be required to travel from time to time for business purposes.</w:t>
      </w:r>
    </w:p>
    <w:p>
      <w:pPr>
        <w:spacing w:after="0" w:line="166" w:lineRule="exact"/>
        <w:rPr>
          <w:rFonts w:ascii="Times New Roman" w:cs="Times New Roman" w:eastAsia="Times New Roman" w:hAnsi="Times New Roman"/>
          <w:sz w:val="22"/>
          <w:szCs w:val="22"/>
          <w:color w:val="auto"/>
        </w:rPr>
      </w:pPr>
    </w:p>
    <w:p>
      <w:pPr>
        <w:jc w:val="both"/>
        <w:ind w:left="200" w:right="219" w:firstLine="9"/>
        <w:spacing w:after="0" w:line="253"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Salary</w:t>
      </w:r>
      <w:r>
        <w:rPr>
          <w:rFonts w:ascii="Times New Roman" w:cs="Times New Roman" w:eastAsia="Times New Roman" w:hAnsi="Times New Roman"/>
          <w:sz w:val="22"/>
          <w:szCs w:val="22"/>
          <w:color w:val="auto"/>
        </w:rPr>
        <w:t>. This is a full-time exempt position. The Company will pay Executive a salary at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annual rate of </w:t>
      </w:r>
      <w:r>
        <w:rPr>
          <w:rFonts w:ascii="Times New Roman" w:cs="Times New Roman" w:eastAsia="Times New Roman" w:hAnsi="Times New Roman"/>
          <w:sz w:val="22"/>
          <w:szCs w:val="22"/>
          <w:b w:val="1"/>
          <w:bCs w:val="1"/>
          <w:color w:val="auto"/>
        </w:rPr>
        <w:t>$470,000</w:t>
      </w:r>
      <w:r>
        <w:rPr>
          <w:rFonts w:ascii="Times New Roman" w:cs="Times New Roman" w:eastAsia="Times New Roman" w:hAnsi="Times New Roman"/>
          <w:sz w:val="22"/>
          <w:szCs w:val="22"/>
          <w:color w:val="auto"/>
        </w:rPr>
        <w:t xml:space="preserve"> (as may be adjusted from time to time,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payable in accordance with the Company’s standard payroll schedule and subject to applicable deductions and withholdings. The Base Salary shall be reviewed on an annual basis by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808355</wp:posOffset>
            </wp:positionV>
            <wp:extent cx="54521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53" w:name="page54"/>
    <w:bookmarkEnd w:id="53"/>
    <w:p>
      <w:pPr>
        <w:ind w:left="200" w:right="219"/>
        <w:spacing w:after="0" w:line="275" w:lineRule="auto"/>
        <w:rPr>
          <w:sz w:val="20"/>
          <w:szCs w:val="20"/>
          <w:color w:val="auto"/>
        </w:rPr>
      </w:pPr>
      <w:r>
        <w:rPr>
          <w:rFonts w:ascii="Times New Roman" w:cs="Times New Roman" w:eastAsia="Times New Roman" w:hAnsi="Times New Roman"/>
          <w:sz w:val="22"/>
          <w:szCs w:val="22"/>
          <w:color w:val="auto"/>
        </w:rPr>
        <w:t>Committee of the Board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and may be adjusted from time to time by the Committee.</w:t>
      </w:r>
    </w:p>
    <w:p>
      <w:pPr>
        <w:spacing w:after="0" w:line="149" w:lineRule="exact"/>
        <w:rPr>
          <w:sz w:val="20"/>
          <w:szCs w:val="20"/>
          <w:color w:val="auto"/>
        </w:rPr>
      </w:pPr>
    </w:p>
    <w:p>
      <w:pPr>
        <w:jc w:val="both"/>
        <w:ind w:left="200" w:right="219" w:firstLine="9"/>
        <w:spacing w:after="0" w:line="246" w:lineRule="auto"/>
        <w:tabs>
          <w:tab w:leader="none" w:pos="84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each calendar year ending during his employment, Executive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have the opportunity to earn an annual bonus with a target amount of </w:t>
      </w:r>
      <w:r>
        <w:rPr>
          <w:rFonts w:ascii="Times New Roman" w:cs="Times New Roman" w:eastAsia="Times New Roman" w:hAnsi="Times New Roman"/>
          <w:sz w:val="22"/>
          <w:szCs w:val="22"/>
          <w:b w:val="1"/>
          <w:bCs w:val="1"/>
          <w:color w:val="auto"/>
        </w:rPr>
        <w:t>40%</w:t>
      </w:r>
      <w:r>
        <w:rPr>
          <w:rFonts w:ascii="Times New Roman" w:cs="Times New Roman" w:eastAsia="Times New Roman" w:hAnsi="Times New Roman"/>
          <w:sz w:val="22"/>
          <w:szCs w:val="22"/>
          <w:color w:val="auto"/>
        </w:rPr>
        <w:t xml:space="preserve"> of the Base Salary in effect at the end of the applicable year (the “Target Bonus”). The actual bonus payable to Executive, if any, with respect to any year may be more or less than the Target Bonus and will be determined by the Committee, in its sole discretion, based on the achievement of corporate and/or personal objectives established by the Committee.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 For the calendar year ending December 31, 2024, the Executive will be eligible to earn an annual bonus, pro-rated based on the Executive’s first date of employment.</w:t>
      </w:r>
    </w:p>
    <w:p>
      <w:pPr>
        <w:spacing w:after="0" w:line="185" w:lineRule="exact"/>
        <w:rPr>
          <w:rFonts w:ascii="Times New Roman" w:cs="Times New Roman" w:eastAsia="Times New Roman" w:hAnsi="Times New Roman"/>
          <w:sz w:val="22"/>
          <w:szCs w:val="22"/>
          <w:color w:val="auto"/>
        </w:rPr>
      </w:pPr>
    </w:p>
    <w:p>
      <w:pPr>
        <w:jc w:val="both"/>
        <w:ind w:left="200" w:right="219" w:firstLine="9"/>
        <w:spacing w:after="0" w:line="259" w:lineRule="auto"/>
        <w:tabs>
          <w:tab w:leader="none" w:pos="84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Sign-on Bonus</w:t>
      </w:r>
      <w:r>
        <w:rPr>
          <w:rFonts w:ascii="Times New Roman" w:cs="Times New Roman" w:eastAsia="Times New Roman" w:hAnsi="Times New Roman"/>
          <w:sz w:val="21"/>
          <w:szCs w:val="21"/>
          <w:color w:val="auto"/>
        </w:rPr>
        <w:t>. The Company will advance to Executive a one-time sign-on bonus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amount of </w:t>
      </w:r>
      <w:r>
        <w:rPr>
          <w:rFonts w:ascii="Times New Roman" w:cs="Times New Roman" w:eastAsia="Times New Roman" w:hAnsi="Times New Roman"/>
          <w:sz w:val="21"/>
          <w:szCs w:val="21"/>
          <w:b w:val="1"/>
          <w:bCs w:val="1"/>
          <w:color w:val="auto"/>
        </w:rPr>
        <w:t>$100,000</w:t>
      </w:r>
      <w:r>
        <w:rPr>
          <w:rFonts w:ascii="Times New Roman" w:cs="Times New Roman" w:eastAsia="Times New Roman" w:hAnsi="Times New Roman"/>
          <w:sz w:val="21"/>
          <w:szCs w:val="21"/>
          <w:color w:val="auto"/>
        </w:rPr>
        <w:t>, less payroll deductions and all required withholdings (“</w:t>
      </w:r>
      <w:r>
        <w:rPr>
          <w:rFonts w:ascii="Times New Roman" w:cs="Times New Roman" w:eastAsia="Times New Roman" w:hAnsi="Times New Roman"/>
          <w:sz w:val="21"/>
          <w:szCs w:val="21"/>
          <w:b w:val="1"/>
          <w:bCs w:val="1"/>
          <w:color w:val="auto"/>
        </w:rPr>
        <w:t>Sign-On Bonus</w:t>
      </w:r>
      <w:r>
        <w:rPr>
          <w:rFonts w:ascii="Times New Roman" w:cs="Times New Roman" w:eastAsia="Times New Roman" w:hAnsi="Times New Roman"/>
          <w:sz w:val="21"/>
          <w:szCs w:val="21"/>
          <w:color w:val="auto"/>
        </w:rPr>
        <w:t>”). This Sign-On Bonus will be advanced to Executive on the first practicable payroll date after the Effective Date. Executive will earn the Sign-On Bonus upon the one-year anniversary of the Effective Date. In the event Executive resigns without Good Reason from Executive’s employment with the Company or is terminated by the Company for Cause before the first anniversary of the Effective Date, Executive agrees to pay back the gross amount of the Sign-On Bonus, pro-rated based on the length of Executive’s employment with the Company, within thirty (30) days of the cessation of Executive’s employment with the Company. For the avoidance of doubt, for purposes of this Section, termination of the Executive’s employment with the Company due to Executive’s death or Disability shall not be a termination by the Company for Cause. Executive hereby authorizes the Company to recover any amounts to be repaid by Executive through offset of any distributions, expense reimbursements or other amounts due to Executive, to the extent allowed by law and will enter into a repayment plan with the Company if necessary.</w:t>
      </w:r>
    </w:p>
    <w:p>
      <w:pPr>
        <w:spacing w:after="0" w:line="172" w:lineRule="exact"/>
        <w:rPr>
          <w:rFonts w:ascii="Times New Roman" w:cs="Times New Roman" w:eastAsia="Times New Roman" w:hAnsi="Times New Roman"/>
          <w:sz w:val="21"/>
          <w:szCs w:val="21"/>
          <w:color w:val="auto"/>
        </w:rPr>
      </w:pPr>
    </w:p>
    <w:p>
      <w:pPr>
        <w:jc w:val="both"/>
        <w:ind w:left="200" w:right="219" w:firstLine="9"/>
        <w:spacing w:after="0" w:line="258" w:lineRule="auto"/>
        <w:tabs>
          <w:tab w:leader="none" w:pos="84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Equity Incentives</w:t>
      </w:r>
      <w:r>
        <w:rPr>
          <w:rFonts w:ascii="Times New Roman" w:cs="Times New Roman" w:eastAsia="Times New Roman" w:hAnsi="Times New Roman"/>
          <w:sz w:val="21"/>
          <w:szCs w:val="21"/>
          <w:color w:val="auto"/>
        </w:rPr>
        <w:t>. As soon as practicable after the Effective Date, the Company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recommend to the Board that Executive receive a one-time grant of stock options to purchase </w:t>
      </w:r>
      <w:r>
        <w:rPr>
          <w:rFonts w:ascii="Times New Roman" w:cs="Times New Roman" w:eastAsia="Times New Roman" w:hAnsi="Times New Roman"/>
          <w:sz w:val="21"/>
          <w:szCs w:val="21"/>
          <w:b w:val="1"/>
          <w:bCs w:val="1"/>
          <w:color w:val="auto"/>
        </w:rPr>
        <w:t xml:space="preserve">360,890 </w:t>
      </w:r>
      <w:r>
        <w:rPr>
          <w:rFonts w:ascii="Times New Roman" w:cs="Times New Roman" w:eastAsia="Times New Roman" w:hAnsi="Times New Roman"/>
          <w:sz w:val="21"/>
          <w:szCs w:val="21"/>
          <w:color w:val="auto"/>
        </w:rPr>
        <w:t>shares of the Company’s common stock (as such term is defined in the Equity Documents)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Options</w:t>
      </w:r>
      <w:r>
        <w:rPr>
          <w:rFonts w:ascii="Times New Roman" w:cs="Times New Roman" w:eastAsia="Times New Roman" w:hAnsi="Times New Roman"/>
          <w:sz w:val="21"/>
          <w:szCs w:val="21"/>
          <w:color w:val="auto"/>
        </w:rPr>
        <w:t xml:space="preserve">”). If the Options are granted, the shares subject to the foregoing Options will vest over a 4-year period from the date of such grant, with the first 25% vesting on the first anniversary of the Effective Date and the remaining shares vesting in equal monthly installments over the three years thereafter, subject to Executive’s continued employment with the Company on each applicable vesting date. The exercise price for each share of common stock subject to the foregoing Options will be equal to the fair market value (closing price) per share of the common stock on the Effective Date. In addition, Executive will also receive </w:t>
      </w:r>
      <w:r>
        <w:rPr>
          <w:rFonts w:ascii="Times New Roman" w:cs="Times New Roman" w:eastAsia="Times New Roman" w:hAnsi="Times New Roman"/>
          <w:sz w:val="21"/>
          <w:szCs w:val="21"/>
          <w:b w:val="1"/>
          <w:bCs w:val="1"/>
          <w:color w:val="auto"/>
        </w:rPr>
        <w:t>60,148</w:t>
      </w:r>
      <w:r>
        <w:rPr>
          <w:rFonts w:ascii="Times New Roman" w:cs="Times New Roman" w:eastAsia="Times New Roman" w:hAnsi="Times New Roman"/>
          <w:sz w:val="21"/>
          <w:szCs w:val="21"/>
          <w:color w:val="auto"/>
        </w:rPr>
        <w:t xml:space="preserve"> restricted stock units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subject to the terms and conditions of the Equity Documents. The foregoing RSUs will vest over a 4-year period from the date of such grant, with the first 25% vesting on the first anniversary of the Effective Date and the remaining shares vesting in equal quarterly installments over the three years thereafter, subject to Executive’s continued employment with the Company on each applicable vesting date. The Executive’s eligibility for and other rights with respect to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722630</wp:posOffset>
            </wp:positionV>
            <wp:extent cx="54521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4" w:name="page55"/>
    <w:bookmarkEnd w:id="54"/>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Options and RSUs will be governed by the 2021 Equity Incentive Plan and the associated equity grant agreements required to be entered into by Executive and the Company (the “</w:t>
      </w:r>
      <w:r>
        <w:rPr>
          <w:rFonts w:ascii="Times New Roman" w:cs="Times New Roman" w:eastAsia="Times New Roman" w:hAnsi="Times New Roman"/>
          <w:sz w:val="22"/>
          <w:szCs w:val="22"/>
          <w:b w:val="1"/>
          <w:bCs w:val="1"/>
          <w:color w:val="auto"/>
        </w:rPr>
        <w:t>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Documents</w:t>
      </w:r>
      <w:r>
        <w:rPr>
          <w:rFonts w:ascii="Times New Roman" w:cs="Times New Roman" w:eastAsia="Times New Roman" w:hAnsi="Times New Roman"/>
          <w:sz w:val="22"/>
          <w:szCs w:val="22"/>
          <w:color w:val="auto"/>
        </w:rPr>
        <w:t>”). To the extent this Agreement conflicts with the Equity Documents, the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shall control.</w:t>
      </w:r>
    </w:p>
    <w:p>
      <w:pPr>
        <w:spacing w:after="0" w:line="175" w:lineRule="exact"/>
        <w:rPr>
          <w:sz w:val="20"/>
          <w:szCs w:val="20"/>
          <w:color w:val="auto"/>
        </w:rPr>
      </w:pPr>
    </w:p>
    <w:p>
      <w:pPr>
        <w:ind w:left="860" w:hanging="651"/>
        <w:spacing w:after="0"/>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Benefits; Business Expenses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657"/>
        <w:spacing w:after="0" w:line="257" w:lineRule="auto"/>
        <w:tabs>
          <w:tab w:leader="none" w:pos="149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72" w:lineRule="exact"/>
        <w:rPr>
          <w:rFonts w:ascii="Times New Roman" w:cs="Times New Roman" w:eastAsia="Times New Roman" w:hAnsi="Times New Roman"/>
          <w:sz w:val="22"/>
          <w:szCs w:val="22"/>
          <w:color w:val="auto"/>
        </w:rPr>
      </w:pPr>
    </w:p>
    <w:p>
      <w:pPr>
        <w:jc w:val="both"/>
        <w:ind w:left="200" w:right="219" w:firstLine="657"/>
        <w:spacing w:after="0" w:line="252" w:lineRule="auto"/>
        <w:tabs>
          <w:tab w:leader="none" w:pos="149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75"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657"/>
        <w:spacing w:after="0" w:line="247" w:lineRule="auto"/>
        <w:tabs>
          <w:tab w:leader="none" w:pos="149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 and such acceleration shall not constitute a termination by the Company for purposes of this Agreement.</w:t>
      </w:r>
    </w:p>
    <w:p>
      <w:pPr>
        <w:spacing w:after="0" w:line="190" w:lineRule="exact"/>
        <w:rPr>
          <w:rFonts w:ascii="Times New Roman" w:cs="Times New Roman" w:eastAsia="Times New Roman" w:hAnsi="Times New Roman"/>
          <w:sz w:val="22"/>
          <w:szCs w:val="22"/>
          <w:color w:val="auto"/>
        </w:rPr>
      </w:pPr>
    </w:p>
    <w:p>
      <w:pPr>
        <w:jc w:val="both"/>
        <w:ind w:left="200" w:right="219" w:firstLine="657"/>
        <w:spacing w:after="0" w:line="252" w:lineRule="auto"/>
        <w:tabs>
          <w:tab w:leader="none" w:pos="149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79" w:lineRule="exact"/>
        <w:rPr>
          <w:rFonts w:ascii="Times New Roman" w:cs="Times New Roman" w:eastAsia="Times New Roman" w:hAnsi="Times New Roman"/>
          <w:sz w:val="22"/>
          <w:szCs w:val="22"/>
          <w:color w:val="auto"/>
        </w:rPr>
      </w:pPr>
    </w:p>
    <w:p>
      <w:pPr>
        <w:ind w:left="200" w:right="219" w:firstLine="657"/>
        <w:spacing w:after="0" w:line="271" w:lineRule="auto"/>
        <w:tabs>
          <w:tab w:leader="none" w:pos="149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cessation of the Executive’s employment with the Company, Executive will be entitled only to such compensation and benefits as described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below.</w:t>
      </w:r>
    </w:p>
    <w:p>
      <w:pPr>
        <w:spacing w:after="0" w:line="157" w:lineRule="exact"/>
        <w:rPr>
          <w:rFonts w:ascii="Times New Roman" w:cs="Times New Roman" w:eastAsia="Times New Roman" w:hAnsi="Times New Roman"/>
          <w:sz w:val="22"/>
          <w:szCs w:val="22"/>
          <w:color w:val="auto"/>
        </w:rPr>
      </w:pPr>
    </w:p>
    <w:p>
      <w:pPr>
        <w:jc w:val="both"/>
        <w:ind w:left="200" w:right="219" w:firstLine="657"/>
        <w:spacing w:after="0" w:line="250" w:lineRule="auto"/>
        <w:tabs>
          <w:tab w:leader="none" w:pos="149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following any cessation of their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722630</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5" w:name="page56"/>
    <w:bookmarkEnd w:id="55"/>
    <w:p>
      <w:pPr>
        <w:ind w:left="200" w:right="219"/>
        <w:spacing w:after="0" w:line="271" w:lineRule="auto"/>
        <w:rPr>
          <w:sz w:val="20"/>
          <w:szCs w:val="20"/>
          <w:color w:val="auto"/>
        </w:rPr>
      </w:pPr>
      <w:r>
        <w:rPr>
          <w:rFonts w:ascii="Times New Roman" w:cs="Times New Roman" w:eastAsia="Times New Roman" w:hAnsi="Times New Roman"/>
          <w:sz w:val="22"/>
          <w:szCs w:val="22"/>
          <w:color w:val="auto"/>
        </w:rPr>
        <w:t>provided the Company exercises reasonable efforts to limit and schedule the need for Executive’s cooperation so as not to materially interfere with his other professional obligations.</w:t>
      </w:r>
    </w:p>
    <w:p>
      <w:pPr>
        <w:spacing w:after="0" w:line="158" w:lineRule="exact"/>
        <w:rPr>
          <w:sz w:val="20"/>
          <w:szCs w:val="20"/>
          <w:color w:val="auto"/>
        </w:rPr>
      </w:pPr>
    </w:p>
    <w:p>
      <w:pPr>
        <w:jc w:val="both"/>
        <w:ind w:left="200" w:right="219" w:firstLine="657"/>
        <w:spacing w:after="0" w:line="248" w:lineRule="auto"/>
        <w:tabs>
          <w:tab w:leader="none" w:pos="149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82"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Upon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00" w:right="219" w:firstLine="657"/>
        <w:spacing w:after="0" w:line="259" w:lineRule="auto"/>
        <w:tabs>
          <w:tab w:leader="none" w:pos="149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without Cause or Resignation for Good Reason</w:t>
      </w:r>
      <w:r>
        <w:rPr>
          <w:rFonts w:ascii="Times New Roman" w:cs="Times New Roman" w:eastAsia="Times New Roman" w:hAnsi="Times New Roman"/>
          <w:sz w:val="22"/>
          <w:szCs w:val="22"/>
          <w:color w:val="auto"/>
        </w:rPr>
        <w:t>. If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by the Company ceases due to a termination by the Company without Cause (as defined below) or a resignation by Executive for Good Reason (as defined below):</w:t>
      </w:r>
    </w:p>
    <w:p>
      <w:pPr>
        <w:spacing w:after="0" w:line="170"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72" w:lineRule="exact"/>
        <w:rPr>
          <w:rFonts w:ascii="Times New Roman" w:cs="Times New Roman" w:eastAsia="Times New Roman" w:hAnsi="Times New Roman"/>
          <w:sz w:val="22"/>
          <w:szCs w:val="22"/>
          <w:color w:val="auto"/>
        </w:rPr>
      </w:pPr>
    </w:p>
    <w:p>
      <w:pPr>
        <w:jc w:val="both"/>
        <w:ind w:left="200" w:right="219" w:firstLine="1305"/>
        <w:spacing w:after="0" w:line="263" w:lineRule="auto"/>
        <w:tabs>
          <w:tab w:leader="none" w:pos="2144"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then unpaid, the Company shall pay to Executive the annual bonus (if any) earned with respect to the fiscal year ended immediately prior to the cessation of Executive’s employment;</w:t>
      </w:r>
    </w:p>
    <w:p>
      <w:pPr>
        <w:spacing w:after="0" w:line="167" w:lineRule="exact"/>
        <w:rPr>
          <w:rFonts w:ascii="Times New Roman" w:cs="Times New Roman" w:eastAsia="Times New Roman" w:hAnsi="Times New Roman"/>
          <w:sz w:val="22"/>
          <w:szCs w:val="22"/>
          <w:color w:val="auto"/>
        </w:rPr>
      </w:pPr>
    </w:p>
    <w:p>
      <w:pPr>
        <w:jc w:val="both"/>
        <w:ind w:left="200" w:right="219" w:firstLine="1305"/>
        <w:spacing w:after="0" w:line="250" w:lineRule="auto"/>
        <w:tabs>
          <w:tab w:leader="none" w:pos="2144"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validly elects to receive continuation coverage under the Company’s group health plan (if any) pursuant to the Consolidated Omnibus Budget Reconciliation Act of 1985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the Company shall reimburse Executive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63" w:lineRule="auto"/>
        <w:tabs>
          <w:tab w:leader="none" w:pos="2144"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such cessation of employment occurs within three (3) months prior to or twelve (12) months following a Change in Control (as defined below), (x) the Company shall pay to Executive an amount equal to the Target Bonus for the year in which the termination of employment is effective,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167"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 xml:space="preserve">Except as otherwise provided in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all compensation and benefits will cease at the time of Executive’s cessation of employment and the Company will have no further liability or obligation by reason of such cessation of employment. The payments and benefits described 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707390</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6" w:name="page57"/>
    <w:bookmarkEnd w:id="56"/>
    <w:p>
      <w:pPr>
        <w:jc w:val="both"/>
        <w:ind w:left="200" w:right="219"/>
        <w:spacing w:after="0" w:line="247"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10(a)</w:t>
      </w:r>
      <w:r>
        <w:rPr>
          <w:rFonts w:ascii="Times New Roman" w:cs="Times New Roman" w:eastAsia="Times New Roman" w:hAnsi="Times New Roman"/>
          <w:sz w:val="21"/>
          <w:szCs w:val="21"/>
          <w:color w:val="auto"/>
        </w:rPr>
        <w:t xml:space="preserve"> are in lieu of, and not in addition to, any other severance arrangement maintained by the Company. Notwithstanding any provision of this Agreement, the payments and benefits described in </w:t>
      </w:r>
      <w:r>
        <w:rPr>
          <w:rFonts w:ascii="Times New Roman" w:cs="Times New Roman" w:eastAsia="Times New Roman" w:hAnsi="Times New Roman"/>
          <w:sz w:val="21"/>
          <w:szCs w:val="21"/>
          <w:u w:val="single" w:color="auto"/>
          <w:color w:val="auto"/>
        </w:rPr>
        <w:t>Section 10(a)(ii) - 10(a)(v)</w:t>
      </w:r>
      <w:r>
        <w:rPr>
          <w:rFonts w:ascii="Times New Roman" w:cs="Times New Roman" w:eastAsia="Times New Roman" w:hAnsi="Times New Roman"/>
          <w:sz w:val="21"/>
          <w:szCs w:val="21"/>
          <w:color w:val="auto"/>
        </w:rPr>
        <w:t xml:space="preserve"> are conditioned on Executive’s execution and delivery to the Company and the expiration of all applicable statutory revocation periods, by the 60</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21"/>
          <w:szCs w:val="21"/>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and on Executive’s continued compliance with the provisions of the Restrictive Covenant Agreement (defined below).</w:t>
      </w:r>
    </w:p>
    <w:p>
      <w:pPr>
        <w:spacing w:after="0" w:line="185" w:lineRule="exact"/>
        <w:rPr>
          <w:sz w:val="20"/>
          <w:szCs w:val="20"/>
          <w:color w:val="auto"/>
        </w:rPr>
      </w:pPr>
    </w:p>
    <w:p>
      <w:pPr>
        <w:jc w:val="both"/>
        <w:ind w:left="200" w:right="219"/>
        <w:spacing w:after="0" w:line="227"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below (to the extent applicable) and provided the Release requirement described above has been timely satisfied: (x) the payment described in </w:t>
      </w:r>
      <w:r>
        <w:rPr>
          <w:rFonts w:ascii="Times New Roman" w:cs="Times New Roman" w:eastAsia="Times New Roman" w:hAnsi="Times New Roman"/>
          <w:sz w:val="22"/>
          <w:szCs w:val="22"/>
          <w:u w:val="single" w:color="auto"/>
          <w:color w:val="auto"/>
        </w:rPr>
        <w:t>Section 10(a)(ii)</w:t>
      </w:r>
      <w:r>
        <w:rPr>
          <w:rFonts w:ascii="Times New Roman" w:cs="Times New Roman" w:eastAsia="Times New Roman" w:hAnsi="Times New Roman"/>
          <w:sz w:val="22"/>
          <w:szCs w:val="22"/>
          <w:color w:val="auto"/>
        </w:rPr>
        <w:t xml:space="preserve"> will be paid on the later of the sixty-fifth (65</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day following Executive’s cessation of employment (the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xml:space="preserve">”) and the date such annual bonus would have otherwise been paid, absent Executive’s cessation of employment; (y) the payments described in </w:t>
      </w:r>
      <w:r>
        <w:rPr>
          <w:rFonts w:ascii="Times New Roman" w:cs="Times New Roman" w:eastAsia="Times New Roman" w:hAnsi="Times New Roman"/>
          <w:sz w:val="22"/>
          <w:szCs w:val="22"/>
          <w:u w:val="single" w:color="auto"/>
          <w:color w:val="auto"/>
        </w:rPr>
        <w:t>Section 10(a)(iii) and 10(a)</w:t>
      </w:r>
    </w:p>
    <w:p>
      <w:pPr>
        <w:spacing w:after="0" w:line="3" w:lineRule="exact"/>
        <w:rPr>
          <w:sz w:val="20"/>
          <w:szCs w:val="20"/>
          <w:color w:val="auto"/>
        </w:rPr>
      </w:pPr>
    </w:p>
    <w:p>
      <w:pPr>
        <w:jc w:val="both"/>
        <w:ind w:left="200" w:right="219" w:firstLine="9"/>
        <w:spacing w:after="0" w:line="252" w:lineRule="auto"/>
        <w:tabs>
          <w:tab w:leader="none" w:pos="606" w:val="left"/>
        </w:tabs>
        <w:numPr>
          <w:ilvl w:val="0"/>
          <w:numId w:val="2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Times New Roman" w:cs="Times New Roman" w:eastAsia="Times New Roman" w:hAnsi="Times New Roman"/>
          <w:sz w:val="22"/>
          <w:szCs w:val="22"/>
          <w:u w:val="single" w:color="auto"/>
          <w:color w:val="auto"/>
        </w:rPr>
        <w:t>Section 10(a)(v)</w:t>
      </w:r>
      <w:r>
        <w:rPr>
          <w:rFonts w:ascii="Times New Roman" w:cs="Times New Roman" w:eastAsia="Times New Roman" w:hAnsi="Times New Roman"/>
          <w:sz w:val="22"/>
          <w:szCs w:val="22"/>
          <w:color w:val="auto"/>
        </w:rPr>
        <w:t xml:space="preserve"> will be paid on the later of the Settlement Date or the tenth (10</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day following the Change in Control.</w:t>
      </w:r>
    </w:p>
    <w:p>
      <w:pPr>
        <w:spacing w:after="0" w:line="33" w:lineRule="exact"/>
        <w:rPr>
          <w:rFonts w:ascii="Times New Roman" w:cs="Times New Roman" w:eastAsia="Times New Roman" w:hAnsi="Times New Roman"/>
          <w:sz w:val="22"/>
          <w:szCs w:val="22"/>
          <w:u w:val="single" w:color="auto"/>
          <w:color w:val="auto"/>
        </w:rPr>
      </w:pPr>
    </w:p>
    <w:p>
      <w:pPr>
        <w:jc w:val="both"/>
        <w:ind w:left="200" w:right="219" w:firstLine="657"/>
        <w:spacing w:after="0" w:line="257" w:lineRule="auto"/>
        <w:tabs>
          <w:tab w:leader="none" w:pos="1496"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Other Terminations</w:t>
      </w:r>
      <w:r>
        <w:rPr>
          <w:rFonts w:ascii="Times New Roman" w:cs="Times New Roman" w:eastAsia="Times New Roman" w:hAnsi="Times New Roman"/>
          <w:sz w:val="21"/>
          <w:szCs w:val="21"/>
          <w:color w:val="auto"/>
        </w:rPr>
        <w:t>. If Executive’s employment with the Company ceases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reason other than as described in </w:t>
      </w:r>
      <w:r>
        <w:rPr>
          <w:rFonts w:ascii="Times New Roman" w:cs="Times New Roman" w:eastAsia="Times New Roman" w:hAnsi="Times New Roman"/>
          <w:sz w:val="21"/>
          <w:szCs w:val="21"/>
          <w:u w:val="single" w:color="auto"/>
          <w:color w:val="auto"/>
        </w:rPr>
        <w:t>Section 10(a)</w:t>
      </w:r>
      <w:r>
        <w:rPr>
          <w:rFonts w:ascii="Times New Roman" w:cs="Times New Roman" w:eastAsia="Times New Roman" w:hAnsi="Times New Roman"/>
          <w:sz w:val="21"/>
          <w:szCs w:val="21"/>
          <w:color w:val="auto"/>
        </w:rPr>
        <w:t xml:space="preserve"> above (including but not limited to (i) termination by the Company for Cause, (ii) resignation by Executive without Good Reason, (iii) termination as a result of Executive’s Disability, or (iv) Executive’s death), then the Company’s obligation to Executive will be limited solely to the payment of accrued and unpaid Base Salary through the date of such cessation of employment; provided, however, that in the event of Executive’s termination of employment with the Company due to Executive’s death or Disability, then to the extent then unpaid, and provided Executive was employed for the entirety of the fiscal year immediately prior to Executive’s termination, the Company shall pay to Executive the annual bonus (if any) earned with respect to the fiscal year ended immediately prior to the cessation of Executive’s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83" w:lineRule="exact"/>
        <w:rPr>
          <w:sz w:val="20"/>
          <w:szCs w:val="20"/>
          <w:color w:val="auto"/>
        </w:rPr>
      </w:pPr>
    </w:p>
    <w:p>
      <w:pPr>
        <w:ind w:left="860" w:hanging="651"/>
        <w:spacing w:after="0"/>
        <w:tabs>
          <w:tab w:leader="none" w:pos="8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657"/>
        <w:spacing w:after="0" w:line="257" w:lineRule="auto"/>
        <w:tabs>
          <w:tab w:leader="none" w:pos="149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for this Agreement to comply with or be exempt from Section 409A of the Code, and all provisions of this Agreement will be interpreted and applied accordingly.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722630</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7" w:name="page58"/>
    <w:bookmarkEnd w:id="57"/>
    <w:p>
      <w:pPr>
        <w:ind w:left="200" w:right="219"/>
        <w:spacing w:after="0" w:line="271" w:lineRule="auto"/>
        <w:rPr>
          <w:sz w:val="20"/>
          <w:szCs w:val="20"/>
          <w:color w:val="auto"/>
        </w:rPr>
      </w:pPr>
      <w:r>
        <w:rPr>
          <w:rFonts w:ascii="Times New Roman" w:cs="Times New Roman" w:eastAsia="Times New Roman" w:hAnsi="Times New Roman"/>
          <w:sz w:val="22"/>
          <w:szCs w:val="22"/>
          <w:color w:val="auto"/>
        </w:rPr>
        <w:t>Nonetheless, the Company does not guaranty the tax treatment of any compensation payable to Executive.</w:t>
      </w:r>
    </w:p>
    <w:p>
      <w:pPr>
        <w:spacing w:after="0" w:line="158" w:lineRule="exact"/>
        <w:rPr>
          <w:sz w:val="20"/>
          <w:szCs w:val="20"/>
          <w:color w:val="auto"/>
        </w:rPr>
      </w:pPr>
    </w:p>
    <w:p>
      <w:pPr>
        <w:jc w:val="both"/>
        <w:ind w:left="200" w:right="219" w:firstLine="657"/>
        <w:spacing w:after="0" w:line="245" w:lineRule="auto"/>
        <w:tabs>
          <w:tab w:leader="none" w:pos="14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no portion of the benefits or payments to be made under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205" w:lineRule="exact"/>
        <w:rPr>
          <w:rFonts w:ascii="Times New Roman" w:cs="Times New Roman" w:eastAsia="Times New Roman" w:hAnsi="Times New Roman"/>
          <w:sz w:val="22"/>
          <w:szCs w:val="22"/>
          <w:color w:val="auto"/>
        </w:rPr>
      </w:pPr>
    </w:p>
    <w:p>
      <w:pPr>
        <w:jc w:val="both"/>
        <w:ind w:left="200" w:right="219" w:firstLine="657"/>
        <w:spacing w:after="0" w:line="247" w:lineRule="auto"/>
        <w:tabs>
          <w:tab w:leader="none" w:pos="14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w:t>
      </w:r>
    </w:p>
    <w:p>
      <w:pPr>
        <w:spacing w:after="0" w:line="5"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22"/>
          <w:szCs w:val="22"/>
          <w:color w:val="auto"/>
        </w:rPr>
        <w:t>reimbursement</w:t>
        <w:tab/>
        <w:t>or</w:t>
        <w:tab/>
        <w:t>in-kind</w:t>
        <w:tab/>
        <w:t>benefits</w:t>
        <w:tab/>
        <w:t>provided</w:t>
        <w:tab/>
        <w:t>to</w:t>
        <w:tab/>
        <w:t>Executive</w:t>
        <w:tab/>
        <w:t>in</w:t>
        <w:tab/>
        <w:t>any</w:t>
        <w:tab/>
        <w:t>other</w:t>
        <w:tab/>
        <w:t>calendar</w:t>
      </w:r>
      <w:r>
        <w:rPr>
          <w:sz w:val="20"/>
          <w:szCs w:val="20"/>
          <w:color w:val="auto"/>
        </w:rPr>
        <w:tab/>
      </w:r>
      <w:r>
        <w:rPr>
          <w:rFonts w:ascii="Times New Roman" w:cs="Times New Roman" w:eastAsia="Times New Roman" w:hAnsi="Times New Roman"/>
          <w:sz w:val="21"/>
          <w:szCs w:val="21"/>
          <w:color w:val="auto"/>
        </w:rPr>
        <w:t>year,</w:t>
      </w:r>
    </w:p>
    <w:p>
      <w:pPr>
        <w:spacing w:after="0" w:line="4" w:lineRule="exact"/>
        <w:rPr>
          <w:sz w:val="20"/>
          <w:szCs w:val="20"/>
          <w:color w:val="auto"/>
        </w:rPr>
      </w:pPr>
    </w:p>
    <w:p>
      <w:pPr>
        <w:jc w:val="both"/>
        <w:ind w:left="200" w:right="219" w:firstLine="9"/>
        <w:spacing w:after="0" w:line="245" w:lineRule="auto"/>
        <w:tabs>
          <w:tab w:leader="none" w:pos="55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81" w:lineRule="exact"/>
        <w:rPr>
          <w:sz w:val="20"/>
          <w:szCs w:val="20"/>
          <w:color w:val="auto"/>
        </w:rPr>
      </w:pPr>
    </w:p>
    <w:p>
      <w:pPr>
        <w:jc w:val="both"/>
        <w:ind w:left="200" w:right="219" w:firstLine="9"/>
        <w:spacing w:after="0" w:line="258" w:lineRule="auto"/>
        <w:tabs>
          <w:tab w:leader="none" w:pos="84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280G</w:t>
      </w:r>
      <w:r>
        <w:rPr>
          <w:rFonts w:ascii="Times New Roman" w:cs="Times New Roman" w:eastAsia="Times New Roman" w:hAnsi="Times New Roman"/>
          <w:sz w:val="21"/>
          <w:szCs w:val="21"/>
          <w:color w:val="auto"/>
        </w:rPr>
        <w:t>. Notwithstanding any contrary provision of this Agreement (or any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policy, agreement or other arrangement covering Executive), if any payment, right or benefit paid, provided or due to Executive, whether pursuant to this Agreement or otherwise (each, a “Payment,” and collectively, the “Total Payments”), would subject Executive to the excise tax 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w:t>
      </w:r>
    </w:p>
    <w:p>
      <w:pPr>
        <w:spacing w:after="0" w:line="3" w:lineRule="exact"/>
        <w:rPr>
          <w:rFonts w:ascii="Times New Roman" w:cs="Times New Roman" w:eastAsia="Times New Roman" w:hAnsi="Times New Roman"/>
          <w:sz w:val="21"/>
          <w:szCs w:val="21"/>
          <w:color w:val="auto"/>
        </w:rPr>
      </w:pPr>
    </w:p>
    <w:p>
      <w:pPr>
        <w:jc w:val="both"/>
        <w:ind w:left="200" w:right="219"/>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722630</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8" w:name="page59"/>
    <w:bookmarkEnd w:id="58"/>
    <w:p>
      <w:pPr>
        <w:ind w:left="200" w:right="239"/>
        <w:spacing w:after="0" w:line="271" w:lineRule="auto"/>
        <w:rPr>
          <w:sz w:val="20"/>
          <w:szCs w:val="20"/>
          <w:color w:val="auto"/>
        </w:rPr>
      </w:pPr>
      <w:r>
        <w:rPr>
          <w:rFonts w:ascii="Times New Roman" w:cs="Times New Roman" w:eastAsia="Times New Roman" w:hAnsi="Times New Roman"/>
          <w:sz w:val="22"/>
          <w:szCs w:val="22"/>
          <w:color w:val="auto"/>
        </w:rPr>
        <w:t>280G of the Code, and (y) the denominator of which is the economic value of the applicable Payment.</w:t>
      </w:r>
    </w:p>
    <w:p>
      <w:pPr>
        <w:spacing w:after="0" w:line="154" w:lineRule="exact"/>
        <w:rPr>
          <w:sz w:val="20"/>
          <w:szCs w:val="20"/>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color w:val="auto"/>
        </w:rPr>
        <w:t>. For purposes of this Agreement:</w:t>
      </w:r>
    </w:p>
    <w:p>
      <w:pPr>
        <w:spacing w:after="0" w:line="219" w:lineRule="exact"/>
        <w:rPr>
          <w:rFonts w:ascii="Times New Roman" w:cs="Times New Roman" w:eastAsia="Times New Roman" w:hAnsi="Times New Roman"/>
          <w:sz w:val="22"/>
          <w:szCs w:val="22"/>
          <w:color w:val="auto"/>
        </w:rPr>
      </w:pPr>
    </w:p>
    <w:p>
      <w:pPr>
        <w:jc w:val="both"/>
        <w:ind w:left="200" w:right="219" w:firstLine="657"/>
        <w:spacing w:after="0" w:line="258" w:lineRule="auto"/>
        <w:tabs>
          <w:tab w:leader="none" w:pos="149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 Executive’s physical or mental illness, incapacity or disability) which has continued for more than</w:t>
      </w:r>
    </w:p>
    <w:p>
      <w:pPr>
        <w:spacing w:after="0" w:line="3" w:lineRule="exact"/>
        <w:rPr>
          <w:rFonts w:ascii="Times New Roman" w:cs="Times New Roman" w:eastAsia="Times New Roman" w:hAnsi="Times New Roman"/>
          <w:sz w:val="21"/>
          <w:szCs w:val="21"/>
          <w:color w:val="auto"/>
        </w:rPr>
      </w:pPr>
    </w:p>
    <w:p>
      <w:pPr>
        <w:jc w:val="both"/>
        <w:ind w:left="200" w:right="219" w:firstLine="9"/>
        <w:spacing w:after="0" w:line="244" w:lineRule="auto"/>
        <w:tabs>
          <w:tab w:leader="none" w:pos="48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following written notice of such non-performance from the Board; (iv) a material breach by Executive of the Restrictive Covenant Agreement (defined below), any other agreement with the Company or its affiliates, or of any duty owed to the Company or its affiliates, which breach is not cured (if curable) within 10 days after the delivery of written notice thereof; (v)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Disability will not constitute a termination without Cause.</w:t>
      </w:r>
    </w:p>
    <w:p>
      <w:pPr>
        <w:spacing w:after="0" w:line="191" w:lineRule="exact"/>
        <w:rPr>
          <w:rFonts w:ascii="Times New Roman" w:cs="Times New Roman" w:eastAsia="Times New Roman" w:hAnsi="Times New Roman"/>
          <w:sz w:val="22"/>
          <w:szCs w:val="22"/>
          <w:color w:val="auto"/>
        </w:rPr>
      </w:pPr>
    </w:p>
    <w:p>
      <w:pPr>
        <w:ind w:left="200" w:right="219" w:firstLine="657"/>
        <w:spacing w:after="0" w:line="275" w:lineRule="auto"/>
        <w:tabs>
          <w:tab w:leader="none" w:pos="149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 the occurrence of a “change in control event” with respect to the Company, within the meaning of Treas. Reg. § 1.409A-3(i)(5)(i).</w:t>
      </w:r>
    </w:p>
    <w:p>
      <w:pPr>
        <w:spacing w:after="0" w:line="149"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19" w:lineRule="exact"/>
        <w:rPr>
          <w:rFonts w:ascii="Times New Roman" w:cs="Times New Roman" w:eastAsia="Times New Roman" w:hAnsi="Times New Roman"/>
          <w:sz w:val="22"/>
          <w:szCs w:val="22"/>
          <w:color w:val="auto"/>
        </w:rPr>
      </w:pPr>
    </w:p>
    <w:p>
      <w:pPr>
        <w:jc w:val="both"/>
        <w:ind w:left="200" w:right="219" w:firstLine="657"/>
        <w:spacing w:after="0" w:line="247" w:lineRule="auto"/>
        <w:tabs>
          <w:tab w:leader="none" w:pos="149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condition entitling Executive to benefits under the Company’s long term disability plan, policy or arrangement; provided, however, that if no such plan, policy or arrangement is then maintained by the Company and applicable to Executive,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85" w:lineRule="exact"/>
        <w:rPr>
          <w:rFonts w:ascii="Times New Roman" w:cs="Times New Roman" w:eastAsia="Times New Roman" w:hAnsi="Times New Roman"/>
          <w:sz w:val="22"/>
          <w:szCs w:val="22"/>
          <w:color w:val="auto"/>
        </w:rPr>
      </w:pPr>
    </w:p>
    <w:p>
      <w:pPr>
        <w:jc w:val="both"/>
        <w:ind w:left="200" w:right="219" w:firstLine="657"/>
        <w:spacing w:after="0" w:line="277" w:lineRule="auto"/>
        <w:tabs>
          <w:tab w:leader="none" w:pos="1496"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means: (i) a material diminution in Executive’s title, responsibilities, authority or duties; (ii) a material diminution in Executive’s Base Salary, except for across-the-board salary reductions similarly affecting all or substantially all C-level executives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722630</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9" w:name="page60"/>
    <w:bookmarkEnd w:id="59"/>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of the Company;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auto"/>
        </w:rPr>
        <w:t xml:space="preserve"> (y) such event is not reversed or corrected </w:t>
      </w:r>
      <w:r>
        <w:rPr>
          <w:rFonts w:ascii="Times New Roman" w:cs="Times New Roman" w:eastAsia="Times New Roman" w:hAnsi="Times New Roman"/>
          <w:sz w:val="22"/>
          <w:szCs w:val="22"/>
          <w:color w:val="161515"/>
        </w:rPr>
        <w:t>by</w:t>
      </w:r>
      <w:r>
        <w:rPr>
          <w:rFonts w:ascii="Times New Roman" w:cs="Times New Roman" w:eastAsia="Times New Roman" w:hAnsi="Times New Roman"/>
          <w:sz w:val="22"/>
          <w:szCs w:val="22"/>
          <w:color w:val="auto"/>
        </w:rPr>
        <w:t xml:space="preserve"> the Company within 30 days of its receipt of such written objection, and (z) Executive separates from service within 60 days following the expiration of that cure period.</w:t>
      </w:r>
    </w:p>
    <w:p>
      <w:pPr>
        <w:spacing w:after="0" w:line="178" w:lineRule="exact"/>
        <w:rPr>
          <w:sz w:val="20"/>
          <w:szCs w:val="20"/>
          <w:color w:val="auto"/>
        </w:rPr>
      </w:pPr>
    </w:p>
    <w:p>
      <w:pPr>
        <w:jc w:val="both"/>
        <w:ind w:left="200" w:right="219" w:firstLine="657"/>
        <w:spacing w:after="0" w:line="251" w:lineRule="auto"/>
        <w:tabs>
          <w:tab w:leader="none" w:pos="149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means nine (9)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twelve (12) months.</w:t>
      </w:r>
    </w:p>
    <w:p>
      <w:pPr>
        <w:spacing w:after="0" w:line="175" w:lineRule="exact"/>
        <w:rPr>
          <w:rFonts w:ascii="Times New Roman" w:cs="Times New Roman" w:eastAsia="Times New Roman" w:hAnsi="Times New Roman"/>
          <w:sz w:val="22"/>
          <w:szCs w:val="22"/>
          <w:color w:val="auto"/>
        </w:rPr>
      </w:pPr>
    </w:p>
    <w:p>
      <w:pPr>
        <w:jc w:val="both"/>
        <w:ind w:left="200" w:right="219" w:firstLine="9"/>
        <w:spacing w:after="0" w:line="259" w:lineRule="auto"/>
        <w:tabs>
          <w:tab w:leader="none" w:pos="84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 Policies</w:t>
      </w:r>
      <w:r>
        <w:rPr>
          <w:rFonts w:ascii="Times New Roman" w:cs="Times New Roman" w:eastAsia="Times New Roman" w:hAnsi="Times New Roman"/>
          <w:sz w:val="22"/>
          <w:szCs w:val="22"/>
          <w:color w:val="auto"/>
        </w:rPr>
        <w:t>. Executive will comply with all policies of the Company in effect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including (without limitation) policies regarding ethics, personal conduct, stock ownership, securities trading, clawback and hedging and pledging of securities.</w:t>
      </w:r>
    </w:p>
    <w:p>
      <w:pPr>
        <w:spacing w:after="0" w:line="166" w:lineRule="exact"/>
        <w:rPr>
          <w:rFonts w:ascii="Times New Roman" w:cs="Times New Roman" w:eastAsia="Times New Roman" w:hAnsi="Times New Roman"/>
          <w:sz w:val="22"/>
          <w:szCs w:val="22"/>
          <w:color w:val="auto"/>
        </w:rPr>
      </w:pPr>
    </w:p>
    <w:p>
      <w:pPr>
        <w:jc w:val="both"/>
        <w:ind w:left="200" w:right="219" w:firstLine="9"/>
        <w:spacing w:after="0" w:line="258" w:lineRule="auto"/>
        <w:tabs>
          <w:tab w:leader="none" w:pos="84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In addition to any rights to indemnification to which Executive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under the Company’s governing documents, the Company shall obtain and maintain an appropriate level of Directors and Officers Liability insurance coverage for Executive’s benefit on the same terms as applicable to other directors and C-level executives of the Company.</w:t>
      </w:r>
    </w:p>
    <w:p>
      <w:pPr>
        <w:spacing w:after="0" w:line="167" w:lineRule="exact"/>
        <w:rPr>
          <w:rFonts w:ascii="Times New Roman" w:cs="Times New Roman" w:eastAsia="Times New Roman" w:hAnsi="Times New Roman"/>
          <w:sz w:val="22"/>
          <w:szCs w:val="22"/>
          <w:color w:val="auto"/>
        </w:rPr>
      </w:pPr>
    </w:p>
    <w:p>
      <w:pPr>
        <w:jc w:val="both"/>
        <w:ind w:left="200" w:right="219" w:firstLine="9"/>
        <w:spacing w:after="0" w:line="259" w:lineRule="auto"/>
        <w:tabs>
          <w:tab w:leader="none" w:pos="84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 Agreement</w:t>
      </w:r>
      <w:r>
        <w:rPr>
          <w:rFonts w:ascii="Times New Roman" w:cs="Times New Roman" w:eastAsia="Times New Roman" w:hAnsi="Times New Roman"/>
          <w:sz w:val="22"/>
          <w:szCs w:val="22"/>
          <w:color w:val="auto"/>
        </w:rPr>
        <w:t>. On the same date this Agreement is executed,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execute the Employee Confidentiality, Assignment and Restrictive Covenant Agreement attached hereto as Exhibit A (the “</w:t>
      </w:r>
      <w:r>
        <w:rPr>
          <w:rFonts w:ascii="Times New Roman" w:cs="Times New Roman" w:eastAsia="Times New Roman" w:hAnsi="Times New Roman"/>
          <w:sz w:val="22"/>
          <w:szCs w:val="22"/>
          <w:b w:val="1"/>
          <w:bCs w:val="1"/>
          <w:color w:val="auto"/>
        </w:rPr>
        <w:t>Restrictive Covenant Agreement</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jc w:val="both"/>
        <w:ind w:left="200" w:right="219" w:firstLine="9"/>
        <w:spacing w:after="0" w:line="251" w:lineRule="auto"/>
        <w:tabs>
          <w:tab w:leader="none" w:pos="84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Conflicting Agreements</w:t>
      </w:r>
      <w:r>
        <w:rPr>
          <w:rFonts w:ascii="Times New Roman" w:cs="Times New Roman" w:eastAsia="Times New Roman" w:hAnsi="Times New Roman"/>
          <w:sz w:val="22"/>
          <w:szCs w:val="22"/>
          <w:color w:val="auto"/>
        </w:rPr>
        <w:t>. Executive represents and warrants that he is not a party to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bound by any agreement or restriction that could conflict with</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auto"/>
        </w:rPr>
        <w:t xml:space="preserve"> or be violated by</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auto"/>
        </w:rPr>
        <w:t xml:space="preserve"> the performance of his duties to the Company or his obligations under this Agreement. Executive will not use or misappropriate any intellectual property, trade secrets or confidential information belonging to any third party.</w:t>
      </w:r>
    </w:p>
    <w:p>
      <w:pPr>
        <w:spacing w:after="0" w:line="175" w:lineRule="exact"/>
        <w:rPr>
          <w:rFonts w:ascii="Times New Roman" w:cs="Times New Roman" w:eastAsia="Times New Roman" w:hAnsi="Times New Roman"/>
          <w:sz w:val="22"/>
          <w:szCs w:val="22"/>
          <w:color w:val="auto"/>
        </w:rPr>
      </w:pPr>
    </w:p>
    <w:p>
      <w:pPr>
        <w:jc w:val="both"/>
        <w:ind w:left="200" w:right="219" w:firstLine="9"/>
        <w:spacing w:after="0" w:line="251" w:lineRule="auto"/>
        <w:tabs>
          <w:tab w:leader="none" w:pos="84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All compensation payable to Executive are subject to reduction to reflect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 and payroll taxes and other deductions required by law. Executive hereby acknowledges that the Company does not have a duty to design its compensation policies in a manner that minimizes Executive’s tax liabilities, and Executive not make any claim against the Company or its board of directors related to tax liabilities arising from his compensation.</w:t>
      </w:r>
    </w:p>
    <w:p>
      <w:pPr>
        <w:spacing w:after="0" w:line="175"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Assignment; Amendment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200" w:right="239" w:firstLine="657"/>
        <w:spacing w:after="0" w:line="271" w:lineRule="auto"/>
        <w:tabs>
          <w:tab w:leader="none" w:pos="149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together with the Restrictive Covenant Agreement, constitute the final and entire agreement of the parties with respect to the matters covered hereby and replace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722630</wp:posOffset>
            </wp:positionV>
            <wp:extent cx="54521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0" w:name="page61"/>
    <w:bookmarkEnd w:id="60"/>
    <w:p>
      <w:pPr>
        <w:ind w:left="200" w:right="219"/>
        <w:spacing w:after="0" w:line="271" w:lineRule="auto"/>
        <w:rPr>
          <w:sz w:val="20"/>
          <w:szCs w:val="20"/>
          <w:color w:val="auto"/>
        </w:rPr>
      </w:pPr>
      <w:r>
        <w:rPr>
          <w:rFonts w:ascii="Times New Roman" w:cs="Times New Roman" w:eastAsia="Times New Roman" w:hAnsi="Times New Roman"/>
          <w:sz w:val="22"/>
          <w:szCs w:val="22"/>
          <w:color w:val="auto"/>
        </w:rPr>
        <w:t>and supersede all prior agreements, discussions, negotiations, representations or understandings (whether written, oral or implied) relating to Executive’s employment by the Company.</w:t>
      </w:r>
    </w:p>
    <w:p>
      <w:pPr>
        <w:spacing w:after="0" w:line="158" w:lineRule="exact"/>
        <w:rPr>
          <w:sz w:val="20"/>
          <w:szCs w:val="20"/>
          <w:color w:val="auto"/>
        </w:rPr>
      </w:pPr>
    </w:p>
    <w:p>
      <w:pPr>
        <w:jc w:val="both"/>
        <w:ind w:left="200" w:right="219" w:firstLine="657"/>
        <w:spacing w:after="0" w:line="248" w:lineRule="auto"/>
        <w:tabs>
          <w:tab w:leader="none" w:pos="149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Section 9(a) or otherwise, whether or not Executive accepts employment with the assignee.</w:t>
      </w:r>
    </w:p>
    <w:p>
      <w:pPr>
        <w:spacing w:after="0" w:line="186" w:lineRule="exact"/>
        <w:rPr>
          <w:rFonts w:ascii="Times New Roman" w:cs="Times New Roman" w:eastAsia="Times New Roman" w:hAnsi="Times New Roman"/>
          <w:sz w:val="22"/>
          <w:szCs w:val="22"/>
          <w:color w:val="auto"/>
        </w:rPr>
      </w:pPr>
    </w:p>
    <w:p>
      <w:pPr>
        <w:ind w:left="200" w:right="219" w:firstLine="657"/>
        <w:spacing w:after="0" w:line="271" w:lineRule="auto"/>
        <w:tabs>
          <w:tab w:leader="none" w:pos="149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or modified only by a written instrument signed by a duly authorized officer of the Company and Executive.</w:t>
      </w:r>
    </w:p>
    <w:p>
      <w:pPr>
        <w:spacing w:after="0" w:line="153" w:lineRule="exact"/>
        <w:rPr>
          <w:rFonts w:ascii="Times New Roman" w:cs="Times New Roman" w:eastAsia="Times New Roman" w:hAnsi="Times New Roman"/>
          <w:sz w:val="22"/>
          <w:szCs w:val="22"/>
          <w:color w:val="auto"/>
        </w:rPr>
      </w:pPr>
    </w:p>
    <w:p>
      <w:pPr>
        <w:jc w:val="both"/>
        <w:ind w:left="200" w:right="219" w:firstLine="9"/>
        <w:spacing w:after="0" w:line="259" w:lineRule="auto"/>
        <w:tabs>
          <w:tab w:leader="none" w:pos="8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internal laws of the Commonwealth of Pennsylvania</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auto"/>
        </w:rPr>
        <w:t xml:space="preserve"> without regard to its choice of law provisions.</w:t>
      </w:r>
    </w:p>
    <w:p>
      <w:pPr>
        <w:spacing w:after="0" w:line="166" w:lineRule="exact"/>
        <w:rPr>
          <w:rFonts w:ascii="Times New Roman" w:cs="Times New Roman" w:eastAsia="Times New Roman" w:hAnsi="Times New Roman"/>
          <w:sz w:val="22"/>
          <w:szCs w:val="22"/>
          <w:color w:val="auto"/>
        </w:rPr>
      </w:pPr>
    </w:p>
    <w:p>
      <w:pPr>
        <w:jc w:val="both"/>
        <w:ind w:left="200" w:right="219" w:firstLine="9"/>
        <w:spacing w:after="0" w:line="246" w:lineRule="auto"/>
        <w:tabs>
          <w:tab w:leader="none" w:pos="8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 In the event of any dispute under the provisions of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regarding Executive’s employment or compensation (other than a dispute in which the primary 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spacing w:after="0" w:line="181" w:lineRule="exact"/>
        <w:rPr>
          <w:rFonts w:ascii="Times New Roman" w:cs="Times New Roman" w:eastAsia="Times New Roman" w:hAnsi="Times New Roman"/>
          <w:sz w:val="22"/>
          <w:szCs w:val="22"/>
          <w:color w:val="auto"/>
        </w:rPr>
      </w:pPr>
    </w:p>
    <w:p>
      <w:pPr>
        <w:ind w:left="200" w:right="219" w:firstLine="9"/>
        <w:spacing w:after="0" w:line="275" w:lineRule="auto"/>
        <w:tabs>
          <w:tab w:leader="none" w:pos="8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headings of the sections of this Agreement are inserted for convenience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and shall not the meaning of this Agreement.</w:t>
      </w:r>
    </w:p>
    <w:p>
      <w:pPr>
        <w:spacing w:after="0" w:line="149" w:lineRule="exact"/>
        <w:rPr>
          <w:rFonts w:ascii="Times New Roman" w:cs="Times New Roman" w:eastAsia="Times New Roman" w:hAnsi="Times New Roman"/>
          <w:sz w:val="22"/>
          <w:szCs w:val="22"/>
          <w:color w:val="auto"/>
        </w:rPr>
      </w:pPr>
    </w:p>
    <w:p>
      <w:pPr>
        <w:jc w:val="both"/>
        <w:ind w:left="200" w:right="219" w:firstLine="9"/>
        <w:spacing w:after="0" w:line="248" w:lineRule="auto"/>
        <w:tabs>
          <w:tab w:leader="none" w:pos="8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notices, demands or other communications hereunder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if delivered in person, by e-mail or fax, by United States 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722630</wp:posOffset>
            </wp:positionV>
            <wp:extent cx="545211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1" w:name="page62"/>
    <w:bookmarkEnd w:id="61"/>
    <w:p>
      <w:pPr>
        <w:jc w:val="both"/>
        <w:ind w:left="200" w:right="219"/>
        <w:spacing w:after="0" w:line="252" w:lineRule="auto"/>
        <w:rPr>
          <w:sz w:val="20"/>
          <w:szCs w:val="20"/>
          <w:color w:val="auto"/>
        </w:rPr>
      </w:pPr>
      <w:r>
        <w:rPr>
          <w:rFonts w:ascii="Times New Roman" w:cs="Times New Roman" w:eastAsia="Times New Roman" w:hAnsi="Times New Roman"/>
          <w:sz w:val="22"/>
          <w:szCs w:val="22"/>
          <w:color w:val="auto"/>
        </w:rPr>
        <w:t>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75" w:lineRule="exact"/>
        <w:rPr>
          <w:sz w:val="20"/>
          <w:szCs w:val="20"/>
          <w:color w:val="auto"/>
        </w:rPr>
      </w:pPr>
    </w:p>
    <w:p>
      <w:pPr>
        <w:jc w:val="both"/>
        <w:ind w:left="200" w:right="219" w:firstLine="9"/>
        <w:spacing w:after="0" w:line="259" w:lineRule="auto"/>
        <w:tabs>
          <w:tab w:leader="none" w:pos="8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separate counterparts, any one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need not contain signatures of more than one party, but all of which taken together will constitute one and the same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722630</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2" w:name="page63"/>
    <w:bookmarkEnd w:id="62"/>
    <w:p>
      <w:pPr>
        <w:ind w:left="860"/>
        <w:spacing w:after="0"/>
        <w:rPr>
          <w:sz w:val="20"/>
          <w:szCs w:val="20"/>
          <w:color w:val="auto"/>
        </w:rPr>
      </w:pPr>
      <w:r>
        <w:rPr>
          <w:rFonts w:ascii="Times New Roman" w:cs="Times New Roman" w:eastAsia="Times New Roman" w:hAnsi="Times New Roman"/>
          <w:sz w:val="22"/>
          <w:szCs w:val="22"/>
          <w:color w:val="auto"/>
        </w:rPr>
        <w:t>This Agreement has been executed and delivered on the date first above written.</w:t>
      </w:r>
    </w:p>
    <w:p>
      <w:pPr>
        <w:spacing w:after="0" w:line="2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00" w:lineRule="exact"/>
        <w:rPr>
          <w:sz w:val="20"/>
          <w:szCs w:val="20"/>
          <w:color w:val="auto"/>
        </w:rPr>
      </w:pPr>
    </w:p>
    <w:p>
      <w:pPr>
        <w:spacing w:after="0" w:line="321"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Brent Pfeiffenberger____________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-13970</wp:posOffset>
            </wp:positionV>
            <wp:extent cx="1708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2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_Brent Pfeiffenberger____________</w:t>
      </w:r>
    </w:p>
    <w:p>
      <w:pPr>
        <w:spacing w:after="0" w:line="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_Chief Executive Officer__________</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6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 xml:space="preserve">By: </w:t>
      </w:r>
      <w:r>
        <w:rPr>
          <w:rFonts w:ascii="Times New Roman" w:cs="Times New Roman" w:eastAsia="Times New Roman" w:hAnsi="Times New Roman"/>
          <w:sz w:val="22"/>
          <w:szCs w:val="22"/>
          <w:b w:val="1"/>
          <w:bCs w:val="1"/>
          <w:u w:val="single" w:color="auto"/>
          <w:color w:val="auto"/>
        </w:rPr>
        <w:t>_/s/ Morgan Conn______________</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color w:val="auto"/>
        </w:rPr>
        <w:t>Date: __</w:t>
      </w:r>
      <w:r>
        <w:rPr>
          <w:rFonts w:ascii="Times New Roman" w:cs="Times New Roman" w:eastAsia="Times New Roman" w:hAnsi="Times New Roman"/>
          <w:sz w:val="21"/>
          <w:szCs w:val="21"/>
          <w:b w:val="1"/>
          <w:bCs w:val="1"/>
          <w:u w:val="single" w:color="auto"/>
          <w:color w:val="auto"/>
        </w:rPr>
        <w:t>9/20/2024_________________________</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Name: Morgan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63" w:name="page64"/>
    <w:bookmarkEnd w:id="63"/>
    <w:p>
      <w:pPr>
        <w:jc w:val="right"/>
        <w:ind w:right="119"/>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33" w:lineRule="exact"/>
        <w:rPr>
          <w:sz w:val="20"/>
          <w:szCs w:val="20"/>
          <w:color w:val="auto"/>
        </w:rPr>
      </w:pPr>
    </w:p>
    <w:p>
      <w:pPr>
        <w:jc w:val="both"/>
        <w:ind w:left="200" w:right="319" w:firstLine="648"/>
        <w:spacing w:after="0" w:line="241" w:lineRule="auto"/>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September 13, 2024, is made and entered into by and between CENTURY THERAPEUTICS,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Chad Cowan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will become effective as of October, 1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Introduction</w:t>
      </w:r>
    </w:p>
    <w:p>
      <w:pPr>
        <w:spacing w:after="0" w:line="247" w:lineRule="exact"/>
        <w:rPr>
          <w:sz w:val="20"/>
          <w:szCs w:val="20"/>
          <w:color w:val="auto"/>
        </w:rPr>
      </w:pPr>
    </w:p>
    <w:p>
      <w:pPr>
        <w:jc w:val="both"/>
        <w:ind w:left="200" w:right="319"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desires to employ Executive on the terms and conditions set forth herein; and</w:t>
      </w:r>
    </w:p>
    <w:p>
      <w:pPr>
        <w:spacing w:after="0" w:line="198" w:lineRule="exact"/>
        <w:rPr>
          <w:sz w:val="20"/>
          <w:szCs w:val="20"/>
          <w:color w:val="auto"/>
        </w:rPr>
      </w:pPr>
    </w:p>
    <w:p>
      <w:pPr>
        <w:jc w:val="both"/>
        <w:ind w:left="200" w:right="339" w:firstLine="648"/>
        <w:spacing w:after="0" w:line="271" w:lineRule="auto"/>
        <w:rPr>
          <w:sz w:val="20"/>
          <w:szCs w:val="20"/>
          <w:color w:val="auto"/>
        </w:rPr>
      </w:pPr>
      <w:r>
        <w:rPr>
          <w:rFonts w:ascii="Times New Roman" w:cs="Times New Roman" w:eastAsia="Times New Roman" w:hAnsi="Times New Roman"/>
          <w:sz w:val="22"/>
          <w:szCs w:val="22"/>
          <w:color w:val="auto"/>
        </w:rPr>
        <w:t>WHEREAS, Executive desires to be employed by the Company on such terms and conditions.</w:t>
      </w:r>
    </w:p>
    <w:p>
      <w:pPr>
        <w:spacing w:after="0" w:line="185" w:lineRule="exact"/>
        <w:rPr>
          <w:sz w:val="20"/>
          <w:szCs w:val="20"/>
          <w:color w:val="auto"/>
        </w:rPr>
      </w:pPr>
    </w:p>
    <w:p>
      <w:pPr>
        <w:jc w:val="both"/>
        <w:ind w:left="200" w:right="319" w:firstLine="648"/>
        <w:spacing w:after="0" w:line="24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and intending to be legally bound hereby, the parties agree as follows:</w:t>
      </w:r>
    </w:p>
    <w:p>
      <w:pPr>
        <w:spacing w:after="0" w:line="210" w:lineRule="exact"/>
        <w:rPr>
          <w:sz w:val="20"/>
          <w:szCs w:val="20"/>
          <w:color w:val="auto"/>
        </w:rPr>
      </w:pPr>
    </w:p>
    <w:p>
      <w:pPr>
        <w:jc w:val="both"/>
        <w:ind w:left="200" w:right="319" w:firstLine="8"/>
        <w:spacing w:after="0" w:line="244" w:lineRule="auto"/>
        <w:tabs>
          <w:tab w:leader="none" w:pos="84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Position</w:t>
      </w:r>
      <w:r>
        <w:rPr>
          <w:rFonts w:ascii="Times New Roman" w:cs="Times New Roman" w:eastAsia="Times New Roman" w:hAnsi="Times New Roman"/>
          <w:sz w:val="21"/>
          <w:szCs w:val="21"/>
          <w:color w:val="auto"/>
        </w:rPr>
        <w:t>. Executive will serve as the Chief Scientific Officer of the Company and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report directly to the Chief Executive Officer of the Company or his or her delegate. In addition to performing the duties and responsibilities associated with that position, from time to time the Company may assign to Executive other duties and responsibilities reasonable and consistent with such position. Executive agrees to devote his full business time and best efforts to the performance of his duties and to the furtherance of the Company’s interests. Executive also agrees that during his employment with the Company, he will not engage in any other employment, consulting or business services without the written consent of the Company; provided, however, that without such consent, Executive may engage in (i) charitable or public service and (ii) the activities described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so long as such activities do not interfere with the performance of his duties and obligations to the Company. For avoidance of doubt, Executive has informed the Company that he spends time on the unrelated business ventures set forth in Schedule 1 and that such activities do not conflict with the Company and, provided Executive devotes full-time to his role herein, the Company has no objection to such non-conflicting activities.</w:t>
      </w:r>
    </w:p>
    <w:p>
      <w:pPr>
        <w:spacing w:after="0" w:line="221" w:lineRule="exact"/>
        <w:rPr>
          <w:rFonts w:ascii="Times New Roman" w:cs="Times New Roman" w:eastAsia="Times New Roman" w:hAnsi="Times New Roman"/>
          <w:sz w:val="21"/>
          <w:szCs w:val="21"/>
          <w:color w:val="auto"/>
        </w:rPr>
      </w:pPr>
    </w:p>
    <w:p>
      <w:pPr>
        <w:ind w:left="200" w:right="559" w:hanging="1"/>
        <w:spacing w:after="0" w:line="262" w:lineRule="auto"/>
        <w:tabs>
          <w:tab w:leader="none" w:pos="8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Executive’s employment pursuant to this Agreement will commence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Effective Date and will continue until terminated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8</w:t>
      </w:r>
      <w:r>
        <w:rPr>
          <w:rFonts w:ascii="Times New Roman" w:cs="Times New Roman" w:eastAsia="Times New Roman" w:hAnsi="Times New Roman"/>
          <w:sz w:val="22"/>
          <w:szCs w:val="22"/>
          <w:color w:val="auto"/>
        </w:rPr>
        <w:t xml:space="preserve"> hereof.</w:t>
      </w:r>
    </w:p>
    <w:p>
      <w:pPr>
        <w:spacing w:after="0" w:line="176" w:lineRule="exact"/>
        <w:rPr>
          <w:rFonts w:ascii="Times New Roman" w:cs="Times New Roman" w:eastAsia="Times New Roman" w:hAnsi="Times New Roman"/>
          <w:sz w:val="22"/>
          <w:szCs w:val="22"/>
          <w:color w:val="auto"/>
        </w:rPr>
      </w:pPr>
    </w:p>
    <w:p>
      <w:pPr>
        <w:jc w:val="both"/>
        <w:ind w:left="200" w:right="259" w:firstLine="8"/>
        <w:spacing w:after="0" w:line="241" w:lineRule="auto"/>
        <w:tabs>
          <w:tab w:leader="none" w:pos="84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Place of Performance</w:t>
      </w:r>
      <w:r>
        <w:rPr>
          <w:rFonts w:ascii="Times New Roman" w:cs="Times New Roman" w:eastAsia="Times New Roman" w:hAnsi="Times New Roman"/>
          <w:sz w:val="22"/>
          <w:szCs w:val="22"/>
          <w:color w:val="auto"/>
        </w:rPr>
        <w:t>. Executive will perform services hereunder at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Boston, MA site; provided that Executive will be expected to travel to the Company’s headquarters in Philadelphia, PA at least three days per month; provided further, that Executive may be required to travel from time to time for business purposes.</w:t>
      </w:r>
    </w:p>
    <w:p>
      <w:pPr>
        <w:spacing w:after="0" w:line="212" w:lineRule="exact"/>
        <w:rPr>
          <w:rFonts w:ascii="Times New Roman" w:cs="Times New Roman" w:eastAsia="Times New Roman" w:hAnsi="Times New Roman"/>
          <w:sz w:val="22"/>
          <w:szCs w:val="22"/>
          <w:color w:val="auto"/>
        </w:rPr>
      </w:pPr>
    </w:p>
    <w:p>
      <w:pPr>
        <w:jc w:val="both"/>
        <w:ind w:left="200" w:right="319" w:firstLine="8"/>
        <w:spacing w:after="0" w:line="263" w:lineRule="auto"/>
        <w:tabs>
          <w:tab w:leader="none" w:pos="84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Salary</w:t>
      </w:r>
      <w:r>
        <w:rPr>
          <w:rFonts w:ascii="Times New Roman" w:cs="Times New Roman" w:eastAsia="Times New Roman" w:hAnsi="Times New Roman"/>
          <w:sz w:val="21"/>
          <w:szCs w:val="21"/>
          <w:color w:val="auto"/>
        </w:rPr>
        <w:t>. This is a full-time exempt position. The Company will pay Executive a salary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annual rate of $535,000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payable in accordance with the Company’s standard payroll schedule and subject to applicable deductions and withholdings. The Base Salary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321945</wp:posOffset>
            </wp:positionV>
            <wp:extent cx="558038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64" w:name="page65"/>
    <w:bookmarkEnd w:id="64"/>
    <w:p>
      <w:pPr>
        <w:jc w:val="both"/>
        <w:ind w:left="200" w:right="319"/>
        <w:spacing w:after="0" w:line="244" w:lineRule="auto"/>
        <w:rPr>
          <w:sz w:val="20"/>
          <w:szCs w:val="20"/>
          <w:color w:val="auto"/>
        </w:rPr>
      </w:pPr>
      <w:r>
        <w:rPr>
          <w:rFonts w:ascii="Times New Roman" w:cs="Times New Roman" w:eastAsia="Times New Roman" w:hAnsi="Times New Roman"/>
          <w:sz w:val="22"/>
          <w:szCs w:val="22"/>
          <w:color w:val="auto"/>
        </w:rPr>
        <w:t>reviewed on an annual basis by the Compensation Committee of the Company’s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and such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and may be adjusted from time to time by the Committee, subject to Executive’s rights pursuant to Section 9(a) below.</w:t>
      </w:r>
    </w:p>
    <w:p>
      <w:pPr>
        <w:spacing w:after="0" w:line="196" w:lineRule="exact"/>
        <w:rPr>
          <w:sz w:val="20"/>
          <w:szCs w:val="20"/>
          <w:color w:val="auto"/>
        </w:rPr>
      </w:pPr>
    </w:p>
    <w:p>
      <w:pPr>
        <w:jc w:val="both"/>
        <w:ind w:left="200" w:right="319" w:firstLine="8"/>
        <w:spacing w:after="0" w:line="234" w:lineRule="auto"/>
        <w:tabs>
          <w:tab w:leader="none" w:pos="8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Bonus</w:t>
      </w:r>
      <w:r>
        <w:rPr>
          <w:rFonts w:ascii="Times New Roman" w:cs="Times New Roman" w:eastAsia="Times New Roman" w:hAnsi="Times New Roman"/>
          <w:sz w:val="22"/>
          <w:szCs w:val="22"/>
          <w:color w:val="auto"/>
        </w:rPr>
        <w:t>. For each calendar year ending during his employment, Executive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opportunity to earn an annual bonus with a target amount of 40% of the Base Salary in effect at the end of the applicable year (the “Target Bonus”). The actual bonus payable to Executive, if any, with respect to any year may be more or less than the Target Bonus and will be determined by the Committee, in its sole discretion, based on the achievement of corporate and/or personal objectives established by the Committee.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 For the calendar year ending December 31, 2024, Executive will be eligible to earn an annual bonus, pro-rated based on the Executive’s first date of employment.</w:t>
      </w:r>
    </w:p>
    <w:p>
      <w:pPr>
        <w:spacing w:after="0" w:line="202" w:lineRule="exact"/>
        <w:rPr>
          <w:rFonts w:ascii="Times New Roman" w:cs="Times New Roman" w:eastAsia="Times New Roman" w:hAnsi="Times New Roman"/>
          <w:sz w:val="22"/>
          <w:szCs w:val="22"/>
          <w:color w:val="auto"/>
        </w:rPr>
      </w:pPr>
    </w:p>
    <w:p>
      <w:pPr>
        <w:jc w:val="both"/>
        <w:ind w:left="200" w:right="319" w:firstLine="8"/>
        <w:spacing w:after="0" w:line="232" w:lineRule="auto"/>
        <w:tabs>
          <w:tab w:leader="none" w:pos="8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Incentives</w:t>
      </w: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16"/>
          <w:szCs w:val="16"/>
          <w:u w:val="single" w:color="auto"/>
          <w:color w:val="0000EE"/>
        </w:rPr>
        <w:t>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soon as practicable after the Effective Date,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recommend to the Board that Executive receive a one-time grant of stock options to purchase </w:t>
      </w:r>
      <w:r>
        <w:rPr>
          <w:rFonts w:ascii="Times New Roman" w:cs="Times New Roman" w:eastAsia="Times New Roman" w:hAnsi="Times New Roman"/>
          <w:sz w:val="22"/>
          <w:szCs w:val="22"/>
          <w:b w:val="1"/>
          <w:bCs w:val="1"/>
          <w:color w:val="auto"/>
        </w:rPr>
        <w:t xml:space="preserve">446,250 </w:t>
      </w:r>
      <w:r>
        <w:rPr>
          <w:rFonts w:ascii="Times New Roman" w:cs="Times New Roman" w:eastAsia="Times New Roman" w:hAnsi="Times New Roman"/>
          <w:sz w:val="22"/>
          <w:szCs w:val="22"/>
          <w:color w:val="auto"/>
        </w:rPr>
        <w:t>shares of the Company’s common stock (as such term is defined in the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(the “</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xml:space="preserve">”). If the Options are granted, the shares subject to the foregoing Options will vest over a 4-year period from the date of such grant, with the first 25% vesting on the first anniversary of the Effective Date and the remaining shares vesting in equal monthly installments over the three years thereafter, subject to Executive’s continued employment with the Company on each applicable vesting date. The exercise price for each share of common stock subject to the foregoing Options will be equal to the fair market value (closing price) per share of the common stock on the Effective Date. In addition, Executive will also receive </w:t>
      </w:r>
      <w:r>
        <w:rPr>
          <w:rFonts w:ascii="Times New Roman" w:cs="Times New Roman" w:eastAsia="Times New Roman" w:hAnsi="Times New Roman"/>
          <w:sz w:val="22"/>
          <w:szCs w:val="22"/>
          <w:b w:val="1"/>
          <w:bCs w:val="1"/>
          <w:color w:val="auto"/>
        </w:rPr>
        <w:t>74,376</w:t>
      </w:r>
      <w:r>
        <w:rPr>
          <w:rFonts w:ascii="Times New Roman" w:cs="Times New Roman" w:eastAsia="Times New Roman" w:hAnsi="Times New Roman"/>
          <w:sz w:val="22"/>
          <w:szCs w:val="22"/>
          <w:color w:val="auto"/>
        </w:rPr>
        <w:t xml:space="preserve">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subject to the terms and conditions of the Equity Documents. The foregoing RSUs will vest over a 4-year period from the date of such grant, with the first 25% vesting on the first anniversary of the Effective Date and the remaining shares vesting in equal quarterly installments over the three years thereafter, subject to Executive’s continued employment with the Company on each applicable vesting date. The Executive’s eligibility for and other rights with respect to the Options and RSUs will be governed by the 2021 Equity Incentive Plan and the associated equity grant agreements required to be entered into by Executive and the Company (the “</w:t>
      </w:r>
      <w:r>
        <w:rPr>
          <w:rFonts w:ascii="Times New Roman" w:cs="Times New Roman" w:eastAsia="Times New Roman" w:hAnsi="Times New Roman"/>
          <w:sz w:val="22"/>
          <w:szCs w:val="22"/>
          <w:b w:val="1"/>
          <w:bCs w:val="1"/>
          <w:color w:val="auto"/>
        </w:rPr>
        <w:t>Equity Documents</w:t>
      </w:r>
      <w:r>
        <w:rPr>
          <w:rFonts w:ascii="Times New Roman" w:cs="Times New Roman" w:eastAsia="Times New Roman" w:hAnsi="Times New Roman"/>
          <w:sz w:val="22"/>
          <w:szCs w:val="22"/>
          <w:color w:val="auto"/>
        </w:rPr>
        <w:t>”). To the extent this Agreement conflicts with the Equity Documents, the Equity Documents shall control.</w:t>
      </w:r>
    </w:p>
    <w:p>
      <w:pPr>
        <w:spacing w:after="0" w:line="213" w:lineRule="exact"/>
        <w:rPr>
          <w:rFonts w:ascii="Times New Roman" w:cs="Times New Roman" w:eastAsia="Times New Roman" w:hAnsi="Times New Roman"/>
          <w:sz w:val="22"/>
          <w:szCs w:val="22"/>
          <w:color w:val="auto"/>
        </w:rPr>
      </w:pPr>
    </w:p>
    <w:p>
      <w:pPr>
        <w:ind w:left="840" w:hanging="641"/>
        <w:spacing w:after="0"/>
        <w:tabs>
          <w:tab w:leader="none" w:pos="8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Benefits; Business Expenses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200" w:right="319" w:firstLine="656"/>
        <w:spacing w:after="0" w:line="261" w:lineRule="auto"/>
        <w:tabs>
          <w:tab w:leader="none" w:pos="149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211" w:lineRule="exact"/>
        <w:rPr>
          <w:rFonts w:ascii="Times New Roman" w:cs="Times New Roman" w:eastAsia="Times New Roman" w:hAnsi="Times New Roman"/>
          <w:sz w:val="21"/>
          <w:szCs w:val="21"/>
          <w:color w:val="auto"/>
        </w:rPr>
      </w:pPr>
    </w:p>
    <w:p>
      <w:pPr>
        <w:ind w:left="200" w:right="339" w:firstLine="656"/>
        <w:spacing w:after="0" w:line="271" w:lineRule="auto"/>
        <w:tabs>
          <w:tab w:leader="none" w:pos="149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 pay or reimburse Executive for all reasonable business </w:t>
      </w:r>
      <w:r>
        <w:rPr>
          <w:rFonts w:ascii="Times New Roman" w:cs="Times New Roman" w:eastAsia="Times New Roman" w:hAnsi="Times New Roman"/>
          <w:sz w:val="22"/>
          <w:szCs w:val="22"/>
          <w:u w:val="single" w:color="auto"/>
          <w:color w:val="auto"/>
        </w:rPr>
        <w:t>expenses incurred or paid by</w:t>
      </w:r>
      <w:r>
        <w:rPr>
          <w:rFonts w:ascii="Times New Roman" w:cs="Times New Roman" w:eastAsia="Times New Roman" w:hAnsi="Times New Roman"/>
          <w:sz w:val="22"/>
          <w:szCs w:val="22"/>
          <w:color w:val="auto"/>
        </w:rPr>
        <w:t xml:space="preserve"> Executive in the performance of his duties and responsibilities for</w:t>
      </w:r>
    </w:p>
    <w:p>
      <w:pPr>
        <w:spacing w:after="0" w:line="190" w:lineRule="exact"/>
        <w:rPr>
          <w:sz w:val="20"/>
          <w:szCs w:val="20"/>
          <w:color w:val="auto"/>
        </w:rPr>
      </w:pPr>
    </w:p>
    <w:p>
      <w:pPr>
        <w:ind w:left="200" w:right="879" w:firstLine="8"/>
        <w:spacing w:after="0" w:line="210" w:lineRule="auto"/>
        <w:tabs>
          <w:tab w:leader="none" w:pos="313" w:val="left"/>
        </w:tabs>
        <w:numPr>
          <w:ilvl w:val="0"/>
          <w:numId w:val="3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Number of shares subject to the time-based awards will be equal to approximately 0.7%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outstanding stock (split 75% options/25%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344170</wp:posOffset>
            </wp:positionV>
            <wp:extent cx="558038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65" w:name="page66"/>
    <w:bookmarkEnd w:id="65"/>
    <w:p>
      <w:pPr>
        <w:ind w:left="200" w:right="539"/>
        <w:spacing w:after="0" w:line="258" w:lineRule="auto"/>
        <w:rPr>
          <w:sz w:val="20"/>
          <w:szCs w:val="20"/>
          <w:color w:val="auto"/>
        </w:rPr>
      </w:pPr>
      <w:r>
        <w:rPr>
          <w:rFonts w:ascii="Times New Roman" w:cs="Times New Roman" w:eastAsia="Times New Roman" w:hAnsi="Times New Roman"/>
          <w:sz w:val="22"/>
          <w:szCs w:val="22"/>
          <w:color w:val="auto"/>
        </w:rPr>
        <w:t>the Company in accordance with the expense reimbursement policies of the Company, as may be amended from time to time.</w:t>
      </w:r>
    </w:p>
    <w:p>
      <w:pPr>
        <w:spacing w:after="0" w:line="208" w:lineRule="exact"/>
        <w:rPr>
          <w:sz w:val="20"/>
          <w:szCs w:val="20"/>
          <w:color w:val="auto"/>
        </w:rPr>
      </w:pPr>
    </w:p>
    <w:p>
      <w:pPr>
        <w:ind w:left="840" w:hanging="641"/>
        <w:spacing w:after="0"/>
        <w:tabs>
          <w:tab w:leader="none" w:pos="8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p>
    <w:p>
      <w:pPr>
        <w:spacing w:after="0" w:line="250" w:lineRule="exact"/>
        <w:rPr>
          <w:rFonts w:ascii="Times New Roman" w:cs="Times New Roman" w:eastAsia="Times New Roman" w:hAnsi="Times New Roman"/>
          <w:sz w:val="22"/>
          <w:szCs w:val="22"/>
          <w:color w:val="auto"/>
        </w:rPr>
      </w:pPr>
    </w:p>
    <w:p>
      <w:pPr>
        <w:jc w:val="both"/>
        <w:ind w:left="200" w:right="319" w:firstLine="656"/>
        <w:spacing w:after="0" w:line="236" w:lineRule="auto"/>
        <w:tabs>
          <w:tab w:leader="none" w:pos="1495"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w:t>
      </w:r>
    </w:p>
    <w:p>
      <w:pPr>
        <w:jc w:val="both"/>
        <w:ind w:left="200" w:right="319" w:firstLine="8"/>
        <w:spacing w:after="0" w:line="232" w:lineRule="auto"/>
        <w:tabs>
          <w:tab w:leader="none" w:pos="57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 and such acceleration shall not constitute a termination by the Company for purposes of this Agreement.</w:t>
      </w:r>
    </w:p>
    <w:p>
      <w:pPr>
        <w:spacing w:after="0" w:line="209" w:lineRule="exact"/>
        <w:rPr>
          <w:rFonts w:ascii="Times New Roman" w:cs="Times New Roman" w:eastAsia="Times New Roman" w:hAnsi="Times New Roman"/>
          <w:sz w:val="22"/>
          <w:szCs w:val="22"/>
          <w:color w:val="auto"/>
        </w:rPr>
      </w:pPr>
    </w:p>
    <w:p>
      <w:pPr>
        <w:jc w:val="both"/>
        <w:ind w:left="200" w:right="319" w:firstLine="656"/>
        <w:spacing w:after="0" w:line="255" w:lineRule="auto"/>
        <w:tabs>
          <w:tab w:leader="none" w:pos="1493"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202" w:lineRule="exact"/>
        <w:rPr>
          <w:rFonts w:ascii="Times New Roman" w:cs="Times New Roman" w:eastAsia="Times New Roman" w:hAnsi="Times New Roman"/>
          <w:sz w:val="21"/>
          <w:szCs w:val="21"/>
          <w:color w:val="auto"/>
        </w:rPr>
      </w:pPr>
    </w:p>
    <w:p>
      <w:pPr>
        <w:ind w:left="200" w:right="559" w:firstLine="647"/>
        <w:spacing w:after="0" w:line="258" w:lineRule="auto"/>
        <w:tabs>
          <w:tab w:leader="none" w:pos="1474"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cessation of Executive’s employment with the Company, Executive will be entitled only to such compensation and benefits as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9</w:t>
      </w:r>
      <w:r>
        <w:rPr>
          <w:rFonts w:ascii="Times New Roman" w:cs="Times New Roman" w:eastAsia="Times New Roman" w:hAnsi="Times New Roman"/>
          <w:sz w:val="22"/>
          <w:szCs w:val="22"/>
          <w:color w:val="auto"/>
        </w:rPr>
        <w:t xml:space="preserve"> below.</w:t>
      </w:r>
    </w:p>
    <w:p>
      <w:pPr>
        <w:spacing w:after="0" w:line="212" w:lineRule="exact"/>
        <w:rPr>
          <w:rFonts w:ascii="Times New Roman" w:cs="Times New Roman" w:eastAsia="Times New Roman" w:hAnsi="Times New Roman"/>
          <w:sz w:val="22"/>
          <w:szCs w:val="22"/>
          <w:color w:val="auto"/>
        </w:rPr>
      </w:pPr>
    </w:p>
    <w:p>
      <w:pPr>
        <w:jc w:val="both"/>
        <w:ind w:left="200" w:right="319" w:firstLine="656"/>
        <w:spacing w:after="0" w:line="235" w:lineRule="auto"/>
        <w:tabs>
          <w:tab w:leader="none" w:pos="1493"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210" w:lineRule="exact"/>
        <w:rPr>
          <w:rFonts w:ascii="Times New Roman" w:cs="Times New Roman" w:eastAsia="Times New Roman" w:hAnsi="Times New Roman"/>
          <w:sz w:val="22"/>
          <w:szCs w:val="22"/>
          <w:color w:val="auto"/>
        </w:rPr>
      </w:pPr>
    </w:p>
    <w:p>
      <w:pPr>
        <w:jc w:val="both"/>
        <w:ind w:left="200" w:right="319" w:firstLine="656"/>
        <w:spacing w:after="0" w:line="236" w:lineRule="auto"/>
        <w:tabs>
          <w:tab w:leader="none" w:pos="1495"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217" w:lineRule="exact"/>
        <w:rPr>
          <w:rFonts w:ascii="Times New Roman" w:cs="Times New Roman" w:eastAsia="Times New Roman" w:hAnsi="Times New Roman"/>
          <w:sz w:val="22"/>
          <w:szCs w:val="22"/>
          <w:color w:val="auto"/>
        </w:rPr>
      </w:pPr>
    </w:p>
    <w:p>
      <w:pPr>
        <w:ind w:left="840" w:hanging="641"/>
        <w:spacing w:after="0"/>
        <w:tabs>
          <w:tab w:leader="none" w:pos="8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Upon Termination.</w:t>
      </w:r>
    </w:p>
    <w:p>
      <w:pPr>
        <w:spacing w:after="0" w:line="233" w:lineRule="exact"/>
        <w:rPr>
          <w:rFonts w:ascii="Times New Roman" w:cs="Times New Roman" w:eastAsia="Times New Roman" w:hAnsi="Times New Roman"/>
          <w:sz w:val="22"/>
          <w:szCs w:val="22"/>
          <w:color w:val="auto"/>
        </w:rPr>
      </w:pPr>
    </w:p>
    <w:p>
      <w:pPr>
        <w:jc w:val="both"/>
        <w:ind w:left="200" w:right="319" w:firstLine="656"/>
        <w:spacing w:after="0" w:line="246" w:lineRule="auto"/>
        <w:tabs>
          <w:tab w:leader="none" w:pos="1495"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without Cause or Resignation for Good Reason</w:t>
      </w:r>
      <w:r>
        <w:rPr>
          <w:rFonts w:ascii="Times New Roman" w:cs="Times New Roman" w:eastAsia="Times New Roman" w:hAnsi="Times New Roman"/>
          <w:sz w:val="22"/>
          <w:szCs w:val="22"/>
          <w:color w:val="auto"/>
        </w:rPr>
        <w:t>. If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by the Company ceases due to a termination by the Company without Cause (as defined below) or a resignation by Executive for Good Reason (as defined below):</w:t>
      </w:r>
    </w:p>
    <w:p>
      <w:pPr>
        <w:spacing w:after="0" w:line="211" w:lineRule="exact"/>
        <w:rPr>
          <w:rFonts w:ascii="Times New Roman" w:cs="Times New Roman" w:eastAsia="Times New Roman" w:hAnsi="Times New Roman"/>
          <w:sz w:val="22"/>
          <w:szCs w:val="22"/>
          <w:color w:val="auto"/>
        </w:rPr>
      </w:pPr>
    </w:p>
    <w:p>
      <w:pPr>
        <w:ind w:left="2140" w:hanging="645"/>
        <w:spacing w:after="0"/>
        <w:tabs>
          <w:tab w:leader="none" w:pos="2140" w:val="left"/>
        </w:tabs>
        <w:numPr>
          <w:ilvl w:val="3"/>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all accrued and unpaid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353695</wp:posOffset>
            </wp:positionV>
            <wp:extent cx="558038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66" w:name="page67"/>
    <w:bookmarkEnd w:id="66"/>
    <w:p>
      <w:pPr>
        <w:ind w:left="200" w:right="519"/>
        <w:spacing w:after="0" w:line="258" w:lineRule="auto"/>
        <w:rPr>
          <w:sz w:val="20"/>
          <w:szCs w:val="20"/>
          <w:color w:val="auto"/>
        </w:rPr>
      </w:pPr>
      <w:r>
        <w:rPr>
          <w:rFonts w:ascii="Times New Roman" w:cs="Times New Roman" w:eastAsia="Times New Roman" w:hAnsi="Times New Roman"/>
          <w:sz w:val="22"/>
          <w:szCs w:val="22"/>
          <w:color w:val="auto"/>
        </w:rPr>
        <w:t>through the date of such cessation of employment at the time such Base Salary would otherwise be paid according to the Company’s usual payroll practices;</w:t>
      </w:r>
    </w:p>
    <w:p>
      <w:pPr>
        <w:spacing w:after="0" w:line="199" w:lineRule="exact"/>
        <w:rPr>
          <w:sz w:val="20"/>
          <w:szCs w:val="20"/>
          <w:color w:val="auto"/>
        </w:rPr>
      </w:pPr>
    </w:p>
    <w:p>
      <w:pPr>
        <w:jc w:val="both"/>
        <w:ind w:left="200" w:right="319" w:firstLine="1304"/>
        <w:spacing w:after="0" w:line="244" w:lineRule="auto"/>
        <w:tabs>
          <w:tab w:leader="none" w:pos="214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then unpaid, the Company shall pay to Executive the annual bonus (if any) earned with respect to the fiscal year ended immediately prior to the cessation of Executive’s employment;</w:t>
      </w:r>
    </w:p>
    <w:p>
      <w:pPr>
        <w:spacing w:after="0" w:line="213" w:lineRule="exact"/>
        <w:rPr>
          <w:rFonts w:ascii="Times New Roman" w:cs="Times New Roman" w:eastAsia="Times New Roman" w:hAnsi="Times New Roman"/>
          <w:sz w:val="22"/>
          <w:szCs w:val="22"/>
          <w:color w:val="auto"/>
        </w:rPr>
      </w:pPr>
    </w:p>
    <w:p>
      <w:pPr>
        <w:jc w:val="both"/>
        <w:ind w:left="200" w:right="319" w:firstLine="1304"/>
        <w:spacing w:after="0" w:line="238" w:lineRule="auto"/>
        <w:tabs>
          <w:tab w:leader="none" w:pos="21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203" w:lineRule="exact"/>
        <w:rPr>
          <w:rFonts w:ascii="Times New Roman" w:cs="Times New Roman" w:eastAsia="Times New Roman" w:hAnsi="Times New Roman"/>
          <w:sz w:val="22"/>
          <w:szCs w:val="22"/>
          <w:color w:val="auto"/>
        </w:rPr>
      </w:pPr>
    </w:p>
    <w:p>
      <w:pPr>
        <w:jc w:val="both"/>
        <w:ind w:left="200" w:right="319" w:firstLine="1304"/>
        <w:spacing w:after="0" w:line="235" w:lineRule="auto"/>
        <w:tabs>
          <w:tab w:leader="none" w:pos="21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validly elects to receive continuation coverage under the Company’s group health plan (if any) pursuant to the Consolidated Omnibus Budget Reconciliation Act of 1985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the Company shall reimburse Executive for the 2% COBRA administrative fee plus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223" w:lineRule="exact"/>
        <w:rPr>
          <w:rFonts w:ascii="Times New Roman" w:cs="Times New Roman" w:eastAsia="Times New Roman" w:hAnsi="Times New Roman"/>
          <w:sz w:val="22"/>
          <w:szCs w:val="22"/>
          <w:color w:val="auto"/>
        </w:rPr>
      </w:pPr>
    </w:p>
    <w:p>
      <w:pPr>
        <w:jc w:val="both"/>
        <w:ind w:left="200" w:right="319" w:firstLine="1304"/>
        <w:spacing w:after="0" w:line="236" w:lineRule="auto"/>
        <w:tabs>
          <w:tab w:leader="none" w:pos="214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208" w:lineRule="exact"/>
        <w:rPr>
          <w:sz w:val="20"/>
          <w:szCs w:val="20"/>
          <w:color w:val="auto"/>
        </w:rPr>
      </w:pPr>
    </w:p>
    <w:p>
      <w:pPr>
        <w:jc w:val="both"/>
        <w:ind w:left="200" w:right="299"/>
        <w:spacing w:after="0" w:line="244" w:lineRule="auto"/>
        <w:rPr>
          <w:sz w:val="20"/>
          <w:szCs w:val="20"/>
          <w:color w:val="auto"/>
        </w:rPr>
      </w:pPr>
      <w:r>
        <w:rPr>
          <w:rFonts w:ascii="Times New Roman" w:cs="Times New Roman" w:eastAsia="Times New Roman" w:hAnsi="Times New Roman"/>
          <w:sz w:val="21"/>
          <w:szCs w:val="21"/>
          <w:color w:val="auto"/>
        </w:rPr>
        <w:t xml:space="preserve">Except as otherwise provided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EE"/>
        </w:rPr>
        <w:t>9(a)</w:t>
      </w:r>
      <w:r>
        <w:rPr>
          <w:rFonts w:ascii="Times New Roman" w:cs="Times New Roman" w:eastAsia="Times New Roman" w:hAnsi="Times New Roman"/>
          <w:sz w:val="21"/>
          <w:szCs w:val="21"/>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EE"/>
        </w:rPr>
        <w:t>9(a)</w:t>
      </w:r>
      <w:r>
        <w:rPr>
          <w:rFonts w:ascii="Times New Roman" w:cs="Times New Roman" w:eastAsia="Times New Roman" w:hAnsi="Times New Roman"/>
          <w:sz w:val="21"/>
          <w:szCs w:val="21"/>
          <w:color w:val="auto"/>
        </w:rPr>
        <w:t xml:space="preserve"> are in lieu of, and not in addition to, any other severance arrangement maintained by the Company. Notwithstanding any provision of this Agreement, the payments and benefits described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EE"/>
        </w:rPr>
        <w:t>9(a)(ii)</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0000EE"/>
        </w:rPr>
        <w:t>9(a)(v)</w:t>
      </w:r>
      <w:r>
        <w:rPr>
          <w:rFonts w:ascii="Times New Roman" w:cs="Times New Roman" w:eastAsia="Times New Roman" w:hAnsi="Times New Roman"/>
          <w:sz w:val="21"/>
          <w:szCs w:val="21"/>
          <w:color w:val="auto"/>
        </w:rPr>
        <w:t xml:space="preserve"> are conditioned on Executive’s execution and delivery to the Company and the expiration of all applicable statutory revocation periods, by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and on Executive’s continued compliance with the provisions of the Restrictive Covenant Agreement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-1264285</wp:posOffset>
            </wp:positionV>
            <wp:extent cx="1143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1" w:lineRule="exact"/>
        <w:rPr>
          <w:sz w:val="20"/>
          <w:szCs w:val="20"/>
          <w:color w:val="auto"/>
        </w:rPr>
      </w:pPr>
    </w:p>
    <w:p>
      <w:pPr>
        <w:jc w:val="both"/>
        <w:ind w:left="200" w:right="319"/>
        <w:spacing w:after="0" w:line="261" w:lineRule="auto"/>
        <w:rPr>
          <w:sz w:val="20"/>
          <w:szCs w:val="20"/>
          <w:color w:val="auto"/>
        </w:rPr>
      </w:pPr>
      <w:r>
        <w:rPr>
          <w:rFonts w:ascii="Times New Roman" w:cs="Times New Roman" w:eastAsia="Times New Roman" w:hAnsi="Times New Roman"/>
          <w:sz w:val="21"/>
          <w:szCs w:val="21"/>
          <w:color w:val="auto"/>
        </w:rPr>
        <w:t xml:space="preserve">Subject to Section </w:t>
      </w:r>
      <w:r>
        <w:rPr>
          <w:rFonts w:ascii="Times New Roman" w:cs="Times New Roman" w:eastAsia="Times New Roman" w:hAnsi="Times New Roman"/>
          <w:sz w:val="21"/>
          <w:szCs w:val="21"/>
          <w:u w:val="single" w:color="auto"/>
          <w:color w:val="0000EE"/>
        </w:rPr>
        <w:t>10</w:t>
      </w:r>
      <w:r>
        <w:rPr>
          <w:rFonts w:ascii="Times New Roman" w:cs="Times New Roman" w:eastAsia="Times New Roman" w:hAnsi="Times New Roman"/>
          <w:sz w:val="21"/>
          <w:szCs w:val="21"/>
          <w:color w:val="auto"/>
        </w:rPr>
        <w:t xml:space="preserve"> below (to the extent applicable) and provided the Release requirement described above has been timely satisfied: (x) the payment described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EE"/>
        </w:rPr>
        <w:t>9(a)(ii)</w:t>
      </w:r>
      <w:r>
        <w:rPr>
          <w:rFonts w:ascii="Times New Roman" w:cs="Times New Roman" w:eastAsia="Times New Roman" w:hAnsi="Times New Roman"/>
          <w:sz w:val="21"/>
          <w:szCs w:val="21"/>
          <w:color w:val="auto"/>
        </w:rPr>
        <w:t xml:space="preserve"> will be paid on the later of the sixty-fifth (65th) day following Executive’s cessation of employment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323215</wp:posOffset>
            </wp:positionV>
            <wp:extent cx="558038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67" w:name="page68"/>
    <w:bookmarkEnd w:id="67"/>
    <w:p>
      <w:pPr>
        <w:jc w:val="both"/>
        <w:ind w:left="200" w:right="29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xml:space="preserve">”) and the date such annual bonus would have otherwise been paid, absent Executive’s cessation of employment; (y) the payments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9(a)(iii)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EE"/>
        </w:rPr>
        <w:t>9(a)(iv)</w:t>
      </w:r>
      <w:r>
        <w:rPr>
          <w:rFonts w:ascii="Times New Roman" w:cs="Times New Roman" w:eastAsia="Times New Roman" w:hAnsi="Times New Roman"/>
          <w:sz w:val="22"/>
          <w:szCs w:val="22"/>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9(a)(v)</w:t>
      </w:r>
      <w:r>
        <w:rPr>
          <w:rFonts w:ascii="Times New Roman" w:cs="Times New Roman" w:eastAsia="Times New Roman" w:hAnsi="Times New Roman"/>
          <w:sz w:val="22"/>
          <w:szCs w:val="22"/>
          <w:color w:val="auto"/>
        </w:rPr>
        <w:t xml:space="preserve"> will be paid on the later of the Settlement Date or the tenth (10th) day following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-802005</wp:posOffset>
            </wp:positionV>
            <wp:extent cx="2889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187" w:lineRule="exact"/>
        <w:rPr>
          <w:sz w:val="20"/>
          <w:szCs w:val="20"/>
          <w:color w:val="auto"/>
        </w:rPr>
      </w:pPr>
    </w:p>
    <w:p>
      <w:pPr>
        <w:jc w:val="both"/>
        <w:ind w:left="200" w:right="319" w:firstLine="656"/>
        <w:spacing w:after="0" w:line="233" w:lineRule="auto"/>
        <w:tabs>
          <w:tab w:leader="none" w:pos="14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Terminations. If Executive’s employment with the Company ceases for any reason other than as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9(a)</w:t>
      </w:r>
      <w:r>
        <w:rPr>
          <w:rFonts w:ascii="Times New Roman" w:cs="Times New Roman" w:eastAsia="Times New Roman" w:hAnsi="Times New Roman"/>
          <w:sz w:val="22"/>
          <w:szCs w:val="22"/>
          <w:color w:val="auto"/>
        </w:rPr>
        <w:t xml:space="preserve"> above (including but not limited to (i) termination by the Company for Cause or (ii) resignation by Executive without Good Reason, or (iii) termination as a result of Executive’s Disability, or (iv) Executive’s death), then the Company’s 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207" w:lineRule="exact"/>
        <w:rPr>
          <w:rFonts w:ascii="Times New Roman" w:cs="Times New Roman" w:eastAsia="Times New Roman" w:hAnsi="Times New Roman"/>
          <w:sz w:val="22"/>
          <w:szCs w:val="22"/>
          <w:color w:val="auto"/>
        </w:rPr>
      </w:pPr>
    </w:p>
    <w:p>
      <w:pPr>
        <w:ind w:left="840" w:hanging="641"/>
        <w:spacing w:after="0"/>
        <w:tabs>
          <w:tab w:leader="none" w:pos="8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p>
    <w:p>
      <w:pPr>
        <w:spacing w:after="0" w:line="250" w:lineRule="exact"/>
        <w:rPr>
          <w:rFonts w:ascii="Times New Roman" w:cs="Times New Roman" w:eastAsia="Times New Roman" w:hAnsi="Times New Roman"/>
          <w:sz w:val="22"/>
          <w:szCs w:val="22"/>
          <w:color w:val="auto"/>
        </w:rPr>
      </w:pPr>
    </w:p>
    <w:p>
      <w:pPr>
        <w:jc w:val="both"/>
        <w:ind w:left="200" w:right="319" w:firstLine="656"/>
        <w:spacing w:after="0" w:line="239" w:lineRule="auto"/>
        <w:tabs>
          <w:tab w:leader="none" w:pos="149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220" w:lineRule="exact"/>
        <w:rPr>
          <w:rFonts w:ascii="Times New Roman" w:cs="Times New Roman" w:eastAsia="Times New Roman" w:hAnsi="Times New Roman"/>
          <w:sz w:val="22"/>
          <w:szCs w:val="22"/>
          <w:color w:val="auto"/>
        </w:rPr>
      </w:pPr>
    </w:p>
    <w:p>
      <w:pPr>
        <w:jc w:val="both"/>
        <w:ind w:left="200" w:right="319" w:firstLine="656"/>
        <w:spacing w:after="0" w:line="233" w:lineRule="auto"/>
        <w:tabs>
          <w:tab w:leader="none" w:pos="149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no portion of the benefits or payments to be made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9(a)</w:t>
      </w:r>
      <w:r>
        <w:rPr>
          <w:rFonts w:ascii="Times New Roman" w:cs="Times New Roman" w:eastAsia="Times New Roman" w:hAnsi="Times New Roman"/>
          <w:sz w:val="22"/>
          <w:szCs w:val="22"/>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220" w:lineRule="exact"/>
        <w:rPr>
          <w:rFonts w:ascii="Times New Roman" w:cs="Times New Roman" w:eastAsia="Times New Roman" w:hAnsi="Times New Roman"/>
          <w:sz w:val="22"/>
          <w:szCs w:val="22"/>
          <w:color w:val="auto"/>
        </w:rPr>
      </w:pPr>
    </w:p>
    <w:p>
      <w:pPr>
        <w:jc w:val="both"/>
        <w:ind w:left="200" w:right="319" w:firstLine="656"/>
        <w:spacing w:after="0" w:line="244" w:lineRule="auto"/>
        <w:tabs>
          <w:tab w:leader="none" w:pos="149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333375</wp:posOffset>
            </wp:positionV>
            <wp:extent cx="55803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68" w:name="page69"/>
    <w:bookmarkEnd w:id="68"/>
    <w:p>
      <w:pPr>
        <w:jc w:val="both"/>
        <w:ind w:left="200" w:right="319"/>
        <w:spacing w:after="0" w:line="235" w:lineRule="auto"/>
        <w:rPr>
          <w:sz w:val="20"/>
          <w:szCs w:val="20"/>
          <w:color w:val="auto"/>
        </w:rPr>
      </w:pPr>
      <w:r>
        <w:rPr>
          <w:rFonts w:ascii="Times New Roman" w:cs="Times New Roman" w:eastAsia="Times New Roman" w:hAnsi="Times New Roman"/>
          <w:sz w:val="22"/>
          <w:szCs w:val="22"/>
          <w:color w:val="auto"/>
        </w:rPr>
        <w:t>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87" w:lineRule="exact"/>
        <w:rPr>
          <w:sz w:val="20"/>
          <w:szCs w:val="20"/>
          <w:color w:val="auto"/>
        </w:rPr>
      </w:pPr>
    </w:p>
    <w:p>
      <w:pPr>
        <w:jc w:val="both"/>
        <w:ind w:left="200" w:right="299" w:firstLine="8"/>
        <w:spacing w:after="0" w:line="232" w:lineRule="auto"/>
        <w:tabs>
          <w:tab w:leader="none" w:pos="84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280G</w:t>
      </w:r>
      <w:r>
        <w:rPr>
          <w:rFonts w:ascii="Times New Roman" w:cs="Times New Roman" w:eastAsia="Times New Roman" w:hAnsi="Times New Roman"/>
          <w:sz w:val="22"/>
          <w:szCs w:val="22"/>
          <w:color w:val="auto"/>
        </w:rPr>
        <w:t>. Notwithstanding any contrary provision of this Agreement (or any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agreement or other arrangement covering Executive), if any payment, right or benefit paid, provided or due to Executive, whether pursuant to this Agreement or otherwise (each, a “Payment,” and collectively, the “Total Payments”), would subject Executive to the excise tax 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230" w:lineRule="exact"/>
        <w:rPr>
          <w:rFonts w:ascii="Times New Roman" w:cs="Times New Roman" w:eastAsia="Times New Roman" w:hAnsi="Times New Roman"/>
          <w:sz w:val="22"/>
          <w:szCs w:val="22"/>
          <w:color w:val="auto"/>
        </w:rPr>
      </w:pPr>
    </w:p>
    <w:p>
      <w:pPr>
        <w:ind w:left="840" w:hanging="641"/>
        <w:spacing w:after="0"/>
        <w:tabs>
          <w:tab w:leader="none" w:pos="8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color w:val="auto"/>
        </w:rPr>
        <w:t>. For purposes of this Agreement:</w:t>
      </w:r>
    </w:p>
    <w:p>
      <w:pPr>
        <w:spacing w:after="0" w:line="246" w:lineRule="exact"/>
        <w:rPr>
          <w:rFonts w:ascii="Times New Roman" w:cs="Times New Roman" w:eastAsia="Times New Roman" w:hAnsi="Times New Roman"/>
          <w:sz w:val="22"/>
          <w:szCs w:val="22"/>
          <w:color w:val="auto"/>
        </w:rPr>
      </w:pPr>
    </w:p>
    <w:p>
      <w:pPr>
        <w:jc w:val="both"/>
        <w:ind w:left="200" w:right="319" w:firstLine="656"/>
        <w:spacing w:after="0" w:line="244" w:lineRule="auto"/>
        <w:tabs>
          <w:tab w:leader="none" w:pos="1495"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with respect to the Company’s termination of Executive means (i) conduct by Executive constituting a material act of misconduct in connection with the performance of Executive’s duties, including, without limitation, a material misappropriation of funds or property of the Company or any of its subsidiaries or affiliates; (ii) the conviction of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 Executive’s physical or mental illness, incapacity or disability) which has continued for more than 10 days following written notice of such non-performance from the Board; (iv) a material breach by Executive of the Restrictive Covenant Agreement (defined below), any other agreement with the Company or its affiliates, or of any duty owed to the Company or its affiliates, provided that Executive has first received written notice that Company intends to terminate Executive’s employment hereunder for such breach, which breach is not cured (if curable) within 10 days after the delivery of written notice thereof; (v) a material violation by Executive of the Company’s written employment policies, including policies prohibiting sexual harassment, which violation is not cured (if curable) within 10 days after the delivery of written notice thereof; (vi) alcohol abuse or use of controlled substances illegal in the relevant state (other than prescription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334010</wp:posOffset>
            </wp:positionV>
            <wp:extent cx="55803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69" w:name="page70"/>
    <w:bookmarkEnd w:id="69"/>
    <w:p>
      <w:pPr>
        <w:ind w:left="200" w:right="519"/>
        <w:spacing w:after="0" w:line="253" w:lineRule="auto"/>
        <w:rPr>
          <w:sz w:val="20"/>
          <w:szCs w:val="20"/>
          <w:color w:val="auto"/>
        </w:rPr>
      </w:pPr>
      <w:r>
        <w:rPr>
          <w:rFonts w:ascii="Times New Roman" w:cs="Times New Roman" w:eastAsia="Times New Roman" w:hAnsi="Times New Roman"/>
          <w:sz w:val="21"/>
          <w:szCs w:val="21"/>
          <w:color w:val="auto"/>
        </w:rPr>
        <w:t>taken in accordance with a physician’s prescription) that would reasonably be expected to result in material injury or reputational harm to the Company or any of its subsidiaries and affiliates; or</w:t>
      </w:r>
    </w:p>
    <w:p>
      <w:pPr>
        <w:spacing w:after="0" w:line="1" w:lineRule="exact"/>
        <w:rPr>
          <w:sz w:val="20"/>
          <w:szCs w:val="20"/>
          <w:color w:val="auto"/>
        </w:rPr>
      </w:pPr>
    </w:p>
    <w:p>
      <w:pPr>
        <w:jc w:val="both"/>
        <w:ind w:left="200" w:right="319" w:firstLine="8"/>
        <w:spacing w:after="0" w:line="232" w:lineRule="auto"/>
        <w:tabs>
          <w:tab w:leader="none" w:pos="6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Disability will not constitute a termination without Cause.</w:t>
      </w:r>
    </w:p>
    <w:p>
      <w:pPr>
        <w:spacing w:after="0" w:line="219" w:lineRule="exact"/>
        <w:rPr>
          <w:rFonts w:ascii="Times New Roman" w:cs="Times New Roman" w:eastAsia="Times New Roman" w:hAnsi="Times New Roman"/>
          <w:sz w:val="22"/>
          <w:szCs w:val="22"/>
          <w:color w:val="auto"/>
        </w:rPr>
      </w:pPr>
    </w:p>
    <w:p>
      <w:pPr>
        <w:ind w:left="200" w:right="539" w:firstLine="647"/>
        <w:spacing w:after="0" w:line="262" w:lineRule="auto"/>
        <w:tabs>
          <w:tab w:leader="none" w:pos="147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 the occurrence of a “change in control event” with respect to the Company, within the meaning of Treas. Reg. § 1.409A-3(i)(5)(i).</w:t>
      </w:r>
    </w:p>
    <w:p>
      <w:pPr>
        <w:spacing w:after="0" w:line="190" w:lineRule="exact"/>
        <w:rPr>
          <w:rFonts w:ascii="Times New Roman" w:cs="Times New Roman" w:eastAsia="Times New Roman" w:hAnsi="Times New Roman"/>
          <w:sz w:val="22"/>
          <w:szCs w:val="22"/>
          <w:color w:val="auto"/>
        </w:rPr>
      </w:pPr>
    </w:p>
    <w:p>
      <w:pPr>
        <w:ind w:left="1480" w:hanging="633"/>
        <w:spacing w:after="0"/>
        <w:tabs>
          <w:tab w:leader="none" w:pos="14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46" w:lineRule="exact"/>
        <w:rPr>
          <w:rFonts w:ascii="Times New Roman" w:cs="Times New Roman" w:eastAsia="Times New Roman" w:hAnsi="Times New Roman"/>
          <w:sz w:val="22"/>
          <w:szCs w:val="22"/>
          <w:color w:val="auto"/>
        </w:rPr>
      </w:pPr>
    </w:p>
    <w:p>
      <w:pPr>
        <w:jc w:val="both"/>
        <w:ind w:left="200" w:right="319" w:firstLine="656"/>
        <w:spacing w:after="0" w:line="235" w:lineRule="auto"/>
        <w:tabs>
          <w:tab w:leader="none" w:pos="149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condition entitling Executive to benefits under the Company’s long term disability plan, policy or arrangement; provided, however, that if no such plan, policy or arrangement is then maintained by the Company and applicable to Executive,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218" w:lineRule="exact"/>
        <w:rPr>
          <w:rFonts w:ascii="Times New Roman" w:cs="Times New Roman" w:eastAsia="Times New Roman" w:hAnsi="Times New Roman"/>
          <w:sz w:val="22"/>
          <w:szCs w:val="22"/>
          <w:color w:val="auto"/>
        </w:rPr>
      </w:pPr>
    </w:p>
    <w:p>
      <w:pPr>
        <w:jc w:val="both"/>
        <w:ind w:left="200" w:right="319" w:firstLine="656"/>
        <w:spacing w:after="0" w:line="234" w:lineRule="auto"/>
        <w:tabs>
          <w:tab w:leader="none" w:pos="149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 (i) a material diminution in Executive’s title, responsibilities, authority or duties; (ii) a material diminution in Executive’s Base Salary, except for across-the-board salary reductions similarly affecting all or substantially all C-level executives of the Company;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 (y) such event is not reversed or corrected by the Company within 30 days of its receipt of such written objection, and (z) Executive separates from service within 60 days following the expiration of that cure period.</w:t>
      </w:r>
    </w:p>
    <w:p>
      <w:pPr>
        <w:spacing w:after="0" w:line="206" w:lineRule="exact"/>
        <w:rPr>
          <w:rFonts w:ascii="Times New Roman" w:cs="Times New Roman" w:eastAsia="Times New Roman" w:hAnsi="Times New Roman"/>
          <w:sz w:val="22"/>
          <w:szCs w:val="22"/>
          <w:color w:val="auto"/>
        </w:rPr>
      </w:pPr>
    </w:p>
    <w:p>
      <w:pPr>
        <w:jc w:val="both"/>
        <w:ind w:left="200" w:right="319" w:firstLine="656"/>
        <w:spacing w:after="0" w:line="238" w:lineRule="auto"/>
        <w:tabs>
          <w:tab w:leader="none" w:pos="149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means nine (9)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twelve (12) months.</w:t>
      </w:r>
    </w:p>
    <w:p>
      <w:pPr>
        <w:spacing w:after="0" w:line="217" w:lineRule="exact"/>
        <w:rPr>
          <w:sz w:val="20"/>
          <w:szCs w:val="20"/>
          <w:color w:val="auto"/>
        </w:rPr>
      </w:pPr>
    </w:p>
    <w:p>
      <w:pPr>
        <w:jc w:val="both"/>
        <w:ind w:left="200" w:right="319" w:firstLine="8"/>
        <w:spacing w:after="0" w:line="239" w:lineRule="auto"/>
        <w:tabs>
          <w:tab w:leader="none" w:pos="8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 Policies</w:t>
      </w:r>
      <w:r>
        <w:rPr>
          <w:rFonts w:ascii="Times New Roman" w:cs="Times New Roman" w:eastAsia="Times New Roman" w:hAnsi="Times New Roman"/>
          <w:sz w:val="22"/>
          <w:szCs w:val="22"/>
          <w:color w:val="auto"/>
        </w:rPr>
        <w:t>. Executive will comply with all policies of the Company in effect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including (without limitation) policies regarding ethics, personal conduct, stock ownership, securities trading, clawback and hedging and pledging of securities.</w:t>
      </w:r>
    </w:p>
    <w:p>
      <w:pPr>
        <w:spacing w:after="0" w:line="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w:t>
      </w:r>
    </w:p>
    <w:p>
      <w:pPr>
        <w:spacing w:after="0" w:line="3" w:lineRule="exact"/>
        <w:rPr>
          <w:rFonts w:ascii="Times New Roman" w:cs="Times New Roman" w:eastAsia="Times New Roman" w:hAnsi="Times New Roman"/>
          <w:sz w:val="22"/>
          <w:szCs w:val="22"/>
          <w:color w:val="auto"/>
        </w:rPr>
      </w:pPr>
    </w:p>
    <w:p>
      <w:pPr>
        <w:ind w:left="200" w:right="159"/>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In addition to any rights to indemnification to which Executive shall be eligible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entitled under the Company’s governing documents, the Company shall obtain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330200</wp:posOffset>
            </wp:positionV>
            <wp:extent cx="558038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70" w:name="page71"/>
    <w:bookmarkEnd w:id="70"/>
    <w:p>
      <w:pPr>
        <w:jc w:val="both"/>
        <w:ind w:left="200" w:right="319"/>
        <w:spacing w:after="0" w:line="238" w:lineRule="auto"/>
        <w:rPr>
          <w:sz w:val="20"/>
          <w:szCs w:val="20"/>
          <w:color w:val="auto"/>
        </w:rPr>
      </w:pPr>
      <w:r>
        <w:rPr>
          <w:rFonts w:ascii="Times New Roman" w:cs="Times New Roman" w:eastAsia="Times New Roman" w:hAnsi="Times New Roman"/>
          <w:sz w:val="22"/>
          <w:szCs w:val="22"/>
          <w:color w:val="auto"/>
        </w:rPr>
        <w:t>maintain an appropriate level of Directors and Officers Liability insurance coverage for Executive’s benefit on the same terms, to the same extent and in the same manner as applicable to other directors and C-level executives of the Company.</w:t>
      </w:r>
    </w:p>
    <w:p>
      <w:pPr>
        <w:jc w:val="both"/>
        <w:ind w:left="200" w:right="319" w:firstLine="8"/>
        <w:spacing w:after="0" w:line="235" w:lineRule="auto"/>
        <w:tabs>
          <w:tab w:leader="none" w:pos="8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 Agreement</w:t>
      </w:r>
      <w:r>
        <w:rPr>
          <w:rFonts w:ascii="Times New Roman" w:cs="Times New Roman" w:eastAsia="Times New Roman" w:hAnsi="Times New Roman"/>
          <w:sz w:val="22"/>
          <w:szCs w:val="22"/>
          <w:color w:val="auto"/>
        </w:rPr>
        <w:t>. On the same date this Agreement is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will execute the Employee Confidentiality, Assignment and Restrictive Covenant Agreement attached hereto as Exhibit A (the “</w:t>
      </w:r>
      <w:r>
        <w:rPr>
          <w:rFonts w:ascii="Times New Roman" w:cs="Times New Roman" w:eastAsia="Times New Roman" w:hAnsi="Times New Roman"/>
          <w:sz w:val="22"/>
          <w:szCs w:val="22"/>
          <w:b w:val="1"/>
          <w:bCs w:val="1"/>
          <w:color w:val="auto"/>
        </w:rPr>
        <w:t>Restrictive Covenant Agreement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left="200" w:right="319" w:firstLine="8"/>
        <w:spacing w:after="0" w:line="238" w:lineRule="auto"/>
        <w:tabs>
          <w:tab w:leader="none" w:pos="8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Conflicting Agreements</w:t>
      </w:r>
      <w:r>
        <w:rPr>
          <w:rFonts w:ascii="Times New Roman" w:cs="Times New Roman" w:eastAsia="Times New Roman" w:hAnsi="Times New Roman"/>
          <w:sz w:val="22"/>
          <w:szCs w:val="22"/>
          <w:color w:val="auto"/>
        </w:rPr>
        <w:t>. Executive represents and warrants that he is not a party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otherwise bound by any agreement or restriction that could conflict with</w:t>
      </w:r>
      <w:r>
        <w:rPr>
          <w:rFonts w:ascii="Times New Roman" w:cs="Times New Roman" w:eastAsia="Times New Roman" w:hAnsi="Times New Roman"/>
          <w:sz w:val="22"/>
          <w:szCs w:val="22"/>
          <w:color w:val="484848"/>
        </w:rPr>
        <w:t>,</w:t>
      </w:r>
      <w:r>
        <w:rPr>
          <w:rFonts w:ascii="Times New Roman" w:cs="Times New Roman" w:eastAsia="Times New Roman" w:hAnsi="Times New Roman"/>
          <w:sz w:val="22"/>
          <w:szCs w:val="22"/>
          <w:color w:val="auto"/>
        </w:rPr>
        <w:t xml:space="preserve"> or be violated by</w:t>
      </w:r>
      <w:r>
        <w:rPr>
          <w:rFonts w:ascii="Times New Roman" w:cs="Times New Roman" w:eastAsia="Times New Roman" w:hAnsi="Times New Roman"/>
          <w:sz w:val="22"/>
          <w:szCs w:val="22"/>
          <w:color w:val="484848"/>
        </w:rPr>
        <w:t>,</w:t>
      </w:r>
      <w:r>
        <w:rPr>
          <w:rFonts w:ascii="Times New Roman" w:cs="Times New Roman" w:eastAsia="Times New Roman" w:hAnsi="Times New Roman"/>
          <w:sz w:val="22"/>
          <w:szCs w:val="22"/>
          <w:color w:val="auto"/>
        </w:rPr>
        <w:t xml:space="preserve"> the performance of his duties to the Company or his obligations under this Agreement. Executive will not use or misappropriate any intellectual property, trade secrets or confidential information belonging to any third party.</w:t>
      </w:r>
    </w:p>
    <w:p>
      <w:pPr>
        <w:spacing w:after="0" w:line="217" w:lineRule="exact"/>
        <w:rPr>
          <w:rFonts w:ascii="Times New Roman" w:cs="Times New Roman" w:eastAsia="Times New Roman" w:hAnsi="Times New Roman"/>
          <w:sz w:val="22"/>
          <w:szCs w:val="22"/>
          <w:color w:val="auto"/>
        </w:rPr>
      </w:pPr>
    </w:p>
    <w:p>
      <w:pPr>
        <w:jc w:val="both"/>
        <w:ind w:left="200" w:right="319" w:firstLine="8"/>
        <w:spacing w:after="0" w:line="252" w:lineRule="auto"/>
        <w:tabs>
          <w:tab w:leader="none" w:pos="84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Taxes</w:t>
      </w:r>
      <w:r>
        <w:rPr>
          <w:rFonts w:ascii="Times New Roman" w:cs="Times New Roman" w:eastAsia="Times New Roman" w:hAnsi="Times New Roman"/>
          <w:sz w:val="21"/>
          <w:szCs w:val="21"/>
          <w:color w:val="auto"/>
        </w:rPr>
        <w:t>. All compensation payable to Executive are subject to reduction to reflect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withholding and payroll taxes and other deductions required by law. Executive hereby acknowledges that the Company does not have a duty to design its compensation policies in a manner that minimizes Executive’s tax liabilities, and Executive not make any claim against the Company or its board of directors related to tax liabilities arising from his compensation.</w:t>
      </w:r>
    </w:p>
    <w:p>
      <w:pPr>
        <w:spacing w:after="0" w:line="203" w:lineRule="exact"/>
        <w:rPr>
          <w:rFonts w:ascii="Times New Roman" w:cs="Times New Roman" w:eastAsia="Times New Roman" w:hAnsi="Times New Roman"/>
          <w:sz w:val="21"/>
          <w:szCs w:val="21"/>
          <w:color w:val="auto"/>
        </w:rPr>
      </w:pPr>
    </w:p>
    <w:p>
      <w:pPr>
        <w:ind w:left="840" w:hanging="641"/>
        <w:spacing w:after="0"/>
        <w:tabs>
          <w:tab w:leader="none" w:pos="8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Assignment; Amendment</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200" w:right="319" w:firstLine="656"/>
        <w:spacing w:after="0" w:line="238" w:lineRule="auto"/>
        <w:tabs>
          <w:tab w:leader="none" w:pos="149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together with the Restrictive Covenants Agreement and other agreements and documents referenced herein,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w:t>
      </w:r>
    </w:p>
    <w:p>
      <w:pPr>
        <w:spacing w:after="0" w:line="217" w:lineRule="exact"/>
        <w:rPr>
          <w:rFonts w:ascii="Times New Roman" w:cs="Times New Roman" w:eastAsia="Times New Roman" w:hAnsi="Times New Roman"/>
          <w:sz w:val="22"/>
          <w:szCs w:val="22"/>
          <w:color w:val="auto"/>
        </w:rPr>
      </w:pPr>
    </w:p>
    <w:p>
      <w:pPr>
        <w:jc w:val="both"/>
        <w:ind w:left="200" w:right="319" w:firstLine="656"/>
        <w:spacing w:after="0" w:line="236" w:lineRule="auto"/>
        <w:tabs>
          <w:tab w:leader="none" w:pos="149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Section </w:t>
      </w:r>
      <w:r>
        <w:rPr>
          <w:rFonts w:ascii="Times New Roman" w:cs="Times New Roman" w:eastAsia="Times New Roman" w:hAnsi="Times New Roman"/>
          <w:sz w:val="22"/>
          <w:szCs w:val="22"/>
          <w:u w:val="single" w:color="auto"/>
          <w:color w:val="0000EE"/>
        </w:rPr>
        <w:t>9(a)</w:t>
      </w:r>
      <w:r>
        <w:rPr>
          <w:rFonts w:ascii="Times New Roman" w:cs="Times New Roman" w:eastAsia="Times New Roman" w:hAnsi="Times New Roman"/>
          <w:sz w:val="22"/>
          <w:szCs w:val="22"/>
          <w:color w:val="auto"/>
        </w:rPr>
        <w:t xml:space="preserve"> or otherwise, whether or not Executive accepts employment with the assignee.</w:t>
      </w:r>
    </w:p>
    <w:p>
      <w:pPr>
        <w:spacing w:after="0" w:line="221" w:lineRule="exact"/>
        <w:rPr>
          <w:rFonts w:ascii="Times New Roman" w:cs="Times New Roman" w:eastAsia="Times New Roman" w:hAnsi="Times New Roman"/>
          <w:sz w:val="22"/>
          <w:szCs w:val="22"/>
          <w:color w:val="auto"/>
        </w:rPr>
      </w:pPr>
    </w:p>
    <w:p>
      <w:pPr>
        <w:ind w:left="200" w:right="339" w:firstLine="656"/>
        <w:spacing w:after="0" w:line="271" w:lineRule="auto"/>
        <w:tabs>
          <w:tab w:leader="none" w:pos="149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or modified only by a written instrument signed by a duly authorized officer of the Company and Executive.</w:t>
      </w:r>
    </w:p>
    <w:p>
      <w:pPr>
        <w:spacing w:after="0" w:line="194" w:lineRule="exact"/>
        <w:rPr>
          <w:rFonts w:ascii="Times New Roman" w:cs="Times New Roman" w:eastAsia="Times New Roman" w:hAnsi="Times New Roman"/>
          <w:sz w:val="22"/>
          <w:szCs w:val="22"/>
          <w:color w:val="auto"/>
        </w:rPr>
      </w:pPr>
    </w:p>
    <w:p>
      <w:pPr>
        <w:ind w:left="200" w:right="319" w:firstLine="8"/>
        <w:spacing w:after="0" w:line="275" w:lineRule="auto"/>
        <w:tabs>
          <w:tab w:leader="none" w:pos="8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internal laws of the State of Delaware</w:t>
      </w:r>
      <w:r>
        <w:rPr>
          <w:rFonts w:ascii="Times New Roman" w:cs="Times New Roman" w:eastAsia="Times New Roman" w:hAnsi="Times New Roman"/>
          <w:sz w:val="22"/>
          <w:szCs w:val="22"/>
          <w:color w:val="484848"/>
        </w:rPr>
        <w:t>,</w:t>
      </w:r>
      <w:r>
        <w:rPr>
          <w:rFonts w:ascii="Times New Roman" w:cs="Times New Roman" w:eastAsia="Times New Roman" w:hAnsi="Times New Roman"/>
          <w:sz w:val="22"/>
          <w:szCs w:val="22"/>
          <w:color w:val="auto"/>
        </w:rPr>
        <w:t xml:space="preserve"> without regard to its choice of law provisions.</w:t>
      </w:r>
    </w:p>
    <w:p>
      <w:pPr>
        <w:spacing w:after="0" w:line="257" w:lineRule="exact"/>
        <w:rPr>
          <w:rFonts w:ascii="Times New Roman" w:cs="Times New Roman" w:eastAsia="Times New Roman" w:hAnsi="Times New Roman"/>
          <w:sz w:val="22"/>
          <w:szCs w:val="22"/>
          <w:color w:val="auto"/>
        </w:rPr>
      </w:pPr>
    </w:p>
    <w:p>
      <w:pPr>
        <w:jc w:val="both"/>
        <w:ind w:left="200" w:right="319" w:firstLine="8"/>
        <w:spacing w:after="0" w:line="237" w:lineRule="auto"/>
        <w:tabs>
          <w:tab w:leader="none" w:pos="8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 In the event of any dispute under the provisions of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regarding Executive’s employment or compensation (other than a dispute in which the primary 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337185</wp:posOffset>
            </wp:positionV>
            <wp:extent cx="558038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71" w:name="page72"/>
    <w:bookmarkEnd w:id="71"/>
    <w:p>
      <w:pPr>
        <w:jc w:val="both"/>
        <w:ind w:left="200" w:right="299"/>
        <w:spacing w:after="0" w:line="234" w:lineRule="auto"/>
        <w:rPr>
          <w:sz w:val="20"/>
          <w:szCs w:val="20"/>
          <w:color w:val="auto"/>
        </w:rPr>
      </w:pPr>
      <w:r>
        <w:rPr>
          <w:rFonts w:ascii="Times New Roman" w:cs="Times New Roman" w:eastAsia="Times New Roman" w:hAnsi="Times New Roman"/>
          <w:sz w:val="22"/>
          <w:szCs w:val="22"/>
          <w:color w:val="auto"/>
        </w:rPr>
        <w:t>Employment Disputes then in effect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spacing w:after="0" w:line="216" w:lineRule="exact"/>
        <w:rPr>
          <w:sz w:val="20"/>
          <w:szCs w:val="20"/>
          <w:color w:val="auto"/>
        </w:rPr>
      </w:pPr>
    </w:p>
    <w:p>
      <w:pPr>
        <w:ind w:left="200" w:right="339" w:firstLine="8"/>
        <w:spacing w:after="0" w:line="275" w:lineRule="auto"/>
        <w:tabs>
          <w:tab w:leader="none" w:pos="8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headings of the sections of this Agreement are inserted for convenience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and shall not the meaning of this Agreement.</w:t>
      </w:r>
    </w:p>
    <w:p>
      <w:pPr>
        <w:spacing w:after="0" w:line="176" w:lineRule="exact"/>
        <w:rPr>
          <w:rFonts w:ascii="Times New Roman" w:cs="Times New Roman" w:eastAsia="Times New Roman" w:hAnsi="Times New Roman"/>
          <w:sz w:val="22"/>
          <w:szCs w:val="22"/>
          <w:color w:val="auto"/>
        </w:rPr>
      </w:pPr>
    </w:p>
    <w:p>
      <w:pPr>
        <w:jc w:val="both"/>
        <w:ind w:left="200" w:right="319" w:firstLine="8"/>
        <w:spacing w:after="0" w:line="234" w:lineRule="auto"/>
        <w:tabs>
          <w:tab w:leader="none" w:pos="8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notices, demands or other communications hereunder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if delivered in person, by e-mail or fax, by United States 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202" w:lineRule="exact"/>
        <w:rPr>
          <w:rFonts w:ascii="Times New Roman" w:cs="Times New Roman" w:eastAsia="Times New Roman" w:hAnsi="Times New Roman"/>
          <w:sz w:val="22"/>
          <w:szCs w:val="22"/>
          <w:color w:val="auto"/>
        </w:rPr>
      </w:pPr>
    </w:p>
    <w:p>
      <w:pPr>
        <w:jc w:val="both"/>
        <w:ind w:left="200" w:right="339" w:firstLine="8"/>
        <w:spacing w:after="0" w:line="246" w:lineRule="auto"/>
        <w:tabs>
          <w:tab w:leader="none" w:pos="8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separate counterparts, any one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need not contain signatures of more than one party, but all of which taken together will constitute one and the same Agreement.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356235</wp:posOffset>
            </wp:positionV>
            <wp:extent cx="558038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72" w:name="page73"/>
    <w:bookmarkEnd w:id="72"/>
    <w:p>
      <w:pPr>
        <w:ind w:left="860"/>
        <w:spacing w:after="0"/>
        <w:rPr>
          <w:sz w:val="20"/>
          <w:szCs w:val="20"/>
          <w:color w:val="auto"/>
        </w:rPr>
      </w:pPr>
      <w:r>
        <w:rPr>
          <w:rFonts w:ascii="Times New Roman" w:cs="Times New Roman" w:eastAsia="Times New Roman" w:hAnsi="Times New Roman"/>
          <w:sz w:val="21"/>
          <w:szCs w:val="21"/>
          <w:color w:val="auto"/>
        </w:rPr>
        <w:t>This Agreement has been executed and delivered on the date first above written.</w:t>
      </w: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00" w:lineRule="exact"/>
        <w:rPr>
          <w:sz w:val="20"/>
          <w:szCs w:val="20"/>
          <w:color w:val="auto"/>
        </w:rPr>
      </w:pPr>
    </w:p>
    <w:p>
      <w:pPr>
        <w:spacing w:after="0" w:line="29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Brent Pfeiffenberger</w:t>
      </w:r>
    </w:p>
    <w:p>
      <w:pPr>
        <w:spacing w:after="0" w:line="18" w:lineRule="exact"/>
        <w:rPr>
          <w:sz w:val="20"/>
          <w:szCs w:val="20"/>
          <w:color w:val="auto"/>
        </w:rPr>
      </w:pPr>
    </w:p>
    <w:p>
      <w:pPr>
        <w:ind w:left="4100"/>
        <w:spacing w:after="0"/>
        <w:tabs>
          <w:tab w:leader="none" w:pos="4840" w:val="left"/>
          <w:tab w:leader="none" w:pos="5520" w:val="left"/>
        </w:tabs>
        <w:rPr>
          <w:sz w:val="20"/>
          <w:szCs w:val="20"/>
          <w:color w:val="auto"/>
        </w:rPr>
      </w:pPr>
      <w:r>
        <w:rPr>
          <w:rFonts w:ascii="Times New Roman" w:cs="Times New Roman" w:eastAsia="Times New Roman" w:hAnsi="Times New Roman"/>
          <w:sz w:val="22"/>
          <w:szCs w:val="22"/>
          <w:color w:val="auto"/>
        </w:rPr>
        <w:t>Name:</w:t>
        <w:tab/>
        <w:t>Brent</w:t>
      </w:r>
      <w:r>
        <w:rPr>
          <w:sz w:val="20"/>
          <w:szCs w:val="20"/>
          <w:color w:val="auto"/>
        </w:rPr>
        <w:tab/>
      </w:r>
      <w:r>
        <w:rPr>
          <w:rFonts w:ascii="Times New Roman" w:cs="Times New Roman" w:eastAsia="Times New Roman" w:hAnsi="Times New Roman"/>
          <w:sz w:val="21"/>
          <w:szCs w:val="21"/>
          <w:color w:val="auto"/>
        </w:rPr>
        <w:t>Pfeiffenberger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-22860</wp:posOffset>
            </wp:positionV>
            <wp:extent cx="22320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32025"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-29210</wp:posOffset>
            </wp:positionV>
            <wp:extent cx="2349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495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Chad Cowan</w:t>
      </w:r>
    </w:p>
    <w:p>
      <w:pPr>
        <w:spacing w:after="0" w:line="200" w:lineRule="exact"/>
        <w:rPr>
          <w:sz w:val="20"/>
          <w:szCs w:val="20"/>
          <w:color w:val="auto"/>
        </w:rPr>
      </w:pPr>
    </w:p>
    <w:p>
      <w:pPr>
        <w:spacing w:after="0" w:line="29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 /s/ Chad Cowan​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-13335</wp:posOffset>
            </wp:positionV>
            <wp:extent cx="13563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Chad Cowan​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Employment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356235</wp:posOffset>
            </wp:positionV>
            <wp:extent cx="558038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80" w:right="1440" w:bottom="1440" w:gutter="0" w:footer="0" w:header="0"/>
        </w:sectPr>
      </w:pPr>
    </w:p>
    <w:bookmarkStart w:id="73" w:name="page74"/>
    <w:bookmarkEnd w:id="73"/>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CENTURY THERAPEUTICS, INC. 2021 EQUITY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 GRANT NOTICE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07"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Century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2021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individual listed below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the target number of restricted stock units set forth below (the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highlight w:val="white"/>
        </w:rPr>
        <w:t>”). The Restricted Stock Units described in this Restricted Stock Unit</w:t>
      </w:r>
      <w:r>
        <w:rPr>
          <w:rFonts w:ascii="Times New Roman" w:cs="Times New Roman" w:eastAsia="Times New Roman" w:hAnsi="Times New Roman"/>
          <w:sz w:val="18"/>
          <w:szCs w:val="18"/>
          <w:color w:val="auto"/>
        </w:rPr>
        <w:t xml:space="preserve">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xml:space="preserve">”) are subject to the terms and conditions set forth in the Award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Plan, each of which is incorporated herein by reference. Unless otherwise defined herein, capitalized terms used in this Grant Notice and the Agreement will have the meanings defined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-416560</wp:posOffset>
            </wp:positionV>
            <wp:extent cx="8401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40105" cy="12890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0" w:lineRule="exact"/>
        <w:rPr>
          <w:sz w:val="20"/>
          <w:szCs w:val="20"/>
          <w:color w:val="auto"/>
        </w:rPr>
      </w:pPr>
    </w:p>
    <w:p>
      <w:pPr>
        <w:sectPr>
          <w:pgSz w:w="11900" w:h="16838" w:orient="portrait"/>
          <w:cols w:equalWidth="0" w:num="2">
            <w:col w:w="4840" w:space="720"/>
            <w:col w:w="3459"/>
          </w:cols>
          <w:pgMar w:left="1440" w:top="108" w:right="1440" w:bottom="1440" w:gutter="0" w:footer="0" w:header="0"/>
          <w:type w:val="continuous"/>
        </w:sectPr>
      </w:pP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0" w:lineRule="exact"/>
        <w:rPr>
          <w:sz w:val="20"/>
          <w:szCs w:val="20"/>
          <w:color w:val="auto"/>
        </w:rPr>
      </w:pPr>
    </w:p>
    <w:p>
      <w:pPr>
        <w:sectPr>
          <w:pgSz w:w="11900" w:h="16838" w:orient="portrait"/>
          <w:cols w:equalWidth="0" w:num="2">
            <w:col w:w="4840" w:space="720"/>
            <w:col w:w="3459"/>
          </w:cols>
          <w:pgMar w:left="1440" w:top="108" w:right="1440" w:bottom="1440" w:gutter="0" w:footer="0" w:header="0"/>
          <w:type w:val="continuous"/>
        </w:sectPr>
      </w:pP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Target Number of Restricted Stock Units: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0" w:lineRule="exact"/>
        <w:rPr>
          <w:sz w:val="20"/>
          <w:szCs w:val="20"/>
          <w:color w:val="auto"/>
        </w:rPr>
      </w:pPr>
    </w:p>
    <w:p>
      <w:pPr>
        <w:sectPr>
          <w:pgSz w:w="11900" w:h="16838" w:orient="portrait"/>
          <w:cols w:equalWidth="0" w:num="2">
            <w:col w:w="4840" w:space="720"/>
            <w:col w:w="3459"/>
          </w:cols>
          <w:pgMar w:left="1440" w:top="108" w:right="1440" w:bottom="1440" w:gutter="0" w:footer="0" w:header="0"/>
          <w:type w:val="continuous"/>
        </w:sectPr>
      </w:pP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set forth on Schedule A</w:t>
      </w:r>
    </w:p>
    <w:p>
      <w:pPr>
        <w:spacing w:after="0" w:line="200" w:lineRule="exact"/>
        <w:rPr>
          <w:sz w:val="20"/>
          <w:szCs w:val="20"/>
          <w:color w:val="auto"/>
        </w:rPr>
      </w:pPr>
    </w:p>
    <w:p>
      <w:pPr>
        <w:sectPr>
          <w:pgSz w:w="11900" w:h="16838" w:orient="portrait"/>
          <w:cols w:equalWidth="0" w:num="2">
            <w:col w:w="4840" w:space="720"/>
            <w:col w:w="3459"/>
          </w:cols>
          <w:pgMar w:left="1440" w:top="108" w:right="1440" w:bottom="1440" w:gutter="0" w:footer="0" w:header="0"/>
          <w:type w:val="continuous"/>
        </w:sectPr>
      </w:pPr>
    </w:p>
    <w:p>
      <w:pPr>
        <w:spacing w:after="0" w:line="25"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By signing below, Participant agrees to be bound by the terms and conditions of the Plan, the Agreement and this Grant Notice. This document may be executed, including by electronic means, in multiple counterparts, each of which will be deemed an original, and all of which together will be deemed a single instrument.</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CENTURY THERAPEUTICS, INC.</w:t>
            </w:r>
          </w:p>
        </w:tc>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80" w:type="dxa"/>
            <w:vAlign w:val="bottom"/>
            <w:vMerge w:val="restart"/>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vMerge w:val="continue"/>
          </w:tcPr>
          <w:p>
            <w:pPr>
              <w:spacing w:after="0"/>
              <w:rPr>
                <w:sz w:val="16"/>
                <w:szCs w:val="16"/>
                <w:color w:val="auto"/>
              </w:rPr>
            </w:pPr>
          </w:p>
        </w:tc>
        <w:tc>
          <w:tcPr>
            <w:tcW w:w="2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ACTIVE/130536616.2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409575</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PERFORMANCE-BASED RESTRICTED STOCK UNIT GRANT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229"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Award of Restricted Stock Units</w:t>
      </w:r>
      <w:r>
        <w:rPr>
          <w:rFonts w:ascii="Times New Roman" w:cs="Times New Roman" w:eastAsia="Times New Roman" w:hAnsi="Times New Roman"/>
          <w:sz w:val="18"/>
          <w:szCs w:val="18"/>
          <w:color w:val="auto"/>
        </w:rPr>
        <w:t>. Effective as of the Grant Date set forth in the Grant Notice, the Company has granted to Participant the target number of Restricted Stock Units set forth in the Grant Notice, subject to the restrictions and on the terms and conditions set forth in the Grant Notice, the Plan and this Agreement. Each Restricted Stock Unit represents the right to receive one Share at the times and subject to the conditions set forth herein.</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right="219" w:firstLine="1296"/>
        <w:spacing w:after="0" w:line="266" w:lineRule="auto"/>
        <w:rPr>
          <w:sz w:val="20"/>
          <w:szCs w:val="20"/>
          <w:color w:val="auto"/>
        </w:rPr>
      </w:pPr>
      <w:r>
        <w:rPr>
          <w:rFonts w:ascii="Times New Roman" w:cs="Times New Roman" w:eastAsia="Times New Roman" w:hAnsi="Times New Roman"/>
          <w:sz w:val="18"/>
          <w:szCs w:val="18"/>
          <w:color w:val="auto"/>
        </w:rPr>
        <w:t>a.          Subject to the continued service of Participant with the Company through the relevant vesting dates, the Restricted Stock Units will become vested in such amounts and at such times as set forth in the Grant Notice and Schedule A.</w:t>
      </w:r>
    </w:p>
    <w:p>
      <w:pPr>
        <w:spacing w:after="0" w:line="176"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18"/>
          <w:szCs w:val="18"/>
          <w:color w:val="auto"/>
        </w:rPr>
        <w:t>b.          Solely for purposes of this Agreement, service with the Company will be deemed to include service with an Affiliate of the Company (for only so long as such entity remains an Affiliate of the Company).</w:t>
      </w:r>
    </w:p>
    <w:p>
      <w:pPr>
        <w:spacing w:after="0" w:line="162"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18"/>
          <w:szCs w:val="18"/>
          <w:color w:val="auto"/>
        </w:rPr>
        <w:t>c.          Upon Participant’s death during his or her continuous service with the Company, any Restricted Stock Units that are outstanding and unvested immediately prior to Participant’s death will remain outstanding for ninety (90) days, during which time the Committee may, in its sole discretion, vest all or a portion of such Restricted Stock Units. If the Committee decides to vest any Restricted Stock Units under this Section 2.c it may condition such vesting on the execution by the Participant’s estate and/or beneficiaries of a general release of claims against the Company and its affiliates, in such form as the Company may prescribe (a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Upon the ninetieth (90th) day following Participant’s death, any portion of the unvested Restricted Stock Units that the Committee has not determined to vest in accordance with this Section 2.c will be forfeited.</w:t>
      </w:r>
    </w:p>
    <w:p>
      <w:pPr>
        <w:spacing w:after="0" w:line="192" w:lineRule="exact"/>
        <w:rPr>
          <w:sz w:val="20"/>
          <w:szCs w:val="20"/>
          <w:color w:val="auto"/>
        </w:rPr>
      </w:pPr>
    </w:p>
    <w:p>
      <w:pPr>
        <w:jc w:val="both"/>
        <w:ind w:left="200" w:right="219" w:firstLine="1296"/>
        <w:spacing w:after="0" w:line="266" w:lineRule="auto"/>
        <w:rPr>
          <w:sz w:val="20"/>
          <w:szCs w:val="20"/>
          <w:color w:val="auto"/>
        </w:rPr>
      </w:pPr>
      <w:r>
        <w:rPr>
          <w:rFonts w:ascii="Times New Roman" w:cs="Times New Roman" w:eastAsia="Times New Roman" w:hAnsi="Times New Roman"/>
          <w:sz w:val="18"/>
          <w:szCs w:val="18"/>
          <w:color w:val="auto"/>
        </w:rPr>
        <w:t>d.          Unless otherwise provided in the Grant Notice or in Participant’s employment agreement, upon the cessation of Participant’s service with the Company for any reason other than as described in Section 2.c above, any unvested Restricted Stock Units will be forfeited automatically.</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right="219" w:firstLine="1296"/>
        <w:spacing w:after="0" w:line="266" w:lineRule="auto"/>
        <w:rPr>
          <w:sz w:val="20"/>
          <w:szCs w:val="20"/>
          <w:color w:val="auto"/>
        </w:rPr>
      </w:pPr>
      <w:r>
        <w:rPr>
          <w:rFonts w:ascii="Times New Roman" w:cs="Times New Roman" w:eastAsia="Times New Roman" w:hAnsi="Times New Roman"/>
          <w:sz w:val="18"/>
          <w:szCs w:val="18"/>
          <w:color w:val="auto"/>
        </w:rPr>
        <w:t>a.                Shares will be issued in respect of vested Restricted Stock Units within sixty (60) days following the applicable vesting date or event. For avoidance of doubt, this settlement timing is intended to comply with the “short-term deferral” exemption from Section 409A of the Code.</w:t>
      </w:r>
    </w:p>
    <w:p>
      <w:pPr>
        <w:spacing w:after="0" w:line="176"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18"/>
          <w:szCs w:val="18"/>
          <w:color w:val="auto"/>
        </w:rPr>
        <w:t>b.               The Restricted Stock Units will not confer on Participant any rights as a stockholder of the Company until Shares are actually issued in settlement of such Restricted Stock Units.</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c.               Notwithstanding the foregoing, to the extent provided in Prop. Treas. Reg. § 1.409A-1(b)(4)</w:t>
      </w:r>
    </w:p>
    <w:p>
      <w:pPr>
        <w:spacing w:after="0" w:line="39" w:lineRule="exact"/>
        <w:rPr>
          <w:sz w:val="20"/>
          <w:szCs w:val="20"/>
          <w:color w:val="auto"/>
        </w:rPr>
      </w:pPr>
    </w:p>
    <w:p>
      <w:pPr>
        <w:ind w:left="200" w:right="219" w:firstLine="9"/>
        <w:spacing w:after="0" w:line="260" w:lineRule="auto"/>
        <w:tabs>
          <w:tab w:leader="none" w:pos="5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 successor provision, the Company may delay settlement of Restricted Stock Units if it reasonably determines that such settlement would violate federal securities laws or any other applicable law.</w:t>
      </w:r>
    </w:p>
    <w:p>
      <w:pPr>
        <w:spacing w:after="0" w:line="181"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Non-Transferability of Restricted Stock Units</w:t>
      </w:r>
      <w:r>
        <w:rPr>
          <w:rFonts w:ascii="Times New Roman" w:cs="Times New Roman" w:eastAsia="Times New Roman" w:hAnsi="Times New Roman"/>
          <w:sz w:val="18"/>
          <w:szCs w:val="18"/>
          <w:color w:val="auto"/>
        </w:rPr>
        <w:t>. Restricted Stock Units may not be sold, pledged, assigned, hypothecated, gifted, transferred or disposed of in any manner, either voluntarily or involuntarily, other than by will or by the laws of descent and distribution.</w:t>
      </w:r>
    </w:p>
    <w:p>
      <w:pPr>
        <w:spacing w:after="0" w:line="176"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grant of Restricted Stock Units is intended to be exempt from Section 409A of the Code and should be interpreted accordingly. Nonetheless, the Company does not guarantee the tax treatment of the Restricted Stock Units.</w:t>
      </w: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ACTIVE/130536616.2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409575</wp:posOffset>
            </wp:positionV>
            <wp:extent cx="545211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5" w:name="page76"/>
    <w:bookmarkEnd w:id="75"/>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No Continuation of Service</w:t>
      </w:r>
      <w:r>
        <w:rPr>
          <w:rFonts w:ascii="Times New Roman" w:cs="Times New Roman" w:eastAsia="Times New Roman" w:hAnsi="Times New Roman"/>
          <w:sz w:val="18"/>
          <w:szCs w:val="18"/>
          <w:color w:val="auto"/>
        </w:rPr>
        <w:t>. Neither the Plan nor this Agreement will confer upon Participant any right to continue in the employment or service of the Company or any of its Affiliates, or limit in any respect the right of the Company or its Affiliates to discharge Participant at any time, for any reason.</w:t>
      </w:r>
    </w:p>
    <w:p>
      <w:pPr>
        <w:spacing w:after="0" w:line="17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The Plan</w:t>
      </w:r>
      <w:r>
        <w:rPr>
          <w:rFonts w:ascii="Times New Roman" w:cs="Times New Roman" w:eastAsia="Times New Roman" w:hAnsi="Times New Roman"/>
          <w:sz w:val="18"/>
          <w:szCs w:val="18"/>
          <w:color w:val="auto"/>
        </w:rPr>
        <w:t>. Participant has received a copy of the Plan, has read the Plan and is familiar with its terms, and hereby accepts the Award subject to the terms and provisions of the Plan. Pursuant to the Plan, the Committee is authorized to interpret the Plan and to adopt rules and regulations not inconsistent with the Plan as it deems appropriate. Participant hereby agrees to accept as binding, conclusive and final all decisions or interpretations of the Committee with respect to questions arising under the Plan, the Grant Notice or this Agreement.</w:t>
      </w:r>
    </w:p>
    <w:p>
      <w:pPr>
        <w:spacing w:after="0" w:line="183"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Company Policies</w:t>
      </w:r>
      <w:r>
        <w:rPr>
          <w:rFonts w:ascii="Times New Roman" w:cs="Times New Roman" w:eastAsia="Times New Roman" w:hAnsi="Times New Roman"/>
          <w:sz w:val="18"/>
          <w:szCs w:val="18"/>
          <w:color w:val="auto"/>
        </w:rPr>
        <w:t>. Participant agrees, in consideration for the grant of the Restricted Stock Units, to be subject to any policies of the Company and its Affiliates regarding clawbacks, securities trading, and hedging or pledging of securities that may be in effect from time to time, or as may otherwise be required by applicable law, regulation or exchange listing standard.</w:t>
      </w:r>
    </w:p>
    <w:p>
      <w:pPr>
        <w:spacing w:after="0" w:line="180"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Grant Notice and this Agreement, together with the Plan, represent the entire agreement between the parties with respect to the subject matter hereof and supersede any prior agreement, written or otherwise, relating to the subject matter hereof.</w:t>
      </w:r>
    </w:p>
    <w:p>
      <w:pPr>
        <w:spacing w:after="0" w:line="176"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Agreement may only be amended by a writing signed by each of the parties hereto; provided that the Company may amend this Agreement without Participant’s consent, if the amendment does not materially impair Participant’s rights hereunder.</w:t>
      </w:r>
    </w:p>
    <w:p>
      <w:pPr>
        <w:spacing w:after="0" w:line="176"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construed in accordance with the laws of the State of Delaware, without regard to the application of the principles of conflicts of laws.</w:t>
      </w:r>
    </w:p>
    <w:p>
      <w:pPr>
        <w:spacing w:after="0" w:line="162"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They form no part of the Agreement and will not affect its interpretation.</w:t>
      </w:r>
    </w:p>
    <w:p>
      <w:pPr>
        <w:spacing w:after="0" w:line="162"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Participant acknowledges that the issuance of Shares hereunder will give rise to taxable income subject to required withholding. In accordance with Section 15 of the Plan, the obligations of the Company hereunder are conditioned on the Participant timely paying, or otherwise making arrangements satisfactory to the Company regarding the timely satisfaction of, such required withholding.</w:t>
      </w:r>
    </w:p>
    <w:p>
      <w:pPr>
        <w:spacing w:after="0" w:line="18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If the Company has not elected to settle such required withholding through the withholding of Shares and other arrangements acceptable to the Company have not been made, the Company may require that Participant sell Shares issuable hereunder to satisfy the required withholding. Accordingly, Participant hereby irrevocably authorizes the Company to (a) sell on Participant’s behalf such number of Shares issuable hereunder as the Company determines to be appropriate to generate cash proceeds sufficient to satisfy the required withholding, and (b) to remit proceeds equal to the required withholding to the applicable tax authorities (or to retain proceeds equal to the required withholding, to the extent the Company has already deposited such amount with the applicable tax authorities). To the extent the proceeds of such sale exceed the required withholding, the excess proceeds will be paid to Participant. Participant acknowledges that he or she will be responsible for all broker’s fees and other costs of such sale and that the Company is under no obligation to arrange for such sale at any particular price. Participant further agrees to execute such additional documents as may be reasonably necessary to facilitate such transactions.</w:t>
      </w:r>
    </w:p>
    <w:p>
      <w:pPr>
        <w:spacing w:after="0" w:line="19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Electronic Delivery of Documents</w:t>
      </w:r>
      <w:r>
        <w:rPr>
          <w:rFonts w:ascii="Times New Roman" w:cs="Times New Roman" w:eastAsia="Times New Roman" w:hAnsi="Times New Roman"/>
          <w:sz w:val="18"/>
          <w:szCs w:val="18"/>
          <w:color w:val="auto"/>
        </w:rPr>
        <w:t>. Participant authorizes the Company to deliver electronically any prospectuses or other documentation related to the Option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Participant a paper copy of any document also delivered to Participant electronically. The authorization described in this paragraph may be revoked by Participant at any time by written notice to the Company.</w:t>
      </w:r>
    </w:p>
    <w:p>
      <w:pPr>
        <w:spacing w:after="0" w:line="3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ACTIVE/130536616.2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409575</wp:posOffset>
            </wp:positionV>
            <wp:extent cx="545211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Restricted Stock Units subject to this Award shall vest as follows:</w:t>
      </w:r>
    </w:p>
    <w:p>
      <w:pPr>
        <w:spacing w:after="0" w:line="225" w:lineRule="exact"/>
        <w:rPr>
          <w:sz w:val="20"/>
          <w:szCs w:val="20"/>
          <w:color w:val="auto"/>
        </w:rPr>
      </w:pPr>
    </w:p>
    <w:p>
      <w:pPr>
        <w:jc w:val="both"/>
        <w:ind w:left="200" w:right="219" w:firstLine="657"/>
        <w:spacing w:after="0" w:line="261" w:lineRule="auto"/>
        <w:tabs>
          <w:tab w:leader="none" w:pos="108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Restricted Stock Units shall vest upon achievement of both (x) the Company’s entrance into a business development collaboration with a minimum upfront payment of at least $50 million (the “</w:t>
      </w:r>
      <w:r>
        <w:rPr>
          <w:rFonts w:ascii="Times New Roman" w:cs="Times New Roman" w:eastAsia="Times New Roman" w:hAnsi="Times New Roman"/>
          <w:sz w:val="18"/>
          <w:szCs w:val="18"/>
          <w:u w:val="single" w:color="auto"/>
          <w:color w:val="auto"/>
        </w:rPr>
        <w:t>BD Milestone</w:t>
      </w:r>
      <w:r>
        <w:rPr>
          <w:rFonts w:ascii="Times New Roman" w:cs="Times New Roman" w:eastAsia="Times New Roman" w:hAnsi="Times New Roman"/>
          <w:sz w:val="18"/>
          <w:szCs w:val="18"/>
          <w:color w:val="auto"/>
        </w:rPr>
        <w:t>”) and</w:t>
      </w:r>
    </w:p>
    <w:p>
      <w:pPr>
        <w:jc w:val="both"/>
        <w:ind w:left="200" w:right="219" w:firstLine="9"/>
        <w:spacing w:after="0" w:line="253" w:lineRule="auto"/>
        <w:tabs>
          <w:tab w:leader="none" w:pos="4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Price equal or exceeding the Stock Price Target as of any date during the period beginning three months prior to and ending 12 months following achievement of the BD Milestone; provided that the Participant has remained in continuous service with the Company through the applicable vesting date and subject to certification by the Committee of achievement of the BD Milestone and achievement of the Stock Price Target.</w:t>
      </w:r>
    </w:p>
    <w:p>
      <w:pPr>
        <w:spacing w:after="0" w:line="188" w:lineRule="exact"/>
        <w:rPr>
          <w:rFonts w:ascii="Times New Roman" w:cs="Times New Roman" w:eastAsia="Times New Roman" w:hAnsi="Times New Roman"/>
          <w:sz w:val="18"/>
          <w:szCs w:val="18"/>
          <w:color w:val="auto"/>
        </w:rPr>
      </w:pPr>
    </w:p>
    <w:p>
      <w:pPr>
        <w:jc w:val="both"/>
        <w:ind w:left="200" w:right="219" w:firstLine="657"/>
        <w:spacing w:after="0" w:line="256" w:lineRule="auto"/>
        <w:tabs>
          <w:tab w:leader="none" w:pos="103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Restricted Stock Units shall vest upon achievement of both (x) clearance by the Food and Drug Administration of an investigational new drug application relating to ab T cells (the “</w:t>
      </w:r>
      <w:r>
        <w:rPr>
          <w:rFonts w:ascii="Times New Roman" w:cs="Times New Roman" w:eastAsia="Times New Roman" w:hAnsi="Times New Roman"/>
          <w:sz w:val="18"/>
          <w:szCs w:val="18"/>
          <w:u w:val="single" w:color="auto"/>
          <w:color w:val="auto"/>
        </w:rPr>
        <w:t>IND Milestone</w:t>
      </w:r>
      <w:r>
        <w:rPr>
          <w:rFonts w:ascii="Times New Roman" w:cs="Times New Roman" w:eastAsia="Times New Roman" w:hAnsi="Times New Roman"/>
          <w:sz w:val="18"/>
          <w:szCs w:val="18"/>
          <w:color w:val="auto"/>
        </w:rPr>
        <w:t>”) and (y) the Company’s Stock Price equal or exceeding the Stock Price Target as of any date during the period beginning three months prior to and ending 12 months following achievement of the IND Milestone; provided that the Participant has remained in continuous service with the Company through the applicable vesting date and subject to certification by the Committee of achievement of the IND Milestone and achievement of the Stock Price Target.</w:t>
      </w:r>
    </w:p>
    <w:p>
      <w:pPr>
        <w:spacing w:after="0" w:line="187"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For purposes hereof, the “</w:t>
      </w:r>
      <w:r>
        <w:rPr>
          <w:rFonts w:ascii="Times New Roman" w:cs="Times New Roman" w:eastAsia="Times New Roman" w:hAnsi="Times New Roman"/>
          <w:sz w:val="18"/>
          <w:szCs w:val="18"/>
          <w:u w:val="single" w:color="auto"/>
          <w:color w:val="auto"/>
        </w:rPr>
        <w:t>Stock Price Target</w:t>
      </w:r>
      <w:r>
        <w:rPr>
          <w:rFonts w:ascii="Times New Roman" w:cs="Times New Roman" w:eastAsia="Times New Roman" w:hAnsi="Times New Roman"/>
          <w:sz w:val="18"/>
          <w:szCs w:val="18"/>
          <w:color w:val="auto"/>
        </w:rPr>
        <w:t>” shall equal $6.00 and the “</w:t>
      </w:r>
      <w:r>
        <w:rPr>
          <w:rFonts w:ascii="Times New Roman" w:cs="Times New Roman" w:eastAsia="Times New Roman" w:hAnsi="Times New Roman"/>
          <w:sz w:val="18"/>
          <w:szCs w:val="18"/>
          <w:u w:val="single" w:color="auto"/>
          <w:color w:val="auto"/>
        </w:rPr>
        <w:t>Company’s Stock Price</w:t>
      </w:r>
      <w:r>
        <w:rPr>
          <w:rFonts w:ascii="Times New Roman" w:cs="Times New Roman" w:eastAsia="Times New Roman" w:hAnsi="Times New Roman"/>
          <w:sz w:val="18"/>
          <w:szCs w:val="18"/>
          <w:color w:val="auto"/>
        </w:rPr>
        <w:t>” shall mean, as of any date, the volume weighted average price of the Company’s common stock for the 15-day calendar period prior to such date. The Stock Price Target shall be subject to equitable adjustment as determined by the Committee in its sole discretion to take into account any stock split, reverse stock split or similar capitalization event affecting the Company’s outstanding common stock.</w:t>
      </w:r>
    </w:p>
    <w:p>
      <w:pPr>
        <w:spacing w:after="0" w:line="183" w:lineRule="exact"/>
        <w:rPr>
          <w:sz w:val="20"/>
          <w:szCs w:val="20"/>
          <w:color w:val="auto"/>
        </w:rPr>
      </w:pPr>
    </w:p>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Determination of whether the BD Milestone, IND Milestone and/or Stock Price Target have been achieved shall be made by the Committee in its sole discretion.</w:t>
      </w:r>
    </w:p>
    <w:p>
      <w:pPr>
        <w:spacing w:after="0" w:line="3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ACTIVE/130536616.2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409575</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Pfeiffenberger, certify that:</w:t>
      </w:r>
    </w:p>
    <w:p>
      <w:pPr>
        <w:spacing w:after="0" w:line="117" w:lineRule="exact"/>
        <w:rPr>
          <w:sz w:val="20"/>
          <w:szCs w:val="20"/>
          <w:color w:val="auto"/>
        </w:rPr>
      </w:pPr>
    </w:p>
    <w:p>
      <w:pPr>
        <w:ind w:left="880" w:hanging="440"/>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ACTIVE/123125527.3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392430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Morgan Conn, certify that:</w:t>
      </w:r>
    </w:p>
    <w:p>
      <w:pPr>
        <w:spacing w:after="0" w:line="117" w:lineRule="exact"/>
        <w:rPr>
          <w:sz w:val="20"/>
          <w:szCs w:val="20"/>
          <w:color w:val="auto"/>
        </w:rPr>
      </w:pPr>
    </w:p>
    <w:p>
      <w:pPr>
        <w:ind w:left="880" w:hanging="440"/>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Morgan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Morgan Conn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ACTIVE/123125576.3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392430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September 30,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September 30,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Morgan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Morgan Conn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04"/>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5"/>
    </w:lvl>
  </w:abstractNum>
  <w:abstractNum w:abstractNumId="17">
    <w:nsid w:val="440BADFC"/>
    <w:multiLevelType w:val="hybridMultilevel"/>
    <w:lvl w:ilvl="0">
      <w:lvlJc w:val="left"/>
      <w:lvlText w:val="%1."/>
      <w:numFmt w:val="decimal"/>
      <w:start w:val="8"/>
    </w:lvl>
    <w:lvl w:ilvl="1">
      <w:lvlJc w:val="left"/>
      <w:lvlText w:val="(%2)"/>
      <w:numFmt w:val="lowerLetter"/>
      <w:start w:val="1"/>
    </w:lvl>
  </w:abstractNum>
  <w:abstractNum w:abstractNumId="18">
    <w:nsid w:val="507236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9">
    <w:nsid w:val="3804823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0">
    <w:nsid w:val="77465F01"/>
    <w:multiLevelType w:val="hybridMultilevel"/>
    <w:lvl w:ilvl="0">
      <w:lvlJc w:val="left"/>
      <w:lvlText w:val="(%1)"/>
      <w:numFmt w:val="lowerRoman"/>
      <w:start w:val="4"/>
    </w:lvl>
    <w:lvl w:ilvl="1">
      <w:lvlJc w:val="left"/>
      <w:lvlText w:val="(%2)"/>
      <w:numFmt w:val="lowerLetter"/>
      <w:start w:val="2"/>
    </w:lvl>
  </w:abstractNum>
  <w:abstractNum w:abstractNumId="21">
    <w:nsid w:val="7724C67E"/>
    <w:multiLevelType w:val="hybridMultilevel"/>
    <w:lvl w:ilvl="0">
      <w:lvlJc w:val="left"/>
      <w:lvlText w:val="%1."/>
      <w:numFmt w:val="decimal"/>
      <w:start w:val="11"/>
    </w:lvl>
    <w:lvl w:ilvl="1">
      <w:lvlJc w:val="left"/>
      <w:lvlText w:val="(%2)"/>
      <w:numFmt w:val="lowerLetter"/>
      <w:start w:val="1"/>
    </w:lvl>
  </w:abstractNum>
  <w:abstractNum w:abstractNumId="22">
    <w:nsid w:val="5C482A97"/>
    <w:multiLevelType w:val="hybridMultilevel"/>
    <w:lvl w:ilvl="0">
      <w:lvlJc w:val="left"/>
      <w:lvlText w:val="(%1)"/>
      <w:numFmt w:val="lowerLetter"/>
      <w:start w:val="2"/>
    </w:lvl>
  </w:abstractNum>
  <w:abstractNum w:abstractNumId="23">
    <w:nsid w:val="2463B9EA"/>
    <w:multiLevelType w:val="hybridMultilevel"/>
    <w:lvl w:ilvl="0">
      <w:lvlJc w:val="left"/>
      <w:lvlText w:val="(%1)"/>
      <w:numFmt w:val="lowerRoman"/>
      <w:start w:val="2"/>
    </w:lvl>
  </w:abstractNum>
  <w:abstractNum w:abstractNumId="24">
    <w:nsid w:val="5E884ADC"/>
    <w:multiLevelType w:val="hybridMultilevel"/>
    <w:lvl w:ilvl="0">
      <w:lvlJc w:val="left"/>
      <w:lvlText w:val="%1."/>
      <w:numFmt w:val="decimal"/>
      <w:start w:val="12"/>
    </w:lvl>
  </w:abstractNum>
  <w:abstractNum w:abstractNumId="25">
    <w:nsid w:val="51EAD36B"/>
    <w:multiLevelType w:val="hybridMultilevel"/>
    <w:lvl w:ilvl="0">
      <w:lvlJc w:val="left"/>
      <w:lvlText w:val="%1."/>
      <w:numFmt w:val="decimal"/>
      <w:start w:val="13"/>
    </w:lvl>
    <w:lvl w:ilvl="1">
      <w:lvlJc w:val="left"/>
      <w:lvlText w:val="(%2)"/>
      <w:numFmt w:val="lowerLetter"/>
      <w:start w:val="1"/>
    </w:lvl>
  </w:abstractNum>
  <w:abstractNum w:abstractNumId="26">
    <w:nsid w:val="2D517796"/>
    <w:multiLevelType w:val="hybridMultilevel"/>
    <w:lvl w:ilvl="0">
      <w:lvlJc w:val="left"/>
      <w:lvlText w:val="%1"/>
      <w:numFmt w:val="decimal"/>
      <w:start w:val="10"/>
    </w:lvl>
    <w:lvl w:ilvl="1">
      <w:lvlJc w:val="left"/>
      <w:lvlText w:val="(%2)"/>
      <w:numFmt w:val="lowerLetter"/>
      <w:start w:val="2"/>
    </w:lvl>
  </w:abstractNum>
  <w:abstractNum w:abstractNumId="27">
    <w:nsid w:val="580BD78F"/>
    <w:multiLevelType w:val="hybridMultilevel"/>
    <w:lvl w:ilvl="0">
      <w:lvlJc w:val="left"/>
      <w:lvlText w:val="%1"/>
      <w:numFmt w:val="decimal"/>
      <w:start w:val="1"/>
    </w:lvl>
    <w:lvl w:ilvl="1">
      <w:lvlJc w:val="left"/>
      <w:lvlText w:val="(%2)"/>
      <w:numFmt w:val="lowerLetter"/>
      <w:start w:val="6"/>
    </w:lvl>
  </w:abstractNum>
  <w:abstractNum w:abstractNumId="28">
    <w:nsid w:val="153EA438"/>
    <w:multiLevelType w:val="hybridMultilevel"/>
    <w:lvl w:ilvl="0">
      <w:lvlJc w:val="left"/>
      <w:lvlText w:val="%1."/>
      <w:numFmt w:val="decimal"/>
      <w:start w:val="14"/>
    </w:lvl>
    <w:lvl w:ilvl="1">
      <w:lvlJc w:val="left"/>
      <w:lvlText w:val="(%2)"/>
      <w:numFmt w:val="lowerLetter"/>
      <w:start w:val="1"/>
    </w:lvl>
  </w:abstractNum>
  <w:abstractNum w:abstractNumId="29">
    <w:nsid w:val="3855585C"/>
    <w:multiLevelType w:val="hybridMultilevel"/>
    <w:lvl w:ilvl="0">
      <w:lvlJc w:val="left"/>
      <w:lvlText w:val="%1"/>
      <w:numFmt w:val="decimal"/>
      <w:start w:val="1"/>
    </w:lvl>
    <w:lvl w:ilvl="1">
      <w:lvlJc w:val="left"/>
      <w:lvlText w:val="(%2)"/>
      <w:numFmt w:val="lowerLetter"/>
      <w:start w:val="2"/>
    </w:lvl>
  </w:abstractNum>
  <w:abstractNum w:abstractNumId="30">
    <w:nsid w:val="70A64E2A"/>
    <w:multiLevelType w:val="hybridMultilevel"/>
    <w:lvl w:ilvl="0">
      <w:lvlJc w:val="left"/>
      <w:lvlText w:val="%1."/>
      <w:numFmt w:val="decimal"/>
      <w:start w:val="20"/>
    </w:lvl>
    <w:lvl w:ilvl="1">
      <w:lvlJc w:val="left"/>
      <w:lvlText w:val="%2"/>
      <w:numFmt w:val="lowerLetter"/>
      <w:start w:val="1"/>
    </w:lvl>
  </w:abstractNum>
  <w:abstractNum w:abstractNumId="31">
    <w:nsid w:val="6A2342EC"/>
    <w:multiLevelType w:val="hybridMultilevel"/>
    <w:lvl w:ilvl="0">
      <w:lvlJc w:val="left"/>
      <w:lvlText w:val="%1."/>
      <w:numFmt w:val="decimal"/>
      <w:start w:val="24"/>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5"/>
    </w:lvl>
    <w:lvl w:ilvl="1">
      <w:lvlJc w:val="left"/>
      <w:lvlText w:val="(%2)"/>
      <w:numFmt w:val="lowerLetter"/>
      <w:start w:val="1"/>
    </w:lvl>
  </w:abstractNum>
  <w:abstractNum w:abstractNumId="34">
    <w:nsid w:val="725A06FB"/>
    <w:multiLevelType w:val="hybridMultilevel"/>
    <w:lvl w:ilvl="0">
      <w:lvlJc w:val="left"/>
      <w:lvlText w:val="1"/>
      <w:numFmt w:val="bullet"/>
      <w:start w:val="1"/>
    </w:lvl>
  </w:abstractNum>
  <w:abstractNum w:abstractNumId="35">
    <w:nsid w:val="2CD89A32"/>
    <w:multiLevelType w:val="hybridMultilevel"/>
    <w:lvl w:ilvl="0">
      <w:lvlJc w:val="left"/>
      <w:lvlText w:val="%1."/>
      <w:numFmt w:val="decimal"/>
      <w:start w:val="8"/>
    </w:lvl>
    <w:lvl w:ilvl="1">
      <w:lvlJc w:val="left"/>
      <w:lvlText w:val="(%2)"/>
      <w:numFmt w:val="lowerLetter"/>
      <w:start w:val="60"/>
    </w:lvl>
    <w:lvl w:ilvl="2">
      <w:lvlJc w:val="left"/>
      <w:lvlText w:val="(%3)"/>
      <w:numFmt w:val="lowerLetter"/>
      <w:start w:val="1"/>
    </w:lvl>
    <w:lvl w:ilvl="3">
      <w:lvlJc w:val="left"/>
      <w:lvlText w:val="%4"/>
      <w:numFmt w:val="lowerLetter"/>
      <w:start w:val="1"/>
    </w:lvl>
  </w:abstractNum>
  <w:abstractNum w:abstractNumId="36">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37">
    <w:nsid w:val="7A6D8D3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38">
    <w:nsid w:val="4B588F54"/>
    <w:multiLevelType w:val="hybridMultilevel"/>
    <w:lvl w:ilvl="0">
      <w:lvlJc w:val="left"/>
      <w:lvlText w:val="(%1)"/>
      <w:numFmt w:val="lowerRoman"/>
      <w:start w:val="2"/>
    </w:lvl>
  </w:abstractNum>
  <w:abstractNum w:abstractNumId="39">
    <w:nsid w:val="542289EC"/>
    <w:multiLevelType w:val="hybridMultilevel"/>
    <w:lvl w:ilvl="0">
      <w:lvlJc w:val="left"/>
      <w:lvlText w:val="%1"/>
      <w:numFmt w:val="decimal"/>
      <w:start w:val="1"/>
    </w:lvl>
    <w:lvl w:ilvl="1">
      <w:lvlJc w:val="left"/>
      <w:lvlText w:val="(%2)"/>
      <w:numFmt w:val="lowerLetter"/>
      <w:start w:val="2"/>
    </w:lvl>
  </w:abstractNum>
  <w:abstractNum w:abstractNumId="40">
    <w:nsid w:val="6DE91B18"/>
    <w:multiLevelType w:val="hybridMultilevel"/>
    <w:lvl w:ilvl="0">
      <w:lvlJc w:val="left"/>
      <w:lvlText w:val="%1."/>
      <w:numFmt w:val="decimal"/>
      <w:start w:val="10"/>
    </w:lvl>
    <w:lvl w:ilvl="1">
      <w:lvlJc w:val="left"/>
      <w:lvlText w:val="(%2)"/>
      <w:numFmt w:val="lowerLetter"/>
      <w:start w:val="1"/>
    </w:lvl>
  </w:abstractNum>
  <w:abstractNum w:abstractNumId="41">
    <w:nsid w:val="38437FDB"/>
    <w:multiLevelType w:val="hybridMultilevel"/>
    <w:lvl w:ilvl="0">
      <w:lvlJc w:val="left"/>
      <w:lvlText w:val="%1."/>
      <w:numFmt w:val="decimal"/>
      <w:start w:val="11"/>
    </w:lvl>
    <w:lvl w:ilvl="1">
      <w:lvlJc w:val="left"/>
      <w:lvlText w:val="(%2)"/>
      <w:numFmt w:val="lowerLetter"/>
      <w:start w:val="1"/>
    </w:lvl>
  </w:abstractNum>
  <w:abstractNum w:abstractNumId="42">
    <w:nsid w:val="7644A45C"/>
    <w:multiLevelType w:val="hybridMultilevel"/>
    <w:lvl w:ilvl="0">
      <w:lvlJc w:val="left"/>
      <w:lvlText w:val="(%1)"/>
      <w:numFmt w:val="lowerRoman"/>
      <w:start w:val="7"/>
    </w:lvl>
    <w:lvl w:ilvl="1">
      <w:lvlJc w:val="left"/>
      <w:lvlText w:val="(%2)"/>
      <w:numFmt w:val="lowerLetter"/>
      <w:start w:val="2"/>
    </w:lvl>
  </w:abstractNum>
  <w:abstractNum w:abstractNumId="43">
    <w:nsid w:val="32FFF902"/>
    <w:multiLevelType w:val="hybridMultilevel"/>
    <w:lvl w:ilvl="0">
      <w:lvlJc w:val="left"/>
      <w:lvlText w:val="%1."/>
      <w:numFmt w:val="decimal"/>
      <w:start w:val="13"/>
    </w:lvl>
  </w:abstractNum>
  <w:abstractNum w:abstractNumId="44">
    <w:nsid w:val="684A481A"/>
    <w:multiLevelType w:val="hybridMultilevel"/>
    <w:lvl w:ilvl="0">
      <w:lvlJc w:val="left"/>
      <w:lvlText w:val="%1."/>
      <w:numFmt w:val="decimal"/>
      <w:start w:val="15"/>
    </w:lvl>
    <w:lvl w:ilvl="1">
      <w:lvlJc w:val="left"/>
      <w:lvlText w:val="(%2)"/>
      <w:numFmt w:val="lowerLetter"/>
      <w:start w:val="1"/>
    </w:lvl>
  </w:abstractNum>
  <w:abstractNum w:abstractNumId="45">
    <w:nsid w:val="579478FE"/>
    <w:multiLevelType w:val="hybridMultilevel"/>
    <w:lvl w:ilvl="0">
      <w:lvlJc w:val="left"/>
      <w:lvlText w:val="%1."/>
      <w:numFmt w:val="decimal"/>
      <w:start w:val="21"/>
    </w:lvl>
  </w:abstractNum>
  <w:abstractNum w:abstractNumId="46">
    <w:nsid w:val="749ABB43"/>
    <w:multiLevelType w:val="hybridMultilevel"/>
    <w:lvl w:ilvl="0">
      <w:lvlJc w:val="left"/>
      <w:lvlText w:val="(%1)"/>
      <w:numFmt w:val="lowerRoman"/>
      <w:start w:val="2"/>
    </w:lvl>
  </w:abstractNum>
  <w:abstractNum w:abstractNumId="47">
    <w:nsid w:val="3DC240FB"/>
    <w:multiLevelType w:val="hybridMultilevel"/>
    <w:lvl w:ilvl="0">
      <w:lvlJc w:val="left"/>
      <w:lvlText w:val="%1"/>
      <w:numFmt w:val="lowerLetter"/>
      <w:start w:val="1"/>
    </w:lvl>
    <w:lvl w:ilvl="1">
      <w:lvlJc w:val="left"/>
      <w:lvlText w:val="%2."/>
      <w:numFmt w:val="decimal"/>
      <w:start w:val="1"/>
    </w:lvl>
  </w:abstractNum>
  <w:abstractNum w:abstractNumId="48">
    <w:nsid w:val="1BA026FA"/>
    <w:multiLevelType w:val="hybridMultilevel"/>
    <w:lvl w:ilvl="0">
      <w:lvlJc w:val="left"/>
      <w:lvlText w:val="(%1)"/>
      <w:numFmt w:val="lowerLetter"/>
      <w:start w:val="25"/>
    </w:lvl>
    <w:lvl w:ilvl="1">
      <w:lvlJc w:val="left"/>
      <w:lvlText w:val="%2."/>
      <w:numFmt w:val="decimal"/>
      <w:start w:val="2"/>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2024-11-05T08:16:00Z</dcterms:created>
  <dcterms:modified xsi:type="dcterms:W3CDTF">2024-11-05T08:16:00Z</dcterms:modified>
</cp:coreProperties>
</file>