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Blackwell Kimberly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19,872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9, 2023, or (b) the next annual meeting of stockholders, in each case subject to the Reporting Person's continued service through the applicable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Michael Diem, Attorney-in-  </w:t>
      </w:r>
      <w:r>
        <w:rPr>
          <w:rFonts w:ascii="Times New Roman" w:cs="Times New Roman" w:eastAsia="Times New Roman" w:hAnsi="Times New Roman"/>
          <w:sz w:val="33"/>
          <w:szCs w:val="33"/>
          <w:color w:val="0000FF"/>
          <w:vertAlign w:val="subscript"/>
        </w:rPr>
        <w:t>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646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2022-06-10T15:27:32Z</dcterms:created>
  <dcterms:modified xsi:type="dcterms:W3CDTF">2022-06-10T15:27:32Z</dcterms:modified>
</cp:coreProperties>
</file>