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6" w:lineRule="exact"/>
        <w:rPr>
          <w:sz w:val="24"/>
          <w:szCs w:val="24"/>
          <w:color w:val="auto"/>
        </w:rPr>
      </w:pPr>
    </w:p>
    <w:p>
      <w:pPr>
        <w:jc w:val="right"/>
        <w:ind w:right="359"/>
        <w:spacing w:after="0"/>
        <w:rPr>
          <w:sz w:val="20"/>
          <w:szCs w:val="20"/>
          <w:color w:val="auto"/>
        </w:rPr>
      </w:pPr>
      <w:r>
        <w:rPr>
          <w:rFonts w:ascii="Arial" w:cs="Arial" w:eastAsia="Arial" w:hAnsi="Arial"/>
          <w:sz w:val="16"/>
          <w:szCs w:val="16"/>
          <w:b w:val="1"/>
          <w:bCs w:val="1"/>
          <w:color w:val="auto"/>
        </w:rPr>
        <w:t> Filed Pursuant to Rule 424(b)(3)​</w:t>
      </w:r>
    </w:p>
    <w:p>
      <w:pPr>
        <w:jc w:val="right"/>
        <w:ind w:right="359"/>
        <w:spacing w:after="0"/>
        <w:rPr>
          <w:sz w:val="20"/>
          <w:szCs w:val="20"/>
          <w:color w:val="auto"/>
        </w:rPr>
      </w:pPr>
      <w:r>
        <w:rPr>
          <w:rFonts w:ascii="Arial" w:cs="Arial" w:eastAsia="Arial" w:hAnsi="Arial"/>
          <w:sz w:val="16"/>
          <w:szCs w:val="16"/>
          <w:b w:val="1"/>
          <w:bCs w:val="1"/>
          <w:color w:val="auto"/>
        </w:rPr>
        <w:t> Registration No. 333-279422​</w:t>
      </w:r>
    </w:p>
    <w:p>
      <w:pPr>
        <w:spacing w:after="0" w:line="187"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70" w:lineRule="exact"/>
        <w:rPr>
          <w:sz w:val="24"/>
          <w:szCs w:val="24"/>
          <w:color w:val="auto"/>
        </w:rPr>
      </w:pPr>
    </w:p>
    <w:p>
      <w:pPr>
        <w:ind w:left="1260"/>
        <w:spacing w:after="0"/>
        <w:rPr>
          <w:sz w:val="20"/>
          <w:szCs w:val="20"/>
          <w:color w:val="auto"/>
        </w:rPr>
      </w:pPr>
      <w:r>
        <w:rPr>
          <w:rFonts w:ascii="Arial" w:cs="Arial" w:eastAsia="Arial" w:hAnsi="Arial"/>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185420</wp:posOffset>
            </wp:positionV>
            <wp:extent cx="2768600" cy="745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3180"/>
        <w:spacing w:after="0"/>
        <w:rPr>
          <w:sz w:val="20"/>
          <w:szCs w:val="20"/>
          <w:color w:val="auto"/>
        </w:rPr>
      </w:pPr>
      <w:r>
        <w:rPr>
          <w:rFonts w:ascii="Arial" w:cs="Arial" w:eastAsia="Arial" w:hAnsi="Arial"/>
          <w:sz w:val="25"/>
          <w:szCs w:val="25"/>
          <w:b w:val="1"/>
          <w:bCs w:val="1"/>
          <w:color w:val="auto"/>
        </w:rPr>
        <w:t>15,873,011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184785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1260" w:right="459"/>
        <w:spacing w:after="0" w:line="259" w:lineRule="auto"/>
        <w:rPr>
          <w:sz w:val="20"/>
          <w:szCs w:val="20"/>
          <w:color w:val="auto"/>
        </w:rPr>
      </w:pPr>
      <w:r>
        <w:rPr>
          <w:rFonts w:ascii="Arial" w:cs="Arial" w:eastAsia="Arial" w:hAnsi="Arial"/>
          <w:sz w:val="17"/>
          <w:szCs w:val="17"/>
          <w:color w:val="auto"/>
        </w:rPr>
        <w:t>This prospectus relates to the offer and resale from time to time by the selling stockholders identified in this prospectus, or collectively the selling stockholders, of up to 15,873,011 shares of our common stock,</w:t>
      </w:r>
    </w:p>
    <w:p>
      <w:pPr>
        <w:spacing w:after="0" w:line="1" w:lineRule="exact"/>
        <w:rPr>
          <w:sz w:val="24"/>
          <w:szCs w:val="24"/>
          <w:color w:val="auto"/>
        </w:rPr>
      </w:pPr>
    </w:p>
    <w:p>
      <w:pPr>
        <w:ind w:left="1260" w:right="439"/>
        <w:spacing w:after="0"/>
        <w:rPr>
          <w:sz w:val="20"/>
          <w:szCs w:val="20"/>
          <w:color w:val="auto"/>
        </w:rPr>
      </w:pPr>
      <w:r>
        <w:rPr>
          <w:rFonts w:ascii="Arial" w:cs="Arial" w:eastAsia="Arial" w:hAnsi="Arial"/>
          <w:sz w:val="17"/>
          <w:szCs w:val="17"/>
          <w:color w:val="auto"/>
        </w:rPr>
        <w:t>par value $0.0001 per share, or the common stock. The shares offered by the selling stockholders consist of 15,873,011 shares that were issued in a private placement, or the Private Placement, pursuant</w:t>
      </w:r>
    </w:p>
    <w:p>
      <w:pPr>
        <w:spacing w:after="0" w:line="1" w:lineRule="exact"/>
        <w:rPr>
          <w:sz w:val="24"/>
          <w:szCs w:val="24"/>
          <w:color w:val="auto"/>
        </w:rPr>
      </w:pPr>
    </w:p>
    <w:p>
      <w:pPr>
        <w:ind w:left="1260" w:right="459"/>
        <w:spacing w:after="0" w:line="250" w:lineRule="auto"/>
        <w:rPr>
          <w:sz w:val="20"/>
          <w:szCs w:val="20"/>
          <w:color w:val="auto"/>
        </w:rPr>
      </w:pPr>
      <w:r>
        <w:rPr>
          <w:rFonts w:ascii="Arial" w:cs="Arial" w:eastAsia="Arial" w:hAnsi="Arial"/>
          <w:sz w:val="18"/>
          <w:szCs w:val="18"/>
          <w:color w:val="auto"/>
        </w:rPr>
        <w:t>to a securities purchase agreement, dated April 11, 2024, by and among the Company and the investors listed therein, or the Securities Purchase Agreement.</w:t>
      </w:r>
    </w:p>
    <w:p>
      <w:pPr>
        <w:spacing w:after="0" w:line="131" w:lineRule="exact"/>
        <w:rPr>
          <w:sz w:val="24"/>
          <w:szCs w:val="24"/>
          <w:color w:val="auto"/>
        </w:rPr>
      </w:pPr>
    </w:p>
    <w:p>
      <w:pPr>
        <w:ind w:left="1260" w:right="599"/>
        <w:spacing w:after="0" w:line="251" w:lineRule="auto"/>
        <w:rPr>
          <w:sz w:val="20"/>
          <w:szCs w:val="20"/>
          <w:color w:val="auto"/>
        </w:rPr>
      </w:pPr>
      <w:r>
        <w:rPr>
          <w:rFonts w:ascii="Arial" w:cs="Arial" w:eastAsia="Arial" w:hAnsi="Arial"/>
          <w:sz w:val="17"/>
          <w:szCs w:val="17"/>
          <w:color w:val="auto"/>
        </w:rPr>
        <w:t>The shares of common stock described in this prospectus or in any supplement to this prospectus may be sold from time to time pursuant to this prospectus by the selling stockholders in ordinary brokerage</w:t>
      </w:r>
    </w:p>
    <w:p>
      <w:pPr>
        <w:ind w:left="1260"/>
        <w:spacing w:after="0" w:line="235" w:lineRule="auto"/>
        <w:rPr>
          <w:sz w:val="20"/>
          <w:szCs w:val="20"/>
          <w:color w:val="auto"/>
        </w:rPr>
      </w:pPr>
      <w:r>
        <w:rPr>
          <w:rFonts w:ascii="Arial" w:cs="Arial" w:eastAsia="Arial" w:hAnsi="Arial"/>
          <w:sz w:val="18"/>
          <w:szCs w:val="18"/>
          <w:color w:val="auto"/>
        </w:rPr>
        <w:t>transactions, in transactions in which brokers solicit purchases, in negotiated transactions, or in a</w:t>
      </w:r>
    </w:p>
    <w:p>
      <w:pPr>
        <w:ind w:left="1260" w:right="599"/>
        <w:spacing w:after="0"/>
        <w:rPr>
          <w:sz w:val="20"/>
          <w:szCs w:val="20"/>
          <w:color w:val="auto"/>
        </w:rPr>
      </w:pPr>
      <w:r>
        <w:rPr>
          <w:rFonts w:ascii="Arial" w:cs="Arial" w:eastAsia="Arial" w:hAnsi="Arial"/>
          <w:sz w:val="17"/>
          <w:szCs w:val="17"/>
          <w:color w:val="auto"/>
        </w:rPr>
        <w:t>combination of such methods of sale, at market prices prevailing at the time of sale, at prices related to such prevailing market prices, at fixed prices or prices subject to change, or at negotiated prices. See</w:t>
      </w:r>
    </w:p>
    <w:p>
      <w:pPr>
        <w:spacing w:after="0" w:line="1"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“Plan of Distribution” for more information about how the selling stockholders may sell or dispose of their</w:t>
      </w:r>
    </w:p>
    <w:p>
      <w:pPr>
        <w:spacing w:after="0" w:line="7" w:lineRule="exact"/>
        <w:rPr>
          <w:sz w:val="24"/>
          <w:szCs w:val="24"/>
          <w:color w:val="auto"/>
        </w:rPr>
      </w:pPr>
    </w:p>
    <w:p>
      <w:pPr>
        <w:ind w:left="1260" w:right="579"/>
        <w:spacing w:after="0" w:line="237" w:lineRule="auto"/>
        <w:rPr>
          <w:sz w:val="20"/>
          <w:szCs w:val="20"/>
          <w:color w:val="auto"/>
        </w:rPr>
      </w:pPr>
      <w:r>
        <w:rPr>
          <w:rFonts w:ascii="Arial" w:cs="Arial" w:eastAsia="Arial" w:hAnsi="Arial"/>
          <w:sz w:val="18"/>
          <w:szCs w:val="18"/>
          <w:color w:val="auto"/>
        </w:rPr>
        <w:t>shares of common stock. We cannot predict when or in what amounts the selling stockholders may sell any of the shares offered by this prospectus.</w:t>
      </w:r>
    </w:p>
    <w:p>
      <w:pPr>
        <w:spacing w:after="0" w:line="140"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We are not selling any shares of our common stock, and we will not receive any of the proceeds from the</w:t>
      </w:r>
    </w:p>
    <w:p>
      <w:pPr>
        <w:spacing w:after="0" w:line="25" w:lineRule="exact"/>
        <w:rPr>
          <w:sz w:val="24"/>
          <w:szCs w:val="24"/>
          <w:color w:val="auto"/>
        </w:rPr>
      </w:pPr>
    </w:p>
    <w:p>
      <w:pPr>
        <w:ind w:left="1260" w:right="979"/>
        <w:spacing w:after="0" w:line="237" w:lineRule="auto"/>
        <w:rPr>
          <w:sz w:val="20"/>
          <w:szCs w:val="20"/>
          <w:color w:val="auto"/>
        </w:rPr>
      </w:pPr>
      <w:r>
        <w:rPr>
          <w:rFonts w:ascii="Arial" w:cs="Arial" w:eastAsia="Arial" w:hAnsi="Arial"/>
          <w:sz w:val="18"/>
          <w:szCs w:val="18"/>
          <w:color w:val="auto"/>
        </w:rPr>
        <w:t>sale of shares by the selling stockholders. The selling stockholders will pay all brokerage fees and commissions and similar sale-related expenses.</w:t>
      </w:r>
    </w:p>
    <w:p>
      <w:pPr>
        <w:spacing w:after="0" w:line="140" w:lineRule="exact"/>
        <w:rPr>
          <w:sz w:val="24"/>
          <w:szCs w:val="24"/>
          <w:color w:val="auto"/>
        </w:rPr>
      </w:pPr>
    </w:p>
    <w:p>
      <w:pPr>
        <w:ind w:left="1260" w:right="599"/>
        <w:spacing w:after="0" w:line="271" w:lineRule="auto"/>
        <w:rPr>
          <w:sz w:val="20"/>
          <w:szCs w:val="20"/>
          <w:color w:val="auto"/>
        </w:rPr>
      </w:pPr>
      <w:r>
        <w:rPr>
          <w:rFonts w:ascii="Arial" w:cs="Arial" w:eastAsia="Arial" w:hAnsi="Arial"/>
          <w:sz w:val="18"/>
          <w:szCs w:val="18"/>
          <w:color w:val="auto"/>
        </w:rPr>
        <w:t>Our common stock is listed on the Nasdaq Global Select Market, or Nasdaq, under the symbol “IPSC.” On May 20, 2024, the closing price of our common stock on Nasdaq was $3.00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212090</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We are an emerging growth company and a smaller reporting company as defined under federal</w:t>
      </w:r>
    </w:p>
    <w:p>
      <w:pPr>
        <w:spacing w:after="0" w:line="14" w:lineRule="exact"/>
        <w:rPr>
          <w:sz w:val="24"/>
          <w:szCs w:val="24"/>
          <w:color w:val="auto"/>
        </w:rPr>
      </w:pPr>
    </w:p>
    <w:p>
      <w:pPr>
        <w:ind w:left="1260" w:right="1199"/>
        <w:spacing w:after="0" w:line="244" w:lineRule="auto"/>
        <w:rPr>
          <w:sz w:val="20"/>
          <w:szCs w:val="20"/>
          <w:color w:val="auto"/>
        </w:rPr>
      </w:pPr>
      <w:r>
        <w:rPr>
          <w:rFonts w:ascii="Arial" w:cs="Arial" w:eastAsia="Arial" w:hAnsi="Arial"/>
          <w:sz w:val="18"/>
          <w:szCs w:val="18"/>
          <w:b w:val="1"/>
          <w:bCs w:val="1"/>
          <w:color w:val="auto"/>
        </w:rPr>
        <w:t>securities laws and, as such, may elect to comply with certain reduced public company reporting requirements for future filings.</w:t>
      </w:r>
    </w:p>
    <w:p>
      <w:pPr>
        <w:spacing w:after="0" w:line="101" w:lineRule="exact"/>
        <w:rPr>
          <w:sz w:val="24"/>
          <w:szCs w:val="24"/>
          <w:color w:val="auto"/>
        </w:rPr>
      </w:pPr>
    </w:p>
    <w:p>
      <w:pPr>
        <w:ind w:left="1260" w:right="719"/>
        <w:spacing w:after="0" w:line="237" w:lineRule="auto"/>
        <w:rPr>
          <w:sz w:val="20"/>
          <w:szCs w:val="20"/>
          <w:color w:val="auto"/>
        </w:rPr>
      </w:pPr>
      <w:r>
        <w:rPr>
          <w:rFonts w:ascii="Arial" w:cs="Arial" w:eastAsia="Arial" w:hAnsi="Arial"/>
          <w:sz w:val="18"/>
          <w:szCs w:val="18"/>
          <w:b w:val="1"/>
          <w:bCs w:val="1"/>
          <w:color w:val="auto"/>
        </w:rPr>
        <w:t xml:space="preserve">INVESTING IN OUR SECURITIES INVOLVES RISKS. SEE THE “RISK FACTORS” ON PAGE </w:t>
      </w:r>
      <w:r>
        <w:rPr>
          <w:rFonts w:ascii="Arial" w:cs="Arial" w:eastAsia="Arial" w:hAnsi="Arial"/>
          <w:sz w:val="18"/>
          <w:szCs w:val="18"/>
          <w:b w:val="1"/>
          <w:bCs w:val="1"/>
          <w:u w:val="single" w:color="auto"/>
          <w:color w:val="0000EE"/>
        </w:rPr>
        <w:t>7</w:t>
      </w:r>
      <w:r>
        <w:rPr>
          <w:rFonts w:ascii="Arial" w:cs="Arial" w:eastAsia="Arial" w:hAnsi="Arial"/>
          <w:sz w:val="18"/>
          <w:szCs w:val="18"/>
          <w:b w:val="1"/>
          <w:bCs w:val="1"/>
          <w:color w:val="auto"/>
        </w:rPr>
        <w:t xml:space="preserve"> OF THIS PROSPECTUS AND ANY SIMILAR SECTION CONTAINED IN ANY APPLICABLE</w:t>
      </w:r>
    </w:p>
    <w:p>
      <w:pPr>
        <w:ind w:left="1260"/>
        <w:spacing w:after="0" w:line="235" w:lineRule="auto"/>
        <w:rPr>
          <w:sz w:val="20"/>
          <w:szCs w:val="20"/>
          <w:color w:val="auto"/>
        </w:rPr>
      </w:pPr>
      <w:r>
        <w:rPr>
          <w:rFonts w:ascii="Arial" w:cs="Arial" w:eastAsia="Arial" w:hAnsi="Arial"/>
          <w:sz w:val="18"/>
          <w:szCs w:val="18"/>
          <w:b w:val="1"/>
          <w:bCs w:val="1"/>
          <w:color w:val="auto"/>
        </w:rPr>
        <w:t>PROSPECTUS SUPPLEMENT OR IN ANY DOCUMENTS INCORPORATED BY REFERENCE</w:t>
      </w:r>
    </w:p>
    <w:p>
      <w:pPr>
        <w:spacing w:after="0" w:line="1" w:lineRule="exact"/>
        <w:rPr>
          <w:sz w:val="24"/>
          <w:szCs w:val="24"/>
          <w:color w:val="auto"/>
        </w:rPr>
      </w:pPr>
    </w:p>
    <w:p>
      <w:pPr>
        <w:ind w:left="1260" w:right="559"/>
        <w:spacing w:after="0" w:line="244" w:lineRule="auto"/>
        <w:rPr>
          <w:sz w:val="20"/>
          <w:szCs w:val="20"/>
          <w:color w:val="auto"/>
        </w:rPr>
      </w:pPr>
      <w:r>
        <w:rPr>
          <w:rFonts w:ascii="Arial" w:cs="Arial" w:eastAsia="Arial" w:hAnsi="Arial"/>
          <w:sz w:val="18"/>
          <w:szCs w:val="18"/>
          <w:b w:val="1"/>
          <w:bCs w:val="1"/>
          <w:color w:val="auto"/>
        </w:rPr>
        <w:t>HEREIN AND THEREIN CONCERNING FACTORS YOU SHOULD CONSIDER BEFORE INVESTING IN OUR SECURITIES.</w:t>
      </w:r>
    </w:p>
    <w:p>
      <w:pPr>
        <w:spacing w:after="0" w:line="101" w:lineRule="exact"/>
        <w:rPr>
          <w:sz w:val="24"/>
          <w:szCs w:val="24"/>
          <w:color w:val="auto"/>
        </w:rPr>
      </w:pPr>
    </w:p>
    <w:p>
      <w:pPr>
        <w:ind w:left="1260" w:right="619"/>
        <w:spacing w:after="0" w:line="25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w:t>
      </w:r>
    </w:p>
    <w:p>
      <w:pPr>
        <w:spacing w:after="0" w:line="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237490</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3700"/>
        <w:spacing w:after="0"/>
        <w:rPr>
          <w:sz w:val="20"/>
          <w:szCs w:val="20"/>
          <w:color w:val="auto"/>
        </w:rPr>
      </w:pPr>
      <w:r>
        <w:rPr>
          <w:rFonts w:ascii="Arial" w:cs="Arial" w:eastAsia="Arial" w:hAnsi="Arial"/>
          <w:sz w:val="16"/>
          <w:szCs w:val="16"/>
          <w:b w:val="1"/>
          <w:bCs w:val="1"/>
          <w:color w:val="auto"/>
        </w:rPr>
        <w:t>The date of this prospectus is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8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820" w:type="dxa"/>
            <w:vAlign w:val="bottom"/>
            <w:gridSpan w:val="13"/>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13"/>
          </w:tcPr>
          <w:p>
            <w:pPr>
              <w:spacing w:after="0" w:line="202" w:lineRule="exact"/>
              <w:rPr>
                <w:sz w:val="20"/>
                <w:szCs w:val="20"/>
                <w:color w:val="auto"/>
              </w:rPr>
            </w:pPr>
            <w:r>
              <w:rPr>
                <w:rFonts w:ascii="Arial" w:cs="Arial" w:eastAsia="Arial" w:hAnsi="Arial"/>
                <w:sz w:val="18"/>
                <w:szCs w:val="18"/>
                <w:color w:val="0000EE"/>
              </w:rPr>
              <w:t>CAUTIONARY NOTE REGARDING FORWARD-LOOKING STATEMENTS</w:t>
            </w:r>
          </w:p>
        </w:tc>
        <w:tc>
          <w:tcPr>
            <w:tcW w:w="1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line="202"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7"/>
        </w:trPr>
        <w:tc>
          <w:tcPr>
            <w:tcW w:w="588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RISK FACTORS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0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SELLING STOCKHOLDERS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9</w:t>
            </w:r>
          </w:p>
        </w:tc>
        <w:tc>
          <w:tcPr>
            <w:tcW w:w="0" w:type="dxa"/>
            <w:vAlign w:val="bottom"/>
          </w:tcPr>
          <w:p>
            <w:pPr>
              <w:spacing w:after="0"/>
              <w:rPr>
                <w:sz w:val="1"/>
                <w:szCs w:val="1"/>
                <w:color w:val="auto"/>
              </w:rPr>
            </w:pPr>
          </w:p>
        </w:tc>
      </w:tr>
      <w:tr>
        <w:trPr>
          <w:trHeight w:val="27"/>
        </w:trPr>
        <w:tc>
          <w:tcPr>
            <w:tcW w:w="226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8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DESCRIPTION OF CAPITAL STOCK</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14</w:t>
            </w:r>
          </w:p>
        </w:tc>
        <w:tc>
          <w:tcPr>
            <w:tcW w:w="0" w:type="dxa"/>
            <w:vAlign w:val="bottom"/>
          </w:tcPr>
          <w:p>
            <w:pPr>
              <w:spacing w:after="0"/>
              <w:rPr>
                <w:sz w:val="1"/>
                <w:szCs w:val="1"/>
                <w:color w:val="auto"/>
              </w:rPr>
            </w:pPr>
          </w:p>
        </w:tc>
      </w:tr>
      <w:tr>
        <w:trPr>
          <w:trHeight w:val="27"/>
        </w:trPr>
        <w:tc>
          <w:tcPr>
            <w:tcW w:w="2940" w:type="dxa"/>
            <w:vAlign w:val="bottom"/>
            <w:gridSpan w:val="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460" w:type="dxa"/>
            <w:vAlign w:val="bottom"/>
            <w:tcBorders>
              <w:bottom w:val="single" w:sz="8" w:color="CCEEFF"/>
            </w:tcBorders>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380" w:type="dxa"/>
            <w:vAlign w:val="bottom"/>
            <w:tcBorders>
              <w:bottom w:val="single" w:sz="8" w:color="CCEEFF"/>
            </w:tcBorders>
            <w:gridSpan w:val="7"/>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EXPERTS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18</w:t>
            </w: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020" w:type="dxa"/>
            <w:vAlign w:val="bottom"/>
            <w:gridSpan w:val="9"/>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19</w:t>
            </w:r>
          </w:p>
        </w:tc>
        <w:tc>
          <w:tcPr>
            <w:tcW w:w="0" w:type="dxa"/>
            <w:vAlign w:val="bottom"/>
          </w:tcPr>
          <w:p>
            <w:pPr>
              <w:spacing w:after="0"/>
              <w:rPr>
                <w:sz w:val="1"/>
                <w:szCs w:val="1"/>
                <w:color w:val="auto"/>
              </w:rPr>
            </w:pPr>
          </w:p>
        </w:tc>
      </w:tr>
      <w:tr>
        <w:trPr>
          <w:trHeight w:val="27"/>
        </w:trPr>
        <w:tc>
          <w:tcPr>
            <w:tcW w:w="5300" w:type="dxa"/>
            <w:vAlign w:val="bottom"/>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5790565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333"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pursuant to which the selling stockholders named herein may, from time to time, offer and sell or otherwise dispose of the shares of our common stock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p>
    <w:p>
      <w:pPr>
        <w:spacing w:after="0" w:line="56"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p>
    <w:p>
      <w:pPr>
        <w:spacing w:after="0" w:line="56"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p>
    <w:p>
      <w:pPr>
        <w:spacing w:after="0" w:line="57"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51"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Unless otherwise indicated or the context otherwise requires, when we refer to “Century,” “we,” “our,” “us” and the “Company” in this prospectus, we mean Century Therapeutics, Inc., and its wholly owned subsidiaries unless otherwise specified. When we refer to “you,” we mean the potential holders of the applicable series of securities.</w:t>
      </w:r>
    </w:p>
    <w:p>
      <w:pPr>
        <w:spacing w:after="0" w:line="49"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including those regarding our strategy, future operations, future financial position, future revenues, projected costs, prospects, plans and objectives of management,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 looking statements, although not all forward 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 Forward-looking statements include, but are not limited to, statements concerning:</w:t>
      </w:r>
    </w:p>
    <w:p>
      <w:pPr>
        <w:spacing w:after="0" w:line="9" w:lineRule="exact"/>
        <w:rPr>
          <w:sz w:val="20"/>
          <w:szCs w:val="20"/>
          <w:color w:val="auto"/>
        </w:rPr>
      </w:pPr>
    </w:p>
    <w:p>
      <w:pPr>
        <w:ind w:left="1620" w:right="81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ind w:left="1620" w:right="65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ind w:left="1620" w:right="79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ind w:left="1620" w:right="619" w:hanging="360"/>
        <w:spacing w:after="0" w:line="273"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36" w:lineRule="exact"/>
        <w:rPr>
          <w:rFonts w:ascii="Arial" w:cs="Arial" w:eastAsia="Arial" w:hAnsi="Arial"/>
          <w:sz w:val="18"/>
          <w:szCs w:val="18"/>
          <w:color w:val="auto"/>
        </w:rPr>
      </w:pPr>
    </w:p>
    <w:p>
      <w:pPr>
        <w:ind w:left="1620" w:right="859" w:hanging="360"/>
        <w:spacing w:after="0" w:line="260"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or iNK cells, and iPSC-derived T cells, or iT cells, and the challenges we will face due to the novel nature of such technology;</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jc w:val="both"/>
        <w:ind w:left="1620" w:right="499" w:hanging="360"/>
        <w:spacing w:after="0" w:line="260"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2" w:lineRule="exact"/>
        <w:rPr>
          <w:rFonts w:ascii="Arial" w:cs="Arial" w:eastAsia="Arial" w:hAnsi="Arial"/>
          <w:sz w:val="18"/>
          <w:szCs w:val="18"/>
          <w:color w:val="auto"/>
        </w:rPr>
      </w:pPr>
    </w:p>
    <w:p>
      <w:pPr>
        <w:ind w:left="1620" w:right="67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ind w:left="1620" w:right="639" w:hanging="360"/>
        <w:spacing w:after="0" w:line="290" w:lineRule="auto"/>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timing of future investigational new drug, or IND, applications and the likelihood of, and our ability to obtain and maintain, regulatory clearance of IND applications for our product candidates;</w:t>
      </w:r>
    </w:p>
    <w:p>
      <w:pPr>
        <w:ind w:left="1620" w:right="109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ind w:left="1620" w:right="499" w:hanging="360"/>
        <w:spacing w:after="0" w:line="266"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ind w:left="1620" w:right="439" w:hanging="360"/>
        <w:spacing w:after="0" w:line="281" w:lineRule="auto"/>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reliance on the maintenance of our collaborative relationship with Bristol-Myers Squibb Company, or Bristol-Myers Squibb, in connection with the furtherance of our collaboration programs;</w:t>
      </w:r>
    </w:p>
    <w:p>
      <w:pPr>
        <w:spacing w:after="0" w:line="1" w:lineRule="exact"/>
        <w:rPr>
          <w:rFonts w:ascii="Arial" w:cs="Arial" w:eastAsia="Arial" w:hAnsi="Arial"/>
          <w:sz w:val="17"/>
          <w:szCs w:val="17"/>
          <w:color w:val="auto"/>
        </w:rPr>
      </w:pPr>
    </w:p>
    <w:p>
      <w:pPr>
        <w:ind w:left="1620" w:right="839" w:hanging="360"/>
        <w:spacing w:after="0" w:line="273"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with the operations of Clade Therapeutics, Inc. following the acquisition and achieve the anticipated benefits of the acquisition;</w:t>
      </w:r>
    </w:p>
    <w:p>
      <w:pPr>
        <w:spacing w:after="0" w:line="1" w:lineRule="exact"/>
        <w:rPr>
          <w:rFonts w:ascii="Arial" w:cs="Arial" w:eastAsia="Arial" w:hAnsi="Arial"/>
          <w:sz w:val="18"/>
          <w:szCs w:val="18"/>
          <w:color w:val="auto"/>
        </w:rPr>
      </w:pPr>
    </w:p>
    <w:p>
      <w:pPr>
        <w:ind w:left="1620" w:right="519" w:hanging="360"/>
        <w:spacing w:after="0" w:line="260"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2" w:lineRule="exact"/>
        <w:rPr>
          <w:rFonts w:ascii="Arial" w:cs="Arial" w:eastAsia="Arial" w:hAnsi="Arial"/>
          <w:sz w:val="18"/>
          <w:szCs w:val="18"/>
          <w:color w:val="auto"/>
        </w:rPr>
      </w:pPr>
    </w:p>
    <w:p>
      <w:pPr>
        <w:ind w:left="1620" w:right="1459" w:hanging="360"/>
        <w:spacing w:after="0" w:line="28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5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 w:lineRule="exact"/>
        <w:rPr>
          <w:rFonts w:ascii="Arial" w:cs="Arial" w:eastAsia="Arial" w:hAnsi="Arial"/>
          <w:sz w:val="18"/>
          <w:szCs w:val="18"/>
          <w:color w:val="auto"/>
        </w:rPr>
      </w:pPr>
    </w:p>
    <w:p>
      <w:pPr>
        <w:ind w:left="1620" w:right="6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ind w:left="1620" w:right="5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49" w:lineRule="exact"/>
        <w:rPr>
          <w:rFonts w:ascii="Arial" w:cs="Arial" w:eastAsia="Arial" w:hAnsi="Arial"/>
          <w:sz w:val="18"/>
          <w:szCs w:val="18"/>
          <w:color w:val="auto"/>
        </w:rPr>
      </w:pPr>
    </w:p>
    <w:p>
      <w:pPr>
        <w:ind w:left="1620" w:right="439" w:hanging="360"/>
        <w:spacing w:after="0" w:line="258"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ind w:left="1620" w:right="109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 w:lineRule="exact"/>
        <w:rPr>
          <w:rFonts w:ascii="Arial" w:cs="Arial" w:eastAsia="Arial" w:hAnsi="Arial"/>
          <w:sz w:val="18"/>
          <w:szCs w:val="18"/>
          <w:color w:val="auto"/>
        </w:rPr>
      </w:pPr>
    </w:p>
    <w:p>
      <w:pPr>
        <w:ind w:left="1620" w:right="979" w:hanging="360"/>
        <w:spacing w:after="0" w:line="290"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jc w:val="both"/>
        <w:ind w:left="1620" w:right="55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49"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2023,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04" w:lineRule="exact"/>
        <w:rPr>
          <w:sz w:val="20"/>
          <w:szCs w:val="20"/>
          <w:color w:val="auto"/>
        </w:rPr>
      </w:pPr>
    </w:p>
    <w:p>
      <w:pPr>
        <w:ind w:left="1260" w:right="879"/>
        <w:spacing w:after="0" w:line="26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ABOUT THE COMPANY</w:t>
      </w:r>
    </w:p>
    <w:p>
      <w:pPr>
        <w:spacing w:after="0" w:line="335"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2" w:lineRule="exact"/>
        <w:rPr>
          <w:sz w:val="20"/>
          <w:szCs w:val="20"/>
          <w:color w:val="auto"/>
        </w:rPr>
      </w:pPr>
    </w:p>
    <w:p>
      <w:pPr>
        <w:ind w:left="1620" w:right="579" w:hanging="360"/>
        <w:spacing w:after="0" w:line="266"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ind w:left="1620" w:right="779" w:hanging="360"/>
        <w:spacing w:after="0" w:line="260"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spacing w:after="0" w:line="2" w:lineRule="exact"/>
        <w:rPr>
          <w:rFonts w:ascii="Arial" w:cs="Arial" w:eastAsia="Arial" w:hAnsi="Arial"/>
          <w:sz w:val="18"/>
          <w:szCs w:val="18"/>
          <w:color w:val="auto"/>
        </w:rPr>
      </w:pPr>
    </w:p>
    <w:p>
      <w:pPr>
        <w:ind w:left="1620" w:right="97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 w:lineRule="exact"/>
        <w:rPr>
          <w:rFonts w:ascii="Arial" w:cs="Arial" w:eastAsia="Arial" w:hAnsi="Arial"/>
          <w:sz w:val="18"/>
          <w:szCs w:val="18"/>
          <w:color w:val="auto"/>
        </w:rPr>
      </w:pPr>
    </w:p>
    <w:p>
      <w:pPr>
        <w:ind w:left="1620" w:right="599" w:hanging="360"/>
        <w:spacing w:after="0" w:line="266"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proprietary Allo-Evasion™ technology intended to prevent rejection of our cell products by the host immune system; and</w:t>
      </w:r>
    </w:p>
    <w:p>
      <w:pPr>
        <w:ind w:left="1620" w:hanging="360"/>
        <w:spacing w:after="0"/>
        <w:tabs>
          <w:tab w:leader="none" w:pos="1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Cutting edge manufacturing capabilities intended to minimize product development and supply risk.</w:t>
      </w:r>
    </w:p>
    <w:p>
      <w:pPr>
        <w:spacing w:after="0" w:line="169"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iNK cells and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whose members collectively have decades of experience in cell therapy and drug development, manufacturing, and commercialization.</w:t>
      </w:r>
    </w:p>
    <w:p>
      <w:pPr>
        <w:spacing w:after="0" w:line="101"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w:t>
      </w: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399"/>
        <w:spacing w:after="0" w:line="283" w:lineRule="auto"/>
        <w:rPr>
          <w:sz w:val="20"/>
          <w:szCs w:val="20"/>
          <w:color w:val="auto"/>
        </w:rPr>
      </w:pPr>
      <w:r>
        <w:rPr>
          <w:rFonts w:ascii="Arial" w:cs="Arial" w:eastAsia="Arial" w:hAnsi="Arial"/>
          <w:sz w:val="17"/>
          <w:szCs w:val="17"/>
          <w:color w:val="auto"/>
        </w:rPr>
        <w:t>of technologies that bring together a preeminent iPSC-derived allogeneic cell therapy platform with highly advanced cell engineering and manufacturing capabilities. We believe this unique combination puts us in a position to change the oncology and autoimmune and inflammatory treatment paradigm and market.</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Private Placement</w:t>
      </w:r>
    </w:p>
    <w:p>
      <w:pPr>
        <w:spacing w:after="0" w:line="90"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On April 11, 2024, we entered into the Securities Purchase Agreement with the selling stockholders, pursuant to which we agreed to issue and sell to the selling stockholders in a private placement an aggregate of 15,873,011 shares of common stock at a price of $3.78 per share, or the Private Placement Shares. The aggregate gross proceeds for the sale of the shares of common stock was approximately $60 million, and after deducting certain of our expenses, the net proceeds received by us in the Private Placement was $56.7 million.</w:t>
      </w:r>
    </w:p>
    <w:p>
      <w:pPr>
        <w:spacing w:after="0" w:line="109"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Concurrently with the execution of the Securities Purchase Agreement, we entered into a registration rights agreement, or the Registration Rights Agreement with the selling stockholders, pursuant to which we agreed to register for resale the Private Placement Shares no later than 30 days following the closing of the Private Placement. We agreed to use commercially reasonable efforts to have the registration statement declared effective as soon as practicable after the filing. This prospectus is part of that registration statement.</w:t>
      </w:r>
    </w:p>
    <w:p>
      <w:pPr>
        <w:spacing w:after="0" w:line="107" w:lineRule="exact"/>
        <w:rPr>
          <w:sz w:val="20"/>
          <w:szCs w:val="20"/>
          <w:color w:val="auto"/>
        </w:rPr>
      </w:pPr>
    </w:p>
    <w:p>
      <w:pPr>
        <w:ind w:left="1260" w:right="659"/>
        <w:spacing w:after="0" w:line="265" w:lineRule="auto"/>
        <w:rPr>
          <w:sz w:val="20"/>
          <w:szCs w:val="20"/>
          <w:color w:val="auto"/>
        </w:rPr>
      </w:pPr>
      <w:r>
        <w:rPr>
          <w:rFonts w:ascii="Arial" w:cs="Arial" w:eastAsia="Arial" w:hAnsi="Arial"/>
          <w:sz w:val="17"/>
          <w:szCs w:val="17"/>
          <w:color w:val="auto"/>
        </w:rPr>
        <w:t>Under the Registration Rights Agreement, we also agreed to maintain the effectiveness of the registration statement until the earliest to occur of: (i) April 15, 2029, and (ii) the date that all Private Placement Shares covered by the registration statement are sold or are able to be sold by the holders thereof by relying on Rule 144 under the Securities Act of 1933, as amended, or the Securities Act, without any restriction, including volume limitation. We have agreed to be responsible for all fees and expenses incurred in connection with the registration of the Private Placement Shares.</w:t>
      </w:r>
    </w:p>
    <w:p>
      <w:pPr>
        <w:spacing w:after="0" w:line="95"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auto"/>
        </w:rPr>
        <w:t>The description of the Securities Purchase Agreement and the Registration Rights Agreement are not complete and are qualified in their entirety by reference to the Securities Purchase Agreement and the Registration Rights Agreement, each of which have been filed as exhibits to our Current Report on Form 8-K filed on April 11, 2024. See “Where You Can Find More Information” and “Information Incorporated by Reference.” The representations, warranties and covenants made by us in such agreements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Our primary executive offices are located at 25 North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7" w:lineRule="exact"/>
        <w:rPr>
          <w:sz w:val="20"/>
          <w:szCs w:val="20"/>
          <w:color w:val="auto"/>
        </w:rPr>
      </w:pPr>
    </w:p>
    <w:p>
      <w:pPr>
        <w:ind w:left="1260" w:right="399"/>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w:t>
      </w:r>
    </w:p>
    <w:p>
      <w:pPr>
        <w:spacing w:after="0" w:line="2" w:lineRule="exact"/>
        <w:rPr>
          <w:sz w:val="20"/>
          <w:szCs w:val="20"/>
          <w:color w:val="auto"/>
        </w:rPr>
      </w:pPr>
    </w:p>
    <w:p>
      <w:pPr>
        <w:ind w:left="1260" w:right="639"/>
        <w:spacing w:after="0" w:line="242" w:lineRule="auto"/>
        <w:tabs>
          <w:tab w:leader="none" w:pos="15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113" w:lineRule="exact"/>
        <w:rPr>
          <w:sz w:val="20"/>
          <w:szCs w:val="20"/>
          <w:color w:val="auto"/>
        </w:rPr>
      </w:pPr>
    </w:p>
    <w:p>
      <w:pPr>
        <w:ind w:left="1260" w:right="439"/>
        <w:spacing w:after="0" w:line="318" w:lineRule="auto"/>
        <w:rPr>
          <w:sz w:val="20"/>
          <w:szCs w:val="20"/>
          <w:color w:val="auto"/>
        </w:rPr>
      </w:pPr>
      <w:r>
        <w:rPr>
          <w:rFonts w:ascii="Arial" w:cs="Arial" w:eastAsia="Arial" w:hAnsi="Arial"/>
          <w:sz w:val="17"/>
          <w:szCs w:val="17"/>
          <w:color w:val="auto"/>
        </w:rPr>
        <w:t>For as long as we remain an “emerging growth company,” we may take advantage of certain exemptions from various reporting requirements that are applicable to public companies that are not “emerging</w:t>
      </w: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5"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1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ind w:left="1260" w:right="499"/>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Investing in our common stock involves a high degree of risk. Before making a decision to invest in our common stock, in addition to the other information contained in this prospectus, in any accompanying prospectus supplement or incorporated by reference herein or therein, you should carefully consider the </w:t>
      </w:r>
      <w:hyperlink r:id="rId21">
        <w:r>
          <w:rPr>
            <w:rFonts w:ascii="Arial" w:cs="Arial" w:eastAsia="Arial" w:hAnsi="Arial"/>
            <w:sz w:val="17"/>
            <w:szCs w:val="17"/>
            <w:color w:val="auto"/>
          </w:rPr>
          <w:t xml:space="preserve">risks set forth below and the risks described under “Risk Factors” contained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Form 10-K for the year ended December 31, 2023</w:t>
        </w:r>
        <w:r>
          <w:rPr>
            <w:rFonts w:ascii="Arial" w:cs="Arial" w:eastAsia="Arial" w:hAnsi="Arial"/>
            <w:sz w:val="17"/>
            <w:szCs w:val="17"/>
            <w:color w:val="000000"/>
          </w:rPr>
          <w:t xml:space="preserve">, and our subsequent Quarterly Reports, as well </w:t>
        </w:r>
      </w:hyperlink>
      <w:r>
        <w:rPr>
          <w:rFonts w:ascii="Arial" w:cs="Arial" w:eastAsia="Arial" w:hAnsi="Arial"/>
          <w:sz w:val="17"/>
          <w:szCs w:val="17"/>
          <w:color w:val="0000EE"/>
        </w:rPr>
        <w:t xml:space="preserve">as </w:t>
      </w:r>
      <w:r>
        <w:rPr>
          <w:rFonts w:ascii="Arial" w:cs="Arial" w:eastAsia="Arial" w:hAnsi="Arial"/>
          <w:sz w:val="17"/>
          <w:szCs w:val="17"/>
          <w:color w:val="000000"/>
        </w:rPr>
        <w:t>any amendments thereto, which are incorporated by reference into this prospectus in their entirety, together with other information in this prospectus and any applicable prospectus supplement, the documents incorporated by reference, and any free writing prospectus that we may authorize for use in connection with a specific offering. See the section titled “Where You Can Find More Information.”</w:t>
      </w:r>
    </w:p>
    <w:p>
      <w:pPr>
        <w:spacing w:after="0" w:line="41"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b w:val="1"/>
          <w:bCs w:val="1"/>
          <w:i w:val="1"/>
          <w:iCs w:val="1"/>
          <w:color w:val="auto"/>
        </w:rPr>
        <w:t>Future sales of our common stock by the Selling Stockholders could cause our stock price to decline.</w:t>
      </w:r>
    </w:p>
    <w:p>
      <w:pPr>
        <w:ind w:left="1260" w:right="579"/>
        <w:spacing w:after="0" w:line="258" w:lineRule="auto"/>
        <w:rPr>
          <w:sz w:val="20"/>
          <w:szCs w:val="20"/>
          <w:color w:val="auto"/>
        </w:rPr>
      </w:pPr>
      <w:r>
        <w:rPr>
          <w:rFonts w:ascii="Arial" w:cs="Arial" w:eastAsia="Arial" w:hAnsi="Arial"/>
          <w:sz w:val="18"/>
          <w:szCs w:val="18"/>
          <w:color w:val="auto"/>
        </w:rPr>
        <w:t>Sales of a substantial number of shares of our common stock by the selling stockholders in the public market, or the perception that these sales might occur, could depress the market price of our common stock and could impair our ability to raise capital through the sale of additional equity securities or other securities convertible into or exchangeable for equity securities, regardless of whether there is any relationship between such sales and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w:t>
      </w:r>
    </w:p>
    <w:p>
      <w:pPr>
        <w:spacing w:after="0" w:line="109"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filing and printing fees, fees and expenses of our counsel and our independent registered public accountants, and costs associated with clearing the shares for sale under applicable state securities laws and listing fees, but excluding discounts, commissions, fees of underwriters, selling brokers, dealer managers or similar securities industry professionals with respect to the shares being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333" w:lineRule="exact"/>
        <w:rPr>
          <w:sz w:val="20"/>
          <w:szCs w:val="20"/>
          <w:color w:val="auto"/>
        </w:rPr>
      </w:pPr>
    </w:p>
    <w:p>
      <w:pPr>
        <w:ind w:left="1260" w:right="1280"/>
        <w:spacing w:after="0" w:line="256" w:lineRule="auto"/>
        <w:rPr>
          <w:sz w:val="20"/>
          <w:szCs w:val="20"/>
          <w:color w:val="auto"/>
        </w:rPr>
      </w:pPr>
      <w:r>
        <w:rPr>
          <w:rFonts w:ascii="Arial" w:cs="Arial" w:eastAsia="Arial" w:hAnsi="Arial"/>
          <w:sz w:val="18"/>
          <w:szCs w:val="18"/>
          <w:color w:val="auto"/>
        </w:rPr>
        <w:t>This prospectus relates to the sale or other disposition of up to 15,873,011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which are collectively referred to herein as the selling stockholders. These shares consist of 15,873,011 shares that were issued to certain of the selling stockholders in the Private Placement. See “About the Company—The Private Placement”.</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table below sets forth information as of the date of this prospectus, to our knowledge, the selling</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and other information regarding the beneficial ownership (as determined under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Section 13(d) of the Exchange Act and the rules and regulations thereunder) of the shares of common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held by the selling stockholders. The second column lists the number of shares of common stock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beneficially owned by the selling stockholders, as of May 7, 2024. The third column lists the maximum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shares of common stock that may be sold or otherwise disposed of by the selling stockholders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the registration statement of which this prospectus forms a part. The selling stockholders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sell or otherwise dispose of some, all or none of their shares. Pursuant to Rules 13d-3 and 13d-5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Exchange Act, beneficial ownership includes any shares of our common stock as to which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 has sole or shared voting power or investment power, and also any shares of our common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which the stockholder has the right to acquire within 60 days of May 7, 2024. The percent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 ownership for the selling stockholders is based on 83,176,749 shares of our common stock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as of May 7, 2024. Except as described below, to our knowledge, none of the selling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have been an officer or director of ours or of our affiliates within the past three years or had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material relationship with us or our affiliates within the past three years. Our knowledge is based 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provided by the selling stockholders in investor questionnaires in connection with the Private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Placement, as well as information obtained from relevant Schedule 13D and 13G filings.</w:t>
      </w:r>
    </w:p>
    <w:p>
      <w:pPr>
        <w:spacing w:after="0" w:line="140" w:lineRule="exact"/>
        <w:rPr>
          <w:sz w:val="20"/>
          <w:szCs w:val="20"/>
          <w:color w:val="auto"/>
        </w:rPr>
      </w:pPr>
    </w:p>
    <w:p>
      <w:pPr>
        <w:ind w:left="1260" w:right="1380"/>
        <w:spacing w:after="0" w:line="278" w:lineRule="auto"/>
        <w:rPr>
          <w:sz w:val="20"/>
          <w:szCs w:val="20"/>
          <w:color w:val="auto"/>
        </w:rPr>
      </w:pPr>
      <w:r>
        <w:rPr>
          <w:rFonts w:ascii="Arial" w:cs="Arial" w:eastAsia="Arial" w:hAnsi="Arial"/>
          <w:sz w:val="17"/>
          <w:szCs w:val="17"/>
          <w:color w:val="auto"/>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p>
    <w:p>
      <w:pPr>
        <w:spacing w:after="0" w:line="83" w:lineRule="exact"/>
        <w:rPr>
          <w:sz w:val="20"/>
          <w:szCs w:val="20"/>
          <w:color w:val="auto"/>
        </w:rPr>
      </w:pPr>
    </w:p>
    <w:p>
      <w:pPr>
        <w:ind w:left="1260" w:right="1520"/>
        <w:spacing w:after="0" w:line="268"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8"/>
            <w:vMerge w:val="restart"/>
          </w:tcPr>
          <w:p>
            <w:pPr>
              <w:jc w:val="center"/>
              <w:ind w:right="220"/>
              <w:spacing w:after="0"/>
              <w:rPr>
                <w:sz w:val="20"/>
                <w:szCs w:val="20"/>
                <w:color w:val="auto"/>
              </w:rPr>
            </w:pPr>
            <w:r>
              <w:rPr>
                <w:rFonts w:ascii="Arial" w:cs="Arial" w:eastAsia="Arial" w:hAnsi="Arial"/>
                <w:sz w:val="14"/>
                <w:szCs w:val="14"/>
                <w:b w:val="1"/>
                <w:bCs w:val="1"/>
                <w:color w:val="auto"/>
              </w:rPr>
              <w:t>Number of Shares of</w:t>
            </w:r>
          </w:p>
        </w:tc>
        <w:tc>
          <w:tcPr>
            <w:tcW w:w="1340" w:type="dxa"/>
            <w:vAlign w:val="bottom"/>
          </w:tcPr>
          <w:p>
            <w:pPr>
              <w:jc w:val="center"/>
              <w:ind w:right="17"/>
              <w:spacing w:after="0"/>
              <w:rPr>
                <w:sz w:val="20"/>
                <w:szCs w:val="20"/>
                <w:color w:val="auto"/>
              </w:rPr>
            </w:pPr>
            <w:r>
              <w:rPr>
                <w:rFonts w:ascii="Arial" w:cs="Arial" w:eastAsia="Arial" w:hAnsi="Arial"/>
                <w:sz w:val="14"/>
                <w:szCs w:val="14"/>
                <w:b w:val="1"/>
                <w:bCs w:val="1"/>
                <w:color w:val="auto"/>
              </w:rPr>
              <w:t>Maximum Number</w:t>
            </w:r>
          </w:p>
        </w:tc>
        <w:tc>
          <w:tcPr>
            <w:tcW w:w="140" w:type="dxa"/>
            <w:vAlign w:val="bottom"/>
          </w:tcPr>
          <w:p>
            <w:pPr>
              <w:spacing w:after="0"/>
              <w:rPr>
                <w:sz w:val="14"/>
                <w:szCs w:val="14"/>
                <w:color w:val="auto"/>
              </w:rPr>
            </w:pPr>
          </w:p>
        </w:tc>
        <w:tc>
          <w:tcPr>
            <w:tcW w:w="2740" w:type="dxa"/>
            <w:vAlign w:val="bottom"/>
            <w:gridSpan w:val="7"/>
            <w:vMerge w:val="restart"/>
          </w:tcPr>
          <w:p>
            <w:pPr>
              <w:jc w:val="center"/>
              <w:ind w:right="1228"/>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gridSpan w:val="8"/>
            <w:vMerge w:val="continue"/>
          </w:tcPr>
          <w:p>
            <w:pPr>
              <w:spacing w:after="0"/>
              <w:rPr>
                <w:sz w:val="4"/>
                <w:szCs w:val="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of</w:t>
            </w:r>
          </w:p>
        </w:tc>
        <w:tc>
          <w:tcPr>
            <w:tcW w:w="140" w:type="dxa"/>
            <w:vAlign w:val="bottom"/>
          </w:tcPr>
          <w:p>
            <w:pPr>
              <w:spacing w:after="0"/>
              <w:rPr>
                <w:sz w:val="4"/>
                <w:szCs w:val="4"/>
                <w:color w:val="auto"/>
              </w:rPr>
            </w:pPr>
          </w:p>
        </w:tc>
        <w:tc>
          <w:tcPr>
            <w:tcW w:w="27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7"/>
            <w:vMerge w:val="restart"/>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7"/>
            <w:vMerge w:val="continue"/>
          </w:tcPr>
          <w:p>
            <w:pPr>
              <w:spacing w:after="0"/>
              <w:rPr>
                <w:sz w:val="4"/>
                <w:szCs w:val="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left="165"/>
              <w:spacing w:after="0"/>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left="163"/>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Prior to Offering</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After Offering(1)</w:t>
            </w: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9"/>
                <w:szCs w:val="9"/>
                <w:color w:val="auto"/>
              </w:rPr>
            </w:pPr>
          </w:p>
        </w:tc>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5"/>
            <w:vMerge w:val="continue"/>
          </w:tcPr>
          <w:p>
            <w:pPr>
              <w:spacing w:after="0"/>
              <w:rPr>
                <w:sz w:val="9"/>
                <w:szCs w:val="9"/>
                <w:color w:val="auto"/>
              </w:rPr>
            </w:pPr>
          </w:p>
        </w:tc>
        <w:tc>
          <w:tcPr>
            <w:tcW w:w="1500" w:type="dxa"/>
            <w:vAlign w:val="bottom"/>
            <w:gridSpan w:val="3"/>
            <w:vMerge w:val="restart"/>
          </w:tcPr>
          <w:p>
            <w:pPr>
              <w:ind w:left="20"/>
              <w:spacing w:after="0" w:line="166"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1"/>
                <w:szCs w:val="11"/>
                <w:b w:val="1"/>
                <w:bCs w:val="1"/>
                <w:color w:val="auto"/>
              </w:rPr>
              <w:t xml:space="preserve"> to be Sold Pursuant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vMerge w:val="restart"/>
          </w:tcPr>
          <w:p>
            <w:pPr>
              <w:jc w:val="right"/>
              <w:ind w:right="1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
        </w:trPr>
        <w:tc>
          <w:tcPr>
            <w:tcW w:w="1260" w:type="dxa"/>
            <w:vAlign w:val="bottom"/>
            <w:vMerge w:val="continue"/>
          </w:tcPr>
          <w:p>
            <w:pPr>
              <w:spacing w:after="0"/>
              <w:rPr>
                <w:sz w:val="3"/>
                <w:szCs w:val="3"/>
                <w:color w:val="auto"/>
              </w:rPr>
            </w:pPr>
          </w:p>
        </w:tc>
        <w:tc>
          <w:tcPr>
            <w:tcW w:w="34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rPr>
              <w:t>Name of Selling Stockholder</w:t>
            </w:r>
          </w:p>
        </w:tc>
        <w:tc>
          <w:tcPr>
            <w:tcW w:w="1480" w:type="dxa"/>
            <w:vAlign w:val="bottom"/>
          </w:tcPr>
          <w:p>
            <w:pPr>
              <w:spacing w:after="0"/>
              <w:rPr>
                <w:sz w:val="16"/>
                <w:szCs w:val="16"/>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900" w:type="dxa"/>
            <w:vAlign w:val="bottom"/>
            <w:gridSpan w:val="8"/>
          </w:tcPr>
          <w:p>
            <w:pPr>
              <w:ind w:left="40"/>
              <w:spacing w:after="0" w:line="164" w:lineRule="exact"/>
              <w:rPr>
                <w:sz w:val="20"/>
                <w:szCs w:val="20"/>
                <w:color w:val="auto"/>
              </w:rPr>
            </w:pPr>
            <w:r>
              <w:rPr>
                <w:rFonts w:ascii="Arial" w:cs="Arial" w:eastAsia="Arial" w:hAnsi="Arial"/>
                <w:sz w:val="11"/>
                <w:szCs w:val="11"/>
                <w:b w:val="1"/>
                <w:bCs w:val="1"/>
                <w:color w:val="auto"/>
              </w:rPr>
              <w:t xml:space="preserve">Number  </w:t>
            </w: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Percent </w:t>
            </w: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to this Prospectus</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 ​</w:t>
            </w:r>
          </w:p>
        </w:tc>
        <w:tc>
          <w:tcPr>
            <w:tcW w:w="2640" w:type="dxa"/>
            <w:vAlign w:val="bottom"/>
            <w:gridSpan w:val="6"/>
          </w:tcPr>
          <w:p>
            <w:pPr>
              <w:jc w:val="right"/>
              <w:ind w:right="1148"/>
              <w:spacing w:after="0" w:line="164" w:lineRule="exact"/>
              <w:rPr>
                <w:sz w:val="20"/>
                <w:szCs w:val="20"/>
                <w:color w:val="auto"/>
              </w:rPr>
            </w:pPr>
            <w:r>
              <w:rPr>
                <w:rFonts w:ascii="Arial" w:cs="Arial" w:eastAsia="Arial" w:hAnsi="Arial"/>
                <w:sz w:val="11"/>
                <w:szCs w:val="11"/>
                <w:b w:val="1"/>
                <w:bCs w:val="1"/>
                <w:color w:val="auto"/>
              </w:rPr>
              <w:t xml:space="preserve">Number  </w:t>
            </w: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Percent</w:t>
            </w:r>
            <w:r>
              <w:rPr>
                <w:rFonts w:ascii="Arial" w:cs="Arial" w:eastAsia="Arial" w:hAnsi="Arial"/>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8"/>
                <w:szCs w:val="18"/>
                <w:color w:val="auto"/>
                <w:w w:val="98"/>
              </w:rPr>
              <w:t>Bain Capital Life Sciences Opportunities III,</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60" w:type="dxa"/>
            <w:vAlign w:val="bottom"/>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LP(2)</w:t>
            </w:r>
          </w:p>
        </w:tc>
        <w:tc>
          <w:tcPr>
            <w:tcW w:w="1240" w:type="dxa"/>
            <w:vAlign w:val="bottom"/>
            <w:gridSpan w:val="6"/>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5,410,361​​​</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6.5​​​%</w:t>
            </w:r>
          </w:p>
        </w:tc>
        <w:tc>
          <w:tcPr>
            <w:tcW w:w="158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5,291,005​​​</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119,356​​​</w:t>
            </w:r>
          </w:p>
        </w:tc>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Adage Capital Partners LP(3)</w:t>
            </w:r>
          </w:p>
        </w:tc>
        <w:tc>
          <w:tcPr>
            <w:tcW w:w="1240" w:type="dxa"/>
            <w:vAlign w:val="bottom"/>
            <w:gridSpan w:val="6"/>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1,322,751​​​</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1.6​​​%</w:t>
            </w:r>
          </w:p>
        </w:tc>
        <w:tc>
          <w:tcPr>
            <w:tcW w:w="1580" w:type="dxa"/>
            <w:vAlign w:val="bottom"/>
            <w:gridSpan w:val="3"/>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1,322,751​​​</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Entities affiliated with Casdin Capital,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LLC(4)</w:t>
            </w:r>
          </w:p>
        </w:tc>
        <w:tc>
          <w:tcPr>
            <w:tcW w:w="1240" w:type="dxa"/>
            <w:vAlign w:val="bottom"/>
            <w:gridSpan w:val="6"/>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5,190,506​​​</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6.2​​​%</w:t>
            </w:r>
          </w:p>
        </w:tc>
        <w:tc>
          <w:tcPr>
            <w:tcW w:w="25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1,984,126​​​</w:t>
            </w:r>
            <w:r>
              <w:rPr>
                <w:rFonts w:ascii="Arial" w:cs="Arial" w:eastAsia="Arial" w:hAnsi="Arial"/>
                <w:sz w:val="18"/>
                <w:szCs w:val="18"/>
                <w:b w:val="1"/>
                <w:bCs w:val="1"/>
                <w:color w:val="auto"/>
              </w:rPr>
              <w:t>​</w:t>
            </w:r>
            <w:r>
              <w:rPr>
                <w:rFonts w:ascii="Arial" w:cs="Arial" w:eastAsia="Arial" w:hAnsi="Arial"/>
                <w:sz w:val="18"/>
                <w:szCs w:val="18"/>
                <w:color w:val="auto"/>
              </w:rPr>
              <w:t>3,215,380​​​</w:t>
            </w: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Entities affiliated with Venrock Healthcare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Capital Partners EG, L.P.,(5)</w:t>
            </w:r>
          </w:p>
        </w:tc>
        <w:tc>
          <w:tcPr>
            <w:tcW w:w="1240" w:type="dxa"/>
            <w:vAlign w:val="bottom"/>
            <w:gridSpan w:val="6"/>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5,389,259​​​</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6.5​​​%</w:t>
            </w:r>
          </w:p>
        </w:tc>
        <w:tc>
          <w:tcPr>
            <w:tcW w:w="25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1,984,126​​​</w:t>
            </w:r>
            <w:r>
              <w:rPr>
                <w:rFonts w:ascii="Arial" w:cs="Arial" w:eastAsia="Arial" w:hAnsi="Arial"/>
                <w:sz w:val="18"/>
                <w:szCs w:val="18"/>
                <w:b w:val="1"/>
                <w:bCs w:val="1"/>
                <w:color w:val="auto"/>
              </w:rPr>
              <w:t>​</w:t>
            </w:r>
            <w:r>
              <w:rPr>
                <w:rFonts w:ascii="Arial" w:cs="Arial" w:eastAsia="Arial" w:hAnsi="Arial"/>
                <w:sz w:val="18"/>
                <w:szCs w:val="18"/>
                <w:color w:val="auto"/>
              </w:rPr>
              <w:t>3,405,133​​​</w:t>
            </w: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Entities affiliated with Boxer Capital,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LLC(6)</w:t>
            </w:r>
          </w:p>
        </w:tc>
        <w:tc>
          <w:tcPr>
            <w:tcW w:w="1240" w:type="dxa"/>
            <w:vAlign w:val="bottom"/>
            <w:gridSpan w:val="6"/>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5,080,177​​​</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6.1​​​%</w:t>
            </w:r>
          </w:p>
        </w:tc>
        <w:tc>
          <w:tcPr>
            <w:tcW w:w="25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3,174,603​​​</w:t>
            </w:r>
            <w:r>
              <w:rPr>
                <w:rFonts w:ascii="Arial" w:cs="Arial" w:eastAsia="Arial" w:hAnsi="Arial"/>
                <w:sz w:val="18"/>
                <w:szCs w:val="18"/>
                <w:b w:val="1"/>
                <w:bCs w:val="1"/>
                <w:color w:val="auto"/>
              </w:rPr>
              <w:t>​</w:t>
            </w:r>
            <w:r>
              <w:rPr>
                <w:rFonts w:ascii="Arial" w:cs="Arial" w:eastAsia="Arial" w:hAnsi="Arial"/>
                <w:sz w:val="18"/>
                <w:szCs w:val="18"/>
                <w:color w:val="auto"/>
              </w:rPr>
              <w:t>1,905,574​​​</w:t>
            </w: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Entities affiliated with Superstring Capital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Master Fund LP(7)</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925,925​​​</w:t>
            </w:r>
          </w:p>
        </w:tc>
        <w:tc>
          <w:tcPr>
            <w:tcW w:w="56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w:t>
            </w:r>
            <w:r>
              <w:rPr>
                <w:rFonts w:ascii="Arial" w:cs="Arial" w:eastAsia="Arial" w:hAnsi="Arial"/>
                <w:sz w:val="18"/>
                <w:szCs w:val="18"/>
                <w:color w:val="auto"/>
                <w:w w:val="97"/>
              </w:rPr>
              <w:t>1.1​​​%</w:t>
            </w:r>
          </w:p>
        </w:tc>
        <w:tc>
          <w:tcPr>
            <w:tcW w:w="1580" w:type="dxa"/>
            <w:vAlign w:val="bottom"/>
            <w:gridSpan w:val="3"/>
          </w:tcPr>
          <w:p>
            <w:pPr>
              <w:ind w:left="5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925,925​​​</w:t>
            </w:r>
            <w:r>
              <w:rPr>
                <w:rFonts w:ascii="Arial" w:cs="Arial" w:eastAsia="Arial" w:hAnsi="Arial"/>
                <w:sz w:val="18"/>
                <w:szCs w:val="18"/>
                <w:b w:val="1"/>
                <w:bCs w:val="1"/>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2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65"/>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-1268095</wp:posOffset>
            </wp:positionV>
            <wp:extent cx="521208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521208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rPr>
              <w:t>Number of Shares of</w:t>
            </w:r>
          </w:p>
        </w:tc>
        <w:tc>
          <w:tcPr>
            <w:tcW w:w="180" w:type="dxa"/>
            <w:vAlign w:val="bottom"/>
          </w:tcPr>
          <w:p>
            <w:pPr>
              <w:spacing w:after="0"/>
              <w:rPr>
                <w:sz w:val="14"/>
                <w:szCs w:val="14"/>
                <w:color w:val="auto"/>
              </w:rPr>
            </w:pPr>
          </w:p>
        </w:tc>
        <w:tc>
          <w:tcPr>
            <w:tcW w:w="1360" w:type="dxa"/>
            <w:vAlign w:val="bottom"/>
          </w:tcPr>
          <w:p>
            <w:pPr>
              <w:jc w:val="center"/>
              <w:ind w:right="7"/>
              <w:spacing w:after="0"/>
              <w:rPr>
                <w:sz w:val="20"/>
                <w:szCs w:val="20"/>
                <w:color w:val="auto"/>
              </w:rPr>
            </w:pPr>
            <w:r>
              <w:rPr>
                <w:rFonts w:ascii="Arial" w:cs="Arial" w:eastAsia="Arial" w:hAnsi="Arial"/>
                <w:sz w:val="14"/>
                <w:szCs w:val="14"/>
                <w:b w:val="1"/>
                <w:bCs w:val="1"/>
                <w:color w:val="auto"/>
              </w:rPr>
              <w:t>Maximum Number</w:t>
            </w:r>
          </w:p>
        </w:tc>
        <w:tc>
          <w:tcPr>
            <w:tcW w:w="140" w:type="dxa"/>
            <w:vAlign w:val="bottom"/>
          </w:tcPr>
          <w:p>
            <w:pPr>
              <w:spacing w:after="0"/>
              <w:rPr>
                <w:sz w:val="14"/>
                <w:szCs w:val="14"/>
                <w:color w:val="auto"/>
              </w:rPr>
            </w:pPr>
          </w:p>
        </w:tc>
        <w:tc>
          <w:tcPr>
            <w:tcW w:w="1640" w:type="dxa"/>
            <w:vAlign w:val="bottom"/>
            <w:gridSpan w:val="7"/>
            <w:vMerge w:val="restart"/>
          </w:tcPr>
          <w:p>
            <w:pPr>
              <w:jc w:val="center"/>
              <w:ind w:right="116"/>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rPr>
              <w:t>of Shares of</w:t>
            </w:r>
          </w:p>
        </w:tc>
        <w:tc>
          <w:tcPr>
            <w:tcW w:w="1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3"/>
            <w:vMerge w:val="restart"/>
          </w:tcPr>
          <w:p>
            <w:pPr>
              <w:jc w:val="center"/>
              <w:ind w:left="243"/>
              <w:spacing w:after="0"/>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left="164"/>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vMerge w:val="restart"/>
          </w:tcPr>
          <w:p>
            <w:pPr>
              <w:jc w:val="center"/>
              <w:ind w:right="27"/>
              <w:spacing w:after="0" w:line="145" w:lineRule="exact"/>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9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rPr>
              <w:t>Prior to Offering</w:t>
            </w:r>
          </w:p>
        </w:tc>
        <w:tc>
          <w:tcPr>
            <w:tcW w:w="1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After Offering(1)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gridSpan w:val="5"/>
            <w:vMerge w:val="continue"/>
          </w:tcPr>
          <w:p>
            <w:pPr>
              <w:spacing w:after="0"/>
              <w:rPr>
                <w:sz w:val="9"/>
                <w:szCs w:val="9"/>
                <w:color w:val="auto"/>
              </w:rPr>
            </w:pPr>
          </w:p>
        </w:tc>
        <w:tc>
          <w:tcPr>
            <w:tcW w:w="1540" w:type="dxa"/>
            <w:vAlign w:val="bottom"/>
            <w:gridSpan w:val="2"/>
            <w:vMerge w:val="restart"/>
          </w:tcPr>
          <w:p>
            <w:pPr>
              <w:jc w:val="center"/>
              <w:spacing w:after="0" w:line="166"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1"/>
                <w:szCs w:val="11"/>
                <w:b w:val="1"/>
                <w:bCs w:val="1"/>
                <w:color w:val="auto"/>
              </w:rPr>
              <w:t xml:space="preserve"> to be Sold Pursuant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
        </w:trPr>
        <w:tc>
          <w:tcPr>
            <w:tcW w:w="3320" w:type="dxa"/>
            <w:vAlign w:val="bottom"/>
            <w:gridSpan w:val="2"/>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1960" w:type="dxa"/>
            <w:vAlign w:val="bottom"/>
          </w:tcPr>
          <w:p>
            <w:pPr>
              <w:spacing w:after="0"/>
              <w:rPr>
                <w:sz w:val="20"/>
                <w:szCs w:val="20"/>
                <w:color w:val="auto"/>
              </w:rPr>
            </w:pPr>
            <w:r>
              <w:rPr>
                <w:rFonts w:ascii="Arial" w:cs="Arial" w:eastAsia="Arial" w:hAnsi="Arial"/>
                <w:sz w:val="14"/>
                <w:szCs w:val="14"/>
                <w:b w:val="1"/>
                <w:bCs w:val="1"/>
                <w:color w:val="auto"/>
              </w:rPr>
              <w:t>Name of Selling Stockholder</w:t>
            </w:r>
          </w:p>
        </w:tc>
        <w:tc>
          <w:tcPr>
            <w:tcW w:w="1360" w:type="dxa"/>
            <w:vAlign w:val="bottom"/>
          </w:tcPr>
          <w:p>
            <w:pPr>
              <w:spacing w:after="0"/>
              <w:rPr>
                <w:sz w:val="17"/>
                <w:szCs w:val="17"/>
                <w:color w:val="auto"/>
              </w:rPr>
            </w:pP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220" w:type="dxa"/>
            <w:vAlign w:val="bottom"/>
            <w:gridSpan w:val="6"/>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Percent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 this Prospectus</w:t>
            </w:r>
          </w:p>
        </w:tc>
        <w:tc>
          <w:tcPr>
            <w:tcW w:w="2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jc w:val="right"/>
              <w:ind w:right="64"/>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5"/>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Percent</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7"/>
        </w:trPr>
        <w:tc>
          <w:tcPr>
            <w:tcW w:w="1960" w:type="dxa"/>
            <w:vAlign w:val="bottom"/>
            <w:shd w:val="clear" w:color="auto" w:fill="000000"/>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gridSpan w:val="2"/>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Octagon Investments Master Fund LP(8)</w:t>
            </w:r>
          </w:p>
        </w:tc>
        <w:tc>
          <w:tcPr>
            <w:tcW w:w="24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​1,333,650</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 793,650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540,000</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96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ind w:left="140"/>
              <w:spacing w:after="0" w:line="54" w:lineRule="exact"/>
              <w:rPr>
                <w:sz w:val="20"/>
                <w:szCs w:val="20"/>
                <w:color w:val="auto"/>
              </w:rPr>
            </w:pPr>
            <w:r>
              <w:rPr>
                <w:rFonts w:ascii="Arial" w:cs="Arial" w:eastAsia="Arial" w:hAnsi="Arial"/>
                <w:sz w:val="6"/>
                <w:szCs w:val="6"/>
                <w:color w:val="auto"/>
              </w:rPr>
              <w:t>​​</w:t>
            </w:r>
          </w:p>
        </w:tc>
        <w:tc>
          <w:tcPr>
            <w:tcW w:w="80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1360" w:type="dxa"/>
            <w:vAlign w:val="bottom"/>
            <w:shd w:val="clear" w:color="auto" w:fill="CCEEFF"/>
          </w:tcPr>
          <w:p>
            <w:pPr>
              <w:jc w:val="center"/>
              <w:ind w:right="127"/>
              <w:spacing w:after="0" w:line="54" w:lineRule="exact"/>
              <w:rPr>
                <w:sz w:val="20"/>
                <w:szCs w:val="20"/>
                <w:color w:val="auto"/>
              </w:rPr>
            </w:pPr>
            <w:r>
              <w:rPr>
                <w:rFonts w:ascii="Arial" w:cs="Arial" w:eastAsia="Arial" w:hAnsi="Arial"/>
                <w:sz w:val="6"/>
                <w:szCs w:val="6"/>
                <w:color w:val="auto"/>
              </w:rPr>
              <w:t>​</w:t>
            </w:r>
          </w:p>
        </w:tc>
        <w:tc>
          <w:tcPr>
            <w:tcW w:w="24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72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20" w:type="dxa"/>
            <w:vAlign w:val="bottom"/>
            <w:gridSpan w:val="2"/>
          </w:tcPr>
          <w:p>
            <w:pPr>
              <w:spacing w:after="0"/>
              <w:rPr>
                <w:sz w:val="20"/>
                <w:szCs w:val="20"/>
                <w:color w:val="auto"/>
              </w:rPr>
            </w:pPr>
            <w:r>
              <w:rPr>
                <w:rFonts w:ascii="Arial" w:cs="Arial" w:eastAsia="Arial" w:hAnsi="Arial"/>
                <w:sz w:val="18"/>
                <w:szCs w:val="18"/>
                <w:color w:val="auto"/>
              </w:rPr>
              <w:t>Entities affiliated with DAFNA Capital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80"/>
              <w:spacing w:after="0" w:line="181" w:lineRule="exact"/>
              <w:rPr>
                <w:sz w:val="20"/>
                <w:szCs w:val="20"/>
                <w:color w:val="auto"/>
              </w:rPr>
            </w:pPr>
            <w:r>
              <w:rPr>
                <w:rFonts w:ascii="Arial" w:cs="Arial" w:eastAsia="Arial" w:hAnsi="Arial"/>
                <w:sz w:val="18"/>
                <w:szCs w:val="18"/>
                <w:color w:val="auto"/>
              </w:rPr>
              <w:t>Management LLC(9)</w:t>
            </w:r>
          </w:p>
        </w:tc>
        <w:tc>
          <w:tcPr>
            <w:tcW w:w="24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8"/>
                <w:szCs w:val="18"/>
                <w:color w:val="auto"/>
                <w:w w:val="99"/>
              </w:rPr>
              <w:t>​1,704,232</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​2.1%</w:t>
            </w:r>
          </w:p>
        </w:tc>
        <w:tc>
          <w:tcPr>
            <w:tcW w:w="1360" w:type="dxa"/>
            <w:vAlign w:val="bottom"/>
          </w:tcPr>
          <w:p>
            <w:pPr>
              <w:ind w:left="600"/>
              <w:spacing w:after="0" w:line="181" w:lineRule="exact"/>
              <w:rPr>
                <w:sz w:val="20"/>
                <w:szCs w:val="20"/>
                <w:color w:val="auto"/>
              </w:rPr>
            </w:pPr>
            <w:r>
              <w:rPr>
                <w:rFonts w:ascii="Arial" w:cs="Arial" w:eastAsia="Arial" w:hAnsi="Arial"/>
                <w:sz w:val="18"/>
                <w:szCs w:val="18"/>
                <w:color w:val="auto"/>
              </w:rPr>
              <w:t>​ 396,825</w:t>
            </w:r>
          </w:p>
        </w:tc>
        <w:tc>
          <w:tcPr>
            <w:tcW w:w="140" w:type="dxa"/>
            <w:vAlign w:val="bottom"/>
          </w:tcPr>
          <w:p>
            <w:pPr>
              <w:spacing w:after="0"/>
              <w:rPr>
                <w:sz w:val="15"/>
                <w:szCs w:val="15"/>
                <w:color w:val="auto"/>
              </w:rPr>
            </w:pPr>
          </w:p>
        </w:tc>
        <w:tc>
          <w:tcPr>
            <w:tcW w:w="820" w:type="dxa"/>
            <w:vAlign w:val="bottom"/>
            <w:gridSpan w:val="2"/>
          </w:tcPr>
          <w:p>
            <w:pPr>
              <w:jc w:val="right"/>
              <w:spacing w:after="0" w:line="181" w:lineRule="exact"/>
              <w:rPr>
                <w:sz w:val="20"/>
                <w:szCs w:val="20"/>
                <w:color w:val="auto"/>
              </w:rPr>
            </w:pPr>
            <w:r>
              <w:rPr>
                <w:rFonts w:ascii="Arial" w:cs="Arial" w:eastAsia="Arial" w:hAnsi="Arial"/>
                <w:sz w:val="18"/>
                <w:szCs w:val="18"/>
                <w:color w:val="auto"/>
                <w:w w:val="99"/>
              </w:rPr>
              <w:t>​1,307,407</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120"/>
              <w:spacing w:after="0" w:line="181" w:lineRule="exact"/>
              <w:rPr>
                <w:sz w:val="20"/>
                <w:szCs w:val="20"/>
                <w:color w:val="auto"/>
              </w:rPr>
            </w:pPr>
            <w:r>
              <w:rPr>
                <w:rFonts w:ascii="Arial" w:cs="Arial" w:eastAsia="Arial" w:hAnsi="Arial"/>
                <w:sz w:val="18"/>
                <w:szCs w:val="18"/>
                <w:color w:val="auto"/>
                <w:w w:val="97"/>
              </w:rPr>
              <w:t>​1.6%</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127"/>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-579755</wp:posOffset>
            </wp:positionV>
            <wp:extent cx="4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-579755</wp:posOffset>
            </wp:positionV>
            <wp:extent cx="431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45720</wp:posOffset>
            </wp:positionV>
            <wp:extent cx="1371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1" w:lineRule="exact"/>
        <w:rPr>
          <w:sz w:val="20"/>
          <w:szCs w:val="20"/>
          <w:color w:val="auto"/>
        </w:rPr>
      </w:pPr>
    </w:p>
    <w:p>
      <w:pPr>
        <w:ind w:left="1620" w:hanging="36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sale of all shares offered pursuant to this prospectus.</w:t>
      </w:r>
    </w:p>
    <w:p>
      <w:pPr>
        <w:spacing w:after="0" w:line="76" w:lineRule="exact"/>
        <w:rPr>
          <w:rFonts w:ascii="Arial" w:cs="Arial" w:eastAsia="Arial" w:hAnsi="Arial"/>
          <w:sz w:val="18"/>
          <w:szCs w:val="18"/>
          <w:color w:val="auto"/>
        </w:rPr>
      </w:pPr>
    </w:p>
    <w:p>
      <w:pPr>
        <w:ind w:left="1620" w:right="419" w:hanging="360"/>
        <w:spacing w:after="0" w:line="255"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of Common Stock Owned Prior to Offering includes 5,291,005 shares of common stock purchased in the Private Placement by Bain Capital Life Sciences Opportunities III, LP. Bain Capital Life Sciences Investors, LLC, or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Bain Capital Life Sciences Opportunities III, LP may be deemed to share voting and dispositive power with respect to the securities held by Bain Capital Life Sciences Opportunities III, LP. The address of BCLSI is 200 Clarendon Street, Boston, MA 02116.</w:t>
      </w:r>
    </w:p>
    <w:p>
      <w:pPr>
        <w:spacing w:after="0" w:line="32" w:lineRule="exact"/>
        <w:rPr>
          <w:rFonts w:ascii="Arial" w:cs="Arial" w:eastAsia="Arial" w:hAnsi="Arial"/>
          <w:sz w:val="18"/>
          <w:szCs w:val="18"/>
          <w:color w:val="auto"/>
        </w:rPr>
      </w:pPr>
    </w:p>
    <w:p>
      <w:pPr>
        <w:ind w:left="1620" w:right="519" w:hanging="360"/>
        <w:spacing w:after="0" w:line="243"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1,322,751 shares of common stock were purchased in the Private Placement. Bob Atchinson and Phillip Gross are the managing members of Adage Capital Advisors, L.L.C., which is the managing member of Adage Capital Partners GP, L.L.C., which is the general partner of Adage Capital Partners, LP, and each such person or entity, as the case may be, has shared voting and/or investment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 The address for Adage Capital Partners LP is 200 Clarendon 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Boston, MA 02116.</w:t>
      </w:r>
    </w:p>
    <w:p>
      <w:pPr>
        <w:spacing w:after="0" w:line="45" w:lineRule="exact"/>
        <w:rPr>
          <w:rFonts w:ascii="Arial" w:cs="Arial" w:eastAsia="Arial" w:hAnsi="Arial"/>
          <w:sz w:val="18"/>
          <w:szCs w:val="18"/>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1,984,126 shares of common stock purchased in the Private Placement and</w:t>
      </w:r>
    </w:p>
    <w:p>
      <w:pPr>
        <w:spacing w:after="0" w:line="27" w:lineRule="exact"/>
        <w:rPr>
          <w:rFonts w:ascii="Arial" w:cs="Arial" w:eastAsia="Arial" w:hAnsi="Arial"/>
          <w:sz w:val="18"/>
          <w:szCs w:val="18"/>
          <w:color w:val="auto"/>
        </w:rPr>
      </w:pPr>
    </w:p>
    <w:p>
      <w:pPr>
        <w:ind w:left="1620" w:right="479"/>
        <w:spacing w:after="0" w:line="265" w:lineRule="auto"/>
        <w:tabs>
          <w:tab w:leader="none" w:pos="1824" w:val="left"/>
        </w:tabs>
        <w:numPr>
          <w:ilvl w:val="1"/>
          <w:numId w:val="6"/>
        </w:numPr>
        <w:rPr>
          <w:rFonts w:ascii="Arial" w:cs="Arial" w:eastAsia="Arial" w:hAnsi="Arial"/>
          <w:sz w:val="17"/>
          <w:szCs w:val="17"/>
          <w:color w:val="auto"/>
        </w:rPr>
      </w:pPr>
      <w:r>
        <w:rPr>
          <w:rFonts w:ascii="Arial" w:cs="Arial" w:eastAsia="Arial" w:hAnsi="Arial"/>
          <w:sz w:val="17"/>
          <w:szCs w:val="17"/>
          <w:color w:val="auto"/>
        </w:rPr>
        <w:t>1,978,190 shares of common stock held by Casdin Partners Master Fund, L.P. (the Master Fund) and (ii) 1,228,190 shares held by Casdin Private Growth Equity Fund, L.P. (Growth Equity) prior to the Private Placement. The securities held by the Master Fund may be deemed to be indirectly beneficially owned by (i) Casdin Capital, LLC, the investment adviser to the Master Fund (Casdin),</w:t>
      </w:r>
    </w:p>
    <w:p>
      <w:pPr>
        <w:ind w:left="1620" w:right="459"/>
        <w:spacing w:after="0" w:line="269" w:lineRule="auto"/>
        <w:tabs>
          <w:tab w:leader="none" w:pos="1863" w:val="left"/>
        </w:tabs>
        <w:numPr>
          <w:ilvl w:val="1"/>
          <w:numId w:val="6"/>
        </w:numPr>
        <w:rPr>
          <w:rFonts w:ascii="Arial" w:cs="Arial" w:eastAsia="Arial" w:hAnsi="Arial"/>
          <w:sz w:val="17"/>
          <w:szCs w:val="17"/>
          <w:color w:val="auto"/>
        </w:rPr>
      </w:pPr>
      <w:r>
        <w:rPr>
          <w:rFonts w:ascii="Arial" w:cs="Arial" w:eastAsia="Arial" w:hAnsi="Arial"/>
          <w:sz w:val="17"/>
          <w:szCs w:val="17"/>
          <w:color w:val="auto"/>
        </w:rPr>
        <w:t>Casdin Partners GP, LLC, the general partner of the Master Fund (the GP), and (iii) Eli Casdin, the managing member of Casdin and the GP. The securities owned by Growth Equity may be deemed to be indirectly beneficially owned by (i) Casdin Private Growth Equity Fund GP, LLC (Growth Equity GP), the general partner of Growth Equity, (ii) Casdin, the investment advisor to Growth Equity, and (iii) Eli Casdin, the managing member of Growth Equity GP. Eli Casdin and each entity disclaims beneficial ownership in the securities reported except to the extent of its pecuniary interest. Eli Casdin served as a director of the Company from February 2021 until October 2022. The address for the Master Fund is 1350 Sixth Avenue, Suite 2600, New York, NY 10019.</w:t>
      </w:r>
    </w:p>
    <w:p>
      <w:pPr>
        <w:spacing w:after="0" w:line="24"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(i)(a) 1,508,531 shares of common stock purchased by Venrock Healthcare Capital Partners EG, L.P., or VHCP EG, (b) 432,341 shares of common stock purchase by Venrock Healthcare Capital Partners III, L.P., or VHCP III, and (c) 43,254 shares of common stock purchased by VHCP Co-Investment Holdings III, LLC, or VHCP Co-Invest III, in the Private Placement; and (ii)</w:t>
      </w:r>
    </w:p>
    <w:p>
      <w:pPr>
        <w:spacing w:after="0" w:line="2" w:lineRule="exact"/>
        <w:rPr>
          <w:rFonts w:ascii="Arial" w:cs="Arial" w:eastAsia="Arial" w:hAnsi="Arial"/>
          <w:sz w:val="17"/>
          <w:szCs w:val="17"/>
          <w:color w:val="auto"/>
        </w:rPr>
      </w:pPr>
    </w:p>
    <w:p>
      <w:pPr>
        <w:ind w:left="1620" w:right="419"/>
        <w:spacing w:after="0" w:line="253" w:lineRule="auto"/>
        <w:rPr>
          <w:rFonts w:ascii="Arial" w:cs="Arial" w:eastAsia="Arial" w:hAnsi="Arial"/>
          <w:sz w:val="17"/>
          <w:szCs w:val="17"/>
          <w:color w:val="auto"/>
        </w:rPr>
      </w:pPr>
      <w:r>
        <w:rPr>
          <w:rFonts w:ascii="Arial" w:cs="Arial" w:eastAsia="Arial" w:hAnsi="Arial"/>
          <w:sz w:val="18"/>
          <w:szCs w:val="18"/>
          <w:color w:val="auto"/>
        </w:rPr>
        <w:t>(a) 2,585,369 shares of common stock held by VHCP EG, (b) 745,209 shares of common stock held by VHCP III and (c) 74,555 shares of common stock held by VHCP Co-Invest prior to the Private Placement. VHCP Management III, LLC, or VHCPM, is the sole general partner of VHCP III and the sole manager of VHCP Co-Invest III. VHCP Management EG, LLC, or VHCPM EG, is the sole general partner of VHCP EG. Dr. Bong Koh and Nimish Shah are the voting members of VHCPM and VHCPM EG. The address of each of these persons and entities is 7 Bryant Park, 23rd Floor, New York, NY 10018.</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68"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(i) 3,174,603 shares of common stock purchased by Boxer Capital, LLC (Boxer Capital) in the Private Placement, (ii) 1,727,000 shares of common stock held by Boxer Capital prior to the Private Placement, and (iii) 178,574 shares of common stock held by MVA Investors, LLC (MVA Investors) based on a Schedule 13G filed with the SEC on April 22, 2024. Boxer Asset Management Inc. (Boxer Asset Management) is the managing member of Boxer Capital. Joseph C. Lewis is the sole indirect owner of Boxer Asset Management. Boxer Capital, Boxer Asset Management and Mr. Lewis have shared powers to vote (or direct the vote) and/or to dispose (or direct the disposition) of the common stock held by Boxer Capital. Boxer Asset Management and Mr. Lewis disclaim beneficial ownership over the shares held by Boxer Capital except to the extent of their pecuniary interest therein. Aaron Davis is a member and Chief Executive Officer of MVA Investors. MVA Investors and Mr. Davis have shared powers to vote (or direct the vote) and/or to dispose (or direct the disposition) of the shares held by MVA Investors. Mr. Davis disclaims beneficial ownership over the shares held by MVA Investors except to the extent of his pecuniary interest therein. The principal address for Boxer Capital, MVA Investors and Mr. Davis is 12860 El Camino Real, Suite 300, San Diego, CA 92130. The principal address for Boxer Asset Management and Mr. Lewis is Cay House, EP Taylor Drive N7776, Lyford Cay, New Providence, Bahamas.</w:t>
      </w:r>
    </w:p>
    <w:p>
      <w:pPr>
        <w:spacing w:after="0" w:line="44" w:lineRule="exact"/>
        <w:rPr>
          <w:rFonts w:ascii="Arial" w:cs="Arial" w:eastAsia="Arial" w:hAnsi="Arial"/>
          <w:sz w:val="17"/>
          <w:szCs w:val="17"/>
          <w:color w:val="auto"/>
        </w:rPr>
      </w:pPr>
    </w:p>
    <w:p>
      <w:pPr>
        <w:ind w:left="1620" w:right="479" w:hanging="360"/>
        <w:spacing w:after="0" w:line="255"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(i) 462,963 shares of common stock purchased by Superstring Capital Master Fund LP, or Superstring Capital, and (ii) 462,962 shares of common stock purchased by Superstring Private Opportunities Fund I LP, or Superstring Private, in the Private Placement. The sole general partner of each of Superstring Capital and Superstring Private is Superstring Capital Fund GP LLC. The manager of each of Superstring Capital and Superstring Private is Ting Guo. This individual may be deemed to have voting and investment power of the securities held by Superstring Capital and Superstring Private. Ting Guo will disclaim beneficial ownership of such securities, except to the extent of his pecuniary interest therein. The address of each of Superstring Capital and Superstring Private is 150 E 52nd St, Suite 5004, New York, NY 10022.</w:t>
      </w:r>
    </w:p>
    <w:p>
      <w:pPr>
        <w:spacing w:after="0" w:line="32" w:lineRule="exact"/>
        <w:rPr>
          <w:rFonts w:ascii="Arial" w:cs="Arial" w:eastAsia="Arial" w:hAnsi="Arial"/>
          <w:sz w:val="18"/>
          <w:szCs w:val="18"/>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(i) 793,650 shares of common stock purchased in the Private Placement and</w:t>
      </w:r>
    </w:p>
    <w:p>
      <w:pPr>
        <w:spacing w:after="0" w:line="27" w:lineRule="exact"/>
        <w:rPr>
          <w:rFonts w:ascii="Arial" w:cs="Arial" w:eastAsia="Arial" w:hAnsi="Arial"/>
          <w:sz w:val="18"/>
          <w:szCs w:val="18"/>
          <w:color w:val="auto"/>
        </w:rPr>
      </w:pPr>
    </w:p>
    <w:p>
      <w:pPr>
        <w:ind w:left="1620" w:right="419"/>
        <w:spacing w:after="0" w:line="252" w:lineRule="auto"/>
        <w:rPr>
          <w:rFonts w:ascii="Arial" w:cs="Arial" w:eastAsia="Arial" w:hAnsi="Arial"/>
          <w:sz w:val="18"/>
          <w:szCs w:val="18"/>
          <w:color w:val="auto"/>
        </w:rPr>
      </w:pPr>
      <w:r>
        <w:rPr>
          <w:rFonts w:ascii="Arial" w:cs="Arial" w:eastAsia="Arial" w:hAnsi="Arial"/>
          <w:sz w:val="18"/>
          <w:szCs w:val="18"/>
          <w:color w:val="auto"/>
        </w:rPr>
        <w:t>(ii) 540,000 shares of common stock held prior to the Private Placement. Octagon Capital Advisors LP is the investment manager of Octagon Investments Master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Each of Dr. Jia and Octagon Capital Advisors LP disclaims beneficial ownership of the shares held by Octagon Investments Master Fund LP, except to the extent of his or its pecuniary interest therein, if any. The address for each of Dr. Jia, Octagon Capital Advisors LP and Octagon Investments Master Fund LP is 654 Madison Avenue, 21st Floor, New York, NY 10065.</w:t>
      </w:r>
    </w:p>
    <w:p>
      <w:pPr>
        <w:spacing w:after="0" w:line="37" w:lineRule="exact"/>
        <w:rPr>
          <w:rFonts w:ascii="Arial" w:cs="Arial" w:eastAsia="Arial" w:hAnsi="Arial"/>
          <w:sz w:val="18"/>
          <w:szCs w:val="18"/>
          <w:color w:val="auto"/>
        </w:rPr>
      </w:pPr>
    </w:p>
    <w:p>
      <w:pPr>
        <w:ind w:left="1620" w:right="419" w:hanging="360"/>
        <w:spacing w:after="0" w:line="253"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(i)(a) 285,714 shares of common stock purchased by DAFNA LifeScience LP in the Private Placement and (b) 111,111 shares of common stock purchased by DAFNA LifeScience Select LP in the Private Placement; and (ii)(a) 980,100 shares of common stock held by DAFNA LifeScience LP prior to the Private Placement and (b) 327,307 shares of common stock held by DAFNA LifeScience Select LP prior to the Private Placement. DAFNA Capital Management LLC is the sole general partner of 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Ghodsian disclaim beneficial ownership of such shares, except to the extent of his or her pecuniary interest therein. The address for the entities and individuals herein is 10990 Wilshire Blvd, Suite 1400, Los Angeles, CA 90024.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7" w:lineRule="exact"/>
        <w:rPr>
          <w:sz w:val="20"/>
          <w:szCs w:val="20"/>
          <w:color w:val="auto"/>
        </w:rPr>
      </w:pPr>
    </w:p>
    <w:p>
      <w:pPr>
        <w:ind w:left="1260" w:right="459"/>
        <w:spacing w:after="0" w:line="273" w:lineRule="auto"/>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63" w:lineRule="exact"/>
        <w:rPr>
          <w:rFonts w:ascii="Arial" w:cs="Arial" w:eastAsia="Arial" w:hAnsi="Arial"/>
          <w:sz w:val="18"/>
          <w:szCs w:val="18"/>
          <w:color w:val="auto"/>
        </w:rPr>
      </w:pPr>
    </w:p>
    <w:p>
      <w:pPr>
        <w:ind w:left="1620" w:right="439" w:hanging="360"/>
        <w:spacing w:after="0" w:line="281"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 sales and settlement of short sales;</w:t>
      </w:r>
    </w:p>
    <w:p>
      <w:pPr>
        <w:spacing w:after="0" w:line="63" w:lineRule="exact"/>
        <w:rPr>
          <w:rFonts w:ascii="Arial" w:cs="Arial" w:eastAsia="Arial" w:hAnsi="Arial"/>
          <w:sz w:val="18"/>
          <w:szCs w:val="18"/>
          <w:color w:val="auto"/>
        </w:rPr>
      </w:pPr>
    </w:p>
    <w:p>
      <w:pPr>
        <w:ind w:left="1620" w:right="959" w:hanging="360"/>
        <w:spacing w:after="0" w:line="281"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 w:lineRule="exact"/>
        <w:rPr>
          <w:rFonts w:ascii="Arial" w:cs="Arial" w:eastAsia="Arial" w:hAnsi="Arial"/>
          <w:sz w:val="18"/>
          <w:szCs w:val="18"/>
          <w:color w:val="auto"/>
        </w:rPr>
      </w:pPr>
    </w:p>
    <w:p>
      <w:pPr>
        <w:ind w:left="1620" w:right="539" w:hanging="360"/>
        <w:spacing w:after="0" w:line="281"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14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or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13"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03"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deemed “underwriters” within the meaning of Section 2(11) of the Securities Act will be subject to the prospectus delivery requirements of the Securities Act.</w:t>
      </w:r>
    </w:p>
    <w:p>
      <w:pPr>
        <w:spacing w:after="0" w:line="115"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98"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09"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98" w:lineRule="exact"/>
        <w:rPr>
          <w:sz w:val="20"/>
          <w:szCs w:val="20"/>
          <w:color w:val="auto"/>
        </w:rPr>
      </w:pPr>
    </w:p>
    <w:p>
      <w:pPr>
        <w:ind w:left="1260" w:right="799"/>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90"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as amended from time to time, and second amended and restated bylaws, as amended from time to time, copies of which are incorporated by reference as exhibits to the registration statement of which this prospectus is a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Under our second amended and restated certificate of incorporation, or the Certificate of Incorporation, our authorized capital stock consists of 300,000,000 shares of common stock, par value $0.0001 per share, and 10,000,000 shares of preferred stock, par value $0.0001 per share. As of May 7, 2024, we had 83,176,749 shares of common stock outstanding.</w:t>
      </w:r>
    </w:p>
    <w:p>
      <w:pPr>
        <w:spacing w:after="0" w:line="9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second amended and restated bylaws, or the Bylaws, procedures for our stockholder meetings, the classified board, director liability, and exclusive forum for proceedings.</w:t>
      </w:r>
    </w:p>
    <w:p>
      <w:pPr>
        <w:spacing w:after="0" w:line="117"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103" w:lineRule="exact"/>
        <w:rPr>
          <w:sz w:val="20"/>
          <w:szCs w:val="20"/>
          <w:color w:val="auto"/>
        </w:rPr>
      </w:pPr>
    </w:p>
    <w:p>
      <w:pPr>
        <w:ind w:left="1260" w:right="799"/>
        <w:spacing w:after="0" w:line="262"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12"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May 7, 2024, we had no shares of preferred stock outstanding.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77"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95"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9"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18"/>
          <w:szCs w:val="18"/>
          <w:i w:val="1"/>
          <w:iCs w:val="1"/>
          <w:color w:val="auto"/>
        </w:rPr>
        <w:t>Section 203 of the Delaware General Corporation Law</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are subject to Section 203 of the Delaware</w:t>
      </w:r>
    </w:p>
    <w:p>
      <w:pPr>
        <w:spacing w:after="0" w:line="27"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05"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03"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ability to authorize undesignated preferred stock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9"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Our Certificate of Incorporation provides that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voting stock, voting</w:t>
      </w:r>
    </w:p>
    <w:p>
      <w:pPr>
        <w:spacing w:after="0" w:line="2" w:lineRule="exact"/>
        <w:rPr>
          <w:sz w:val="20"/>
          <w:szCs w:val="20"/>
          <w:color w:val="auto"/>
        </w:rPr>
      </w:pPr>
    </w:p>
    <w:p>
      <w:pPr>
        <w:ind w:left="1260" w:right="559"/>
        <w:spacing w:after="0" w:line="249" w:lineRule="auto"/>
        <w:rPr>
          <w:sz w:val="20"/>
          <w:szCs w:val="20"/>
          <w:color w:val="auto"/>
        </w:rPr>
      </w:pPr>
      <w:r>
        <w:rPr>
          <w:rFonts w:ascii="Arial" w:cs="Arial" w:eastAsia="Arial" w:hAnsi="Arial"/>
          <w:sz w:val="17"/>
          <w:szCs w:val="17"/>
          <w:color w:val="auto"/>
        </w:rPr>
        <w:t>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or repeal our Bylaws unless such action is recommended by our board of directors at an annual or special meeting of stockholders, which would then require the affirmative vote of a majority</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voting power of all of the then outstanding shares of voting stock, voting as a single class.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Additionally, our Bylaws may be amended by a simple majority vote of our board of directors.</w:t>
      </w:r>
    </w:p>
    <w:p>
      <w:pPr>
        <w:spacing w:after="0" w:line="140"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Certificate of Incorporation provides that, unless we consent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The validity of the shares of common stock being offered hereby will be passed upon for us by Goodwin Procter LLP, Philadelphia,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The consolidated financial statements of Century Therapeutics, Inc. appearing in Century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4"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53"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90"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90"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6" w:lineRule="exact"/>
        <w:rPr>
          <w:sz w:val="20"/>
          <w:szCs w:val="20"/>
          <w:color w:val="auto"/>
        </w:rPr>
      </w:pPr>
    </w:p>
    <w:p>
      <w:pPr>
        <w:ind w:left="1620" w:right="859" w:hanging="360"/>
        <w:spacing w:after="0" w:line="268" w:lineRule="auto"/>
        <w:tabs>
          <w:tab w:leader="none" w:pos="1620" w:val="left"/>
        </w:tabs>
        <w:numPr>
          <w:ilvl w:val="0"/>
          <w:numId w:val="9"/>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Our Annual Report on Form 10-K for the year ended December 31, 2023 filed with the SEC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March 14, 2024;</w:t>
        </w:r>
      </w:hyperlink>
    </w:p>
    <w:p>
      <w:pPr>
        <w:ind w:left="1620" w:right="739" w:hanging="360"/>
        <w:spacing w:after="0" w:line="266" w:lineRule="auto"/>
        <w:tabs>
          <w:tab w:leader="none" w:pos="162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quarter ended March 31, 2024, filed with the SEC on </w:t>
      </w:r>
      <w:hyperlink r:id="rId41">
        <w:r>
          <w:rPr>
            <w:rFonts w:ascii="Arial" w:cs="Arial" w:eastAsia="Arial" w:hAnsi="Arial"/>
            <w:sz w:val="18"/>
            <w:szCs w:val="18"/>
            <w:u w:val="single" w:color="auto"/>
            <w:color w:val="0000EE"/>
          </w:rPr>
          <w:t>May 9, 2024</w:t>
        </w:r>
      </w:hyperlink>
      <w:r>
        <w:rPr>
          <w:rFonts w:ascii="Arial" w:cs="Arial" w:eastAsia="Arial" w:hAnsi="Arial"/>
          <w:sz w:val="18"/>
          <w:szCs w:val="18"/>
          <w:color w:val="000000"/>
        </w:rPr>
        <w:t>;</w:t>
      </w:r>
    </w:p>
    <w:p>
      <w:pPr>
        <w:ind w:left="1620" w:right="559" w:hanging="360"/>
        <w:spacing w:after="0" w:line="266" w:lineRule="auto"/>
        <w:tabs>
          <w:tab w:leader="none" w:pos="1620" w:val="left"/>
        </w:tabs>
        <w:numPr>
          <w:ilvl w:val="0"/>
          <w:numId w:val="9"/>
        </w:numPr>
        <w:rPr>
          <w:rFonts w:ascii="Arial" w:cs="Arial" w:eastAsia="Arial" w:hAnsi="Arial"/>
          <w:sz w:val="18"/>
          <w:szCs w:val="18"/>
          <w:u w:val="single" w:color="auto"/>
          <w:color w:val="0000EE"/>
        </w:rPr>
      </w:pPr>
      <w:hyperlink r:id="rId21">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year ended December 31, 2023</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Form DEF 14-A, filed on</w:t>
        </w:r>
      </w:hyperlink>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April 26, 2024;</w:t>
        </w:r>
      </w:hyperlink>
    </w:p>
    <w:p>
      <w:pPr>
        <w:ind w:left="1620" w:right="699" w:hanging="360"/>
        <w:spacing w:after="0" w:line="273" w:lineRule="auto"/>
        <w:tabs>
          <w:tab w:leader="none" w:pos="1620" w:val="left"/>
        </w:tabs>
        <w:numPr>
          <w:ilvl w:val="0"/>
          <w:numId w:val="9"/>
        </w:numPr>
        <w:rPr>
          <w:rFonts w:ascii="Arial" w:cs="Arial" w:eastAsia="Arial" w:hAnsi="Arial"/>
          <w:sz w:val="18"/>
          <w:szCs w:val="18"/>
          <w:color w:val="0000EE"/>
        </w:rPr>
      </w:pPr>
      <w:hyperlink r:id="rId4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2024</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April 11, 2024</w:t>
        </w:r>
      </w:hyperlink>
      <w:hyperlink r:id="rId43">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1620" w:right="539" w:hanging="360"/>
        <w:spacing w:after="0" w:line="268" w:lineRule="auto"/>
        <w:tabs>
          <w:tab w:leader="none" w:pos="1620" w:val="left"/>
        </w:tabs>
        <w:numPr>
          <w:ilvl w:val="0"/>
          <w:numId w:val="9"/>
        </w:numPr>
        <w:rPr>
          <w:rFonts w:ascii="Arial" w:cs="Arial" w:eastAsia="Arial" w:hAnsi="Arial"/>
          <w:sz w:val="18"/>
          <w:szCs w:val="18"/>
          <w:color w:val="0000EE"/>
        </w:rPr>
      </w:pPr>
      <w:hyperlink r:id="rId45">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8-A (File No.</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001- 40498) filed with the SEC on June 14, 2021</w:t>
        </w:r>
        <w:r>
          <w:rPr>
            <w:rFonts w:ascii="Arial" w:cs="Arial" w:eastAsia="Arial" w:hAnsi="Arial"/>
            <w:sz w:val="18"/>
            <w:szCs w:val="18"/>
            <w:color w:val="000000"/>
          </w:rPr>
          <w:t>, under the Exchange Act,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such description.</w:t>
      </w:r>
    </w:p>
    <w:p>
      <w:pPr>
        <w:spacing w:after="0" w:line="36" w:lineRule="exact"/>
        <w:rPr>
          <w:rFonts w:ascii="Arial" w:cs="Arial" w:eastAsia="Arial" w:hAnsi="Arial"/>
          <w:sz w:val="18"/>
          <w:szCs w:val="18"/>
          <w:color w:val="auto"/>
        </w:rPr>
      </w:pPr>
    </w:p>
    <w:p>
      <w:pPr>
        <w:ind w:left="1260" w:right="499"/>
        <w:spacing w:after="0" w:line="242"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62" w:lineRule="exact"/>
        <w:rPr>
          <w:rFonts w:ascii="Arial" w:cs="Arial" w:eastAsia="Arial" w:hAnsi="Arial"/>
          <w:sz w:val="18"/>
          <w:szCs w:val="18"/>
          <w:color w:val="auto"/>
        </w:rPr>
      </w:pPr>
    </w:p>
    <w:p>
      <w:pPr>
        <w:ind w:left="1260" w:right="699"/>
        <w:spacing w:after="0" w:line="25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p>
    <w:p>
      <w:pPr>
        <w:spacing w:after="0" w:line="359"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6" Type="http://schemas.openxmlformats.org/officeDocument/2006/relationships/image" Target="media/image33.png"/><Relationship Id="rId21" Type="http://schemas.openxmlformats.org/officeDocument/2006/relationships/hyperlink" Target="http://www.sec.gov/ix?doc=/Archives/edgar/data/1850119/000155837024003165/ipsc-20231231x10k.htm" TargetMode="External"/><Relationship Id="rId41" Type="http://schemas.openxmlformats.org/officeDocument/2006/relationships/hyperlink" Target="http://www.sec.gov/ix?doc=/Archives/edgar/data/1850119/000155837024007469/ipsc-20240331x10q.htm" TargetMode="External"/><Relationship Id="rId42" Type="http://schemas.openxmlformats.org/officeDocument/2006/relationships/hyperlink" Target="http://www.sec.gov/Archives/edgar/data/1850119/000110465924052924/tm242867-3_def14a.htm" TargetMode="External"/><Relationship Id="rId43" Type="http://schemas.openxmlformats.org/officeDocument/2006/relationships/hyperlink" Target="https://www.sec.gov/ix?doc=/Archives/edgar/data/1850119/000110465924046247/tm2411557d2_8k.htm" TargetMode="External"/><Relationship Id="rId44" Type="http://schemas.openxmlformats.org/officeDocument/2006/relationships/hyperlink" Target="http://www.sec.gov/ix?doc=/Archives/edgar/data/1850119/000110465924046373/tm2411557d1_8k.htm" TargetMode="External"/><Relationship Id="rId45" Type="http://schemas.openxmlformats.org/officeDocument/2006/relationships/hyperlink" Target="http://www.sec.gov/Archives/edgar/data/1850119/000110465921080760/tm218551d12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2024-05-22T07:04:54Z</dcterms:created>
  <dcterms:modified xsi:type="dcterms:W3CDTF">2024-05-22T07:04:54Z</dcterms:modified>
</cp:coreProperties>
</file>