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March 31, 2024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64" w:lineRule="exact"/>
        <w:rPr>
          <w:sz w:val="24"/>
          <w:szCs w:val="24"/>
          <w:color w:val="auto"/>
        </w:rPr>
      </w:pPr>
    </w:p>
    <w:tbl>
      <w:tblPr>
        <w:tblLayout w:type="fixed"/>
        <w:tblInd w:w="1270" w:type="dxa"/>
        <w:tblCellMar>
          <w:top w:w="0" w:type="dxa"/>
          <w:left w:w="0" w:type="dxa"/>
          <w:bottom w:w="0" w:type="dxa"/>
          <w:right w:w="0" w:type="dxa"/>
        </w:tblCellMar>
      </w:tblP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76"/>
        </w:trPr>
        <w:tc>
          <w:tcPr>
            <w:tcW w:w="4540" w:type="dxa"/>
            <w:vAlign w:val="bottom"/>
          </w:tcPr>
          <w:p>
            <w:pPr>
              <w:jc w:val="center"/>
              <w:ind w:right="1419"/>
              <w:spacing w:after="0" w:line="176" w:lineRule="exact"/>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line="176" w:lineRule="exact"/>
              <w:rPr>
                <w:sz w:val="20"/>
                <w:szCs w:val="20"/>
                <w:color w:val="auto"/>
              </w:rPr>
            </w:pPr>
            <w:r>
              <w:rPr>
                <w:rFonts w:ascii="Arial" w:cs="Arial" w:eastAsia="Arial" w:hAnsi="Arial"/>
                <w:sz w:val="16"/>
                <w:szCs w:val="16"/>
                <w:b w:val="1"/>
                <w:bCs w:val="1"/>
                <w:color w:val="auto"/>
              </w:rPr>
              <w:t>Identification No.)</w:t>
            </w:r>
          </w:p>
        </w:tc>
      </w:tr>
      <w:tr>
        <w:trPr>
          <w:trHeight w:val="202"/>
        </w:trPr>
        <w:tc>
          <w:tcPr>
            <w:tcW w:w="4540" w:type="dxa"/>
            <w:vAlign w:val="bottom"/>
          </w:tcPr>
          <w:p>
            <w:pPr>
              <w:jc w:val="center"/>
              <w:ind w:right="1439"/>
              <w:spacing w:after="0" w:line="202" w:lineRule="exact"/>
              <w:rPr>
                <w:sz w:val="20"/>
                <w:szCs w:val="20"/>
                <w:color w:val="auto"/>
              </w:rPr>
            </w:pPr>
            <w:r>
              <w:rPr>
                <w:rFonts w:ascii="Arial" w:cs="Arial" w:eastAsia="Arial" w:hAnsi="Arial"/>
                <w:sz w:val="16"/>
                <w:szCs w:val="16"/>
                <w:b w:val="1"/>
                <w:bCs w:val="1"/>
                <w:color w:val="auto"/>
                <w:w w:val="98"/>
              </w:rPr>
              <w:t>25 N 38</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Street, 11</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Floor</w:t>
            </w:r>
          </w:p>
        </w:tc>
        <w:tc>
          <w:tcPr>
            <w:tcW w:w="2880" w:type="dxa"/>
            <w:vAlign w:val="bottom"/>
          </w:tcPr>
          <w:p>
            <w:pPr>
              <w:spacing w:after="0"/>
              <w:rPr>
                <w:sz w:val="17"/>
                <w:szCs w:val="17"/>
                <w:color w:val="auto"/>
              </w:rPr>
            </w:pP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3"/>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52"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8"/>
                <w:szCs w:val="18"/>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0" w:right="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36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0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6" w:lineRule="exact"/>
        <w:rPr>
          <w:sz w:val="24"/>
          <w:szCs w:val="24"/>
          <w:color w:val="auto"/>
        </w:rPr>
      </w:pPr>
    </w:p>
    <w:p>
      <w:pPr>
        <w:ind w:left="10" w:right="3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0" w:right="1140"/>
        <w:spacing w:after="0" w:line="24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2024 the registrant had 82,847,375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gridSpan w:val="5"/>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0"/>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7360" w:type="dxa"/>
            <w:vAlign w:val="bottom"/>
            <w:gridSpan w:val="20"/>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Item 1.</w:t>
            </w:r>
          </w:p>
        </w:tc>
        <w:tc>
          <w:tcPr>
            <w:tcW w:w="340" w:type="dxa"/>
            <w:vAlign w:val="bottom"/>
            <w:gridSpan w:val="4"/>
          </w:tcPr>
          <w:p>
            <w:pPr>
              <w:spacing w:after="0"/>
              <w:rPr>
                <w:sz w:val="17"/>
                <w:szCs w:val="17"/>
                <w:color w:val="auto"/>
              </w:rPr>
            </w:pPr>
          </w:p>
        </w:tc>
        <w:tc>
          <w:tcPr>
            <w:tcW w:w="37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Unaudited Consolidated Financial Statements:</w:t>
            </w:r>
          </w:p>
        </w:tc>
        <w:tc>
          <w:tcPr>
            <w:tcW w:w="3660" w:type="dxa"/>
            <w:vAlign w:val="bottom"/>
            <w:gridSpan w:val="8"/>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Consolidated Balance Sheets as of March 31, 2024 (unaudited) and December 31, 202</w:t>
            </w:r>
            <w:r>
              <w:rPr>
                <w:rFonts w:ascii="Arial" w:cs="Arial" w:eastAsia="Arial" w:hAnsi="Arial"/>
                <w:sz w:val="18"/>
                <w:szCs w:val="18"/>
                <w:color w:val="000000"/>
              </w:rPr>
              <w:t>3</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months</w:t>
            </w:r>
          </w:p>
        </w:tc>
        <w:tc>
          <w:tcPr>
            <w:tcW w:w="400" w:type="dxa"/>
            <w:vAlign w:val="bottom"/>
            <w:gridSpan w:val="3"/>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9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ended March 31, 2024 and 2023 (unaudited)</w:t>
            </w: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Consolidated Statements of Changes in Stockholders’ Equity for the three months ended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March 31, 2024 and 2023 (unaudited)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Consolidated Statements of Cash Flows for the three months ended March 31, 2024 and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2023 (unaudited)</w:t>
            </w:r>
          </w:p>
        </w:tc>
        <w:tc>
          <w:tcPr>
            <w:tcW w:w="570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4"/>
              </w:rPr>
              <w:t>Item 2.</w:t>
            </w:r>
          </w:p>
        </w:tc>
        <w:tc>
          <w:tcPr>
            <w:tcW w:w="340" w:type="dxa"/>
            <w:vAlign w:val="bottom"/>
            <w:gridSpan w:val="4"/>
            <w:vMerge w:val="restart"/>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70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3.</w:t>
            </w:r>
          </w:p>
        </w:tc>
        <w:tc>
          <w:tcPr>
            <w:tcW w:w="340" w:type="dxa"/>
            <w:vAlign w:val="bottom"/>
            <w:gridSpan w:val="4"/>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4.</w:t>
            </w:r>
          </w:p>
        </w:tc>
        <w:tc>
          <w:tcPr>
            <w:tcW w:w="340" w:type="dxa"/>
            <w:vAlign w:val="bottom"/>
            <w:gridSpan w:val="4"/>
          </w:tcPr>
          <w:p>
            <w:pPr>
              <w:spacing w:after="0"/>
              <w:rPr>
                <w:sz w:val="17"/>
                <w:szCs w:val="17"/>
                <w:color w:val="auto"/>
              </w:rPr>
            </w:pPr>
          </w:p>
        </w:tc>
        <w:tc>
          <w:tcPr>
            <w:tcW w:w="47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2660" w:type="dxa"/>
            <w:vAlign w:val="bottom"/>
            <w:gridSpan w:val="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8"/>
              </w:rPr>
              <w:t>PART II.</w:t>
            </w:r>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1.</w:t>
            </w:r>
          </w:p>
        </w:tc>
        <w:tc>
          <w:tcPr>
            <w:tcW w:w="340" w:type="dxa"/>
            <w:vAlign w:val="bottom"/>
            <w:gridSpan w:val="4"/>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8"/>
              </w:rPr>
              <w:t>Item 1A.</w:t>
            </w:r>
          </w:p>
        </w:tc>
        <w:tc>
          <w:tcPr>
            <w:tcW w:w="220" w:type="dxa"/>
            <w:vAlign w:val="bottom"/>
            <w:gridSpan w:val="3"/>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Risk Factors</w:t>
            </w:r>
          </w:p>
        </w:tc>
        <w:tc>
          <w:tcPr>
            <w:tcW w:w="6360" w:type="dxa"/>
            <w:vAlign w:val="bottom"/>
            <w:gridSpan w:val="18"/>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2.</w:t>
            </w:r>
          </w:p>
        </w:tc>
        <w:tc>
          <w:tcPr>
            <w:tcW w:w="340" w:type="dxa"/>
            <w:vAlign w:val="bottom"/>
            <w:gridSpan w:val="4"/>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3.</w:t>
            </w:r>
          </w:p>
        </w:tc>
        <w:tc>
          <w:tcPr>
            <w:tcW w:w="340" w:type="dxa"/>
            <w:vAlign w:val="bottom"/>
            <w:gridSpan w:val="4"/>
          </w:tcPr>
          <w:p>
            <w:pPr>
              <w:spacing w:after="0"/>
              <w:rPr>
                <w:sz w:val="17"/>
                <w:szCs w:val="17"/>
                <w:color w:val="auto"/>
              </w:rPr>
            </w:pPr>
          </w:p>
        </w:tc>
        <w:tc>
          <w:tcPr>
            <w:tcW w:w="48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520" w:type="dxa"/>
            <w:vAlign w:val="bottom"/>
            <w:gridSpan w:val="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4.</w:t>
            </w:r>
          </w:p>
        </w:tc>
        <w:tc>
          <w:tcPr>
            <w:tcW w:w="340" w:type="dxa"/>
            <w:vAlign w:val="bottom"/>
            <w:gridSpan w:val="4"/>
          </w:tcPr>
          <w:p>
            <w:pPr>
              <w:spacing w:after="0"/>
              <w:rPr>
                <w:sz w:val="17"/>
                <w:szCs w:val="17"/>
                <w:color w:val="auto"/>
              </w:rPr>
            </w:pPr>
          </w:p>
        </w:tc>
        <w:tc>
          <w:tcPr>
            <w:tcW w:w="25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Mine Safety Disclosures</w:t>
            </w:r>
          </w:p>
        </w:tc>
        <w:tc>
          <w:tcPr>
            <w:tcW w:w="4820" w:type="dxa"/>
            <w:vAlign w:val="bottom"/>
            <w:gridSpan w:val="11"/>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Item 5.</w:t>
            </w:r>
          </w:p>
        </w:tc>
        <w:tc>
          <w:tcPr>
            <w:tcW w:w="340" w:type="dxa"/>
            <w:vAlign w:val="bottom"/>
            <w:gridSpan w:val="4"/>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2"/>
          </w:tcPr>
          <w:p>
            <w:pPr>
              <w:spacing w:after="0"/>
              <w:rPr>
                <w:sz w:val="17"/>
                <w:szCs w:val="17"/>
                <w:color w:val="auto"/>
              </w:rPr>
            </w:pPr>
          </w:p>
        </w:tc>
        <w:tc>
          <w:tcPr>
            <w:tcW w:w="5440" w:type="dxa"/>
            <w:vAlign w:val="bottom"/>
            <w:gridSpan w:val="1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6.</w:t>
            </w:r>
          </w:p>
        </w:tc>
        <w:tc>
          <w:tcPr>
            <w:tcW w:w="340" w:type="dxa"/>
            <w:vAlign w:val="bottom"/>
            <w:gridSpan w:val="4"/>
          </w:tcPr>
          <w:p>
            <w:pPr>
              <w:spacing w:after="0"/>
              <w:rPr>
                <w:sz w:val="17"/>
                <w:szCs w:val="17"/>
                <w:color w:val="auto"/>
              </w:rPr>
            </w:pPr>
          </w:p>
        </w:tc>
        <w:tc>
          <w:tcPr>
            <w:tcW w:w="7360" w:type="dxa"/>
            <w:vAlign w:val="bottom"/>
            <w:gridSpan w:val="20"/>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line="20" w:lineRule="exact"/>
              <w:rPr>
                <w:sz w:val="1"/>
                <w:szCs w:val="1"/>
                <w:color w:val="auto"/>
              </w:rPr>
            </w:pPr>
          </w:p>
        </w:tc>
      </w:tr>
      <w:tr>
        <w:trPr>
          <w:trHeight w:val="196"/>
        </w:trPr>
        <w:tc>
          <w:tcPr>
            <w:tcW w:w="900" w:type="dxa"/>
            <w:vAlign w:val="bottom"/>
            <w:gridSpan w:val="5"/>
          </w:tcPr>
          <w:p>
            <w:pPr>
              <w:spacing w:after="0" w:line="196" w:lineRule="exact"/>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4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3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43"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lead product candidate, CNTY-101;</w:t>
      </w:r>
    </w:p>
    <w:p>
      <w:pPr>
        <w:spacing w:after="0" w:line="197"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treatment of cancer, utilizing iPSC-derived natural killer cells, (“iNK cells”) and iPSC-derived T cells, (“iT cells”) and the challenges we will face due to the novel nature of such technology;</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183"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(“FCDI”) for access to key differentiation and reprogramming technology for the manufacturing and development of our product candidates;</w:t>
      </w:r>
    </w:p>
    <w:p>
      <w:pPr>
        <w:spacing w:after="0" w:line="143"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13"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(“IND”) applications and the likelihood of, and our ability to obtain and maintain, regulatory clearance of IND applications for our product candidates;</w:t>
      </w:r>
    </w:p>
    <w:p>
      <w:pPr>
        <w:spacing w:after="0" w:line="113"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27" w:lineRule="exact"/>
        <w:rPr>
          <w:rFonts w:ascii="Times New Roman" w:cs="Times New Roman" w:eastAsia="Times New Roman" w:hAnsi="Times New Roman"/>
          <w:sz w:val="18"/>
          <w:szCs w:val="18"/>
          <w:color w:val="auto"/>
        </w:rPr>
      </w:pPr>
    </w:p>
    <w:p>
      <w:pPr>
        <w:jc w:val="both"/>
        <w:ind w:left="720" w:right="1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(“Bristol-Myers Squibb”) in connection with the furtherance of our collaboration programs;</w:t>
      </w:r>
    </w:p>
    <w:p>
      <w:pPr>
        <w:spacing w:after="0" w:line="127"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integrate with the operations of Clade Therapeutics, Inc. (“Clade”) following the acquisition and achieve the anticipated benefits of the acquisition;</w:t>
      </w:r>
    </w:p>
    <w:p>
      <w:pPr>
        <w:spacing w:after="0" w:line="113"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3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2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therapies and its potential impact on public perception of our company and product candidates;</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13"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27"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83"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4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3" w:lineRule="exact"/>
        <w:rPr>
          <w:rFonts w:ascii="Times New Roman" w:cs="Times New Roman" w:eastAsia="Times New Roman" w:hAnsi="Times New Roman"/>
          <w:sz w:val="18"/>
          <w:szCs w:val="18"/>
          <w:color w:val="auto"/>
        </w:rPr>
      </w:pPr>
    </w:p>
    <w:p>
      <w:pPr>
        <w:ind w:left="720" w:right="89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spacing w:after="0" w:line="90" w:lineRule="exact"/>
        <w:rPr>
          <w:rFonts w:ascii="Times New Roman" w:cs="Times New Roman" w:eastAsia="Times New Roman" w:hAnsi="Times New Roman"/>
          <w:sz w:val="17"/>
          <w:szCs w:val="17"/>
          <w:color w:val="auto"/>
        </w:rPr>
      </w:pPr>
    </w:p>
    <w:p>
      <w:pPr>
        <w:ind w:left="720" w:right="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pandemics, such as the COVID-19 pandemic, or any other global health crises may impact our business, including development activities, preclinical studies, clinical trials, supply chain and labor force; and</w:t>
      </w:r>
    </w:p>
    <w:p>
      <w:pPr>
        <w:spacing w:after="0" w:line="14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18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and in the section titled “Risk Factors” set forth in Part I, Item 1A of our Annual Report on Form 10-K for the year ended December 31, 2023 for a discussion of important factors that may cause our actual results to differ materially from those expressed or implied by our forward-looking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4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7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color w:val="auto"/>
              </w:rPr>
              <w:t>March 31, 2024</w:t>
            </w: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December 31, 2023</w:t>
            </w:r>
          </w:p>
        </w:tc>
      </w:tr>
      <w:tr>
        <w:trPr>
          <w:trHeight w:val="171"/>
        </w:trPr>
        <w:tc>
          <w:tcPr>
            <w:tcW w:w="2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8"/>
        </w:trPr>
        <w:tc>
          <w:tcPr>
            <w:tcW w:w="2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34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46,812</w:t>
            </w:r>
          </w:p>
        </w:tc>
        <w:tc>
          <w:tcPr>
            <w:tcW w:w="26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47,324</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145,204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125,414</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7,797</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4,256</w:t>
            </w:r>
          </w:p>
        </w:tc>
        <w:tc>
          <w:tcPr>
            <w:tcW w:w="280" w:type="dxa"/>
            <w:vAlign w:val="bottom"/>
            <w:tcBorders>
              <w:bottom w:val="single" w:sz="8" w:color="CCEEFF"/>
            </w:tcBorders>
          </w:tcPr>
          <w:p>
            <w:pPr>
              <w:spacing w:after="0"/>
              <w:rPr>
                <w:sz w:val="11"/>
                <w:szCs w:val="11"/>
                <w:color w:val="auto"/>
              </w:rPr>
            </w:pPr>
          </w:p>
        </w:tc>
      </w:tr>
      <w:tr>
        <w:trPr>
          <w:trHeight w:val="128"/>
        </w:trPr>
        <w:tc>
          <w:tcPr>
            <w:tcW w:w="2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199,813</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176,994</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69,005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71,705</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19,314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20,376</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57,852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89,096</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Security deposits and non-current assets</w:t>
            </w:r>
          </w:p>
        </w:tc>
        <w:tc>
          <w:tcPr>
            <w:tcW w:w="2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544</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541</w:t>
            </w:r>
          </w:p>
        </w:tc>
        <w:tc>
          <w:tcPr>
            <w:tcW w:w="280" w:type="dxa"/>
            <w:vAlign w:val="bottom"/>
            <w:shd w:val="clear" w:color="auto" w:fill="CCEEFF"/>
          </w:tcPr>
          <w:p>
            <w:pPr>
              <w:spacing w:after="0"/>
              <w:rPr>
                <w:sz w:val="11"/>
                <w:szCs w:val="11"/>
                <w:color w:val="auto"/>
              </w:rPr>
            </w:pPr>
          </w:p>
        </w:tc>
      </w:tr>
      <w:tr>
        <w:trPr>
          <w:trHeight w:val="168"/>
        </w:trPr>
        <w:tc>
          <w:tcPr>
            <w:tcW w:w="27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2"/>
              </w:rPr>
              <w:t>$</w:t>
            </w:r>
          </w:p>
        </w:tc>
        <w:tc>
          <w:tcPr>
            <w:tcW w:w="1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348,507</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80" w:type="dxa"/>
            <w:vAlign w:val="bottom"/>
            <w:tcBorders>
              <w:bottom w:val="single" w:sz="8" w:color="CCEEFF"/>
            </w:tcBorders>
          </w:tcPr>
          <w:p>
            <w:pPr>
              <w:spacing w:after="0"/>
              <w:rPr>
                <w:sz w:val="14"/>
                <w:szCs w:val="14"/>
                <w:color w:val="auto"/>
              </w:rPr>
            </w:pPr>
          </w:p>
        </w:tc>
      </w:tr>
      <w:tr>
        <w:trPr>
          <w:trHeight w:val="116"/>
        </w:trPr>
        <w:tc>
          <w:tcPr>
            <w:tcW w:w="276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34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2,741</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7,532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10,149</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584</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2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4,610</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4,372</w:t>
            </w:r>
          </w:p>
        </w:tc>
        <w:tc>
          <w:tcPr>
            <w:tcW w:w="280" w:type="dxa"/>
            <w:vAlign w:val="bottom"/>
            <w:tcBorders>
              <w:bottom w:val="single" w:sz="8" w:color="CCEEFF"/>
            </w:tcBorders>
          </w:tcPr>
          <w:p>
            <w:pPr>
              <w:spacing w:after="0"/>
              <w:rPr>
                <w:sz w:val="11"/>
                <w:szCs w:val="11"/>
                <w:color w:val="auto"/>
              </w:rPr>
            </w:pPr>
          </w:p>
        </w:tc>
      </w:tr>
      <w:tr>
        <w:trPr>
          <w:trHeight w:val="129"/>
        </w:trPr>
        <w:tc>
          <w:tcPr>
            <w:tcW w:w="2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16,065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17,846</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44,251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46,658</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Security deposit, non-current</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2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110,288</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111,381</w:t>
            </w:r>
          </w:p>
        </w:tc>
        <w:tc>
          <w:tcPr>
            <w:tcW w:w="280" w:type="dxa"/>
            <w:vAlign w:val="bottom"/>
            <w:tcBorders>
              <w:bottom w:val="single" w:sz="8" w:color="CCEEFF"/>
            </w:tcBorders>
          </w:tcPr>
          <w:p>
            <w:pPr>
              <w:spacing w:after="0"/>
              <w:rPr>
                <w:sz w:val="11"/>
                <w:szCs w:val="11"/>
                <w:color w:val="auto"/>
              </w:rPr>
            </w:pPr>
          </w:p>
        </w:tc>
      </w:tr>
      <w:tr>
        <w:trPr>
          <w:trHeight w:val="128"/>
        </w:trPr>
        <w:tc>
          <w:tcPr>
            <w:tcW w:w="27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b w:val="1"/>
                <w:bCs w:val="1"/>
                <w:color w:val="auto"/>
              </w:rPr>
              <w:t>Total liabilities</w:t>
            </w:r>
          </w:p>
        </w:tc>
        <w:tc>
          <w:tcPr>
            <w:tcW w:w="2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170,624</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175,941</w:t>
            </w:r>
          </w:p>
        </w:tc>
        <w:tc>
          <w:tcPr>
            <w:tcW w:w="280" w:type="dxa"/>
            <w:vAlign w:val="bottom"/>
            <w:tcBorders>
              <w:bottom w:val="single" w:sz="8" w:color="CCEEFF"/>
            </w:tcBorders>
          </w:tcPr>
          <w:p>
            <w:pPr>
              <w:spacing w:after="0"/>
              <w:rPr>
                <w:sz w:val="11"/>
                <w:szCs w:val="11"/>
                <w:color w:val="auto"/>
              </w:rPr>
            </w:pPr>
          </w:p>
        </w:tc>
      </w:tr>
      <w:tr>
        <w:trPr>
          <w:trHeight w:val="128"/>
        </w:trPr>
        <w:tc>
          <w:tcPr>
            <w:tcW w:w="27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9)</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17"/>
        </w:trPr>
        <w:tc>
          <w:tcPr>
            <w:tcW w:w="5100" w:type="dxa"/>
            <w:vAlign w:val="bottom"/>
            <w:gridSpan w:val="3"/>
          </w:tcPr>
          <w:p>
            <w:pPr>
              <w:ind w:left="20"/>
              <w:spacing w:after="0" w:line="117"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53"/>
        </w:trPr>
        <w:tc>
          <w:tcPr>
            <w:tcW w:w="5100" w:type="dxa"/>
            <w:vAlign w:val="bottom"/>
            <w:gridSpan w:val="3"/>
          </w:tcPr>
          <w:p>
            <w:pPr>
              <w:ind w:left="20"/>
              <w:spacing w:after="0"/>
              <w:rPr>
                <w:sz w:val="20"/>
                <w:szCs w:val="20"/>
                <w:color w:val="auto"/>
              </w:rPr>
            </w:pPr>
            <w:r>
              <w:rPr>
                <w:rFonts w:ascii="Arial" w:cs="Arial" w:eastAsia="Arial" w:hAnsi="Arial"/>
                <w:sz w:val="13"/>
                <w:szCs w:val="13"/>
                <w:color w:val="auto"/>
              </w:rPr>
              <w:t>issued and outstanding at March 31, 2024 and December 31, 2023</w:t>
            </w:r>
          </w:p>
        </w:tc>
        <w:tc>
          <w:tcPr>
            <w:tcW w:w="17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117"/>
        </w:trPr>
        <w:tc>
          <w:tcPr>
            <w:tcW w:w="27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8"/>
              </w:rPr>
              <w:t>Common stock, $0.0001 par value, 300,000,000</w:t>
            </w:r>
          </w:p>
        </w:tc>
        <w:tc>
          <w:tcPr>
            <w:tcW w:w="2340" w:type="dxa"/>
            <w:vAlign w:val="bottom"/>
            <w:gridSpan w:val="2"/>
            <w:shd w:val="clear" w:color="auto" w:fill="CCEEFF"/>
          </w:tcPr>
          <w:p>
            <w:pPr>
              <w:jc w:val="right"/>
              <w:ind w:right="577"/>
              <w:spacing w:after="0" w:line="117" w:lineRule="exact"/>
              <w:rPr>
                <w:sz w:val="20"/>
                <w:szCs w:val="20"/>
                <w:color w:val="auto"/>
              </w:rPr>
            </w:pPr>
            <w:r>
              <w:rPr>
                <w:rFonts w:ascii="Arial" w:cs="Arial" w:eastAsia="Arial" w:hAnsi="Arial"/>
                <w:sz w:val="13"/>
                <w:szCs w:val="13"/>
                <w:color w:val="auto"/>
                <w:w w:val="95"/>
              </w:rPr>
              <w:t>shares authorized; 64,809,592</w:t>
            </w:r>
          </w:p>
        </w:tc>
        <w:tc>
          <w:tcPr>
            <w:tcW w:w="1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510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and 60,335,701 shares issued and outstanding at March 31, 2024 and December</w:t>
            </w: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5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31, 2023, respectively</w:t>
            </w:r>
          </w:p>
        </w:tc>
        <w:tc>
          <w:tcPr>
            <w:tcW w:w="2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3"/>
                <w:szCs w:val="13"/>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861,951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840,407</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(683,833)</w:t>
            </w: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(655,771)</w:t>
            </w: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w w:val="96"/>
              </w:rPr>
              <w:t>Accumulated other comprehensive (loss) Income</w:t>
            </w: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(241)</w:t>
            </w: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108</w:t>
            </w:r>
          </w:p>
        </w:tc>
        <w:tc>
          <w:tcPr>
            <w:tcW w:w="280" w:type="dxa"/>
            <w:vAlign w:val="bottom"/>
          </w:tcPr>
          <w:p>
            <w:pPr>
              <w:spacing w:after="0"/>
              <w:rPr>
                <w:sz w:val="11"/>
                <w:szCs w:val="11"/>
                <w:color w:val="auto"/>
              </w:rPr>
            </w:pPr>
          </w:p>
        </w:tc>
      </w:tr>
      <w:tr>
        <w:trPr>
          <w:trHeight w:val="128"/>
        </w:trPr>
        <w:tc>
          <w:tcPr>
            <w:tcW w:w="2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177,883</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184,750</w:t>
            </w:r>
          </w:p>
        </w:tc>
        <w:tc>
          <w:tcPr>
            <w:tcW w:w="280" w:type="dxa"/>
            <w:vAlign w:val="bottom"/>
            <w:tcBorders>
              <w:top w:val="single" w:sz="8" w:color="CCEEFF"/>
            </w:tcBorders>
            <w:shd w:val="clear" w:color="auto" w:fill="CCEEFF"/>
          </w:tcPr>
          <w:p>
            <w:pPr>
              <w:spacing w:after="0"/>
              <w:rPr>
                <w:sz w:val="11"/>
                <w:szCs w:val="11"/>
                <w:color w:val="auto"/>
              </w:rPr>
            </w:pPr>
          </w:p>
        </w:tc>
      </w:tr>
      <w:tr>
        <w:trPr>
          <w:trHeight w:val="129"/>
        </w:trPr>
        <w:tc>
          <w:tcPr>
            <w:tcW w:w="27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100" w:type="dxa"/>
            <w:vAlign w:val="bottom"/>
          </w:tcPr>
          <w:p>
            <w:pPr>
              <w:spacing w:after="0"/>
              <w:rPr>
                <w:sz w:val="11"/>
                <w:szCs w:val="11"/>
                <w:color w:val="auto"/>
              </w:rPr>
            </w:pPr>
          </w:p>
        </w:tc>
        <w:tc>
          <w:tcPr>
            <w:tcW w:w="2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2"/>
              </w:rPr>
              <w:t>$</w:t>
            </w:r>
          </w:p>
        </w:tc>
        <w:tc>
          <w:tcPr>
            <w:tcW w:w="1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348,507</w:t>
            </w:r>
          </w:p>
        </w:tc>
        <w:tc>
          <w:tcPr>
            <w:tcW w:w="26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80" w:type="dxa"/>
            <w:vAlign w:val="bottom"/>
          </w:tcPr>
          <w:p>
            <w:pPr>
              <w:spacing w:after="0"/>
              <w:rPr>
                <w:sz w:val="11"/>
                <w:szCs w:val="11"/>
                <w:color w:val="auto"/>
              </w:rPr>
            </w:pPr>
          </w:p>
        </w:tc>
      </w:tr>
      <w:tr>
        <w:trPr>
          <w:trHeight w:val="20"/>
        </w:trPr>
        <w:tc>
          <w:tcPr>
            <w:tcW w:w="2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0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For the Three Months Ended</w:t>
            </w:r>
          </w:p>
        </w:tc>
        <w:tc>
          <w:tcPr>
            <w:tcW w:w="1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For the Three Months Ended</w:t>
            </w:r>
          </w:p>
        </w:tc>
        <w:tc>
          <w:tcPr>
            <w:tcW w:w="140" w:type="dxa"/>
            <w:vAlign w:val="bottom"/>
            <w:tcBorders>
              <w:right w:val="single" w:sz="8" w:color="auto"/>
            </w:tcBorders>
            <w:gridSpan w:val="2"/>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2"/>
          </w:tcPr>
          <w:p>
            <w:pPr>
              <w:jc w:val="right"/>
              <w:ind w:right="280"/>
              <w:spacing w:after="0"/>
              <w:rPr>
                <w:sz w:val="20"/>
                <w:szCs w:val="20"/>
                <w:color w:val="auto"/>
              </w:rPr>
            </w:pPr>
            <w:r>
              <w:rPr>
                <w:rFonts w:ascii="Arial" w:cs="Arial" w:eastAsia="Arial" w:hAnsi="Arial"/>
                <w:sz w:val="14"/>
                <w:szCs w:val="14"/>
                <w:color w:val="auto"/>
              </w:rPr>
              <w:t>March 31, 2024</w:t>
            </w:r>
          </w:p>
        </w:tc>
        <w:tc>
          <w:tcPr>
            <w:tcW w:w="500" w:type="dxa"/>
            <w:vAlign w:val="bottom"/>
          </w:tcPr>
          <w:p>
            <w:pPr>
              <w:spacing w:after="0"/>
              <w:rPr>
                <w:sz w:val="14"/>
                <w:szCs w:val="14"/>
                <w:color w:val="auto"/>
              </w:rPr>
            </w:pPr>
          </w:p>
        </w:tc>
        <w:tc>
          <w:tcPr>
            <w:tcW w:w="16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March 31, 2023</w:t>
            </w:r>
          </w:p>
        </w:tc>
      </w:tr>
      <w:tr>
        <w:trPr>
          <w:trHeight w:val="155"/>
        </w:trPr>
        <w:tc>
          <w:tcPr>
            <w:tcW w:w="40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Collaboration revenue</w:t>
            </w:r>
          </w:p>
        </w:tc>
        <w:tc>
          <w:tcPr>
            <w:tcW w:w="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1,720</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23,421</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24,899</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8,743</w:t>
            </w:r>
          </w:p>
        </w:tc>
        <w:tc>
          <w:tcPr>
            <w:tcW w:w="2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8,902</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r>
      <w:tr>
        <w:trPr>
          <w:trHeight w:val="196"/>
        </w:trPr>
        <w:tc>
          <w:tcPr>
            <w:tcW w:w="402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32,164</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33,801</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r>
      <w:tr>
        <w:trPr>
          <w:trHeight w:val="196"/>
        </w:trPr>
        <w:tc>
          <w:tcPr>
            <w:tcW w:w="4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400" w:type="dxa"/>
            <w:vAlign w:val="bottom"/>
          </w:tcPr>
          <w:p>
            <w:pPr>
              <w:spacing w:after="0"/>
              <w:rPr>
                <w:sz w:val="17"/>
                <w:szCs w:val="17"/>
                <w:color w:val="auto"/>
              </w:rPr>
            </w:pPr>
          </w:p>
        </w:tc>
        <w:tc>
          <w:tcPr>
            <w:tcW w:w="2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(31,309)</w:t>
            </w:r>
          </w:p>
        </w:tc>
        <w:tc>
          <w:tcPr>
            <w:tcW w:w="5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(32,081)</w:t>
            </w:r>
          </w:p>
        </w:tc>
        <w:tc>
          <w:tcPr>
            <w:tcW w:w="120" w:type="dxa"/>
            <w:vAlign w:val="bottom"/>
            <w:tcBorders>
              <w:right w:val="single" w:sz="8" w:color="auto"/>
            </w:tcBorders>
          </w:tcPr>
          <w:p>
            <w:pPr>
              <w:spacing w:after="0"/>
              <w:rPr>
                <w:sz w:val="17"/>
                <w:szCs w:val="17"/>
                <w:color w:val="auto"/>
              </w:rPr>
            </w:pPr>
          </w:p>
        </w:tc>
      </w:tr>
      <w:tr>
        <w:trPr>
          <w:trHeight w:val="203"/>
        </w:trPr>
        <w:tc>
          <w:tcPr>
            <w:tcW w:w="4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(404)</w:t>
            </w:r>
          </w:p>
        </w:tc>
        <w:tc>
          <w:tcPr>
            <w:tcW w:w="120" w:type="dxa"/>
            <w:vAlign w:val="bottom"/>
            <w:tcBorders>
              <w:right w:val="single" w:sz="8" w:color="auto"/>
            </w:tcBorders>
          </w:tcPr>
          <w:p>
            <w:pPr>
              <w:spacing w:after="0"/>
              <w:rPr>
                <w:sz w:val="17"/>
                <w:szCs w:val="17"/>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3,237</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2,623</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tcPr>
          <w:p>
            <w:pPr>
              <w:spacing w:after="0"/>
              <w:rPr>
                <w:sz w:val="17"/>
                <w:szCs w:val="17"/>
                <w:color w:val="auto"/>
              </w:rPr>
            </w:pPr>
          </w:p>
        </w:tc>
      </w:tr>
      <w:tr>
        <w:trPr>
          <w:trHeight w:val="196"/>
        </w:trPr>
        <w:tc>
          <w:tcPr>
            <w:tcW w:w="40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income</w:t>
            </w:r>
          </w:p>
        </w:tc>
        <w:tc>
          <w:tcPr>
            <w:tcW w:w="400" w:type="dxa"/>
            <w:vAlign w:val="bottom"/>
            <w:tcBorders>
              <w:top w:val="single" w:sz="8" w:color="auto"/>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3,248</w:t>
            </w: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before provision for income taxes</w:t>
            </w:r>
          </w:p>
        </w:tc>
        <w:tc>
          <w:tcPr>
            <w:tcW w:w="400" w:type="dxa"/>
            <w:vAlign w:val="bottom"/>
          </w:tcPr>
          <w:p>
            <w:pPr>
              <w:spacing w:after="0"/>
              <w:rPr>
                <w:sz w:val="17"/>
                <w:szCs w:val="17"/>
                <w:color w:val="auto"/>
              </w:rPr>
            </w:pPr>
          </w:p>
        </w:tc>
        <w:tc>
          <w:tcPr>
            <w:tcW w:w="2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(28,061)</w:t>
            </w:r>
          </w:p>
        </w:tc>
        <w:tc>
          <w:tcPr>
            <w:tcW w:w="5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(30,056)</w:t>
            </w:r>
          </w:p>
        </w:tc>
        <w:tc>
          <w:tcPr>
            <w:tcW w:w="120" w:type="dxa"/>
            <w:vAlign w:val="bottom"/>
            <w:tcBorders>
              <w:right w:val="single" w:sz="8" w:color="auto"/>
            </w:tcBorders>
          </w:tcPr>
          <w:p>
            <w:pPr>
              <w:spacing w:after="0"/>
              <w:rPr>
                <w:sz w:val="17"/>
                <w:szCs w:val="17"/>
                <w:color w:val="auto"/>
              </w:rPr>
            </w:pPr>
          </w:p>
        </w:tc>
      </w:tr>
      <w:tr>
        <w:trPr>
          <w:trHeight w:val="202"/>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(1,208)</w:t>
            </w:r>
          </w:p>
        </w:tc>
        <w:tc>
          <w:tcPr>
            <w:tcW w:w="120" w:type="dxa"/>
            <w:vAlign w:val="bottom"/>
            <w:tcBorders>
              <w:right w:val="single" w:sz="8" w:color="auto"/>
            </w:tcBorders>
            <w:shd w:val="clear" w:color="auto" w:fill="CCEEFF"/>
          </w:tcPr>
          <w:p>
            <w:pPr>
              <w:spacing w:after="0"/>
              <w:rPr>
                <w:sz w:val="17"/>
                <w:szCs w:val="17"/>
                <w:color w:val="auto"/>
              </w:rPr>
            </w:pPr>
          </w:p>
        </w:tc>
      </w:tr>
      <w:tr>
        <w:trPr>
          <w:trHeight w:val="236"/>
        </w:trPr>
        <w:tc>
          <w:tcPr>
            <w:tcW w:w="40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w w:val="79"/>
              </w:rPr>
              <w:t>$</w:t>
            </w:r>
          </w:p>
        </w:tc>
        <w:tc>
          <w:tcPr>
            <w:tcW w:w="2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(28,062)</w:t>
            </w:r>
          </w:p>
        </w:tc>
        <w:tc>
          <w:tcPr>
            <w:tcW w:w="22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4"/>
              <w:spacing w:after="0" w:line="196" w:lineRule="exact"/>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(31,264)</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r>
      <w:tr>
        <w:trPr>
          <w:trHeight w:val="183"/>
        </w:trPr>
        <w:tc>
          <w:tcPr>
            <w:tcW w:w="4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r>
      <w:tr>
        <w:trPr>
          <w:trHeight w:val="184"/>
        </w:trPr>
        <w:tc>
          <w:tcPr>
            <w:tcW w:w="402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w:t>
            </w:r>
          </w:p>
        </w:tc>
        <w:tc>
          <w:tcPr>
            <w:tcW w:w="4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21"/>
        </w:trPr>
        <w:tc>
          <w:tcPr>
            <w:tcW w:w="402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19"/>
                <w:szCs w:val="19"/>
                <w:color w:val="auto"/>
              </w:rPr>
            </w:pP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50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120" w:type="dxa"/>
            <w:vAlign w:val="bottom"/>
            <w:tcBorders>
              <w:right w:val="single" w:sz="8" w:color="auto"/>
            </w:tcBorders>
          </w:tcPr>
          <w:p>
            <w:pPr>
              <w:spacing w:after="0"/>
              <w:rPr>
                <w:sz w:val="19"/>
                <w:szCs w:val="19"/>
                <w:color w:val="auto"/>
              </w:rPr>
            </w:pPr>
          </w:p>
        </w:tc>
      </w:tr>
      <w:tr>
        <w:trPr>
          <w:trHeight w:val="184"/>
        </w:trPr>
        <w:tc>
          <w:tcPr>
            <w:tcW w:w="40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Weighted average common shares</w:t>
            </w:r>
          </w:p>
        </w:tc>
        <w:tc>
          <w:tcPr>
            <w:tcW w:w="4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w:t>
            </w: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r>
      <w:tr>
        <w:trPr>
          <w:trHeight w:val="22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4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62,296,637</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58,610,375</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2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(28,062)</w:t>
            </w:r>
          </w:p>
        </w:tc>
        <w:tc>
          <w:tcPr>
            <w:tcW w:w="50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(31,264)</w:t>
            </w:r>
          </w:p>
        </w:tc>
        <w:tc>
          <w:tcPr>
            <w:tcW w:w="120" w:type="dxa"/>
            <w:vAlign w:val="bottom"/>
            <w:tcBorders>
              <w:right w:val="single" w:sz="8" w:color="auto"/>
            </w:tcBorders>
            <w:shd w:val="clear" w:color="auto" w:fill="CCEEFF"/>
          </w:tcPr>
          <w:p>
            <w:pPr>
              <w:spacing w:after="0"/>
              <w:rPr>
                <w:sz w:val="17"/>
                <w:szCs w:val="17"/>
                <w:color w:val="auto"/>
              </w:rPr>
            </w:pPr>
          </w:p>
        </w:tc>
      </w:tr>
      <w:tr>
        <w:trPr>
          <w:trHeight w:val="203"/>
        </w:trPr>
        <w:tc>
          <w:tcPr>
            <w:tcW w:w="4020" w:type="dxa"/>
            <w:vAlign w:val="bottom"/>
          </w:tcPr>
          <w:p>
            <w:pPr>
              <w:ind w:left="120"/>
              <w:spacing w:after="0" w:line="202" w:lineRule="exact"/>
              <w:rPr>
                <w:sz w:val="20"/>
                <w:szCs w:val="20"/>
                <w:color w:val="auto"/>
              </w:rPr>
            </w:pPr>
            <w:r>
              <w:rPr>
                <w:rFonts w:ascii="Arial" w:cs="Arial" w:eastAsia="Arial" w:hAnsi="Arial"/>
                <w:sz w:val="18"/>
                <w:szCs w:val="18"/>
                <w:color w:val="auto"/>
              </w:rPr>
              <w:t>Unrealized (loss) gain on investments</w:t>
            </w:r>
          </w:p>
        </w:tc>
        <w:tc>
          <w:tcPr>
            <w:tcW w:w="400" w:type="dxa"/>
            <w:vAlign w:val="bottom"/>
          </w:tcPr>
          <w:p>
            <w:pPr>
              <w:spacing w:after="0"/>
              <w:rPr>
                <w:sz w:val="17"/>
                <w:szCs w:val="17"/>
                <w:color w:val="auto"/>
              </w:rPr>
            </w:pPr>
          </w:p>
        </w:tc>
        <w:tc>
          <w:tcPr>
            <w:tcW w:w="2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(351)</w:t>
            </w:r>
          </w:p>
        </w:tc>
        <w:tc>
          <w:tcPr>
            <w:tcW w:w="5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1,196</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 gain (loss)</w:t>
            </w: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17"/>
                <w:szCs w:val="17"/>
                <w:color w:val="auto"/>
              </w:rPr>
            </w:pPr>
          </w:p>
        </w:tc>
      </w:tr>
      <w:tr>
        <w:trPr>
          <w:trHeight w:val="196"/>
        </w:trPr>
        <w:tc>
          <w:tcPr>
            <w:tcW w:w="402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(28,411)</w:t>
            </w:r>
          </w:p>
        </w:tc>
        <w:tc>
          <w:tcPr>
            <w:tcW w:w="2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(30,077)</w:t>
            </w:r>
          </w:p>
        </w:tc>
        <w:tc>
          <w:tcPr>
            <w:tcW w:w="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181" w:lineRule="auto"/>
        <w:rPr>
          <w:sz w:val="20"/>
          <w:szCs w:val="20"/>
          <w:color w:val="auto"/>
        </w:rPr>
      </w:pPr>
      <w:r>
        <w:rPr>
          <w:rFonts w:ascii="Arial" w:cs="Arial" w:eastAsia="Arial" w:hAnsi="Arial"/>
          <w:sz w:val="25"/>
          <w:szCs w:val="25"/>
          <w:b w:val="1"/>
          <w:bCs w:val="1"/>
          <w:color w:val="auto"/>
        </w:rPr>
        <w:t>(Unaudited)</w:t>
      </w: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6480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3"/>
              <w:spacing w:after="0"/>
              <w:rPr>
                <w:sz w:val="20"/>
                <w:szCs w:val="20"/>
                <w:color w:val="auto"/>
              </w:rPr>
            </w:pPr>
            <w:r>
              <w:rPr>
                <w:rFonts w:ascii="Arial" w:cs="Arial" w:eastAsia="Arial" w:hAnsi="Arial"/>
                <w:sz w:val="14"/>
                <w:szCs w:val="14"/>
                <w:color w:val="auto"/>
                <w:w w:val="96"/>
              </w:rPr>
              <w:t>Total</w:t>
            </w:r>
          </w:p>
        </w:tc>
      </w:tr>
      <w:tr>
        <w:trPr>
          <w:trHeight w:val="171"/>
        </w:trPr>
        <w:tc>
          <w:tcPr>
            <w:tcW w:w="39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3"/>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ind w:left="140"/>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r>
      <w:tr>
        <w:trPr>
          <w:trHeight w:val="156"/>
        </w:trPr>
        <w:tc>
          <w:tcPr>
            <w:tcW w:w="3960" w:type="dxa"/>
            <w:vAlign w:val="bottom"/>
          </w:tcPr>
          <w:p>
            <w:pPr>
              <w:spacing w:after="0"/>
              <w:rPr>
                <w:sz w:val="13"/>
                <w:szCs w:val="13"/>
                <w:color w:val="auto"/>
              </w:rPr>
            </w:pPr>
          </w:p>
        </w:tc>
        <w:tc>
          <w:tcPr>
            <w:tcW w:w="780" w:type="dxa"/>
            <w:vAlign w:val="bottom"/>
          </w:tcPr>
          <w:p>
            <w:pPr>
              <w:jc w:val="right"/>
              <w:ind w:right="3"/>
              <w:spacing w:after="0" w:line="155"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4"/>
              <w:spacing w:after="0" w:line="155"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62"/>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3"/>
              <w:spacing w:after="0" w:line="155"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103"/>
              <w:spacing w:after="0" w:line="155" w:lineRule="exact"/>
              <w:rPr>
                <w:sz w:val="20"/>
                <w:szCs w:val="20"/>
                <w:color w:val="auto"/>
              </w:rPr>
            </w:pPr>
            <w:r>
              <w:rPr>
                <w:rFonts w:ascii="Arial" w:cs="Arial" w:eastAsia="Arial" w:hAnsi="Arial"/>
                <w:sz w:val="14"/>
                <w:szCs w:val="14"/>
                <w:color w:val="auto"/>
              </w:rPr>
              <w:t>Equity</w:t>
            </w:r>
          </w:p>
        </w:tc>
      </w:tr>
      <w:tr>
        <w:trPr>
          <w:trHeight w:val="115"/>
        </w:trPr>
        <w:tc>
          <w:tcPr>
            <w:tcW w:w="39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2023</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60,335,701</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ind w:right="2"/>
              <w:spacing w:after="0" w:line="115" w:lineRule="exact"/>
              <w:rPr>
                <w:sz w:val="20"/>
                <w:szCs w:val="20"/>
                <w:color w:val="auto"/>
              </w:rPr>
            </w:pPr>
            <w:r>
              <w:rPr>
                <w:rFonts w:ascii="Arial" w:cs="Arial" w:eastAsia="Arial" w:hAnsi="Arial"/>
                <w:sz w:val="11"/>
                <w:szCs w:val="11"/>
                <w:b w:val="1"/>
                <w:bCs w:val="1"/>
                <w:color w:val="auto"/>
              </w:rPr>
              <w:t>840,407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(655,771)</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184,750</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 and 2021 ESPP</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220,647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366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366</w:t>
            </w: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34,900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142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142</w:t>
            </w: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109,108</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08"/>
        </w:trPr>
        <w:tc>
          <w:tcPr>
            <w:tcW w:w="3960" w:type="dxa"/>
            <w:vAlign w:val="bottom"/>
          </w:tcPr>
          <w:p>
            <w:pPr>
              <w:spacing w:after="0" w:line="109" w:lineRule="exact"/>
              <w:rPr>
                <w:sz w:val="20"/>
                <w:szCs w:val="20"/>
                <w:color w:val="auto"/>
              </w:rPr>
            </w:pPr>
            <w:r>
              <w:rPr>
                <w:rFonts w:ascii="Arial" w:cs="Arial" w:eastAsia="Arial" w:hAnsi="Arial"/>
                <w:sz w:val="11"/>
                <w:szCs w:val="11"/>
                <w:color w:val="auto"/>
              </w:rPr>
              <w:t>Issuance of common stock upon the exercise of ATM, net of underwriting</w:t>
            </w: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3960" w:type="dxa"/>
            <w:vAlign w:val="bottom"/>
          </w:tcPr>
          <w:p>
            <w:pPr>
              <w:spacing w:after="0"/>
              <w:rPr>
                <w:sz w:val="20"/>
                <w:szCs w:val="20"/>
                <w:color w:val="auto"/>
              </w:rPr>
            </w:pPr>
            <w:r>
              <w:rPr>
                <w:rFonts w:ascii="Arial" w:cs="Arial" w:eastAsia="Arial" w:hAnsi="Arial"/>
                <w:sz w:val="11"/>
                <w:szCs w:val="11"/>
                <w:color w:val="auto"/>
              </w:rPr>
              <w:t>discounts and commissions and other issuance costs</w:t>
            </w:r>
          </w:p>
        </w:tc>
        <w:tc>
          <w:tcPr>
            <w:tcW w:w="780" w:type="dxa"/>
            <w:vAlign w:val="bottom"/>
          </w:tcPr>
          <w:p>
            <w:pPr>
              <w:jc w:val="right"/>
              <w:spacing w:after="0"/>
              <w:rPr>
                <w:sz w:val="20"/>
                <w:szCs w:val="20"/>
                <w:color w:val="auto"/>
              </w:rPr>
            </w:pPr>
            <w:r>
              <w:rPr>
                <w:rFonts w:ascii="Arial" w:cs="Arial" w:eastAsia="Arial" w:hAnsi="Arial"/>
                <w:sz w:val="11"/>
                <w:szCs w:val="11"/>
                <w:color w:val="auto"/>
              </w:rPr>
              <w:t>4,084,502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
              <w:spacing w:after="0"/>
              <w:rPr>
                <w:sz w:val="20"/>
                <w:szCs w:val="20"/>
                <w:color w:val="auto"/>
              </w:rPr>
            </w:pPr>
            <w:r>
              <w:rPr>
                <w:rFonts w:ascii="Arial" w:cs="Arial" w:eastAsia="Arial" w:hAnsi="Arial"/>
                <w:sz w:val="11"/>
                <w:szCs w:val="11"/>
                <w:color w:val="auto"/>
              </w:rPr>
              <w:t>17,829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17,829</w:t>
            </w: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(351)</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w:t>
            </w: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3,207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3,207</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(28,062)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(28,062)</w:t>
            </w:r>
          </w:p>
        </w:tc>
      </w:tr>
      <w:tr>
        <w:trPr>
          <w:trHeight w:val="115"/>
        </w:trPr>
        <w:tc>
          <w:tcPr>
            <w:tcW w:w="39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2024</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64,809,592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2"/>
              <w:spacing w:after="0" w:line="115" w:lineRule="exact"/>
              <w:rPr>
                <w:sz w:val="20"/>
                <w:szCs w:val="20"/>
                <w:color w:val="auto"/>
              </w:rPr>
            </w:pPr>
            <w:r>
              <w:rPr>
                <w:rFonts w:ascii="Arial" w:cs="Arial" w:eastAsia="Arial" w:hAnsi="Arial"/>
                <w:sz w:val="11"/>
                <w:szCs w:val="11"/>
                <w:b w:val="1"/>
                <w:bCs w:val="1"/>
                <w:color w:val="auto"/>
              </w:rPr>
              <w:t>861,951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(683,833)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177,883</w:t>
            </w: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39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8"/>
        </w:trPr>
        <w:tc>
          <w:tcPr>
            <w:tcW w:w="3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3"/>
              <w:spacing w:after="0"/>
              <w:rPr>
                <w:sz w:val="20"/>
                <w:szCs w:val="20"/>
                <w:color w:val="auto"/>
              </w:rPr>
            </w:pPr>
            <w:r>
              <w:rPr>
                <w:rFonts w:ascii="Arial" w:cs="Arial" w:eastAsia="Arial" w:hAnsi="Arial"/>
                <w:sz w:val="14"/>
                <w:szCs w:val="14"/>
                <w:color w:val="auto"/>
                <w:w w:val="96"/>
              </w:rPr>
              <w:t>Total</w:t>
            </w:r>
          </w:p>
        </w:tc>
      </w:tr>
      <w:tr>
        <w:trPr>
          <w:trHeight w:val="171"/>
        </w:trPr>
        <w:tc>
          <w:tcPr>
            <w:tcW w:w="39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3"/>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ind w:left="140"/>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r>
      <w:tr>
        <w:trPr>
          <w:trHeight w:val="155"/>
        </w:trPr>
        <w:tc>
          <w:tcPr>
            <w:tcW w:w="3960" w:type="dxa"/>
            <w:vAlign w:val="bottom"/>
          </w:tcPr>
          <w:p>
            <w:pPr>
              <w:spacing w:after="0"/>
              <w:rPr>
                <w:sz w:val="13"/>
                <w:szCs w:val="13"/>
                <w:color w:val="auto"/>
              </w:rPr>
            </w:pPr>
          </w:p>
        </w:tc>
        <w:tc>
          <w:tcPr>
            <w:tcW w:w="780" w:type="dxa"/>
            <w:vAlign w:val="bottom"/>
          </w:tcPr>
          <w:p>
            <w:pPr>
              <w:jc w:val="right"/>
              <w:ind w:right="3"/>
              <w:spacing w:after="0" w:line="155"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4"/>
              <w:spacing w:after="0" w:line="155"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62"/>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3"/>
              <w:spacing w:after="0" w:line="155"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103"/>
              <w:spacing w:after="0" w:line="155" w:lineRule="exact"/>
              <w:rPr>
                <w:sz w:val="20"/>
                <w:szCs w:val="20"/>
                <w:color w:val="auto"/>
              </w:rPr>
            </w:pPr>
            <w:r>
              <w:rPr>
                <w:rFonts w:ascii="Arial" w:cs="Arial" w:eastAsia="Arial" w:hAnsi="Arial"/>
                <w:sz w:val="14"/>
                <w:szCs w:val="14"/>
                <w:color w:val="auto"/>
              </w:rPr>
              <w:t>Equity</w:t>
            </w:r>
          </w:p>
        </w:tc>
      </w:tr>
      <w:tr>
        <w:trPr>
          <w:trHeight w:val="115"/>
        </w:trPr>
        <w:tc>
          <w:tcPr>
            <w:tcW w:w="39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320" w:type="dxa"/>
            <w:vAlign w:val="bottom"/>
            <w:tcBorders>
              <w:top w:val="single" w:sz="8" w:color="auto"/>
            </w:tcBorders>
            <w:gridSpan w:val="2"/>
            <w:shd w:val="clear" w:color="auto" w:fill="CCEEFF"/>
          </w:tcPr>
          <w:p>
            <w:pPr>
              <w:jc w:val="right"/>
              <w:ind w:right="71"/>
              <w:spacing w:after="0" w:line="115" w:lineRule="exact"/>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ind w:right="2"/>
              <w:spacing w:after="0" w:line="115" w:lineRule="exact"/>
              <w:rPr>
                <w:sz w:val="20"/>
                <w:szCs w:val="20"/>
                <w:color w:val="auto"/>
              </w:rPr>
            </w:pPr>
            <w:r>
              <w:rPr>
                <w:rFonts w:ascii="Arial" w:cs="Arial" w:eastAsia="Arial" w:hAnsi="Arial"/>
                <w:sz w:val="11"/>
                <w:szCs w:val="11"/>
                <w:b w:val="1"/>
                <w:bCs w:val="1"/>
                <w:color w:val="auto"/>
              </w:rPr>
              <w:t>824,292</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302,738</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452,102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448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448</w:t>
            </w: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95,877</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85,145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269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269</w:t>
            </w: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1,196</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3,797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3,797</w:t>
            </w: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(31,264)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(31,264)</w:t>
            </w:r>
          </w:p>
        </w:tc>
      </w:tr>
      <w:tr>
        <w:trPr>
          <w:trHeight w:val="115"/>
        </w:trPr>
        <w:tc>
          <w:tcPr>
            <w:tcW w:w="39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2023</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59,106,784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2"/>
              <w:spacing w:after="0" w:line="115" w:lineRule="exact"/>
              <w:rPr>
                <w:sz w:val="20"/>
                <w:szCs w:val="20"/>
                <w:color w:val="auto"/>
              </w:rPr>
            </w:pPr>
            <w:r>
              <w:rPr>
                <w:rFonts w:ascii="Arial" w:cs="Arial" w:eastAsia="Arial" w:hAnsi="Arial"/>
                <w:sz w:val="11"/>
                <w:szCs w:val="11"/>
                <w:b w:val="1"/>
                <w:bCs w:val="1"/>
                <w:color w:val="auto"/>
              </w:rPr>
              <w:t>828,806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(550,362)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(1,275)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277,175</w:t>
            </w: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4808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color w:val="auto"/>
              </w:rPr>
              <w:t>March 31, 2024</w:t>
            </w:r>
          </w:p>
        </w:tc>
        <w:tc>
          <w:tcPr>
            <w:tcW w:w="120" w:type="dxa"/>
            <w:vAlign w:val="bottom"/>
          </w:tcPr>
          <w:p>
            <w:pPr>
              <w:spacing w:after="0"/>
              <w:rPr>
                <w:sz w:val="16"/>
                <w:szCs w:val="16"/>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color w:val="auto"/>
              </w:rPr>
              <w:t>March 31, 2023</w:t>
            </w: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(28,062)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20" w:type="dxa"/>
            <w:vAlign w:val="bottom"/>
            <w:gridSpan w:val="2"/>
          </w:tcPr>
          <w:p>
            <w:pPr>
              <w:jc w:val="right"/>
              <w:ind w:right="380"/>
              <w:spacing w:after="0"/>
              <w:rPr>
                <w:sz w:val="20"/>
                <w:szCs w:val="20"/>
                <w:color w:val="auto"/>
              </w:rPr>
            </w:pPr>
            <w:r>
              <w:rPr>
                <w:rFonts w:ascii="Arial" w:cs="Arial" w:eastAsia="Arial" w:hAnsi="Arial"/>
                <w:sz w:val="14"/>
                <w:szCs w:val="14"/>
                <w:color w:val="auto"/>
              </w:rPr>
              <w:t>(31,264)</w:t>
            </w:r>
          </w:p>
        </w:tc>
        <w:tc>
          <w:tcPr>
            <w:tcW w:w="0" w:type="dxa"/>
            <w:vAlign w:val="bottom"/>
          </w:tcPr>
          <w:p>
            <w:pPr>
              <w:spacing w:after="0"/>
              <w:rPr>
                <w:sz w:val="1"/>
                <w:szCs w:val="1"/>
                <w:color w:val="auto"/>
              </w:rPr>
            </w:pPr>
          </w:p>
        </w:tc>
      </w:tr>
      <w:tr>
        <w:trPr>
          <w:trHeight w:val="153"/>
        </w:trPr>
        <w:tc>
          <w:tcPr>
            <w:tcW w:w="4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2,908</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Non-cash operating lease expense (benefit)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Amortization/accretion of investments</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14"/>
                <w:szCs w:val="14"/>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Escrow deposit</w:t>
            </w:r>
          </w:p>
        </w:tc>
        <w:tc>
          <w:tcPr>
            <w:tcW w:w="12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(3,395)</w:t>
            </w: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Operating lease liability</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(2,186)</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3,842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4"/>
                <w:szCs w:val="14"/>
                <w:color w:val="auto"/>
              </w:rPr>
              <w:t>(2,954)</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(3,206)</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Non-current security deposit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80" w:type="dxa"/>
            <w:vAlign w:val="bottom"/>
            <w:tcBorders>
              <w:top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(30,248)</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(29,219)</w:t>
            </w:r>
          </w:p>
        </w:tc>
        <w:tc>
          <w:tcPr>
            <w:tcW w:w="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4"/>
                <w:szCs w:val="14"/>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4"/>
                <w:szCs w:val="14"/>
                <w:color w:val="auto"/>
              </w:rPr>
              <w:t>(4,991)</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(35,087)</w:t>
            </w: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(42,829)</w:t>
            </w: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47,167</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79,158</w:t>
            </w: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provided by investing activities</w:t>
            </w: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11,541</w:t>
            </w: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31,338</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 and ESPP</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Proceeds from ATM, net of issuance costs</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17,829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shares to collaboration partner</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18,195</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80" w:type="dxa"/>
            <w:vAlign w:val="bottom"/>
          </w:tcPr>
          <w:p>
            <w:pPr>
              <w:ind w:left="340"/>
              <w:spacing w:after="0" w:line="133" w:lineRule="exact"/>
              <w:rPr>
                <w:sz w:val="20"/>
                <w:szCs w:val="20"/>
                <w:color w:val="auto"/>
              </w:rPr>
            </w:pPr>
            <w:r>
              <w:rPr>
                <w:rFonts w:ascii="Arial" w:cs="Arial" w:eastAsia="Arial" w:hAnsi="Arial"/>
                <w:sz w:val="14"/>
                <w:szCs w:val="14"/>
                <w:b w:val="1"/>
                <w:bCs w:val="1"/>
                <w:color w:val="auto"/>
              </w:rPr>
              <w:t>Net (decrease) increase in cash, cash equivalents, and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Pr>
          <w:p>
            <w:pPr>
              <w:ind w:left="340"/>
              <w:spacing w:after="0"/>
              <w:rPr>
                <w:sz w:val="20"/>
                <w:szCs w:val="20"/>
                <w:color w:val="auto"/>
              </w:rPr>
            </w:pPr>
            <w:r>
              <w:rPr>
                <w:rFonts w:ascii="Arial" w:cs="Arial" w:eastAsia="Arial" w:hAnsi="Arial"/>
                <w:sz w:val="14"/>
                <w:szCs w:val="14"/>
                <w:b w:val="1"/>
                <w:bCs w:val="1"/>
                <w:color w:val="auto"/>
              </w:rPr>
              <w:t>restricted cash</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(512)</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2,567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49,303</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86,244</w:t>
            </w: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48,791</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88,811</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345</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140"/>
              <w:spacing w:after="0"/>
              <w:rPr>
                <w:sz w:val="20"/>
                <w:szCs w:val="20"/>
                <w:color w:val="auto"/>
              </w:rPr>
            </w:pPr>
            <w:r>
              <w:rPr>
                <w:rFonts w:ascii="Arial" w:cs="Arial" w:eastAsia="Arial" w:hAnsi="Arial"/>
                <w:sz w:val="14"/>
                <w:szCs w:val="14"/>
                <w:color w:val="auto"/>
              </w:rPr>
              <w:t>Cash paid for income tax</w:t>
            </w: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vMerge w:val="continue"/>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of property and equipment, accrued and unpaid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975</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83"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the Company’s subsidiary, Century Therapeutics Canada ULC (“Century Canada”). All intercompany balances and transactions have been eliminated in consolidation.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95"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Since inception, the Company has incurred net losses and negative cash flows from operations. During the three months ended March 31, 2024, the Company incurred a net loss of $28,062. During the three months ended March 31, 2024, the Company used $30,248 of cash in operations. Cash and cash equivalents and investments were $249,868 at March 31, 2024.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8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interim period reporting requirements of Form 10-Q and Article 10 of Regulation S-X. The consolidated balance sheet as of March 31, 2024, and the consolidated statements of operations and comprehensive loss, consolidated statements of changes in stockholders’ equity, and the consolidated statements of cash flows for the three months ended March 31, 2024 and 2023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2024 or for any other subsequent interim period. The consolidated balance sheet at December 31, 2023 has been derived from the Company’s audited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99"/>
        <w:spacing w:after="0" w:line="446" w:lineRule="auto"/>
        <w:rPr>
          <w:sz w:val="20"/>
          <w:szCs w:val="20"/>
          <w:color w:val="auto"/>
        </w:rPr>
      </w:pPr>
      <w:r>
        <w:rPr>
          <w:rFonts w:ascii="Arial" w:cs="Arial" w:eastAsia="Arial" w:hAnsi="Arial"/>
          <w:sz w:val="18"/>
          <w:szCs w:val="18"/>
          <w:color w:val="auto"/>
        </w:rPr>
        <w:t xml:space="preserve">Certain prior year information has been reclassified to conform to the fiscal year 2024 presentation. </w:t>
      </w:r>
      <w:r>
        <w:rPr>
          <w:rFonts w:ascii="Arial" w:cs="Arial" w:eastAsia="Arial" w:hAnsi="Arial"/>
          <w:sz w:val="18"/>
          <w:szCs w:val="18"/>
          <w:i w:val="1"/>
          <w:iCs w:val="1"/>
          <w:color w:val="auto"/>
        </w:rPr>
        <w:t>Segment information</w:t>
      </w:r>
    </w:p>
    <w:p>
      <w:pPr>
        <w:ind w:left="60" w:right="199"/>
        <w:spacing w:after="0" w:line="247"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83"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2024 and December 31, 2023, the Company has not experienced any losses on its deposits of cash and cash equivalents.</w:t>
      </w:r>
    </w:p>
    <w:p>
      <w:pPr>
        <w:spacing w:after="0" w:line="152"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3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6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58" w:lineRule="exact"/>
        <w:rPr>
          <w:sz w:val="20"/>
          <w:szCs w:val="20"/>
          <w:color w:val="auto"/>
        </w:rPr>
      </w:pPr>
    </w:p>
    <w:p>
      <w:pPr>
        <w:ind w:left="700" w:right="359" w:hanging="647"/>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79" w:hanging="647"/>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13" w:lineRule="exact"/>
        <w:rPr>
          <w:sz w:val="20"/>
          <w:szCs w:val="20"/>
          <w:color w:val="auto"/>
        </w:rPr>
      </w:pPr>
    </w:p>
    <w:p>
      <w:pPr>
        <w:ind w:left="700" w:right="239" w:hanging="647"/>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83"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As of March 31, 2024 and December 31, 2023, the Company had $1,979 in cash on deposit to secure certain lease commitments. Restricted cash is recorded separately in the Company’s consolidated balance sheets.</w:t>
      </w:r>
    </w:p>
    <w:p>
      <w:pPr>
        <w:spacing w:after="0" w:line="90"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March 31, 2024</w:t>
            </w: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2023</w:t>
            </w:r>
          </w:p>
        </w:tc>
      </w:tr>
      <w:tr>
        <w:trPr>
          <w:trHeight w:val="196"/>
        </w:trPr>
        <w:tc>
          <w:tcPr>
            <w:tcW w:w="62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46,812</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47,324</w:t>
            </w:r>
          </w:p>
        </w:tc>
      </w:tr>
      <w:tr>
        <w:trPr>
          <w:trHeight w:val="203"/>
        </w:trPr>
        <w:tc>
          <w:tcPr>
            <w:tcW w:w="62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196"/>
        </w:trPr>
        <w:tc>
          <w:tcPr>
            <w:tcW w:w="6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48,791</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49,303</w:t>
            </w:r>
          </w:p>
        </w:tc>
      </w:tr>
      <w:tr>
        <w:trPr>
          <w:trHeight w:val="20"/>
        </w:trPr>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6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8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Black 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69" w:lineRule="exact"/>
        <w:rPr>
          <w:sz w:val="20"/>
          <w:szCs w:val="20"/>
          <w:color w:val="auto"/>
        </w:rPr>
      </w:pPr>
    </w:p>
    <w:p>
      <w:pPr>
        <w:ind w:left="60" w:right="339"/>
        <w:spacing w:after="0" w:line="259" w:lineRule="auto"/>
        <w:rPr>
          <w:sz w:val="20"/>
          <w:szCs w:val="20"/>
          <w:color w:val="auto"/>
        </w:rPr>
      </w:pPr>
      <w:r>
        <w:rPr>
          <w:rFonts w:ascii="Arial" w:cs="Arial" w:eastAsia="Arial" w:hAnsi="Arial"/>
          <w:sz w:val="17"/>
          <w:szCs w:val="17"/>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consolidated statements of operations and comprehensive loss. The Company has not utilized any foreign currency hedging strategies to mitigate the effect of its foreign currency exposure.</w:t>
      </w:r>
    </w:p>
    <w:p>
      <w:pPr>
        <w:spacing w:after="0" w:line="127"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is anti-dilutive during periods of net loss, there were no differences between the Company’s basic and diluted net loss per common share for the three months ended March 31, 2024 and 2023.</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6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3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5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43"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53"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2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currently evaluating the impact of adopting this new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3—Reduction in force</w:t>
      </w:r>
    </w:p>
    <w:p>
      <w:pPr>
        <w:spacing w:after="0" w:line="18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January 2023, the Company's Board of Directors approved, and management implemented, a new portfolio prioritization and capital allocation strategy. The resulting changes included pausing investments in CNTY-103 for glioblastoma as well as a discovery program in hematologic malignancies. The Company has shifted focus to CNTY-101 and will accelerate key programs, including one follow-on candidate for lymphoma, CNTY-102, CNTY-107 for Nectin-4+ solid tumors, and CNTY-101 in moderate to severe Systemic Lupus Eythematosus (“SLE”). In addition, the Company continues its partnered programs with Bristol Myers Squibb. The restructuring plan resulted in a reduction in the Company's workforce of approximately 25%. In connection with the restructuring plan, lab operations in Seattle and Hamilton, Ontario were closed and research activities were consolidated in Philadelphia.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During the three months ended March 31, 2023, the Company incurred $2,032 of cash-based expenses related to employee severances, benefits and related costs. Of these amounts, $292 related to general and administrative expense, while $1,740 related to R&amp;D expense. In addition, the Company recorded non-cash stock-based compensation charge of $581 related to modification of equity awards for employees impacted by the restructuring during the year ended December 31, 2023. Of these amounts, $171 related to G&amp;A expense, while $410 related to R&amp;D expense. There were no remaining outstanding liabilities related to the reduction in force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4—Financial instruments and fair value measurements</w:t>
      </w:r>
    </w:p>
    <w:p>
      <w:pPr>
        <w:spacing w:after="0" w:line="187"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March 31, 2024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6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color w:val="auto"/>
              </w:rPr>
              <w:t>Total</w:t>
            </w: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41,492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41,492</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17,838</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17,838</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185,218</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185,218</w:t>
            </w: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41,492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203,056</w:t>
            </w:r>
          </w:p>
        </w:tc>
        <w:tc>
          <w:tcPr>
            <w:tcW w:w="2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244,548</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2023,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42,263</w:t>
            </w:r>
          </w:p>
        </w:tc>
        <w:tc>
          <w:tcPr>
            <w:tcW w:w="10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42,263</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8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26,114</w:t>
            </w:r>
          </w:p>
        </w:tc>
        <w:tc>
          <w:tcPr>
            <w:tcW w:w="280" w:type="dxa"/>
            <w:vAlign w:val="bottom"/>
          </w:tcPr>
          <w:p>
            <w:pPr>
              <w:spacing w:after="0"/>
              <w:rPr>
                <w:sz w:val="17"/>
                <w:szCs w:val="17"/>
                <w:color w:val="auto"/>
              </w:rPr>
            </w:pPr>
          </w:p>
        </w:tc>
        <w:tc>
          <w:tcPr>
            <w:tcW w:w="3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26,114</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188,396</w:t>
            </w:r>
          </w:p>
        </w:tc>
        <w:tc>
          <w:tcPr>
            <w:tcW w:w="2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23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42,263</w:t>
            </w:r>
          </w:p>
        </w:tc>
        <w:tc>
          <w:tcPr>
            <w:tcW w:w="10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$ 214,510</w:t>
            </w:r>
          </w:p>
        </w:tc>
        <w:tc>
          <w:tcPr>
            <w:tcW w:w="2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256,773</w:t>
            </w: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There were no transfers between levels during the period ended March 31, 2024. The Company uses the services of its investment manager, which uses widely accepted models for assumptions in valuing securities with inputs from major third-party data providers.</w:t>
      </w:r>
    </w:p>
    <w:p>
      <w:pPr>
        <w:spacing w:after="0" w:line="128"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1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March 31,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17,855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17,838</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185,329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(239)</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185,218</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203,184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203,056</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2023:</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color w:val="auto"/>
              </w:rPr>
              <w:t>Gross</w:t>
            </w:r>
          </w:p>
        </w:tc>
        <w:tc>
          <w:tcPr>
            <w:tcW w:w="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rPr>
              <w:t>Unrealized</w:t>
            </w:r>
          </w:p>
        </w:tc>
        <w:tc>
          <w:tcPr>
            <w:tcW w:w="920" w:type="dxa"/>
            <w:vAlign w:val="bottom"/>
            <w:gridSpan w:val="5"/>
          </w:tcPr>
          <w:p>
            <w:pPr>
              <w:jc w:val="right"/>
              <w:ind w:right="20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20" w:type="dxa"/>
            <w:vAlign w:val="bottom"/>
          </w:tcPr>
          <w:p>
            <w:pPr>
              <w:spacing w:after="0"/>
              <w:rPr>
                <w:sz w:val="14"/>
                <w:szCs w:val="14"/>
                <w:color w:val="auto"/>
              </w:rPr>
            </w:pPr>
          </w:p>
        </w:tc>
        <w:tc>
          <w:tcPr>
            <w:tcW w:w="680" w:type="dxa"/>
            <w:vAlign w:val="bottom"/>
            <w:gridSpan w:val="3"/>
          </w:tcPr>
          <w:p>
            <w:pPr>
              <w:ind w:left="100"/>
              <w:spacing w:after="0"/>
              <w:rPr>
                <w:sz w:val="20"/>
                <w:szCs w:val="20"/>
                <w:color w:val="auto"/>
              </w:rPr>
            </w:pPr>
            <w:r>
              <w:rPr>
                <w:rFonts w:ascii="Arial" w:cs="Arial" w:eastAsia="Arial" w:hAnsi="Arial"/>
                <w:sz w:val="14"/>
                <w:szCs w:val="14"/>
                <w:color w:val="auto"/>
              </w:rPr>
              <w:t>Gains</w:t>
            </w:r>
          </w:p>
        </w:tc>
        <w:tc>
          <w:tcPr>
            <w:tcW w:w="920" w:type="dxa"/>
            <w:vAlign w:val="bottom"/>
            <w:gridSpan w:val="5"/>
          </w:tcPr>
          <w:p>
            <w:pPr>
              <w:jc w:val="right"/>
              <w:ind w:right="2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26,070</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26,114</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188,219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399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(222)</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214,289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03"/>
        </w:trPr>
        <w:tc>
          <w:tcPr>
            <w:tcW w:w="7380" w:type="dxa"/>
            <w:vAlign w:val="bottom"/>
            <w:gridSpan w:val="9"/>
          </w:tcPr>
          <w:p>
            <w:pPr>
              <w:ind w:left="2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8"/>
        </w:trPr>
        <w:tc>
          <w:tcPr>
            <w:tcW w:w="5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10"/>
          </w:tcPr>
          <w:p>
            <w:pPr>
              <w:spacing w:after="0"/>
              <w:rPr>
                <w:sz w:val="17"/>
                <w:szCs w:val="17"/>
                <w:color w:val="auto"/>
              </w:rPr>
            </w:pPr>
          </w:p>
        </w:tc>
      </w:tr>
      <w:tr>
        <w:trPr>
          <w:trHeight w:val="155"/>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10"/>
          </w:tcPr>
          <w:p>
            <w:pPr>
              <w:spacing w:after="0" w:line="155" w:lineRule="exact"/>
              <w:rPr>
                <w:sz w:val="20"/>
                <w:szCs w:val="20"/>
                <w:color w:val="auto"/>
              </w:rPr>
            </w:pPr>
            <w:r>
              <w:rPr>
                <w:rFonts w:ascii="Arial" w:cs="Arial" w:eastAsia="Arial" w:hAnsi="Arial"/>
                <w:sz w:val="14"/>
                <w:szCs w:val="14"/>
                <w:color w:val="auto"/>
              </w:rPr>
              <w:t>March 31, 2024   December 31, 2023</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145,204</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125,414</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57,852</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89,096</w:t>
            </w:r>
          </w:p>
        </w:tc>
      </w:tr>
      <w:tr>
        <w:trPr>
          <w:trHeight w:val="196"/>
        </w:trPr>
        <w:tc>
          <w:tcPr>
            <w:tcW w:w="5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203,056</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4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At March 31, 2024 and December 31, 2023, the Company had 52 and 25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bonds approach maturity.</w:t>
      </w:r>
    </w:p>
    <w:p>
      <w:pPr>
        <w:spacing w:after="0" w:line="180"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As of March 31, 2024 and December 31, 2023, accrued interest receivable on available-for-sale investment debt securities totaling $1,583 and $1,570, respectively, is excluded from the estimate of credit losses and is included in prepaid expenses and other current assets.</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5—Property and equipment, net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440" w:type="dxa"/>
            <w:vAlign w:val="bottom"/>
            <w:gridSpan w:val="5"/>
          </w:tcPr>
          <w:p>
            <w:pPr>
              <w:spacing w:after="0"/>
              <w:rPr>
                <w:sz w:val="20"/>
                <w:szCs w:val="20"/>
                <w:color w:val="auto"/>
              </w:rPr>
            </w:pPr>
            <w:r>
              <w:rPr>
                <w:rFonts w:ascii="Arial" w:cs="Arial" w:eastAsia="Arial" w:hAnsi="Arial"/>
                <w:sz w:val="14"/>
                <w:szCs w:val="14"/>
                <w:color w:val="auto"/>
              </w:rPr>
              <w:t>March 31, 2024  December 31, 2023</w:t>
            </w:r>
          </w:p>
        </w:tc>
      </w:tr>
      <w:tr>
        <w:trPr>
          <w:trHeight w:val="196"/>
        </w:trPr>
        <w:tc>
          <w:tcPr>
            <w:tcW w:w="64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29,928</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29,597</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61,136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60,862</w:t>
            </w:r>
          </w:p>
        </w:tc>
      </w:tr>
      <w:tr>
        <w:trPr>
          <w:trHeight w:val="203"/>
        </w:trPr>
        <w:tc>
          <w:tcPr>
            <w:tcW w:w="6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2,899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2,899</w:t>
            </w:r>
          </w:p>
        </w:tc>
      </w:tr>
      <w:tr>
        <w:trPr>
          <w:trHeight w:val="203"/>
        </w:trPr>
        <w:tc>
          <w:tcPr>
            <w:tcW w:w="6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r>
      <w:tr>
        <w:trPr>
          <w:trHeight w:val="196"/>
        </w:trPr>
        <w:tc>
          <w:tcPr>
            <w:tcW w:w="64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95,024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94,543</w:t>
            </w:r>
          </w:p>
        </w:tc>
      </w:tr>
      <w:tr>
        <w:trPr>
          <w:trHeight w:val="203"/>
        </w:trPr>
        <w:tc>
          <w:tcPr>
            <w:tcW w:w="6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(26,019)</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(22,838)</w:t>
            </w:r>
          </w:p>
        </w:tc>
      </w:tr>
      <w:tr>
        <w:trPr>
          <w:trHeight w:val="196"/>
        </w:trPr>
        <w:tc>
          <w:tcPr>
            <w:tcW w:w="646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69,005</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71,705</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auto"/>
        </w:rPr>
        <w:t>Depreciation expense was $3,226 and $2,908 for the three months ended March 31, 2024 and 2023,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6—Accrued expenses and other liabilities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Arial" w:cs="Arial" w:eastAsia="Arial" w:hAnsi="Arial"/>
                <w:sz w:val="14"/>
                <w:szCs w:val="14"/>
                <w:color w:val="auto"/>
              </w:rPr>
              <w:t>March 31, 2024   December 31, 2023</w:t>
            </w:r>
          </w:p>
        </w:tc>
      </w:tr>
      <w:tr>
        <w:trPr>
          <w:trHeight w:val="196"/>
        </w:trPr>
        <w:tc>
          <w:tcPr>
            <w:tcW w:w="6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2,868</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6,496</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1,642</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2,215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r>
      <w:tr>
        <w:trPr>
          <w:trHeight w:val="196"/>
        </w:trPr>
        <w:tc>
          <w:tcPr>
            <w:tcW w:w="642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7,532</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10,149</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7—Long-term debt</w:t>
      </w:r>
    </w:p>
    <w:p>
      <w:pPr>
        <w:spacing w:after="0" w:line="173" w:lineRule="exact"/>
        <w:rPr>
          <w:sz w:val="20"/>
          <w:szCs w:val="20"/>
          <w:color w:val="auto"/>
        </w:rPr>
      </w:pPr>
    </w:p>
    <w:p>
      <w:pPr>
        <w:ind w:left="60" w:right="240"/>
        <w:spacing w:after="0" w:line="247"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133" w:lineRule="exact"/>
        <w:rPr>
          <w:sz w:val="20"/>
          <w:szCs w:val="20"/>
          <w:color w:val="auto"/>
        </w:rPr>
      </w:pPr>
    </w:p>
    <w:p>
      <w:pPr>
        <w:ind w:left="60" w:right="180"/>
        <w:spacing w:after="0"/>
        <w:rPr>
          <w:sz w:val="20"/>
          <w:szCs w:val="20"/>
          <w:color w:val="auto"/>
        </w:rPr>
      </w:pPr>
      <w:r>
        <w:rPr>
          <w:rFonts w:ascii="Arial" w:cs="Arial" w:eastAsia="Arial" w:hAnsi="Arial"/>
          <w:sz w:val="18"/>
          <w:szCs w:val="18"/>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$395, which is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153" w:lineRule="exact"/>
        <w:rPr>
          <w:sz w:val="20"/>
          <w:szCs w:val="20"/>
          <w:color w:val="auto"/>
        </w:rPr>
      </w:pPr>
    </w:p>
    <w:p>
      <w:pPr>
        <w:ind w:left="60" w:right="160"/>
        <w:spacing w:after="0" w:line="242"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attributable to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color w:val="auto"/>
              </w:rPr>
              <w:t>For the Three Months Ended</w:t>
            </w:r>
          </w:p>
        </w:tc>
        <w:tc>
          <w:tcPr>
            <w:tcW w:w="1900" w:type="dxa"/>
            <w:vAlign w:val="bottom"/>
            <w:gridSpan w:val="4"/>
          </w:tcPr>
          <w:p>
            <w:pPr>
              <w:ind w:left="2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color w:val="auto"/>
              </w:rPr>
              <w:t>March 31, 2024</w:t>
            </w:r>
          </w:p>
        </w:tc>
        <w:tc>
          <w:tcPr>
            <w:tcW w:w="28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March 31, 2023</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ind w:left="13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60" w:type="dxa"/>
            <w:vAlign w:val="bottom"/>
          </w:tcPr>
          <w:p>
            <w:pPr>
              <w:ind w:left="20"/>
              <w:spacing w:after="0" w:line="183" w:lineRule="exact"/>
              <w:rPr>
                <w:sz w:val="20"/>
                <w:szCs w:val="20"/>
                <w:color w:val="auto"/>
              </w:rPr>
            </w:pPr>
            <w:r>
              <w:rPr>
                <w:rFonts w:ascii="Arial" w:cs="Arial" w:eastAsia="Arial" w:hAnsi="Arial"/>
                <w:sz w:val="18"/>
                <w:szCs w:val="18"/>
                <w:color w:val="auto"/>
              </w:rPr>
              <w:t>Amortization of debt issuance costs, including end of term</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8"/>
                <w:szCs w:val="18"/>
                <w:color w:val="auto"/>
              </w:rPr>
              <w:t>fee accretion</w:t>
            </w:r>
          </w:p>
        </w:tc>
        <w:tc>
          <w:tcPr>
            <w:tcW w:w="260" w:type="dxa"/>
            <w:vAlign w:val="bottom"/>
          </w:tcPr>
          <w:p>
            <w:pPr>
              <w:spacing w:after="0"/>
              <w:rPr>
                <w:sz w:val="19"/>
                <w:szCs w:val="19"/>
                <w:color w:val="auto"/>
              </w:rPr>
            </w:pPr>
          </w:p>
        </w:tc>
        <w:tc>
          <w:tcPr>
            <w:tcW w:w="17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shd w:val="clear" w:color="auto" w:fill="CCEEFF"/>
          </w:tcPr>
          <w:p>
            <w:pPr>
              <w:ind w:left="13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jc w:val="right"/>
              <w:ind w:right="41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5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5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2" w:right="14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 – Bristol-Myers Squibb Collaboration</w:t>
      </w:r>
    </w:p>
    <w:p>
      <w:pPr>
        <w:spacing w:after="0" w:line="18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4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14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12-year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royalty-free, perpetual and irrevocable.</w:t>
      </w:r>
    </w:p>
    <w:p>
      <w:pPr>
        <w:spacing w:after="0" w:line="157"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44"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performance obligations for purposes of recognizing revenue and will recognize revenue as the Company fulfills each performance obligation.</w:t>
      </w:r>
    </w:p>
    <w:p>
      <w:pPr>
        <w:spacing w:after="0" w:line="12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4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44" w:lineRule="exact"/>
        <w:rPr>
          <w:sz w:val="20"/>
          <w:szCs w:val="20"/>
          <w:color w:val="auto"/>
        </w:rPr>
      </w:pPr>
    </w:p>
    <w:p>
      <w:pPr>
        <w:ind w:left="720" w:right="219"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56" w:lineRule="exact"/>
        <w:rPr>
          <w:rFonts w:ascii="Times New Roman" w:cs="Times New Roman" w:eastAsia="Times New Roman" w:hAnsi="Times New Roman"/>
          <w:sz w:val="18"/>
          <w:szCs w:val="18"/>
          <w:color w:val="auto"/>
        </w:rPr>
      </w:pPr>
    </w:p>
    <w:p>
      <w:pPr>
        <w:ind w:left="720" w:right="7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36" w:lineRule="exact"/>
        <w:rPr>
          <w:sz w:val="20"/>
          <w:szCs w:val="20"/>
          <w:color w:val="auto"/>
        </w:rPr>
      </w:pPr>
    </w:p>
    <w:p>
      <w:pPr>
        <w:ind w:left="60" w:right="299"/>
        <w:spacing w:after="0" w:line="301" w:lineRule="auto"/>
        <w:rPr>
          <w:sz w:val="20"/>
          <w:szCs w:val="20"/>
          <w:color w:val="auto"/>
        </w:rPr>
      </w:pPr>
      <w:r>
        <w:rPr>
          <w:rFonts w:ascii="Arial" w:cs="Arial" w:eastAsia="Arial" w:hAnsi="Arial"/>
          <w:sz w:val="17"/>
          <w:szCs w:val="17"/>
          <w:color w:val="auto"/>
        </w:rPr>
        <w:t>The following table summarizes the allocation of the total transaction price to the identified performance obligations under the arrangement, and the amount of the transaction price unsatisfied as of March 31, 2024:</w:t>
      </w:r>
    </w:p>
    <w:p>
      <w:pPr>
        <w:sectPr>
          <w:pgSz w:w="11900" w:h="16838" w:orient="portrait"/>
          <w:cols w:equalWidth="0" w:num="1">
            <w:col w:w="9019"/>
          </w:cols>
          <w:pgMar w:left="1440" w:top="512" w:right="1440" w:bottom="1440" w:gutter="0" w:footer="0" w:header="0"/>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(8,289)</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r>
      <w:tr>
        <w:trPr>
          <w:trHeight w:val="228"/>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114,898</w:t>
            </w:r>
          </w:p>
        </w:tc>
      </w:tr>
      <w:tr>
        <w:trPr>
          <w:trHeight w:val="387"/>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110,288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-573405</wp:posOffset>
            </wp:positionV>
            <wp:extent cx="564896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00"/>
            <w:col w:w="5559"/>
          </w:cols>
          <w:pgMar w:left="14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2023:</w:t>
      </w:r>
    </w:p>
    <w:p>
      <w:pPr>
        <w:sectPr>
          <w:pgSz w:w="11900" w:h="16838" w:orient="portrait"/>
          <w:cols w:equalWidth="0" w:num="1">
            <w:col w:w="9019"/>
          </w:cols>
          <w:pgMar w:left="1440" w:top="512" w:right="1440" w:bottom="1440" w:gutter="0" w:footer="0" w:header="0"/>
        </w:sect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(7,434)</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8"/>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115,753</w:t>
            </w:r>
          </w:p>
        </w:tc>
      </w:tr>
      <w:tr>
        <w:trPr>
          <w:trHeight w:val="387"/>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-573405</wp:posOffset>
            </wp:positionV>
            <wp:extent cx="56489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00"/>
            <w:col w:w="5559"/>
          </w:cols>
          <w:pgMar w:left="1440" w:top="512" w:right="1440" w:bottom="1440" w:gutter="0" w:footer="0" w:header="0"/>
          <w:type w:val="continuous"/>
        </w:sectPr>
      </w:pP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9—Commitments and contingencies</w:t>
      </w:r>
    </w:p>
    <w:p>
      <w:pPr>
        <w:spacing w:after="0" w:line="173"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8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“Master Service Agreement”).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Company had $58 within accounts payable as of March 31, 2024 and $106 as of December 31, 2023, in its consolidated balance sheets related to the Master Service Agreement.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2024 or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10—Leases</w:t>
      </w:r>
    </w:p>
    <w:p>
      <w:pPr>
        <w:spacing w:after="0" w:line="173"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$410 and $1,260 within security deposits and non-current assets in its consolidated balance sheets at March 31, 2024 and December 31, 2023, respectively. The Company’s leases have initial lease terms ranging from 5 to 16 years. Certain lease agreements contain provisions for future rent increases.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3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3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Three Months Ended</w:t>
            </w:r>
          </w:p>
        </w:tc>
      </w:tr>
      <w:tr>
        <w:trPr>
          <w:trHeight w:val="171"/>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March 31, 2024</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March 31, 2023</w:t>
            </w: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9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334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1360" w:type="dxa"/>
            <w:vAlign w:val="bottom"/>
            <w:gridSpan w:val="2"/>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1,085</w:t>
            </w:r>
          </w:p>
        </w:tc>
        <w:tc>
          <w:tcPr>
            <w:tcW w:w="740" w:type="dxa"/>
            <w:vAlign w:val="bottom"/>
            <w:gridSpan w:val="2"/>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1,395</w:t>
            </w:r>
          </w:p>
        </w:tc>
        <w:tc>
          <w:tcPr>
            <w:tcW w:w="20" w:type="dxa"/>
            <w:vAlign w:val="bottom"/>
          </w:tcPr>
          <w:p>
            <w:pPr>
              <w:spacing w:after="0"/>
              <w:rPr>
                <w:sz w:val="17"/>
                <w:szCs w:val="17"/>
                <w:color w:val="auto"/>
              </w:rPr>
            </w:pPr>
          </w:p>
        </w:tc>
      </w:tr>
      <w:tr>
        <w:trPr>
          <w:trHeight w:val="203"/>
        </w:trPr>
        <w:tc>
          <w:tcPr>
            <w:tcW w:w="3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17"/>
                <w:szCs w:val="17"/>
                <w:color w:val="auto"/>
              </w:rPr>
            </w:pPr>
          </w:p>
        </w:tc>
      </w:tr>
      <w:tr>
        <w:trPr>
          <w:trHeight w:val="203"/>
        </w:trPr>
        <w:tc>
          <w:tcPr>
            <w:tcW w:w="33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w:t>
            </w:r>
          </w:p>
        </w:tc>
        <w:tc>
          <w:tcPr>
            <w:tcW w:w="20" w:type="dxa"/>
            <w:vAlign w:val="bottom"/>
            <w:tcBorders>
              <w:bottom w:val="single" w:sz="8" w:color="CCEEFF"/>
            </w:tcBorders>
          </w:tcPr>
          <w:p>
            <w:pPr>
              <w:spacing w:after="0"/>
              <w:rPr>
                <w:sz w:val="17"/>
                <w:szCs w:val="17"/>
                <w:color w:val="auto"/>
              </w:rPr>
            </w:pPr>
          </w:p>
        </w:tc>
      </w:tr>
      <w:tr>
        <w:trPr>
          <w:trHeight w:val="196"/>
        </w:trPr>
        <w:tc>
          <w:tcPr>
            <w:tcW w:w="3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1,535</w:t>
            </w:r>
          </w:p>
        </w:tc>
        <w:tc>
          <w:tcPr>
            <w:tcW w:w="3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83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42" w:lineRule="exact"/>
        <w:rPr>
          <w:sz w:val="20"/>
          <w:szCs w:val="20"/>
          <w:color w:val="auto"/>
        </w:rPr>
      </w:pPr>
    </w:p>
    <w:tbl>
      <w:tblPr>
        <w:tblLayout w:type="fixed"/>
        <w:tblInd w:w="468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color w:val="auto"/>
              </w:rPr>
              <w:t>As of</w:t>
            </w:r>
          </w:p>
        </w:tc>
        <w:tc>
          <w:tcPr>
            <w:tcW w:w="1160" w:type="dxa"/>
            <w:vAlign w:val="bottom"/>
          </w:tcPr>
          <w:p>
            <w:pPr>
              <w:jc w:val="center"/>
              <w:spacing w:after="0"/>
              <w:rPr>
                <w:sz w:val="20"/>
                <w:szCs w:val="20"/>
                <w:color w:val="auto"/>
              </w:rPr>
            </w:pPr>
            <w:r>
              <w:rPr>
                <w:rFonts w:ascii="Arial" w:cs="Arial" w:eastAsia="Arial" w:hAnsi="Arial"/>
                <w:sz w:val="14"/>
                <w:szCs w:val="14"/>
                <w:color w:val="auto"/>
              </w:rPr>
              <w:t>As of</w:t>
            </w:r>
          </w:p>
        </w:tc>
      </w:tr>
      <w:tr>
        <w:trPr>
          <w:trHeight w:val="162"/>
        </w:trPr>
        <w:tc>
          <w:tcPr>
            <w:tcW w:w="18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rPr>
              <w:t>March 31,</w:t>
            </w:r>
          </w:p>
        </w:tc>
        <w:tc>
          <w:tcPr>
            <w:tcW w:w="116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171"/>
        </w:trPr>
        <w:tc>
          <w:tcPr>
            <w:tcW w:w="188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19,314</w:t>
            </w:r>
          </w:p>
        </w:tc>
        <w:tc>
          <w:tcPr>
            <w:tcW w:w="160" w:type="dxa"/>
            <w:vAlign w:val="bottom"/>
          </w:tcPr>
          <w:p>
            <w:pPr>
              <w:spacing w:after="0"/>
              <w:rPr>
                <w:sz w:val="17"/>
                <w:szCs w:val="17"/>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20,376</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2,215</w:t>
            </w:r>
          </w:p>
        </w:tc>
        <w:tc>
          <w:tcPr>
            <w:tcW w:w="1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21"/>
        </w:trPr>
        <w:tc>
          <w:tcPr>
            <w:tcW w:w="322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44,251</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46,658</w:t>
            </w:r>
          </w:p>
        </w:tc>
      </w:tr>
      <w:tr>
        <w:trPr>
          <w:trHeight w:val="196"/>
        </w:trPr>
        <w:tc>
          <w:tcPr>
            <w:tcW w:w="32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46,466</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48,171</w:t>
            </w:r>
          </w:p>
        </w:tc>
      </w:tr>
      <w:tr>
        <w:trPr>
          <w:trHeight w:val="20"/>
        </w:trPr>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-548005</wp:posOffset>
            </wp:positionV>
            <wp:extent cx="568325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325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-290830</wp:posOffset>
            </wp:positionV>
            <wp:extent cx="568325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325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220"/>
            <w:col w:w="567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8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As of March 31, 2024   As of December 31, 2023</w:t>
            </w:r>
          </w:p>
        </w:tc>
        <w:tc>
          <w:tcPr>
            <w:tcW w:w="160" w:type="dxa"/>
            <w:vAlign w:val="bottom"/>
          </w:tcPr>
          <w:p>
            <w:pPr>
              <w:spacing w:after="0"/>
              <w:rPr>
                <w:sz w:val="15"/>
                <w:szCs w:val="15"/>
                <w:color w:val="auto"/>
              </w:rPr>
            </w:pPr>
          </w:p>
        </w:tc>
      </w:tr>
      <w:tr>
        <w:trPr>
          <w:trHeight w:val="196"/>
        </w:trPr>
        <w:tc>
          <w:tcPr>
            <w:tcW w:w="5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40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7.3 years</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7.6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9.9 %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9.9 %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5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color w:val="auto"/>
              </w:rPr>
              <w:t>For the Three</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color w:val="auto"/>
              </w:rPr>
              <w:t>For the Three</w:t>
            </w:r>
          </w:p>
        </w:tc>
      </w:tr>
      <w:tr>
        <w:trPr>
          <w:trHeight w:val="162"/>
        </w:trPr>
        <w:tc>
          <w:tcPr>
            <w:tcW w:w="654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color w:val="auto"/>
              </w:rPr>
              <w:t>Months Ended</w:t>
            </w:r>
          </w:p>
        </w:tc>
        <w:tc>
          <w:tcPr>
            <w:tcW w:w="10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color w:val="auto"/>
              </w:rPr>
              <w:t>Months Ended</w:t>
            </w:r>
          </w:p>
        </w:tc>
      </w:tr>
      <w:tr>
        <w:trPr>
          <w:trHeight w:val="171"/>
        </w:trPr>
        <w:tc>
          <w:tcPr>
            <w:tcW w:w="65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March 31, 2024</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rPr>
              <w:t>March 31, 2023</w:t>
            </w:r>
          </w:p>
        </w:tc>
      </w:tr>
      <w:tr>
        <w:trPr>
          <w:trHeight w:val="196"/>
        </w:trPr>
        <w:tc>
          <w:tcPr>
            <w:tcW w:w="6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(2,186)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March 31,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8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5,900</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8,421</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8,125</w:t>
            </w:r>
          </w:p>
        </w:tc>
      </w:tr>
      <w:tr>
        <w:trPr>
          <w:trHeight w:val="202"/>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8,325</w:t>
            </w:r>
          </w:p>
        </w:tc>
      </w:tr>
      <w:tr>
        <w:trPr>
          <w:trHeight w:val="203"/>
        </w:trPr>
        <w:tc>
          <w:tcPr>
            <w:tcW w:w="76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43,163</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81,865</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(27,423)</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(7,976)</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46,466</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11—Income taxes</w:t>
      </w:r>
    </w:p>
    <w:p>
      <w:pPr>
        <w:spacing w:after="0" w:line="214" w:lineRule="exact"/>
        <w:rPr>
          <w:sz w:val="20"/>
          <w:szCs w:val="20"/>
          <w:color w:val="auto"/>
        </w:rPr>
      </w:pPr>
    </w:p>
    <w:p>
      <w:pPr>
        <w:ind w:left="60" w:right="359"/>
        <w:spacing w:after="0" w:line="242" w:lineRule="auto"/>
        <w:rPr>
          <w:sz w:val="20"/>
          <w:szCs w:val="20"/>
          <w:color w:val="auto"/>
        </w:rPr>
      </w:pPr>
      <w:r>
        <w:rPr>
          <w:rFonts w:ascii="Arial" w:cs="Arial" w:eastAsia="Arial" w:hAnsi="Arial"/>
          <w:sz w:val="18"/>
          <w:szCs w:val="18"/>
          <w:color w:val="auto"/>
        </w:rPr>
        <w:t>During the three months ended March 31, 2024, the Company recorded no income tax benefits for the net operating losses incurred or for the research and development tax credits generated in the U.S. due to its uncertainty of realizing a benefit from those items. During the three months ended March 31, 2023, the Company recorded a tax provision of $1.2 million, due primarily to revenue recognition for tax purposes from the Company's Research Collaboration and Collaboration Agreement entered into with Bristol-Myers Squibb Company in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12—Basic and diluted net loss per common share</w:t>
      </w:r>
    </w:p>
    <w:p>
      <w:pPr>
        <w:spacing w:after="0" w:line="18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Company’s potentially dilutive securities, which include RSUs (“Restricted Stock Units”),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2024 and 2023 because including them would have had an anti-dilutive effect.</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0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color w:val="auto"/>
              </w:rPr>
              <w:t>Three Months Ended</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Three Months Ended</w:t>
            </w:r>
          </w:p>
        </w:tc>
      </w:tr>
      <w:tr>
        <w:trPr>
          <w:trHeight w:val="162"/>
        </w:trPr>
        <w:tc>
          <w:tcPr>
            <w:tcW w:w="60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rPr>
              <w:t>March 31,</w:t>
            </w:r>
          </w:p>
        </w:tc>
        <w:tc>
          <w:tcPr>
            <w:tcW w:w="1380" w:type="dxa"/>
            <w:vAlign w:val="bottom"/>
          </w:tcPr>
          <w:p>
            <w:pPr>
              <w:jc w:val="center"/>
              <w:spacing w:after="0"/>
              <w:rPr>
                <w:sz w:val="20"/>
                <w:szCs w:val="20"/>
                <w:color w:val="auto"/>
              </w:rPr>
            </w:pPr>
            <w:r>
              <w:rPr>
                <w:rFonts w:ascii="Arial" w:cs="Arial" w:eastAsia="Arial" w:hAnsi="Arial"/>
                <w:sz w:val="14"/>
                <w:szCs w:val="14"/>
                <w:color w:val="auto"/>
              </w:rPr>
              <w:t>March 31,</w:t>
            </w:r>
          </w:p>
        </w:tc>
      </w:tr>
      <w:tr>
        <w:trPr>
          <w:trHeight w:val="171"/>
        </w:trPr>
        <w:tc>
          <w:tcPr>
            <w:tcW w:w="60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4,739,854</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10,370,402</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84,380</w:t>
            </w:r>
          </w:p>
        </w:tc>
        <w:tc>
          <w:tcPr>
            <w:tcW w:w="1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385,655</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subject to future vesting</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24,731</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49,465</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3,941,432</w:t>
            </w:r>
          </w:p>
        </w:tc>
        <w:tc>
          <w:tcPr>
            <w:tcW w:w="1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544,650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6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0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8,822,406</w:t>
            </w:r>
          </w:p>
        </w:tc>
        <w:tc>
          <w:tcPr>
            <w:tcW w:w="16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11,382,181</w:t>
            </w: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13—Stock-based compensation</w:t>
      </w:r>
    </w:p>
    <w:p>
      <w:pPr>
        <w:spacing w:after="0" w:line="17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28"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2023, the 2021 Incentive Plan reserved shares were increased under clause (i) by 2,954,788 shares, effective as of January 1, 2023. For 2024, the 2021 Incentive Plan reserved shares were increased under clause (i) by 3,025,220 shares, effective as of January 1, 2024. As of March 31, 2024, there were 4,905,295 shares available for issuance under the 2021 Incentive Plan.</w:t>
      </w:r>
    </w:p>
    <w:p>
      <w:pPr>
        <w:spacing w:after="0" w:line="15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 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2024, the Company had reserved shares of common stock for issuance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660" w:type="dxa"/>
            <w:vAlign w:val="bottom"/>
          </w:tcPr>
          <w:p>
            <w:pPr>
              <w:jc w:val="right"/>
              <w:ind w:right="514"/>
              <w:spacing w:after="0"/>
              <w:rPr>
                <w:sz w:val="20"/>
                <w:szCs w:val="20"/>
                <w:color w:val="auto"/>
              </w:rPr>
            </w:pPr>
            <w:r>
              <w:rPr>
                <w:rFonts w:ascii="Arial" w:cs="Arial" w:eastAsia="Arial" w:hAnsi="Arial"/>
                <w:sz w:val="14"/>
                <w:szCs w:val="14"/>
                <w:color w:val="auto"/>
              </w:rPr>
              <w:t>Shares</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8,681,286</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4,905,295</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954,522</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14,541,103</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March 31, 2024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80" w:type="dxa"/>
            <w:vAlign w:val="bottom"/>
            <w:gridSpan w:val="2"/>
          </w:tcPr>
          <w:p>
            <w:pPr>
              <w:ind w:left="60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b w:val="1"/>
                <w:bCs w:val="1"/>
                <w:color w:val="auto"/>
              </w:rPr>
              <w:t>Balance December 31, 2023</w:t>
            </w:r>
          </w:p>
        </w:tc>
        <w:tc>
          <w:tcPr>
            <w:tcW w:w="35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3,128,244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2,954,788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(1,433,838)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606,480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March 31, 2024</w:t>
            </w:r>
          </w:p>
        </w:tc>
        <w:tc>
          <w:tcPr>
            <w:tcW w:w="35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4,905,295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500" w:type="dxa"/>
            <w:vAlign w:val="bottom"/>
            <w:vMerge w:val="restart"/>
          </w:tcPr>
          <w:p>
            <w:pPr>
              <w:jc w:val="right"/>
              <w:ind w:right="2590"/>
              <w:spacing w:after="0"/>
              <w:rPr>
                <w:sz w:val="20"/>
                <w:szCs w:val="20"/>
                <w:color w:val="auto"/>
              </w:rPr>
            </w:pPr>
            <w:r>
              <w:rPr>
                <w:rFonts w:ascii="Arial" w:cs="Arial" w:eastAsia="Arial" w:hAnsi="Arial"/>
                <w:sz w:val="18"/>
                <w:szCs w:val="18"/>
                <w:color w:val="auto"/>
              </w:rPr>
              <w:t>24</w:t>
            </w: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three month period ended March 31,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9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57"/>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Shares</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Exercise Price</w:t>
            </w:r>
          </w:p>
        </w:tc>
        <w:tc>
          <w:tcPr>
            <w:tcW w:w="740" w:type="dxa"/>
            <w:vAlign w:val="bottom"/>
          </w:tcPr>
          <w:p>
            <w:pPr>
              <w:jc w:val="center"/>
              <w:spacing w:after="0"/>
              <w:rPr>
                <w:sz w:val="20"/>
                <w:szCs w:val="20"/>
                <w:color w:val="auto"/>
              </w:rPr>
            </w:pPr>
            <w:r>
              <w:rPr>
                <w:rFonts w:ascii="Arial" w:cs="Arial" w:eastAsia="Arial" w:hAnsi="Arial"/>
                <w:sz w:val="14"/>
                <w:szCs w:val="14"/>
                <w:color w:val="auto"/>
              </w:rPr>
              <w:t>(years)</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2024</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3,938,006</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1,433,838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5.29</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(155,928)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(380,899)</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(95,163)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Outstanding, March 31, 2024</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4,739,854</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4.53</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Exercisable at March 31, 2024</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4,441,321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7.07</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weighted average grant date fair value of awards for options granted during the three months ended March 31, 2024 was $3.73. As of March 31, 2024, there was $18,525 of total unrecognized compensation expense related to unvested stock options with time-based vesting terms, which is expected to be recognized over a weighted average period of 3.02 years. The aggregate intrinsic value of options vested and exercisable as of March 31, 2024 and 2023 is calculated based on the difference between the exercise price and the fair value of our common stock. The intrinsic value of options exercised in 2024 and 2023 was $3,619 and $3,262, respectively.</w:t>
      </w:r>
    </w:p>
    <w:p>
      <w:pPr>
        <w:spacing w:after="0" w:line="14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March 31, 2024</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December 31, 2023</w:t>
            </w:r>
          </w:p>
        </w:tc>
      </w:tr>
      <w:tr>
        <w:trPr>
          <w:trHeight w:val="196"/>
        </w:trPr>
        <w:tc>
          <w:tcPr>
            <w:tcW w:w="6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160" w:type="dxa"/>
            <w:vAlign w:val="bottom"/>
          </w:tcPr>
          <w:p>
            <w:pPr>
              <w:spacing w:after="0"/>
              <w:rPr>
                <w:sz w:val="17"/>
                <w:szCs w:val="17"/>
                <w:color w:val="auto"/>
              </w:rPr>
            </w:pPr>
          </w:p>
        </w:tc>
      </w:tr>
      <w:tr>
        <w:trPr>
          <w:trHeight w:val="203"/>
        </w:trPr>
        <w:tc>
          <w:tcPr>
            <w:tcW w:w="6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77.86 %</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77.87 %</w:t>
            </w:r>
          </w:p>
        </w:tc>
      </w:tr>
      <w:tr>
        <w:trPr>
          <w:trHeight w:val="239"/>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4.38 %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3.68 %</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Arial" w:cs="Arial" w:eastAsia="Arial" w:hAnsi="Arial"/>
                <w:sz w:val="14"/>
                <w:szCs w:val="14"/>
                <w:color w:val="auto"/>
              </w:rPr>
              <w:t>Three Months Ended Three Months Ended</w:t>
            </w:r>
          </w:p>
        </w:tc>
      </w:tr>
      <w:tr>
        <w:trPr>
          <w:trHeight w:val="203"/>
        </w:trPr>
        <w:tc>
          <w:tcPr>
            <w:tcW w:w="6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7"/>
                <w:szCs w:val="17"/>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color w:val="auto"/>
              </w:rPr>
              <w:t>March 31,</w:t>
            </w:r>
          </w:p>
        </w:tc>
      </w:tr>
      <w:tr>
        <w:trPr>
          <w:trHeight w:val="207"/>
        </w:trPr>
        <w:tc>
          <w:tcPr>
            <w:tcW w:w="6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2023</w:t>
            </w:r>
          </w:p>
        </w:tc>
      </w:tr>
      <w:tr>
        <w:trPr>
          <w:trHeight w:val="200"/>
        </w:trPr>
        <w:tc>
          <w:tcPr>
            <w:tcW w:w="61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line="200" w:lineRule="exact"/>
              <w:rPr>
                <w:sz w:val="20"/>
                <w:szCs w:val="20"/>
                <w:color w:val="auto"/>
              </w:rPr>
            </w:pPr>
            <w:r>
              <w:rPr>
                <w:rFonts w:ascii="Arial" w:cs="Arial" w:eastAsia="Arial" w:hAnsi="Arial"/>
                <w:sz w:val="18"/>
                <w:szCs w:val="18"/>
                <w:color w:val="auto"/>
              </w:rPr>
              <w:t>1,748</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2,112</w:t>
            </w:r>
          </w:p>
        </w:tc>
      </w:tr>
      <w:tr>
        <w:trPr>
          <w:trHeight w:val="203"/>
        </w:trPr>
        <w:tc>
          <w:tcPr>
            <w:tcW w:w="61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1,459</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1,685</w:t>
            </w:r>
          </w:p>
        </w:tc>
      </w:tr>
      <w:tr>
        <w:trPr>
          <w:trHeight w:val="196"/>
        </w:trPr>
        <w:tc>
          <w:tcPr>
            <w:tcW w:w="61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3,207</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3,797</w:t>
            </w: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ind w:left="6220"/>
        <w:spacing w:after="0"/>
        <w:rPr>
          <w:sz w:val="20"/>
          <w:szCs w:val="20"/>
          <w:color w:val="auto"/>
        </w:rPr>
      </w:pPr>
      <w:r>
        <w:rPr>
          <w:rFonts w:ascii="Arial" w:cs="Arial" w:eastAsia="Arial" w:hAnsi="Arial"/>
          <w:sz w:val="14"/>
          <w:szCs w:val="14"/>
          <w:color w:val="auto"/>
        </w:rPr>
        <w:t>Three Months Ended Three Months Ended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units</w:t>
      </w:r>
    </w:p>
    <w:p>
      <w:pPr>
        <w:ind w:left="60"/>
        <w:spacing w:after="0" w:line="234" w:lineRule="auto"/>
        <w:rPr>
          <w:sz w:val="20"/>
          <w:szCs w:val="20"/>
          <w:color w:val="auto"/>
        </w:rPr>
      </w:pPr>
      <w:r>
        <w:rPr>
          <w:rFonts w:ascii="Arial" w:cs="Arial" w:eastAsia="Arial" w:hAnsi="Arial"/>
          <w:sz w:val="18"/>
          <w:szCs w:val="18"/>
          <w:color w:val="auto"/>
        </w:rPr>
        <w:t>Restricted stock awards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 stock purchase plan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stock-based compensation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color w:val="auto"/>
              </w:rPr>
              <w:t>March 31,</w:t>
            </w:r>
          </w:p>
        </w:tc>
      </w:tr>
      <w:tr>
        <w:trPr>
          <w:trHeight w:val="207"/>
        </w:trPr>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2023</w:t>
            </w:r>
          </w:p>
        </w:tc>
      </w:tr>
      <w:tr>
        <w:trPr>
          <w:trHeight w:val="181"/>
        </w:trPr>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line="182" w:lineRule="exact"/>
              <w:rPr>
                <w:sz w:val="20"/>
                <w:szCs w:val="20"/>
                <w:color w:val="auto"/>
              </w:rPr>
            </w:pPr>
            <w:r>
              <w:rPr>
                <w:rFonts w:ascii="Arial" w:cs="Arial" w:eastAsia="Arial" w:hAnsi="Arial"/>
                <w:sz w:val="18"/>
                <w:szCs w:val="18"/>
                <w:color w:val="auto"/>
              </w:rPr>
              <w:t>2,091</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3,546</w:t>
            </w:r>
          </w:p>
        </w:tc>
      </w:tr>
      <w:tr>
        <w:trPr>
          <w:trHeight w:val="203"/>
        </w:trPr>
        <w:tc>
          <w:tcPr>
            <w:tcW w:w="320" w:type="dxa"/>
            <w:vAlign w:val="bottom"/>
          </w:tcPr>
          <w:p>
            <w:pPr>
              <w:spacing w:after="0"/>
              <w:rPr>
                <w:sz w:val="17"/>
                <w:szCs w:val="17"/>
                <w:color w:val="auto"/>
              </w:rPr>
            </w:pP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1,014</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3"/>
        </w:trPr>
        <w:tc>
          <w:tcPr>
            <w:tcW w:w="320" w:type="dxa"/>
            <w:vAlign w:val="bottom"/>
          </w:tcPr>
          <w:p>
            <w:pPr>
              <w:spacing w:after="0"/>
              <w:rPr>
                <w:sz w:val="17"/>
                <w:szCs w:val="17"/>
                <w:color w:val="auto"/>
              </w:rPr>
            </w:pP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21"/>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3,207</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-685165</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-419735</wp:posOffset>
            </wp:positionV>
            <wp:extent cx="564896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-162560</wp:posOffset>
            </wp:positionV>
            <wp:extent cx="564896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2819"/>
          </w:cols>
          <w:pgMar w:left="1440" w:top="512" w:right="1440" w:bottom="1440" w:gutter="0" w:footer="0" w:header="0"/>
          <w:type w:val="continuous"/>
        </w:sectPr>
      </w:pP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RSU activity for the three months ended March 31, 2024:</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Weighted Average</w:t>
            </w:r>
          </w:p>
        </w:tc>
      </w:tr>
      <w:tr>
        <w:trPr>
          <w:trHeight w:val="211"/>
        </w:trPr>
        <w:tc>
          <w:tcPr>
            <w:tcW w:w="63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2023</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3,721,471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350,379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(130,418)</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w:t>
            </w: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Total Unvested March 31, 2024</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3,941,432</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w:t>
            </w:r>
          </w:p>
        </w:tc>
      </w:tr>
      <w:tr>
        <w:trPr>
          <w:trHeight w:val="20"/>
        </w:trPr>
        <w:tc>
          <w:tcPr>
            <w:tcW w:w="6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As of March 31, 2024, there was $6,774 of total unrecognized compensation expense related to the unvested restricted stock with time-based vesting terms, which is expected to be recognized over a weighted average period of 2.84 years.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March 31, 2024 and December 31, 2023:</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8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2023</w:t>
            </w:r>
          </w:p>
        </w:tc>
        <w:tc>
          <w:tcPr>
            <w:tcW w:w="2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6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2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3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(24,685)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March 31, 2024</w:t>
            </w:r>
          </w:p>
        </w:tc>
        <w:tc>
          <w:tcPr>
            <w:tcW w:w="26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80" w:type="dxa"/>
            <w:vAlign w:val="bottom"/>
            <w:vMerge w:val="restart"/>
          </w:tcPr>
          <w:p>
            <w:pPr>
              <w:jc w:val="right"/>
              <w:ind w:right="1630"/>
              <w:spacing w:after="0"/>
              <w:rPr>
                <w:sz w:val="20"/>
                <w:szCs w:val="20"/>
                <w:color w:val="auto"/>
              </w:rPr>
            </w:pPr>
            <w:r>
              <w:rPr>
                <w:rFonts w:ascii="Arial" w:cs="Arial" w:eastAsia="Arial" w:hAnsi="Arial"/>
                <w:sz w:val="18"/>
                <w:szCs w:val="18"/>
                <w:color w:val="auto"/>
              </w:rPr>
              <w:t>26</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As of March 31, 2024, there was $311 of total unrecognized compensation expense related to the unvested restricted stock with time-based vesting terms, which is expected to be recognized over a weighted average period of 0.98 years. All restricted stock vests over a four-year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69"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$491 was recorded as a deposit liability on the Company’s balance sheet as of March 31, 2024.</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6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Employee Stock Purchase Plan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and 2024, the board waived the annual increase to the shares reserved under the ESPP. As of March 31, 2024, there were 954,522 shares available for issuance, under the ESPP.</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14—Related party transactions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w:t>
      </w:r>
    </w:p>
    <w:p>
      <w:pPr>
        <w:spacing w:after="0" w:line="169"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Century. The acquired licenses and other contracts with FCDI are as follows: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183"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36"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28"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October 2019, the Company entered into the Master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 (as defined below).</w:t>
      </w:r>
    </w:p>
    <w:p>
      <w:pPr>
        <w:spacing w:after="0" w:line="158" w:lineRule="exact"/>
        <w:rPr>
          <w:sz w:val="20"/>
          <w:szCs w:val="20"/>
          <w:color w:val="auto"/>
        </w:rPr>
      </w:pPr>
    </w:p>
    <w:p>
      <w:pPr>
        <w:jc w:val="both"/>
        <w:ind w:left="60" w:right="109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28"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In January, 2022, the Company and FCDI entered into a letter agreement (the “Letter Agreement”), which amended the Reprogramming License Agreement, Differentiation License Agreement and Manufacturing Agreement (the “FCDI Agreements”) pursuant to the Company’s Research Collaboration and License Agreement with Bristol-Myers Squibb. Pursuant to the Letter Agreement, and in consideration for amending</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4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w:t>
      </w:r>
    </w:p>
    <w:p>
      <w:pPr>
        <w:spacing w:after="0" w:line="17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During the three months ended March 31, 2024 and 2023, the Company made payments of $2,707 and $12 and incurred research and development expenses of $ 2,666 and $32, and legal fees of $35 and $ 33, in each case related to these agreements, and recorded within general and administrative expenses in its consolidated statements of operations and comprehensive loss, respectively.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169"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 – Common Stock</w:t>
      </w:r>
    </w:p>
    <w:p>
      <w:pPr>
        <w:spacing w:after="0" w:line="18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Sales Agreement (“Sales Agreement”), with Cowen and Company, LLC, or (“Cowen”) to provide for the offering, issuance and sale of up to an aggregate amount of $150,000 of common stock from time to time in “at-the-market” offerings (the “ATM Program”) pursuant to its shelf registration statement on Form S-3 (File No. 333-265975) and subject to the limitations thereof. During the three months ended March 31, 2024, the Company sold 4,084,502 shares pursuant to the ATM Program for net proceeds of $17,829, after deducting commissions of $551. Subsequent to March 31, 2024 through the date of the filing of these financial statements, the Company did not have any sales in the ATM Program.</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16—Subsequent Events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Private Placement Offering</w:t>
      </w:r>
    </w:p>
    <w:p>
      <w:pPr>
        <w:spacing w:after="0" w:line="19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In April, 2024, the Company entered into a securities purchase agreement (the “Securities Purchase Agreement”) with certain institutional accredited investors (the “Investors”), pursuant to which the Company agreed to issue and sell to the Investors in a private placement an aggregate of 15,873,011 shares of the Company’s common stock (the “Private Placement Shares”), at a price of $3.78 per share (the “Private Placement”).</w:t>
      </w:r>
    </w:p>
    <w:p>
      <w:pPr>
        <w:spacing w:after="0" w:line="16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Private Placement closed on April 15, 2024. The Company received aggregate net proceeds from the Private Placement of approximately $56,700, after deducting placement agent fees and offering expenses. The Company intends to use the net proceeds from the private placement to support the expansion of CNTY-101 in autoimmune indications and for working capital and general corporate purposes.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Clade Therapeutics, Inc. Acquisition</w:t>
      </w:r>
    </w:p>
    <w:p>
      <w:pPr>
        <w:spacing w:after="0" w:line="198"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In April 2024, the Company acquired Clade, a privately-held biotechnology company focused on discovering and delivering engineerable, off-the-shelf, scalable, and consistent stem cell-based medicines, with a focus on iPSC-derived αβ T cells. The aggregate upfront consideration consists of (i) approximately $15,000 in cash and</w:t>
      </w:r>
    </w:p>
    <w:p>
      <w:pPr>
        <w:spacing w:after="0" w:line="2" w:lineRule="exact"/>
        <w:rPr>
          <w:sz w:val="20"/>
          <w:szCs w:val="20"/>
          <w:color w:val="auto"/>
        </w:rPr>
      </w:pPr>
    </w:p>
    <w:p>
      <w:pPr>
        <w:jc w:val="both"/>
        <w:ind w:left="60" w:right="319" w:hanging="10"/>
        <w:spacing w:after="0" w:line="279" w:lineRule="auto"/>
        <w:tabs>
          <w:tab w:leader="none" w:pos="310" w:val="left"/>
        </w:tabs>
        <w:numPr>
          <w:ilvl w:val="0"/>
          <w:numId w:val="6"/>
        </w:numPr>
        <w:rPr>
          <w:rFonts w:ascii="Arial" w:cs="Arial" w:eastAsia="Arial" w:hAnsi="Arial"/>
          <w:sz w:val="17"/>
          <w:szCs w:val="17"/>
          <w:color w:val="auto"/>
        </w:rPr>
      </w:pPr>
      <w:r>
        <w:rPr>
          <w:rFonts w:ascii="Arial" w:cs="Arial" w:eastAsia="Arial" w:hAnsi="Arial"/>
          <w:sz w:val="17"/>
          <w:szCs w:val="17"/>
          <w:color w:val="auto"/>
        </w:rPr>
        <w:t>4,535,333 shares of the Company’s common stock, par value $0.0001 per share. The cash portion of the upfront consideration is subject to customary adjustments for indebtedness, cash, and transaction expenses.</w:t>
      </w:r>
    </w:p>
    <w:p>
      <w:pPr>
        <w:spacing w:after="0" w:line="135"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Following the closing, one potential clinical development milestone payment of $10,000 (which may be paid by the Company in cash, shares of its common stock or a combination thereof) will be made to Clade securityholders upon the achievement of the milestone.</w:t>
      </w:r>
    </w:p>
    <w:p>
      <w:pPr>
        <w:spacing w:after="0" w:line="155"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In connection with the closing, the Company entered into customary lock-up agreements with certain of Clade’s stockholders providing that such holders will not transfer, subject to limited exceptions, any of the shares of the Company’s common stock received for 180 days after the closing.</w:t>
      </w:r>
    </w:p>
    <w:p>
      <w:pPr>
        <w:spacing w:after="0" w:line="169"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The Company is currently in process of completing its accounting analysis of the acquisition, including assessing whether or not the acquisition qualifies as either an asset acquisition or a business combination for US GAAP reporting purposes.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2023 and the related Management’s Discussion and Analysis of Financial Condition and Results of Operations, which are contained in our Annual Report on Form 10-K filed with the Securities and Exchange Commission (the “SEC”) on March 14, 2024, (the “Annual Report”). This Quarterly Report on Form 10-Q contains “forward-looking statements” within the meaning of Section 27A of the Securities Act and Section 21E of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diseases that we believe will allow us to overcome the limitations of first-generation cell therapies. We have created a comprehensive, genetically engineered allogeneic cell therapy platform that includes:</w:t>
      </w:r>
    </w:p>
    <w:p>
      <w:pPr>
        <w:spacing w:after="0" w:line="160" w:lineRule="exact"/>
        <w:rPr>
          <w:sz w:val="20"/>
          <w:szCs w:val="20"/>
          <w:color w:val="auto"/>
        </w:rPr>
      </w:pPr>
    </w:p>
    <w:p>
      <w:pPr>
        <w:ind w:left="1040" w:right="179" w:hanging="639"/>
        <w:spacing w:after="0" w:line="27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Industry-leading induced pluripotent stem cells, (“iPSCs”) and differentiated know-how to generate immune effector cells from iPSCs, (“iPSC- derived cells”);</w:t>
      </w:r>
    </w:p>
    <w:p>
      <w:pPr>
        <w:spacing w:after="0" w:line="140" w:lineRule="exact"/>
        <w:rPr>
          <w:rFonts w:ascii="Arial" w:cs="Arial" w:eastAsia="Arial" w:hAnsi="Arial"/>
          <w:sz w:val="18"/>
          <w:szCs w:val="18"/>
          <w:color w:val="auto"/>
        </w:rPr>
      </w:pPr>
    </w:p>
    <w:p>
      <w:pPr>
        <w:ind w:left="1040" w:right="339" w:hanging="639"/>
        <w:spacing w:after="0" w:line="25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(“CRISPR”), mediated precision gene editing that allows us to incorporate multiple transgenes and remove target genes intended to optimize cell product performance;</w:t>
      </w:r>
    </w:p>
    <w:p>
      <w:pPr>
        <w:spacing w:after="0" w:line="155" w:lineRule="exact"/>
        <w:rPr>
          <w:rFonts w:ascii="Arial" w:cs="Arial" w:eastAsia="Arial" w:hAnsi="Arial"/>
          <w:sz w:val="18"/>
          <w:szCs w:val="18"/>
          <w:color w:val="auto"/>
        </w:rPr>
      </w:pPr>
    </w:p>
    <w:p>
      <w:pPr>
        <w:ind w:left="1040" w:right="559" w:hanging="639"/>
        <w:spacing w:after="0" w:line="27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(“CARs”);</w:t>
      </w:r>
    </w:p>
    <w:p>
      <w:pPr>
        <w:spacing w:after="0" w:line="132" w:lineRule="exact"/>
        <w:rPr>
          <w:rFonts w:ascii="Arial" w:cs="Arial" w:eastAsia="Arial" w:hAnsi="Arial"/>
          <w:sz w:val="18"/>
          <w:szCs w:val="18"/>
          <w:color w:val="auto"/>
        </w:rPr>
      </w:pPr>
    </w:p>
    <w:p>
      <w:pPr>
        <w:ind w:left="1040" w:right="159" w:hanging="639"/>
        <w:spacing w:after="0" w:line="212"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proprietary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technology intended to prevent rejection of our cell products by the host immune system; and</w:t>
      </w:r>
    </w:p>
    <w:p>
      <w:pPr>
        <w:spacing w:after="0" w:line="167" w:lineRule="exact"/>
        <w:rPr>
          <w:rFonts w:ascii="Arial" w:cs="Arial" w:eastAsia="Arial" w:hAnsi="Arial"/>
          <w:sz w:val="18"/>
          <w:szCs w:val="18"/>
          <w:color w:val="auto"/>
        </w:rPr>
      </w:pPr>
    </w:p>
    <w:p>
      <w:pPr>
        <w:ind w:left="1040" w:hanging="63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Cutting edge manufacturing capabilities intended to minimize product development and supply risk.</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iPSC-derived natural killer cells, (“iNK cells”) and iPSC-derived T cells, (“iT cells”)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as well as autoimmune diseases. To achieve our vision, we have assembled a world-class team whose members collectively have decades of experience in cell therapy and drug development, manufacturing, and commercialization.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Our operations to date have been limited to organizing and staffing our company, business planning, raising capital, conducting discovery and research activities, filing patent applications, identifying potential product candidates, conducting our ELiPSE-1 clinical trial, initiating our CALiPSO-1 clinical trial, undertaking preclinical studies and in-licensing intellectual property. All of our programs are currently in the development stage, and we do not have any products approved for sale. Since our inception, we have incurred net losses each year. We had an accumulated deficit of $683.8 million as of March 31, 2024. Substantially all of our losses have resulted from expenses incurred in connection with our research and development programs, the acquisition of in-process research and development and from general and administrative costs associated with our operations.</w:t>
      </w:r>
    </w:p>
    <w:p>
      <w:pPr>
        <w:spacing w:after="0" w:line="141"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June 2021, we completed our initial public offering, (the “IPO”), in which we issued and sold 12,132,500 shares of our common stock, at a public offering price of $20.00 per share. We received net proceeds of $221.4 million after deducting underwriting discounts, commissions, and other offering costs of $21.2 million in the aggregate. To date, we have funded our operations from the issuance and sale of our equity securities and the receipt of payments from Bristol-Myers Squibb, in connection with our collaborations as described below, and have not generated any revenues. Since our inception, through March 31, 2024, we have raised approximately $609 million in net proceeds from sales of our equity securities. As of March 31, 2024, we had cash and cash equivalents of $46.8 million and investments of $203.1 million.</w:t>
      </w:r>
    </w:p>
    <w:p>
      <w:pPr>
        <w:spacing w:after="0" w:line="14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In August 2022, the U.S. Food and Drug Administration notified us that our ELiPSE-1 clinical trial may proceed to assess CNTY-101 in patients with relapsed or refractory CD19 positive B-cell malignancies. The phase 1 trial, ELiPSE-1, is ongoing in patients with relapsed or refractory CD19-positive B-cell malignancies. In December 2023, we announced preliminary clinical data from seven patients treated at the two lowest dose levels in the trial.</w:t>
      </w:r>
    </w:p>
    <w:p>
      <w:pPr>
        <w:spacing w:after="0" w:line="13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231F20"/>
        </w:rPr>
        <w:t>On December 6, 2023 that we were notified by the FDA that the Phase 1 clinical trial may proceed to assess CNTY-101 in patients with moderate to severe systemic lupus erythematosus who have failed at least two standard immunosuppressive therapies. We plan to initiate the CNTY-101 CALiPSO-1 trial in SLE in the first half of 2024, with initial data expected by the end of 2024.</w:t>
      </w:r>
    </w:p>
    <w:p>
      <w:pPr>
        <w:spacing w:after="0" w:line="174"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In January 2023, we announced a strategic internal portfolio prioritization (the “January 2023 Strategic Reprioritization”) through which, among other discovery efforts, CNTY-103, a CAR-iNK product targeting CD133 and a discovery program for hematological malignancies, was de-prioritized, allowing us to further prioritize our CNTY-102 and CNTY-107 product candidates, which we believe have a higher probability of technical success and greater market potential. As a result of the operational restructuring, lab operations in Seattle and Hamilton, Ontario, have been closed and research activities have been consolidated in Philadelphia.</w:t>
      </w:r>
    </w:p>
    <w:p>
      <w:pPr>
        <w:spacing w:after="0" w:line="138" w:lineRule="exact"/>
        <w:rPr>
          <w:sz w:val="20"/>
          <w:szCs w:val="20"/>
          <w:color w:val="auto"/>
        </w:rPr>
      </w:pPr>
    </w:p>
    <w:p>
      <w:pPr>
        <w:ind w:left="60" w:right="219"/>
        <w:spacing w:after="0" w:line="229" w:lineRule="auto"/>
        <w:rPr>
          <w:sz w:val="20"/>
          <w:szCs w:val="20"/>
          <w:color w:val="auto"/>
        </w:rPr>
      </w:pPr>
      <w:r>
        <w:rPr>
          <w:rFonts w:ascii="Arial" w:cs="Arial" w:eastAsia="Arial" w:hAnsi="Arial"/>
          <w:sz w:val="18"/>
          <w:szCs w:val="18"/>
          <w:color w:val="auto"/>
        </w:rPr>
        <w:t>In the second quarter of 2024, we announced plans to expand clinical development for CNTY-101 into additional autoimmune disease indications with the pursuit of additional regulatory filings in prioritized indications expected in the second half of 2024. To support these increased research and development activities in autoimmune diseases, in April 2024 we completed a private placement offering of our common stock to certain institutional investors and received $60 million in gross proceeds before deducting placement agent fees and other offering related expenses. Concurrently, we announced pipeline and platform enhancements through the acquisition of Clade Therapeutics, Inc., a privately-held biotechnology company focused on discovering and delivering engineerable, off-the-shelf, scalable, and consistent stem cell-based medicines, with a focus on iPSC-derived αβ T cells. The acquisition brings us novel technology enhancing Century’s efforts on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 and a newly expanded pipeline incorporating three additional preclinical-stage programs from Clade’s αβ iT platform spanning across cancer and autoimmune diseases.</w:t>
      </w:r>
    </w:p>
    <w:p>
      <w:pPr>
        <w:spacing w:after="0" w:line="14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Based on our current business plans, we believe, our cash, cash equivalents and investments as of the date of this quarterly report will be sufficient for us to fund our operating expenses and capital expenditures requirements into 2026. We have based this estimate on assumptions that may prove to be wrong, and we could exhaust our available capital resources sooner than we expect. We anticipate that our expenses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operating losses will increase substantially over the foreseeable future. The expected increase in expenses will be driven in large part by our ongoing activities, if and as we:</w:t>
      </w:r>
    </w:p>
    <w:p>
      <w:pPr>
        <w:spacing w:after="0" w:line="127"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Times New Roman" w:cs="Times New Roman" w:eastAsia="Times New Roman" w:hAnsi="Times New Roman"/>
          <w:sz w:val="18"/>
          <w:szCs w:val="18"/>
          <w:color w:val="auto"/>
        </w:rPr>
      </w:pPr>
    </w:p>
    <w:p>
      <w:pPr>
        <w:ind w:left="380" w:right="55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integrate Clade’s operations into our business;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current good manufacturing practices, (“cGMP”), facilities;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97" w:lineRule="exact"/>
        <w:rPr>
          <w:rFonts w:ascii="Times New Roman" w:cs="Times New Roman" w:eastAsia="Times New Roman" w:hAnsi="Times New Roman"/>
          <w:sz w:val="18"/>
          <w:szCs w:val="18"/>
          <w:color w:val="auto"/>
        </w:rPr>
      </w:pPr>
    </w:p>
    <w:p>
      <w:pPr>
        <w:ind w:left="380" w:right="199" w:hanging="330"/>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30"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4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CNTY-102, and CNTY-107, CLDE-308, CLDE-361,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(the “Collaboration Agreement”), to collaborate on the research, development and commercialization of iNK and iT cell programs for hematologic malignancies and solid tumors, (the “Collaboration Program”),</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and each product candidate, (each, a “Development Candidate”). We and Bristol-Myers Squibb will initially collaborate on two Collaboration Programs focused on acute myeloid leukemia, and multiple myeloma,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5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and product candidates developed under a Licensed Program (the “Licensed Products”). For each Licensed Program, Bristol-Myers Squibb will pay up to $235 million in milestone payments upon the first achievement of certain development and regulatory milestones and will pay up to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4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3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September 18, 2018, we entered into a license agreement,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January 2023 Strategic Reprioritization.</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Also on September 18, 2018, we entered into the non-exclusive license,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(the” FCDI Collaboration Agreement”), with FCDI pursuant to which we agreed to fund research and development work at FCDI pursuant to a research plan.</w:t>
      </w:r>
    </w:p>
    <w:p>
      <w:pPr>
        <w:spacing w:after="0" w:line="18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On January 7, 2022, we and FCDI entered into a letter agreement, which amends each of the FCDI agreements as further discussed in Note 14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6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(the “Autoimmune License”).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w:t>
      </w:r>
    </w:p>
    <w:p>
      <w:pPr>
        <w:spacing w:after="0" w:line="17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During the three months ended March 31, 2024 and 2023, we made payments of $2.7 million and $12 thousand and incurred research and development expenses of $2.7 million and $33 thousand and legal fees of $35 thousand and $31 thousand, recorded within general and administrative expenses in its consolidated statements of operations and comprehensive loss.</w:t>
      </w:r>
    </w:p>
    <w:p>
      <w:pPr>
        <w:spacing w:after="0" w:line="147"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From inception of the FCDI Collaboration Agreement through March 31, 2024, we incurred $39.0 million of expenses under the FCDI Collaboration Agreement.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iCell and Distributed Bio</w:t>
      </w:r>
    </w:p>
    <w:p>
      <w:pPr>
        <w:spacing w:after="0" w:line="169" w:lineRule="exact"/>
        <w:rPr>
          <w:sz w:val="20"/>
          <w:szCs w:val="20"/>
          <w:color w:val="auto"/>
        </w:rPr>
      </w:pPr>
    </w:p>
    <w:p>
      <w:pPr>
        <w:ind w:left="60" w:right="579"/>
        <w:spacing w:after="0" w:line="301" w:lineRule="auto"/>
        <w:rPr>
          <w:sz w:val="20"/>
          <w:szCs w:val="20"/>
          <w:color w:val="auto"/>
        </w:rPr>
      </w:pPr>
      <w:r>
        <w:rPr>
          <w:rFonts w:ascii="Arial" w:cs="Arial" w:eastAsia="Arial" w:hAnsi="Arial"/>
          <w:sz w:val="17"/>
          <w:szCs w:val="17"/>
          <w:color w:val="auto"/>
        </w:rPr>
        <w:t>We also have entered into a sublicense agreement with iCELL Inc. and a master services agreement with Distributed Bio, Inc. Refer to note 9 to our consolidated financial statements for additional information.</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7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expenses, including rent, depreciation, and allocated overhead costs, and other research and development expenses.</w:t>
      </w:r>
    </w:p>
    <w:p>
      <w:pPr>
        <w:spacing w:after="0" w:line="154"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Interest expense relates to interest incurred on the September 14, 2020. $10,000 Term Loan Agreement (the “Loan Agreement”) we entered into with Hercules Capital, Inc., as well as amortization of the related deferred financing cost. The loan was repaid in full in May 2023. See Note 7 to our consolidated financial statements for additional information.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We have incurred losses and recorded a full valuation allowance on all of our net deferred tax assets. For the three months ended March 31, 2024, the Company recorded no income tax benefits for the net operating losses incurred or for the research and development tax credits generated in the U.S. due to its uncertainty of realizing a benefit from those items. For the three months ended March 31, 2023, we recorded $1.2 million in provisions for income taxes in the accompanying consolidated financial statements. The main drivers of the tax provision during the 2023 interim period are taxable revenue to the Collaboration Agreement with Bristol-Myers Squibb and the limitation of deductions for research and development under Section 174 of the Internal Revenue Code.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2024 and 2023.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17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March 31, 2024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March 31, 2023</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Change</w:t>
            </w: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tcPr>
          <w:p>
            <w:pPr>
              <w:jc w:val="right"/>
              <w:ind w:right="412"/>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03"/>
        </w:trPr>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03"/>
        </w:trPr>
        <w:tc>
          <w:tcPr>
            <w:tcW w:w="51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8,743</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196"/>
        </w:trPr>
        <w:tc>
          <w:tcPr>
            <w:tcW w:w="51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33,801</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(1,637)</w:t>
            </w:r>
          </w:p>
        </w:tc>
      </w:tr>
      <w:tr>
        <w:trPr>
          <w:trHeight w:val="196"/>
        </w:trPr>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(31,309)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(32,081)</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772</w:t>
            </w:r>
          </w:p>
        </w:tc>
      </w:tr>
      <w:tr>
        <w:trPr>
          <w:trHeight w:val="203"/>
        </w:trPr>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r>
      <w:tr>
        <w:trPr>
          <w:trHeight w:val="203"/>
        </w:trPr>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r>
      <w:tr>
        <w:trPr>
          <w:trHeight w:val="203"/>
        </w:trPr>
        <w:tc>
          <w:tcPr>
            <w:tcW w:w="51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r>
      <w:tr>
        <w:trPr>
          <w:trHeight w:val="196"/>
        </w:trPr>
        <w:tc>
          <w:tcPr>
            <w:tcW w:w="51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1,223</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(1,208)</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1,207</w:t>
            </w:r>
          </w:p>
        </w:tc>
      </w:tr>
      <w:tr>
        <w:trPr>
          <w:trHeight w:val="196"/>
        </w:trPr>
        <w:tc>
          <w:tcPr>
            <w:tcW w:w="51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(28,062)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(31,264)$</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3,202</w:t>
            </w: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During the three months ended March 31, 2024 and 2023, we recognized revenue of $0.9 and $1.7 million under our collaboration agreement with Bristol-Myers Squibb, respectively. Revenue recognized under the collaboration agreement fluctuates based on the amount and timing of expenses incurred under the agreement.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740" w:type="dxa"/>
            <w:vAlign w:val="bottom"/>
            <w:tcBorders>
              <w:top w:val="single" w:sz="8" w:color="auto"/>
            </w:tcBorders>
          </w:tcPr>
          <w:p>
            <w:pPr>
              <w:spacing w:after="0"/>
              <w:rPr>
                <w:sz w:val="14"/>
                <w:szCs w:val="14"/>
                <w:color w:val="auto"/>
              </w:rPr>
            </w:pPr>
          </w:p>
        </w:tc>
      </w:tr>
      <w:tr>
        <w:trPr>
          <w:trHeight w:val="17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March 31, 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March 31, 2023</w:t>
            </w:r>
          </w:p>
        </w:tc>
        <w:tc>
          <w:tcPr>
            <w:tcW w:w="74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49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9,761</w:t>
            </w:r>
          </w:p>
        </w:tc>
        <w:tc>
          <w:tcPr>
            <w:tcW w:w="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12,469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(2,708)</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4,692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5,814</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1,918</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Collaborations</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r>
      <w:tr>
        <w:trPr>
          <w:trHeight w:val="196"/>
        </w:trPr>
        <w:tc>
          <w:tcPr>
            <w:tcW w:w="49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23,421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24,899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(1,478)</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Research and development expenses were $23.4 million and $24.9 million for the three months ended March 31, 2024 and 2023, respectively. The decrease of $1.5 million was primarily due to:</w:t>
      </w:r>
    </w:p>
    <w:p>
      <w:pPr>
        <w:spacing w:after="0" w:line="127" w:lineRule="exact"/>
        <w:rPr>
          <w:sz w:val="20"/>
          <w:szCs w:val="20"/>
          <w:color w:val="auto"/>
        </w:rPr>
      </w:pPr>
    </w:p>
    <w:p>
      <w:pPr>
        <w:ind w:left="380" w:right="23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personnel-related expenses of $2.7 million, including a decrease in salary and benefit expense of $2.4 million, and a decrease in stock compensation expense of $0.3 million. This is a result of the reduction in force that occurred in January of 2023.</w:t>
      </w:r>
    </w:p>
    <w:p>
      <w:pPr>
        <w:spacing w:after="0" w:line="130" w:lineRule="exact"/>
        <w:rPr>
          <w:rFonts w:ascii="Times New Roman" w:cs="Times New Roman" w:eastAsia="Times New Roman" w:hAnsi="Times New Roman"/>
          <w:sz w:val="18"/>
          <w:szCs w:val="18"/>
          <w:color w:val="auto"/>
        </w:rPr>
      </w:pPr>
    </w:p>
    <w:p>
      <w:pPr>
        <w:ind w:left="380" w:right="23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$1.1 million of facility and other allocated costs, which consists of a decrease in rent of $1.4 million, which is a result of consolidating leased facilities during 2023. This was offset by an increase in depreciation of $0.3 million.</w:t>
      </w:r>
    </w:p>
    <w:p>
      <w:pPr>
        <w:spacing w:after="0" w:line="130" w:lineRule="exact"/>
        <w:rPr>
          <w:rFonts w:ascii="Times New Roman" w:cs="Times New Roman" w:eastAsia="Times New Roman" w:hAnsi="Times New Roman"/>
          <w:sz w:val="18"/>
          <w:szCs w:val="18"/>
          <w:color w:val="auto"/>
        </w:rPr>
      </w:pPr>
    </w:p>
    <w:p>
      <w:pPr>
        <w:ind w:left="380" w:right="71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$1.9 million in research and laboratory due to increased manufacturing activity at our Branchburg facility.</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General and administrative expenses were $8.7 million for the three months ended March 31, 2024 and $8.9 million for three months ended March 31, 2023.</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Interest expense was $0.0 million and $0.4 million for the three months ended March 31, 2024 and 2023, respectively, which related to our Loan Agreement with Hercules. On May 1, 2023, we repaid the loan in its entirety and thus expect our interest expenses to decrease accordingly in subsequent periods.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Interest income was $3.2 million and $2.6 million for the three months ended March 31, 2024 and 2023, respectively, which related to interest earned on our cash, cash equivalents, and investment balances. The increase in our interest income was due to higher interest rates earned on average balances of cash, cash equivalents and investments.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79"/>
        <w:spacing w:after="0" w:line="256" w:lineRule="auto"/>
        <w:rPr>
          <w:sz w:val="20"/>
          <w:szCs w:val="20"/>
          <w:color w:val="auto"/>
        </w:rPr>
      </w:pPr>
      <w:r>
        <w:rPr>
          <w:rFonts w:ascii="Arial" w:cs="Arial" w:eastAsia="Arial" w:hAnsi="Arial"/>
          <w:sz w:val="17"/>
          <w:szCs w:val="17"/>
          <w:color w:val="auto"/>
        </w:rPr>
        <w:t>To date, we have funded our operations from the issuance and sale of our equity securities, debt financing and collaboration revenues. Since our inception, we have raised approximately $666 million in net proceeds from the sales of our equity securities. As of March 31, 2024, we had cash, and cash equivalents of $46.8 million and investments of $203.1 million. Based on our research and development plans, we believe our existing cash, cash equivalents and investments, will be sufficient to fund our operating expenses and capital expenditures requirements into 2026. Since our inception, we have incurred significant operating losses. We have not yet commercialized any products and we do not expect to generate revenue from sales of any product candidates for a number of years, if ever. We had an accumulated deficit of $682.7 million as of March 31, 2024.</w:t>
      </w:r>
    </w:p>
    <w:p>
      <w:pPr>
        <w:spacing w:after="0" w:line="127"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In July 2022, we entered into a Sales Agreement, with Cowen and Company, LLC, under which we may offer and sell, from time to time in our sole discretion, shares of our common stock, having an aggregate offering price of up to $ 150 million through Cowen as sales agent. In the first quarter of 2024, 4,084,502 shares of common stock have been issued and sold pursuant to the Sales Agreement at a weighted-average price of $4.50 per share, resulting in approximately $18.4 million in gross proceeds.</w:t>
      </w:r>
    </w:p>
    <w:p>
      <w:pPr>
        <w:spacing w:after="0" w:line="149"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In April 2024, we entered into a securities purchase agreement (the “Securities Purchase Agreement”) with certain institutional accredited investors (the “Investors”), pursuant to which we agreed to issue and sell to the Investors in a private placement an aggregate of 15,873,011 shares of common stock (the “Private Placement Shares”), at a price of $3.78 per share (the “Private Placement”). We received aggregate gross proceeds from the Private Placement of approximately $60 million, before deducting placement agent fees and offering expenses.</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6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380" w:right="31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right="29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27" w:lineRule="exact"/>
        <w:rPr>
          <w:rFonts w:ascii="Times New Roman" w:cs="Times New Roman" w:eastAsia="Times New Roman" w:hAnsi="Times New Roman"/>
          <w:sz w:val="18"/>
          <w:szCs w:val="18"/>
          <w:color w:val="auto"/>
        </w:rPr>
      </w:pPr>
    </w:p>
    <w:p>
      <w:pPr>
        <w:ind w:left="380" w:right="219" w:hanging="330"/>
        <w:spacing w:after="0" w:line="246"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39" w:hanging="330"/>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43"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197"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97"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such as the COVID-19 pandemic,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4"/>
                <w:szCs w:val="14"/>
                <w:color w:val="auto"/>
              </w:rPr>
              <w:t>Three Months Ended</w:t>
            </w:r>
          </w:p>
        </w:tc>
        <w:tc>
          <w:tcPr>
            <w:tcW w:w="1500" w:type="dxa"/>
            <w:vAlign w:val="bottom"/>
            <w:gridSpan w:val="3"/>
          </w:tcPr>
          <w:p>
            <w:pPr>
              <w:ind w:left="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color w:val="auto"/>
              </w:rPr>
              <w:t>March 31, 2024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March 31,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4"/>
          </w:tcPr>
          <w:p>
            <w:pPr>
              <w:jc w:val="right"/>
              <w:ind w:right="1114"/>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(30,248)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(29,219)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18,195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58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(decrease) increase in cash, cash equivalents, and restricted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vMerge w:val="continue"/>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8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Net cash used in operating activities was $30.2 million and $29.2 million for the three months ended March 31, 2024 and 2023, respectively. Net cash used in operating activities during the three months ended March 31, 2024 consisted primarily of our net loss of $28.0 million. The non-cash charges of $ 6.8 million consisted primarily of $3.2 million for depreciation expense, non-cash operating lease of $1.5 million, and non-cash stock-based compensation expense of $3.2 million. This was partially offset by amortization of marketable securities of $1.1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Net cash used in operating activities was $29.2 million during the three months ended March 31, 2023. Net cash used in operating activities during the three months ended March 31, 2023 consisted primarily of our net loss of $31.3 million. The non-cash charges of $6.0 million consisted primarily of $2.9 million for depreciation expense, non-cash stock-based compensation expense of $3.8 million, and non-cash operating lease expense of $0.7 million, and net cash outflows from decreases in our accounts payable of $3.0 million and accrued expenses and other liabilities of $3.2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Net cash provided by investing activities was $11.6 million and $31.3 million for the three months ended March 31, 2024 and 2023, respectively. Cash provided by investing activities for the three months ended March 31, 2024 consisted primarily of the sale of fixed maturity securities, available for sale of $47.2 million, which was partially offset by purchases of fixed maturity securities of $35.0 million and acquisition of property and equipment of $0.5 million.</w:t>
      </w:r>
    </w:p>
    <w:p>
      <w:pPr>
        <w:spacing w:after="0" w:line="136"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Cash provided by investing activities was $31.3 for the three months ended March 31, 2023 and consisted primarily of the sale of fixed maturity securities, available for sale of $ 79.2 million, which was partially offset by purchases of fixed maturity securities of $42.8 million and acquisition of property and equipment of $5.0 million.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2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Net cash provided by financing activities was $18.2 million and $0.4 million for the three months ended March 31, 2024 and 2023, respectively. Cash provided by financing activities consisted of $17.8 million from proceeds from our At-the-Market capital raise and $0.4 million from issuance of our common stock from equity incentive plans pursuant to the exercise of employee stock options.</w:t>
      </w:r>
    </w:p>
    <w:p>
      <w:pPr>
        <w:spacing w:after="0" w:line="10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Net cash provided by financing activities was $0.4 million for the three months ended March 31, 2023. Cash provided by financing activities consisted of $0.4 million from issuance of our common stock from equity incentive plans pursuant to the exercise of employee stock options.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March 31,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3880" w:type="dxa"/>
            <w:vAlign w:val="bottom"/>
          </w:tcPr>
          <w:p>
            <w:pPr>
              <w:spacing w:after="0"/>
              <w:rPr>
                <w:sz w:val="13"/>
                <w:szCs w:val="13"/>
                <w:color w:val="auto"/>
              </w:rPr>
            </w:pPr>
          </w:p>
        </w:tc>
        <w:tc>
          <w:tcPr>
            <w:tcW w:w="74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rPr>
              <w:t>1 Year</w:t>
            </w:r>
          </w:p>
        </w:tc>
        <w:tc>
          <w:tcPr>
            <w:tcW w:w="10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10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 to 5 Years</w:t>
            </w:r>
          </w:p>
        </w:tc>
        <w:tc>
          <w:tcPr>
            <w:tcW w:w="130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More than 5 Years</w:t>
            </w:r>
          </w:p>
        </w:tc>
        <w:tc>
          <w:tcPr>
            <w:tcW w:w="98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8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398"/>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$ 7,990</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$ 16,277</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$ 16,551</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$ 81,865</w:t>
            </w:r>
          </w:p>
        </w:tc>
      </w:tr>
    </w:tbl>
    <w:p>
      <w:pPr>
        <w:spacing w:after="0" w:line="184"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March 31, 2024 are contingent upon future events such as our achievement of pre-specified development, regulatory, and commercial milestones, or royalties on net product sales. As of March 31, 2024,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w:t>
      </w:r>
    </w:p>
    <w:p>
      <w:pPr>
        <w:spacing w:after="0" w:line="15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Refer to Note 10 to our unaudited consolidated financial statements for additional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8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36" w:lineRule="exact"/>
        <w:rPr>
          <w:sz w:val="20"/>
          <w:szCs w:val="20"/>
          <w:color w:val="auto"/>
        </w:rPr>
      </w:pPr>
    </w:p>
    <w:p>
      <w:pPr>
        <w:ind w:left="380" w:right="6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97" w:lineRule="exact"/>
        <w:rPr>
          <w:rFonts w:ascii="Times New Roman" w:cs="Times New Roman" w:eastAsia="Times New Roman" w:hAnsi="Times New Roman"/>
          <w:sz w:val="18"/>
          <w:szCs w:val="18"/>
          <w:color w:val="auto"/>
        </w:rPr>
      </w:pPr>
    </w:p>
    <w:p>
      <w:pPr>
        <w:ind w:left="380" w:right="179" w:hanging="330"/>
        <w:spacing w:after="0" w:line="252"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30" w:lineRule="exact"/>
        <w:rPr>
          <w:rFonts w:ascii="Times New Roman" w:cs="Times New Roman" w:eastAsia="Times New Roman" w:hAnsi="Times New Roman"/>
          <w:sz w:val="18"/>
          <w:szCs w:val="18"/>
          <w:color w:val="auto"/>
        </w:rPr>
      </w:pPr>
    </w:p>
    <w:p>
      <w:pPr>
        <w:ind w:left="380" w:right="5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9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4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5" w:lineRule="auto"/>
        <w:rPr>
          <w:sz w:val="20"/>
          <w:szCs w:val="20"/>
          <w:color w:val="auto"/>
        </w:rPr>
      </w:pPr>
      <w:r>
        <w:rPr>
          <w:rFonts w:ascii="Arial" w:cs="Arial" w:eastAsia="Arial" w:hAnsi="Arial"/>
          <w:sz w:val="17"/>
          <w:szCs w:val="17"/>
          <w:color w:val="auto"/>
        </w:rPr>
        <w:t>During the three months ended March 31, 2024, there were no material changes to our critical accounting policies from those described in our audited financial statements for the year ended December 31, 2023 included in our Annual Report on Form 10-K filed with the SEC on March 14, 2024, except as noted above.</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We had cash, cash equivalents, and restricted cash of $46.8 million as of March 31, 2024, which consisted of bank deposits and money market funds. We also had investments of $203.1 million as of March 31, 2024.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69"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9"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56"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79"/>
        <w:spacing w:after="0" w:line="236" w:lineRule="auto"/>
        <w:rPr>
          <w:sz w:val="20"/>
          <w:szCs w:val="20"/>
          <w:color w:val="auto"/>
        </w:rPr>
      </w:pPr>
      <w:r>
        <w:rPr>
          <w:rFonts w:ascii="Arial" w:cs="Arial" w:eastAsia="Arial" w:hAnsi="Arial"/>
          <w:sz w:val="18"/>
          <w:szCs w:val="18"/>
          <w:color w:val="auto"/>
        </w:rPr>
        <w:t>15(e) under the Exchange Act,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principal executive officer and principal financial officer concluded that, as of such date, our disclosure controls and procedures were effective at a reasonable assurance level.</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jc w:val="both"/>
        <w:ind w:left="60" w:right="679"/>
        <w:spacing w:after="0" w:line="253" w:lineRule="auto"/>
        <w:rPr>
          <w:sz w:val="20"/>
          <w:szCs w:val="20"/>
          <w:color w:val="auto"/>
        </w:rPr>
      </w:pPr>
      <w:r>
        <w:rPr>
          <w:rFonts w:ascii="Arial" w:cs="Arial" w:eastAsia="Arial" w:hAnsi="Arial"/>
          <w:sz w:val="18"/>
          <w:szCs w:val="18"/>
          <w:color w:val="auto"/>
        </w:rPr>
        <w:t>Management determined that, as of March 31, 2024, there were no changes in our internal control over financial reporting that occurred during the three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Other than what is set forth below, there have been no material changes in our risk factors from those disclosed in our Annual Report on Form 10-K for the year ended December 31, 2023.</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 may fail to realize the anticipated benefits of the acquisition of Clade.</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The success of the acquisition of Clade will depend on, among other things, our ability to combine our business with Clade in a manner that allows us to achieve developmental and operational synergies. The integration process could result in the loss of key employees, the disruption of our ongoing business or the ongoing business of Clade, or inconsistencies in standards, controls, procedures, or policies, in each case, that could adversely affect our ability to achieve the anticipated benefits of the acquisition. Integration efforts between the two companies will also divert management’s attention from our core business and other opportunities that could have been beneficial to our stockholders. An inability to realize the full extent of, or any of, the anticipated benefits of the acquisition, as well as any delays encountered in the integration process, could have an adverse effect on our business and results of operations, which may affect the value of our common stock. If we are unable to achieve these objectives, the anticipated benefits of the acquisition may not be realized fully or at all or may take longer or cost more to realize than expected. In addition, the acquisition of Clade may impact the market price for shares of our common stock, which would result in substantial losses for our stockholders.</w:t>
      </w:r>
    </w:p>
    <w:p>
      <w:pPr>
        <w:spacing w:after="0" w:line="335" w:lineRule="exact"/>
        <w:rPr>
          <w:sz w:val="20"/>
          <w:szCs w:val="20"/>
          <w:color w:val="auto"/>
        </w:rPr>
      </w:pPr>
    </w:p>
    <w:p>
      <w:pPr>
        <w:ind w:left="60" w:right="3159"/>
        <w:spacing w:after="0" w:line="446"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w:t>
      </w:r>
    </w:p>
    <w:p>
      <w:pPr>
        <w:ind w:left="60" w:right="99"/>
        <w:spacing w:after="0" w:line="259"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Rule 10b-1 Trading Plans</w:t>
      </w:r>
    </w:p>
    <w:p>
      <w:pPr>
        <w:spacing w:after="0" w:line="171"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During the quarter ended March 31, 2024, none of our directors or officers (as defined in Rule 16a-1 under the Exchange Act) adopted or terminated a "Rule 10b5-1 trading arrangement" or "non-Rule 10b5-1 trading arrangement" (as those terms are defined in Item 408 of Regulation S-K), except as follows:</w:t>
      </w:r>
    </w:p>
    <w:p>
      <w:pPr>
        <w:spacing w:after="0" w:line="15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On January 9, 2024, Gregory Russotti, Ph.D., our Chief Technology and Manufacturing Officer, adopted a Rule 10b5-1 trading arrangement providing for the sale of up to 160,000 shares of our Series A common stock, subject to certain conditions. The arrangement's expiration date is 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7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9"/>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7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5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9"/>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9"/>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7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Section 906 of the Sarbanes-Oxley Act of 2002</w:t>
            </w:r>
          </w:p>
        </w:tc>
        <w:tc>
          <w:tcPr>
            <w:tcW w:w="408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9"/>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9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vMerge w:val="continue"/>
          </w:tcPr>
          <w:p>
            <w:pPr>
              <w:spacing w:after="0"/>
              <w:rPr>
                <w:sz w:val="17"/>
                <w:szCs w:val="17"/>
                <w:color w:val="auto"/>
              </w:rPr>
            </w:pPr>
          </w:p>
        </w:tc>
        <w:tc>
          <w:tcPr>
            <w:tcW w:w="7880" w:type="dxa"/>
            <w:vAlign w:val="bottom"/>
            <w:gridSpan w:val="9"/>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00" w:right="459" w:hanging="945"/>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March 31, 2024,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5" w:lineRule="exact"/>
        <w:rPr>
          <w:sz w:val="20"/>
          <w:szCs w:val="20"/>
          <w:color w:val="auto"/>
        </w:rPr>
      </w:pPr>
    </w:p>
    <w:p>
      <w:pPr>
        <w:ind w:left="440" w:hanging="385"/>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13" w:lineRule="exact"/>
        <w:rPr>
          <w:rFonts w:ascii="Arial" w:cs="Arial" w:eastAsia="Arial" w:hAnsi="Arial"/>
          <w:sz w:val="18"/>
          <w:szCs w:val="18"/>
          <w:color w:val="auto"/>
        </w:rPr>
      </w:pPr>
    </w:p>
    <w:p>
      <w:pPr>
        <w:ind w:left="440" w:right="99"/>
        <w:spacing w:after="0" w:line="239"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96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Century Therapeutics, Inc.</w:t>
            </w:r>
          </w:p>
        </w:tc>
      </w:tr>
      <w:tr>
        <w:trPr>
          <w:trHeight w:val="388"/>
        </w:trPr>
        <w:tc>
          <w:tcPr>
            <w:tcW w:w="2960" w:type="dxa"/>
            <w:vAlign w:val="bottom"/>
          </w:tcPr>
          <w:p>
            <w:pPr>
              <w:spacing w:after="0"/>
              <w:rPr>
                <w:sz w:val="20"/>
                <w:szCs w:val="20"/>
                <w:color w:val="auto"/>
              </w:rPr>
            </w:pPr>
            <w:r>
              <w:rPr>
                <w:rFonts w:ascii="Arial" w:cs="Arial" w:eastAsia="Arial" w:hAnsi="Arial"/>
                <w:sz w:val="18"/>
                <w:szCs w:val="18"/>
                <w:color w:val="auto"/>
              </w:rPr>
              <w:t>Date: May 9, 2024</w:t>
            </w:r>
          </w:p>
        </w:tc>
        <w:tc>
          <w:tcPr>
            <w:tcW w:w="1820" w:type="dxa"/>
            <w:vAlign w:val="bottom"/>
          </w:tcPr>
          <w:p>
            <w:pPr>
              <w:ind w:left="150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Brent Pfeiffenberger, PharmD, MBA</w:t>
            </w:r>
          </w:p>
        </w:tc>
      </w:tr>
      <w:tr>
        <w:trPr>
          <w:trHeight w:val="177"/>
        </w:trPr>
        <w:tc>
          <w:tcPr>
            <w:tcW w:w="2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120" w:type="dxa"/>
            <w:vAlign w:val="bottom"/>
          </w:tcPr>
          <w:p>
            <w:pPr>
              <w:jc w:val="center"/>
              <w:spacing w:after="0" w:line="177" w:lineRule="exact"/>
              <w:rPr>
                <w:sz w:val="20"/>
                <w:szCs w:val="20"/>
                <w:color w:val="auto"/>
              </w:rPr>
            </w:pPr>
            <w:r>
              <w:rPr>
                <w:rFonts w:ascii="Arial" w:cs="Arial" w:eastAsia="Arial" w:hAnsi="Arial"/>
                <w:sz w:val="18"/>
                <w:szCs w:val="18"/>
                <w:color w:val="auto"/>
                <w:w w:val="99"/>
              </w:rPr>
              <w:t>Brent Pfeiffenberger, PharmD, MBA</w:t>
            </w:r>
          </w:p>
        </w:tc>
      </w:tr>
      <w:tr>
        <w:trPr>
          <w:trHeight w:val="203"/>
        </w:trPr>
        <w:tc>
          <w:tcPr>
            <w:tcW w:w="2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Chief Executive Officer</w:t>
            </w:r>
          </w:p>
        </w:tc>
      </w:tr>
      <w:tr>
        <w:trPr>
          <w:trHeight w:val="239"/>
        </w:trPr>
        <w:tc>
          <w:tcPr>
            <w:tcW w:w="2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400"/>
        </w:trPr>
        <w:tc>
          <w:tcPr>
            <w:tcW w:w="2960" w:type="dxa"/>
            <w:vAlign w:val="bottom"/>
          </w:tcPr>
          <w:p>
            <w:pPr>
              <w:spacing w:after="0"/>
              <w:rPr>
                <w:sz w:val="20"/>
                <w:szCs w:val="20"/>
                <w:color w:val="auto"/>
              </w:rPr>
            </w:pPr>
            <w:r>
              <w:rPr>
                <w:rFonts w:ascii="Arial" w:cs="Arial" w:eastAsia="Arial" w:hAnsi="Arial"/>
                <w:sz w:val="18"/>
                <w:szCs w:val="18"/>
                <w:color w:val="auto"/>
              </w:rPr>
              <w:t>Date: May 9, 2024</w:t>
            </w:r>
          </w:p>
        </w:tc>
        <w:tc>
          <w:tcPr>
            <w:tcW w:w="1820" w:type="dxa"/>
            <w:vAlign w:val="bottom"/>
          </w:tcPr>
          <w:p>
            <w:pPr>
              <w:ind w:left="1500"/>
              <w:spacing w:after="0"/>
              <w:rPr>
                <w:sz w:val="20"/>
                <w:szCs w:val="20"/>
                <w:color w:val="auto"/>
              </w:rPr>
            </w:pPr>
            <w:r>
              <w:rPr>
                <w:rFonts w:ascii="Arial" w:cs="Arial" w:eastAsia="Arial" w:hAnsi="Arial"/>
                <w:sz w:val="18"/>
                <w:szCs w:val="18"/>
                <w:color w:val="auto"/>
              </w:rPr>
              <w:t>By:</w:t>
            </w: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/s/ Douglas Carr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-7620</wp:posOffset>
            </wp:positionV>
            <wp:extent cx="26149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jc w:val="center"/>
        <w:ind w:left="4760"/>
        <w:spacing w:after="0" w:line="234" w:lineRule="auto"/>
        <w:rPr>
          <w:sz w:val="20"/>
          <w:szCs w:val="20"/>
          <w:color w:val="auto"/>
        </w:rPr>
      </w:pPr>
      <w:r>
        <w:rPr>
          <w:rFonts w:ascii="Arial" w:cs="Arial" w:eastAsia="Arial" w:hAnsi="Arial"/>
          <w:sz w:val="18"/>
          <w:szCs w:val="18"/>
          <w:color w:val="auto"/>
        </w:rPr>
        <w:t>Douglas Carr</w:t>
      </w:r>
    </w:p>
    <w:p>
      <w:pPr>
        <w:jc w:val="center"/>
        <w:ind w:left="4760"/>
        <w:spacing w:after="0" w:line="235" w:lineRule="auto"/>
        <w:rPr>
          <w:sz w:val="20"/>
          <w:szCs w:val="20"/>
          <w:color w:val="auto"/>
        </w:rPr>
      </w:pPr>
      <w:r>
        <w:rPr>
          <w:rFonts w:ascii="Arial" w:cs="Arial" w:eastAsia="Arial" w:hAnsi="Arial"/>
          <w:sz w:val="18"/>
          <w:szCs w:val="18"/>
          <w:color w:val="auto"/>
        </w:rPr>
        <w:t>Senior Vice President, Finance &amp; Operations</w:t>
      </w:r>
    </w:p>
    <w:p>
      <w:pPr>
        <w:jc w:val="center"/>
        <w:ind w:left="4760"/>
        <w:spacing w:after="0" w:line="235" w:lineRule="auto"/>
        <w:rPr>
          <w:sz w:val="20"/>
          <w:szCs w:val="20"/>
          <w:color w:val="auto"/>
        </w:rPr>
      </w:pPr>
      <w:r>
        <w:rPr>
          <w:rFonts w:ascii="Arial" w:cs="Arial" w:eastAsia="Arial" w:hAnsi="Arial"/>
          <w:sz w:val="18"/>
          <w:szCs w:val="18"/>
          <w:color w:val="auto"/>
        </w:rPr>
        <w:t>(principal financial officer and principal accounting</w:t>
      </w:r>
    </w:p>
    <w:p>
      <w:pPr>
        <w:jc w:val="center"/>
        <w:ind w:left="47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ACTIVE/123125527.3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392430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Carr, certify that:</w:t>
      </w:r>
    </w:p>
    <w:p>
      <w:pPr>
        <w:spacing w:after="0" w:line="117" w:lineRule="exact"/>
        <w:rPr>
          <w:sz w:val="20"/>
          <w:szCs w:val="20"/>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 &amp; Operations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ACTIVE/123125576.3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392430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March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March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 &amp; Operations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04"/>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2024-05-09T06:41:10Z</dcterms:created>
  <dcterms:modified xsi:type="dcterms:W3CDTF">2024-05-09T06:41:10Z</dcterms:modified>
</cp:coreProperties>
</file>