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June 30, 2024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64" w:lineRule="exact"/>
        <w:rPr>
          <w:sz w:val="24"/>
          <w:szCs w:val="24"/>
          <w:color w:val="auto"/>
        </w:rPr>
      </w:pPr>
    </w:p>
    <w:tbl>
      <w:tblPr>
        <w:tblLayout w:type="fixed"/>
        <w:tblInd w:w="1270" w:type="dxa"/>
        <w:tblCellMar>
          <w:top w:w="0" w:type="dxa"/>
          <w:left w:w="0" w:type="dxa"/>
          <w:bottom w:w="0" w:type="dxa"/>
          <w:right w:w="0" w:type="dxa"/>
        </w:tblCellMar>
      </w:tblP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76"/>
        </w:trPr>
        <w:tc>
          <w:tcPr>
            <w:tcW w:w="4540" w:type="dxa"/>
            <w:vAlign w:val="bottom"/>
          </w:tcPr>
          <w:p>
            <w:pPr>
              <w:jc w:val="center"/>
              <w:ind w:right="1419"/>
              <w:spacing w:after="0" w:line="176" w:lineRule="exact"/>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line="176" w:lineRule="exact"/>
              <w:rPr>
                <w:sz w:val="20"/>
                <w:szCs w:val="20"/>
                <w:color w:val="auto"/>
              </w:rPr>
            </w:pPr>
            <w:r>
              <w:rPr>
                <w:rFonts w:ascii="Arial" w:cs="Arial" w:eastAsia="Arial" w:hAnsi="Arial"/>
                <w:sz w:val="16"/>
                <w:szCs w:val="16"/>
                <w:b w:val="1"/>
                <w:bCs w:val="1"/>
                <w:color w:val="auto"/>
              </w:rPr>
              <w:t>Identification No.)</w:t>
            </w:r>
          </w:p>
        </w:tc>
      </w:tr>
      <w:tr>
        <w:trPr>
          <w:trHeight w:val="202"/>
        </w:trPr>
        <w:tc>
          <w:tcPr>
            <w:tcW w:w="4540" w:type="dxa"/>
            <w:vAlign w:val="bottom"/>
          </w:tcPr>
          <w:p>
            <w:pPr>
              <w:jc w:val="center"/>
              <w:ind w:right="1439"/>
              <w:spacing w:after="0" w:line="202" w:lineRule="exact"/>
              <w:rPr>
                <w:sz w:val="20"/>
                <w:szCs w:val="20"/>
                <w:color w:val="auto"/>
              </w:rPr>
            </w:pPr>
            <w:r>
              <w:rPr>
                <w:rFonts w:ascii="Arial" w:cs="Arial" w:eastAsia="Arial" w:hAnsi="Arial"/>
                <w:sz w:val="16"/>
                <w:szCs w:val="16"/>
                <w:b w:val="1"/>
                <w:bCs w:val="1"/>
                <w:color w:val="auto"/>
                <w:w w:val="98"/>
              </w:rPr>
              <w:t>25 N 38</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Street, 11</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Floor</w:t>
            </w:r>
          </w:p>
        </w:tc>
        <w:tc>
          <w:tcPr>
            <w:tcW w:w="2880" w:type="dxa"/>
            <w:vAlign w:val="bottom"/>
          </w:tcPr>
          <w:p>
            <w:pPr>
              <w:spacing w:after="0"/>
              <w:rPr>
                <w:sz w:val="17"/>
                <w:szCs w:val="17"/>
                <w:color w:val="auto"/>
              </w:rPr>
            </w:pP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3"/>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52"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8"/>
                <w:szCs w:val="18"/>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0" w:right="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36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0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6" w:lineRule="exact"/>
        <w:rPr>
          <w:sz w:val="24"/>
          <w:szCs w:val="24"/>
          <w:color w:val="auto"/>
        </w:rPr>
      </w:pPr>
    </w:p>
    <w:p>
      <w:pPr>
        <w:ind w:left="10" w:right="3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0" w:right="1140"/>
        <w:spacing w:after="0" w:line="24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2024 the registrant had 84,715,961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gridSpan w:val="5"/>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1"/>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7360" w:type="dxa"/>
            <w:vAlign w:val="bottom"/>
            <w:gridSpan w:val="21"/>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Item 1.</w:t>
            </w:r>
          </w:p>
        </w:tc>
        <w:tc>
          <w:tcPr>
            <w:tcW w:w="340" w:type="dxa"/>
            <w:vAlign w:val="bottom"/>
            <w:gridSpan w:val="4"/>
          </w:tcPr>
          <w:p>
            <w:pPr>
              <w:spacing w:after="0"/>
              <w:rPr>
                <w:sz w:val="17"/>
                <w:szCs w:val="17"/>
                <w:color w:val="auto"/>
              </w:rPr>
            </w:pPr>
          </w:p>
        </w:tc>
        <w:tc>
          <w:tcPr>
            <w:tcW w:w="37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Unaudited Consolidated Financial Statements:</w:t>
            </w:r>
          </w:p>
        </w:tc>
        <w:tc>
          <w:tcPr>
            <w:tcW w:w="3660" w:type="dxa"/>
            <w:vAlign w:val="bottom"/>
            <w:gridSpan w:val="10"/>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Balance Sheets as of June 30, 2024 (unaudited) and December 31, 202</w:t>
            </w:r>
            <w:r>
              <w:rPr>
                <w:rFonts w:ascii="Arial" w:cs="Arial" w:eastAsia="Arial" w:hAnsi="Arial"/>
                <w:sz w:val="18"/>
                <w:szCs w:val="18"/>
                <w:color w:val="000000"/>
              </w:rPr>
              <w:t>3</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and six</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14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months ended June 30, 2024 and 2023 (unaudited)</w:t>
            </w:r>
          </w:p>
        </w:tc>
        <w:tc>
          <w:tcPr>
            <w:tcW w:w="2780" w:type="dxa"/>
            <w:vAlign w:val="bottom"/>
            <w:tcBorders>
              <w:top w:val="single" w:sz="8" w:color="0000EE"/>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Changes in Stockholders’ Equity for the three and six months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1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ended June 30, 2024 and 2023 (unaudited)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Cash Flows for the six months ended June 30, 2024 and 2023</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(unaudited)</w:t>
            </w: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4"/>
              </w:rPr>
              <w:t>Item 2.</w:t>
            </w:r>
          </w:p>
        </w:tc>
        <w:tc>
          <w:tcPr>
            <w:tcW w:w="340" w:type="dxa"/>
            <w:vAlign w:val="bottom"/>
            <w:gridSpan w:val="4"/>
            <w:vMerge w:val="restart"/>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3.</w:t>
            </w:r>
          </w:p>
        </w:tc>
        <w:tc>
          <w:tcPr>
            <w:tcW w:w="340" w:type="dxa"/>
            <w:vAlign w:val="bottom"/>
            <w:gridSpan w:val="4"/>
          </w:tcPr>
          <w:p>
            <w:pPr>
              <w:spacing w:after="0"/>
              <w:rPr>
                <w:sz w:val="17"/>
                <w:szCs w:val="17"/>
                <w:color w:val="auto"/>
              </w:rPr>
            </w:pPr>
          </w:p>
        </w:tc>
        <w:tc>
          <w:tcPr>
            <w:tcW w:w="70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00" w:type="dxa"/>
            <w:vAlign w:val="bottom"/>
            <w:gridSpan w:val="3"/>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4.</w:t>
            </w:r>
          </w:p>
        </w:tc>
        <w:tc>
          <w:tcPr>
            <w:tcW w:w="340" w:type="dxa"/>
            <w:vAlign w:val="bottom"/>
            <w:gridSpan w:val="4"/>
          </w:tcPr>
          <w:p>
            <w:pPr>
              <w:spacing w:after="0"/>
              <w:rPr>
                <w:sz w:val="17"/>
                <w:szCs w:val="17"/>
                <w:color w:val="auto"/>
              </w:rPr>
            </w:pPr>
          </w:p>
        </w:tc>
        <w:tc>
          <w:tcPr>
            <w:tcW w:w="47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2660" w:type="dxa"/>
            <w:vAlign w:val="bottom"/>
            <w:gridSpan w:val="7"/>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8"/>
              </w:rPr>
              <w:t>PART II.</w:t>
            </w:r>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1.</w:t>
            </w:r>
          </w:p>
        </w:tc>
        <w:tc>
          <w:tcPr>
            <w:tcW w:w="340" w:type="dxa"/>
            <w:vAlign w:val="bottom"/>
            <w:gridSpan w:val="4"/>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8"/>
              </w:rPr>
              <w:t>Item 1A.</w:t>
            </w:r>
          </w:p>
        </w:tc>
        <w:tc>
          <w:tcPr>
            <w:tcW w:w="220" w:type="dxa"/>
            <w:vAlign w:val="bottom"/>
            <w:gridSpan w:val="3"/>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Risk Factors</w:t>
            </w:r>
          </w:p>
        </w:tc>
        <w:tc>
          <w:tcPr>
            <w:tcW w:w="6360" w:type="dxa"/>
            <w:vAlign w:val="bottom"/>
            <w:gridSpan w:val="18"/>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2.</w:t>
            </w:r>
          </w:p>
        </w:tc>
        <w:tc>
          <w:tcPr>
            <w:tcW w:w="340" w:type="dxa"/>
            <w:vAlign w:val="bottom"/>
            <w:gridSpan w:val="4"/>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3.</w:t>
            </w:r>
          </w:p>
        </w:tc>
        <w:tc>
          <w:tcPr>
            <w:tcW w:w="340" w:type="dxa"/>
            <w:vAlign w:val="bottom"/>
            <w:gridSpan w:val="4"/>
          </w:tcPr>
          <w:p>
            <w:pPr>
              <w:spacing w:after="0"/>
              <w:rPr>
                <w:sz w:val="17"/>
                <w:szCs w:val="17"/>
                <w:color w:val="auto"/>
              </w:rPr>
            </w:pPr>
          </w:p>
        </w:tc>
        <w:tc>
          <w:tcPr>
            <w:tcW w:w="48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520" w:type="dxa"/>
            <w:vAlign w:val="bottom"/>
            <w:gridSpan w:val="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4.</w:t>
            </w:r>
          </w:p>
        </w:tc>
        <w:tc>
          <w:tcPr>
            <w:tcW w:w="340" w:type="dxa"/>
            <w:vAlign w:val="bottom"/>
            <w:gridSpan w:val="4"/>
          </w:tcPr>
          <w:p>
            <w:pPr>
              <w:spacing w:after="0"/>
              <w:rPr>
                <w:sz w:val="17"/>
                <w:szCs w:val="17"/>
                <w:color w:val="auto"/>
              </w:rPr>
            </w:pPr>
          </w:p>
        </w:tc>
        <w:tc>
          <w:tcPr>
            <w:tcW w:w="25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Mine Safety Disclosures</w:t>
            </w:r>
          </w:p>
        </w:tc>
        <w:tc>
          <w:tcPr>
            <w:tcW w:w="4820" w:type="dxa"/>
            <w:vAlign w:val="bottom"/>
            <w:gridSpan w:val="1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Item 5.</w:t>
            </w:r>
          </w:p>
        </w:tc>
        <w:tc>
          <w:tcPr>
            <w:tcW w:w="340" w:type="dxa"/>
            <w:vAlign w:val="bottom"/>
            <w:gridSpan w:val="4"/>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2"/>
          </w:tcPr>
          <w:p>
            <w:pPr>
              <w:spacing w:after="0"/>
              <w:rPr>
                <w:sz w:val="17"/>
                <w:szCs w:val="17"/>
                <w:color w:val="auto"/>
              </w:rPr>
            </w:pPr>
          </w:p>
        </w:tc>
        <w:tc>
          <w:tcPr>
            <w:tcW w:w="5440" w:type="dxa"/>
            <w:vAlign w:val="bottom"/>
            <w:gridSpan w:val="1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6.</w:t>
            </w:r>
          </w:p>
        </w:tc>
        <w:tc>
          <w:tcPr>
            <w:tcW w:w="340" w:type="dxa"/>
            <w:vAlign w:val="bottom"/>
            <w:gridSpan w:val="4"/>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line="20" w:lineRule="exact"/>
              <w:rPr>
                <w:sz w:val="1"/>
                <w:szCs w:val="1"/>
                <w:color w:val="auto"/>
              </w:rPr>
            </w:pPr>
          </w:p>
        </w:tc>
      </w:tr>
      <w:tr>
        <w:trPr>
          <w:trHeight w:val="196"/>
        </w:trPr>
        <w:tc>
          <w:tcPr>
            <w:tcW w:w="900" w:type="dxa"/>
            <w:vAlign w:val="bottom"/>
            <w:gridSpan w:val="5"/>
          </w:tcPr>
          <w:p>
            <w:pPr>
              <w:spacing w:after="0" w:line="196" w:lineRule="exact"/>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4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3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43"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lead product candidate, CNTY-101;</w:t>
      </w:r>
    </w:p>
    <w:p>
      <w:pPr>
        <w:spacing w:after="0" w:line="197"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treatment of cancer, utilizing iPSC-derived natural killer cells, (“iNK cells”) and iPSC-derived T cells, (“iT cells”) and the challenges we will face due to the novel nature of such technology;</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183"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(“FCDI”) for access to key differentiation and reprogramming technology for the manufacturing and development of our product candidates;</w:t>
      </w:r>
    </w:p>
    <w:p>
      <w:pPr>
        <w:spacing w:after="0" w:line="143"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13"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(“IND”) applications and the likelihood of, and our ability to obtain and maintain, regulatory clearance of IND applications for our product candidates;</w:t>
      </w:r>
    </w:p>
    <w:p>
      <w:pPr>
        <w:spacing w:after="0" w:line="113"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27" w:lineRule="exact"/>
        <w:rPr>
          <w:rFonts w:ascii="Times New Roman" w:cs="Times New Roman" w:eastAsia="Times New Roman" w:hAnsi="Times New Roman"/>
          <w:sz w:val="18"/>
          <w:szCs w:val="18"/>
          <w:color w:val="auto"/>
        </w:rPr>
      </w:pPr>
    </w:p>
    <w:p>
      <w:pPr>
        <w:jc w:val="both"/>
        <w:ind w:left="720" w:right="1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(“Bristol-Myers Squibb”) in connection with the furtherance of our collaboration programs;</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the anticipated benefits of our acquisition of Clade Therapeutics, Inc. (“Clade”);</w:t>
      </w:r>
    </w:p>
    <w:p>
      <w:pPr>
        <w:spacing w:after="0" w:line="183"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3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2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therapies and its potential impact on public perception of our company and product candidates;</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13"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27"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83"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4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and retain key members of management and other clinical and scientific personnel;</w:t>
      </w:r>
    </w:p>
    <w:p>
      <w:pPr>
        <w:spacing w:after="0" w:line="195" w:lineRule="exact"/>
        <w:rPr>
          <w:rFonts w:ascii="Times New Roman" w:cs="Times New Roman" w:eastAsia="Times New Roman" w:hAnsi="Times New Roman"/>
          <w:sz w:val="17"/>
          <w:szCs w:val="17"/>
          <w:color w:val="auto"/>
        </w:rPr>
      </w:pPr>
    </w:p>
    <w:p>
      <w:pPr>
        <w:ind w:left="720" w:right="89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spacing w:after="0" w:line="90" w:lineRule="exact"/>
        <w:rPr>
          <w:rFonts w:ascii="Times New Roman" w:cs="Times New Roman" w:eastAsia="Times New Roman" w:hAnsi="Times New Roman"/>
          <w:sz w:val="17"/>
          <w:szCs w:val="17"/>
          <w:color w:val="auto"/>
        </w:rPr>
      </w:pPr>
    </w:p>
    <w:p>
      <w:pPr>
        <w:ind w:left="720" w:right="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pandemics, or any other global health crises may impact our business, including development activities, preclinical studies, clinical trials, supply chain and labor force; and</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the section titled “Risk Factors” set forth in Part II, Item 1A of our Quarterly Report on Form 10-Q for the quarter ended March 31, 2024, and the section titled “Risk Factors” set forth in Part I, Item 1A of our Annual Report on Form 10-K for the year ended December 31, 2023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6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7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color w:val="auto"/>
              </w:rPr>
              <w:t>June 30, 2024</w:t>
            </w: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December 31, 2023</w:t>
            </w:r>
          </w:p>
        </w:tc>
      </w:tr>
      <w:tr>
        <w:trPr>
          <w:trHeight w:val="171"/>
        </w:trPr>
        <w:tc>
          <w:tcPr>
            <w:tcW w:w="2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8"/>
        </w:trPr>
        <w:tc>
          <w:tcPr>
            <w:tcW w:w="2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36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41,457</w:t>
            </w:r>
          </w:p>
        </w:tc>
        <w:tc>
          <w:tcPr>
            <w:tcW w:w="26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47,324</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154,945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125,414</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7,076</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4,256</w:t>
            </w:r>
          </w:p>
        </w:tc>
        <w:tc>
          <w:tcPr>
            <w:tcW w:w="280" w:type="dxa"/>
            <w:vAlign w:val="bottom"/>
            <w:tcBorders>
              <w:bottom w:val="single" w:sz="8" w:color="CCEEFF"/>
            </w:tcBorders>
          </w:tcPr>
          <w:p>
            <w:pPr>
              <w:spacing w:after="0"/>
              <w:rPr>
                <w:sz w:val="11"/>
                <w:szCs w:val="11"/>
                <w:color w:val="auto"/>
              </w:rPr>
            </w:pPr>
          </w:p>
        </w:tc>
      </w:tr>
      <w:tr>
        <w:trPr>
          <w:trHeight w:val="128"/>
        </w:trPr>
        <w:tc>
          <w:tcPr>
            <w:tcW w:w="2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203,478</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176,994</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69,405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71,705</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28,570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20,376</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2,835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73,226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89,096</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Goodwill</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5,091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Intangible assets</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33,300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Security deposits and non-current assets</w:t>
            </w:r>
          </w:p>
        </w:tc>
        <w:tc>
          <w:tcPr>
            <w:tcW w:w="2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541</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541</w:t>
            </w:r>
          </w:p>
        </w:tc>
        <w:tc>
          <w:tcPr>
            <w:tcW w:w="280" w:type="dxa"/>
            <w:vAlign w:val="bottom"/>
            <w:shd w:val="clear" w:color="auto" w:fill="CCEEFF"/>
          </w:tcPr>
          <w:p>
            <w:pPr>
              <w:spacing w:after="0"/>
              <w:rPr>
                <w:sz w:val="11"/>
                <w:szCs w:val="11"/>
                <w:color w:val="auto"/>
              </w:rPr>
            </w:pPr>
          </w:p>
        </w:tc>
      </w:tr>
      <w:tr>
        <w:trPr>
          <w:trHeight w:val="168"/>
        </w:trPr>
        <w:tc>
          <w:tcPr>
            <w:tcW w:w="27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82"/>
              </w:rPr>
              <w:t>$</w:t>
            </w:r>
          </w:p>
        </w:tc>
        <w:tc>
          <w:tcPr>
            <w:tcW w:w="1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416,446</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80" w:type="dxa"/>
            <w:vAlign w:val="bottom"/>
            <w:tcBorders>
              <w:bottom w:val="single" w:sz="8" w:color="CCEEFF"/>
            </w:tcBorders>
          </w:tcPr>
          <w:p>
            <w:pPr>
              <w:spacing w:after="0"/>
              <w:rPr>
                <w:sz w:val="14"/>
                <w:szCs w:val="14"/>
                <w:color w:val="auto"/>
              </w:rPr>
            </w:pPr>
          </w:p>
        </w:tc>
      </w:tr>
      <w:tr>
        <w:trPr>
          <w:trHeight w:val="116"/>
        </w:trPr>
        <w:tc>
          <w:tcPr>
            <w:tcW w:w="276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36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3,358</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2,741</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11,095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10,149</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584</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2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4,360</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4,372</w:t>
            </w:r>
          </w:p>
        </w:tc>
        <w:tc>
          <w:tcPr>
            <w:tcW w:w="280" w:type="dxa"/>
            <w:vAlign w:val="bottom"/>
            <w:tcBorders>
              <w:bottom w:val="single" w:sz="8" w:color="CCEEFF"/>
            </w:tcBorders>
          </w:tcPr>
          <w:p>
            <w:pPr>
              <w:spacing w:after="0"/>
              <w:rPr>
                <w:sz w:val="11"/>
                <w:szCs w:val="11"/>
                <w:color w:val="auto"/>
              </w:rPr>
            </w:pPr>
          </w:p>
        </w:tc>
      </w:tr>
      <w:tr>
        <w:trPr>
          <w:trHeight w:val="129"/>
        </w:trPr>
        <w:tc>
          <w:tcPr>
            <w:tcW w:w="2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19,163</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17,846</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52,713</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46,658</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Security deposit, non-current</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109,768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111,381</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Contingent consideration liability</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9,312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Deferred tax liability</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3,366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29"/>
        </w:trPr>
        <w:tc>
          <w:tcPr>
            <w:tcW w:w="2760" w:type="dxa"/>
            <w:vAlign w:val="bottom"/>
            <w:tcBorders>
              <w:top w:val="single" w:sz="8" w:color="CCEEFF"/>
            </w:tcBorders>
            <w:shd w:val="clear" w:color="auto" w:fill="CCEEFF"/>
          </w:tcPr>
          <w:p>
            <w:pPr>
              <w:spacing w:after="0"/>
              <w:rPr>
                <w:sz w:val="11"/>
                <w:szCs w:val="11"/>
                <w:color w:val="auto"/>
              </w:rPr>
            </w:pPr>
          </w:p>
        </w:tc>
        <w:tc>
          <w:tcPr>
            <w:tcW w:w="2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276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b w:val="1"/>
                <w:bCs w:val="1"/>
                <w:color w:val="auto"/>
              </w:rPr>
              <w:t>Total liabilities</w:t>
            </w:r>
          </w:p>
        </w:tc>
        <w:tc>
          <w:tcPr>
            <w:tcW w:w="2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194,342</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175,941</w:t>
            </w:r>
          </w:p>
        </w:tc>
        <w:tc>
          <w:tcPr>
            <w:tcW w:w="280" w:type="dxa"/>
            <w:vAlign w:val="bottom"/>
            <w:tcBorders>
              <w:bottom w:val="single" w:sz="8" w:color="CCEEFF"/>
            </w:tcBorders>
          </w:tcPr>
          <w:p>
            <w:pPr>
              <w:spacing w:after="0"/>
              <w:rPr>
                <w:sz w:val="11"/>
                <w:szCs w:val="11"/>
                <w:color w:val="auto"/>
              </w:rPr>
            </w:pPr>
          </w:p>
        </w:tc>
      </w:tr>
      <w:tr>
        <w:trPr>
          <w:trHeight w:val="128"/>
        </w:trPr>
        <w:tc>
          <w:tcPr>
            <w:tcW w:w="27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9)</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17"/>
        </w:trPr>
        <w:tc>
          <w:tcPr>
            <w:tcW w:w="5120" w:type="dxa"/>
            <w:vAlign w:val="bottom"/>
            <w:gridSpan w:val="3"/>
          </w:tcPr>
          <w:p>
            <w:pPr>
              <w:ind w:left="20"/>
              <w:spacing w:after="0" w:line="117"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53"/>
        </w:trPr>
        <w:tc>
          <w:tcPr>
            <w:tcW w:w="5120" w:type="dxa"/>
            <w:vAlign w:val="bottom"/>
            <w:gridSpan w:val="3"/>
          </w:tcPr>
          <w:p>
            <w:pPr>
              <w:ind w:left="20"/>
              <w:spacing w:after="0"/>
              <w:rPr>
                <w:sz w:val="20"/>
                <w:szCs w:val="20"/>
                <w:color w:val="auto"/>
              </w:rPr>
            </w:pPr>
            <w:r>
              <w:rPr>
                <w:rFonts w:ascii="Arial" w:cs="Arial" w:eastAsia="Arial" w:hAnsi="Arial"/>
                <w:sz w:val="13"/>
                <w:szCs w:val="13"/>
                <w:color w:val="auto"/>
              </w:rPr>
              <w:t>issued and outstanding at June 30, 2024 and December 31, 2023</w:t>
            </w:r>
          </w:p>
        </w:tc>
        <w:tc>
          <w:tcPr>
            <w:tcW w:w="1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117"/>
        </w:trPr>
        <w:tc>
          <w:tcPr>
            <w:tcW w:w="27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8"/>
              </w:rPr>
              <w:t>Common stock, $0.0001 par value, 300,000,000</w:t>
            </w:r>
          </w:p>
        </w:tc>
        <w:tc>
          <w:tcPr>
            <w:tcW w:w="2360" w:type="dxa"/>
            <w:vAlign w:val="bottom"/>
            <w:gridSpan w:val="2"/>
            <w:shd w:val="clear" w:color="auto" w:fill="CCEEFF"/>
          </w:tcPr>
          <w:p>
            <w:pPr>
              <w:jc w:val="right"/>
              <w:ind w:right="597"/>
              <w:spacing w:after="0" w:line="117" w:lineRule="exact"/>
              <w:rPr>
                <w:sz w:val="20"/>
                <w:szCs w:val="20"/>
                <w:color w:val="auto"/>
              </w:rPr>
            </w:pPr>
            <w:r>
              <w:rPr>
                <w:rFonts w:ascii="Arial" w:cs="Arial" w:eastAsia="Arial" w:hAnsi="Arial"/>
                <w:sz w:val="13"/>
                <w:szCs w:val="13"/>
                <w:color w:val="auto"/>
                <w:w w:val="95"/>
              </w:rPr>
              <w:t>shares authorized; 84,551,813</w:t>
            </w:r>
          </w:p>
        </w:tc>
        <w:tc>
          <w:tcPr>
            <w:tcW w:w="1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512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and 60,335,701 shares issued and outstanding at June 30, 2024 and December</w:t>
            </w: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5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31, 2023, respectively</w:t>
            </w:r>
          </w:p>
        </w:tc>
        <w:tc>
          <w:tcPr>
            <w:tcW w:w="2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3"/>
                <w:szCs w:val="13"/>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937,445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840,407</w:t>
            </w:r>
          </w:p>
        </w:tc>
        <w:tc>
          <w:tcPr>
            <w:tcW w:w="280" w:type="dxa"/>
            <w:vAlign w:val="bottom"/>
          </w:tcPr>
          <w:p>
            <w:pPr>
              <w:spacing w:after="0"/>
              <w:rPr>
                <w:sz w:val="11"/>
                <w:szCs w:val="11"/>
                <w:color w:val="auto"/>
              </w:rPr>
            </w:pPr>
          </w:p>
        </w:tc>
      </w:tr>
      <w:tr>
        <w:trPr>
          <w:trHeight w:val="135"/>
        </w:trPr>
        <w:tc>
          <w:tcPr>
            <w:tcW w:w="2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(715,040)</w:t>
            </w: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(655,771)</w:t>
            </w: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3"/>
                <w:szCs w:val="13"/>
                <w:color w:val="auto"/>
                <w:w w:val="96"/>
              </w:rPr>
              <w:t>Accumulated other comprehensive (loss) Income</w:t>
            </w: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(309)</w:t>
            </w: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108</w:t>
            </w:r>
          </w:p>
        </w:tc>
        <w:tc>
          <w:tcPr>
            <w:tcW w:w="280" w:type="dxa"/>
            <w:vAlign w:val="bottom"/>
          </w:tcPr>
          <w:p>
            <w:pPr>
              <w:spacing w:after="0"/>
              <w:rPr>
                <w:sz w:val="11"/>
                <w:szCs w:val="11"/>
                <w:color w:val="auto"/>
              </w:rPr>
            </w:pPr>
          </w:p>
        </w:tc>
      </w:tr>
      <w:tr>
        <w:trPr>
          <w:trHeight w:val="128"/>
        </w:trPr>
        <w:tc>
          <w:tcPr>
            <w:tcW w:w="2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222,104</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184,750</w:t>
            </w:r>
          </w:p>
        </w:tc>
        <w:tc>
          <w:tcPr>
            <w:tcW w:w="280" w:type="dxa"/>
            <w:vAlign w:val="bottom"/>
            <w:tcBorders>
              <w:top w:val="single" w:sz="8" w:color="CCEEFF"/>
            </w:tcBorders>
            <w:shd w:val="clear" w:color="auto" w:fill="CCEEFF"/>
          </w:tcPr>
          <w:p>
            <w:pPr>
              <w:spacing w:after="0"/>
              <w:rPr>
                <w:sz w:val="11"/>
                <w:szCs w:val="11"/>
                <w:color w:val="auto"/>
              </w:rPr>
            </w:pPr>
          </w:p>
        </w:tc>
      </w:tr>
      <w:tr>
        <w:trPr>
          <w:trHeight w:val="129"/>
        </w:trPr>
        <w:tc>
          <w:tcPr>
            <w:tcW w:w="27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100" w:type="dxa"/>
            <w:vAlign w:val="bottom"/>
          </w:tcPr>
          <w:p>
            <w:pPr>
              <w:spacing w:after="0"/>
              <w:rPr>
                <w:sz w:val="11"/>
                <w:szCs w:val="11"/>
                <w:color w:val="auto"/>
              </w:rPr>
            </w:pPr>
          </w:p>
        </w:tc>
        <w:tc>
          <w:tcPr>
            <w:tcW w:w="2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82"/>
              </w:rPr>
              <w:t>$</w:t>
            </w:r>
          </w:p>
        </w:tc>
        <w:tc>
          <w:tcPr>
            <w:tcW w:w="1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416,446</w:t>
            </w:r>
          </w:p>
        </w:tc>
        <w:tc>
          <w:tcPr>
            <w:tcW w:w="26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80" w:type="dxa"/>
            <w:vAlign w:val="bottom"/>
          </w:tcPr>
          <w:p>
            <w:pPr>
              <w:spacing w:after="0"/>
              <w:rPr>
                <w:sz w:val="11"/>
                <w:szCs w:val="11"/>
                <w:color w:val="auto"/>
              </w:rPr>
            </w:pPr>
          </w:p>
        </w:tc>
      </w:tr>
      <w:tr>
        <w:trPr>
          <w:trHeight w:val="20"/>
        </w:trPr>
        <w:tc>
          <w:tcPr>
            <w:tcW w:w="2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6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6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Six Months Ended</w:t>
            </w:r>
          </w:p>
        </w:tc>
        <w:tc>
          <w:tcPr>
            <w:tcW w:w="1400" w:type="dxa"/>
            <w:vAlign w:val="bottom"/>
            <w:tcBorders>
              <w:top w:val="single" w:sz="8" w:color="auto"/>
              <w:right w:val="single" w:sz="8" w:color="auto"/>
            </w:tcBorders>
            <w:gridSpan w:val="2"/>
          </w:tcPr>
          <w:p>
            <w:pPr>
              <w:jc w:val="right"/>
              <w:ind w:right="51"/>
              <w:spacing w:after="0"/>
              <w:rPr>
                <w:sz w:val="20"/>
                <w:szCs w:val="20"/>
                <w:color w:val="auto"/>
              </w:rPr>
            </w:pPr>
            <w:r>
              <w:rPr>
                <w:rFonts w:ascii="Arial" w:cs="Arial" w:eastAsia="Arial" w:hAnsi="Arial"/>
                <w:sz w:val="14"/>
                <w:szCs w:val="14"/>
                <w:color w:val="auto"/>
              </w:rPr>
              <w:t>Six Months Ended</w:t>
            </w:r>
          </w:p>
        </w:tc>
      </w:tr>
      <w:tr>
        <w:trPr>
          <w:trHeight w:val="171"/>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June 30, 2024</w:t>
            </w:r>
          </w:p>
        </w:tc>
        <w:tc>
          <w:tcPr>
            <w:tcW w:w="18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color w:val="auto"/>
              </w:rPr>
              <w:t>June 30, 2023</w:t>
            </w:r>
          </w:p>
        </w:tc>
        <w:tc>
          <w:tcPr>
            <w:tcW w:w="3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June 30, 2024</w:t>
            </w:r>
          </w:p>
        </w:tc>
        <w:tc>
          <w:tcPr>
            <w:tcW w:w="240" w:type="dxa"/>
            <w:vAlign w:val="bottom"/>
          </w:tcPr>
          <w:p>
            <w:pPr>
              <w:spacing w:after="0"/>
              <w:rPr>
                <w:sz w:val="14"/>
                <w:szCs w:val="14"/>
                <w:color w:val="auto"/>
              </w:rPr>
            </w:pPr>
          </w:p>
        </w:tc>
        <w:tc>
          <w:tcPr>
            <w:tcW w:w="116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June 30, 2023</w:t>
            </w:r>
          </w:p>
        </w:tc>
      </w:tr>
      <w:tr>
        <w:trPr>
          <w:trHeight w:val="155"/>
        </w:trPr>
        <w:tc>
          <w:tcPr>
            <w:tcW w:w="2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Collaboration revenue</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1,819</w:t>
            </w:r>
          </w:p>
        </w:tc>
      </w:tr>
      <w:tr>
        <w:trPr>
          <w:trHeight w:val="203"/>
        </w:trPr>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27,220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22,727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50,641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right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47,626</w:t>
            </w: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8,229</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17,131</w:t>
            </w:r>
          </w:p>
        </w:tc>
      </w:tr>
      <w:tr>
        <w:trPr>
          <w:trHeight w:val="184"/>
        </w:trPr>
        <w:tc>
          <w:tcPr>
            <w:tcW w:w="2600" w:type="dxa"/>
            <w:vAlign w:val="bottom"/>
          </w:tcPr>
          <w:p>
            <w:pPr>
              <w:ind w:left="20"/>
              <w:spacing w:after="0" w:line="183" w:lineRule="exact"/>
              <w:rPr>
                <w:sz w:val="20"/>
                <w:szCs w:val="20"/>
                <w:color w:val="auto"/>
              </w:rPr>
            </w:pPr>
            <w:r>
              <w:rPr>
                <w:rFonts w:ascii="Arial" w:cs="Arial" w:eastAsia="Arial" w:hAnsi="Arial"/>
                <w:sz w:val="18"/>
                <w:szCs w:val="18"/>
                <w:color w:val="auto"/>
              </w:rPr>
              <w:t>Impairment of long-lived</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21"/>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4,220</w:t>
            </w:r>
          </w:p>
        </w:tc>
      </w:tr>
      <w:tr>
        <w:trPr>
          <w:trHeight w:val="196"/>
        </w:trPr>
        <w:tc>
          <w:tcPr>
            <w:tcW w:w="26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35,526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35,176</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67,693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68,977</w:t>
            </w:r>
          </w:p>
        </w:tc>
      </w:tr>
      <w:tr>
        <w:trPr>
          <w:trHeight w:val="196"/>
        </w:trPr>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(34,755)</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(35,077)</w:t>
            </w:r>
          </w:p>
        </w:tc>
        <w:tc>
          <w:tcPr>
            <w:tcW w:w="3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(66,068)</w:t>
            </w:r>
          </w:p>
        </w:tc>
        <w:tc>
          <w:tcPr>
            <w:tcW w:w="24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(67,158)</w:t>
            </w:r>
          </w:p>
        </w:tc>
      </w:tr>
      <w:tr>
        <w:trPr>
          <w:trHeight w:val="203"/>
        </w:trPr>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right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5,681</w:t>
            </w: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r>
      <w:tr>
        <w:trPr>
          <w:trHeight w:val="196"/>
        </w:trPr>
        <w:tc>
          <w:tcPr>
            <w:tcW w:w="260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Total other income</w:t>
            </w: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3,570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2,736</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6,821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4,761</w:t>
            </w:r>
          </w:p>
        </w:tc>
      </w:tr>
      <w:tr>
        <w:trPr>
          <w:trHeight w:val="184"/>
        </w:trPr>
        <w:tc>
          <w:tcPr>
            <w:tcW w:w="26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Loss before provision for</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r>
      <w:tr>
        <w:trPr>
          <w:trHeight w:val="221"/>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(31,185)</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(32,341)</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(59,247)</w:t>
            </w:r>
          </w:p>
        </w:tc>
        <w:tc>
          <w:tcPr>
            <w:tcW w:w="2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(62,397)</w:t>
            </w: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(950)</w:t>
            </w:r>
          </w:p>
        </w:tc>
        <w:tc>
          <w:tcPr>
            <w:tcW w:w="32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11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(2,158)</w:t>
            </w:r>
          </w:p>
        </w:tc>
      </w:tr>
      <w:tr>
        <w:trPr>
          <w:trHeight w:val="196"/>
        </w:trPr>
        <w:tc>
          <w:tcPr>
            <w:tcW w:w="26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(31,207)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(33,291)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(59,269)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(64,555)</w:t>
            </w:r>
          </w:p>
        </w:tc>
      </w:tr>
      <w:tr>
        <w:trPr>
          <w:trHeight w:val="20"/>
        </w:trPr>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184"/>
        </w:trPr>
        <w:tc>
          <w:tcPr>
            <w:tcW w:w="26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loss per common share</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r>
      <w:tr>
        <w:trPr>
          <w:trHeight w:val="221"/>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2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184"/>
        </w:trPr>
        <w:tc>
          <w:tcPr>
            <w:tcW w:w="260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common</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r>
      <w:tr>
        <w:trPr>
          <w:trHeight w:val="221"/>
        </w:trPr>
        <w:tc>
          <w:tcPr>
            <w:tcW w:w="260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82,092,167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59,251,363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72,194,402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58,904,726</w:t>
            </w: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r>
      <w:tr>
        <w:trPr>
          <w:trHeight w:val="203"/>
        </w:trPr>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(31,207)</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(33,291)</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(59,269)</w:t>
            </w:r>
          </w:p>
        </w:tc>
        <w:tc>
          <w:tcPr>
            <w:tcW w:w="24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(64,555)</w:t>
            </w:r>
          </w:p>
        </w:tc>
      </w:tr>
      <w:tr>
        <w:trPr>
          <w:trHeight w:val="184"/>
        </w:trPr>
        <w:tc>
          <w:tcPr>
            <w:tcW w:w="26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Unrealized (loss) gain on</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r>
      <w:tr>
        <w:trPr>
          <w:trHeight w:val="221"/>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1,255</w:t>
            </w:r>
          </w:p>
        </w:tc>
      </w:tr>
      <w:tr>
        <w:trPr>
          <w:trHeight w:val="184"/>
        </w:trPr>
        <w:tc>
          <w:tcPr>
            <w:tcW w:w="2600" w:type="dxa"/>
            <w:vAlign w:val="bottom"/>
          </w:tcPr>
          <w:p>
            <w:pPr>
              <w:ind w:left="120"/>
              <w:spacing w:after="0" w:line="183" w:lineRule="exact"/>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21"/>
        </w:trPr>
        <w:tc>
          <w:tcPr>
            <w:tcW w:w="2600" w:type="dxa"/>
            <w:vAlign w:val="bottom"/>
          </w:tcPr>
          <w:p>
            <w:pPr>
              <w:ind w:left="120"/>
              <w:spacing w:after="0"/>
              <w:rPr>
                <w:sz w:val="20"/>
                <w:szCs w:val="20"/>
                <w:color w:val="auto"/>
              </w:rPr>
            </w:pPr>
            <w:r>
              <w:rPr>
                <w:rFonts w:ascii="Arial" w:cs="Arial" w:eastAsia="Arial" w:hAnsi="Arial"/>
                <w:sz w:val="18"/>
                <w:szCs w:val="18"/>
                <w:color w:val="auto"/>
              </w:rPr>
              <w:t>gain (loss)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196"/>
        </w:trPr>
        <w:tc>
          <w:tcPr>
            <w:tcW w:w="26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(59,686)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(63,300)</w:t>
            </w:r>
          </w:p>
        </w:tc>
      </w:tr>
      <w:tr>
        <w:trPr>
          <w:trHeight w:val="20"/>
        </w:trPr>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181" w:lineRule="auto"/>
        <w:rPr>
          <w:sz w:val="20"/>
          <w:szCs w:val="20"/>
          <w:color w:val="auto"/>
        </w:rPr>
      </w:pPr>
      <w:r>
        <w:rPr>
          <w:rFonts w:ascii="Arial" w:cs="Arial" w:eastAsia="Arial" w:hAnsi="Arial"/>
          <w:sz w:val="25"/>
          <w:szCs w:val="25"/>
          <w:b w:val="1"/>
          <w:bCs w:val="1"/>
          <w:color w:val="auto"/>
        </w:rPr>
        <w:t>(Unaudited)</w:t>
      </w: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6480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4"/>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ind w:left="140"/>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780" w:type="dxa"/>
            <w:vAlign w:val="bottom"/>
          </w:tcPr>
          <w:p>
            <w:pPr>
              <w:jc w:val="right"/>
              <w:ind w:right="4"/>
              <w:spacing w:after="0" w:line="155"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63"/>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line="155"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104"/>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9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2023</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60,335,701</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ind w:right="3"/>
              <w:spacing w:after="0" w:line="115" w:lineRule="exact"/>
              <w:rPr>
                <w:sz w:val="20"/>
                <w:szCs w:val="20"/>
                <w:color w:val="auto"/>
              </w:rPr>
            </w:pPr>
            <w:r>
              <w:rPr>
                <w:rFonts w:ascii="Arial" w:cs="Arial" w:eastAsia="Arial" w:hAnsi="Arial"/>
                <w:sz w:val="11"/>
                <w:szCs w:val="11"/>
                <w:b w:val="1"/>
                <w:bCs w:val="1"/>
                <w:color w:val="auto"/>
              </w:rPr>
              <w:t>840,407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(655,771)</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184,750</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 and 2021 ESPP</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220,647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366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366</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34,900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142</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109,108</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3960" w:type="dxa"/>
            <w:vAlign w:val="bottom"/>
          </w:tcPr>
          <w:p>
            <w:pPr>
              <w:spacing w:after="0" w:line="109" w:lineRule="exact"/>
              <w:rPr>
                <w:sz w:val="20"/>
                <w:szCs w:val="20"/>
                <w:color w:val="auto"/>
              </w:rPr>
            </w:pPr>
            <w:r>
              <w:rPr>
                <w:rFonts w:ascii="Arial" w:cs="Arial" w:eastAsia="Arial" w:hAnsi="Arial"/>
                <w:sz w:val="11"/>
                <w:szCs w:val="11"/>
                <w:color w:val="auto"/>
              </w:rPr>
              <w:t>Issuance of common stock upon the exercise of ATM, net of underwriting</w:t>
            </w: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20"/>
                <w:szCs w:val="20"/>
                <w:color w:val="auto"/>
              </w:rPr>
            </w:pPr>
            <w:r>
              <w:rPr>
                <w:rFonts w:ascii="Arial" w:cs="Arial" w:eastAsia="Arial" w:hAnsi="Arial"/>
                <w:sz w:val="11"/>
                <w:szCs w:val="11"/>
                <w:color w:val="auto"/>
              </w:rPr>
              <w:t>discounts and commissions and other issuance costs</w:t>
            </w:r>
          </w:p>
        </w:tc>
        <w:tc>
          <w:tcPr>
            <w:tcW w:w="780" w:type="dxa"/>
            <w:vAlign w:val="bottom"/>
          </w:tcPr>
          <w:p>
            <w:pPr>
              <w:jc w:val="right"/>
              <w:spacing w:after="0"/>
              <w:rPr>
                <w:sz w:val="20"/>
                <w:szCs w:val="20"/>
                <w:color w:val="auto"/>
              </w:rPr>
            </w:pPr>
            <w:r>
              <w:rPr>
                <w:rFonts w:ascii="Arial" w:cs="Arial" w:eastAsia="Arial" w:hAnsi="Arial"/>
                <w:sz w:val="11"/>
                <w:szCs w:val="11"/>
                <w:color w:val="auto"/>
              </w:rPr>
              <w:t>4,084,502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17,829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17,829</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(351)</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3,207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3,207</w:t>
            </w:r>
          </w:p>
        </w:tc>
        <w:tc>
          <w:tcPr>
            <w:tcW w:w="0" w:type="dxa"/>
            <w:vAlign w:val="bottom"/>
          </w:tcPr>
          <w:p>
            <w:pPr>
              <w:spacing w:after="0"/>
              <w:rPr>
                <w:sz w:val="1"/>
                <w:szCs w:val="1"/>
                <w:color w:val="auto"/>
              </w:rPr>
            </w:pPr>
          </w:p>
        </w:tc>
      </w:tr>
      <w:tr>
        <w:trPr>
          <w:trHeight w:val="122"/>
        </w:trPr>
        <w:tc>
          <w:tcPr>
            <w:tcW w:w="396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(28,062)</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(28,062)</w:t>
            </w:r>
          </w:p>
        </w:tc>
        <w:tc>
          <w:tcPr>
            <w:tcW w:w="0" w:type="dxa"/>
            <w:vAlign w:val="bottom"/>
          </w:tcPr>
          <w:p>
            <w:pPr>
              <w:spacing w:after="0"/>
              <w:rPr>
                <w:sz w:val="1"/>
                <w:szCs w:val="1"/>
                <w:color w:val="auto"/>
              </w:rPr>
            </w:pPr>
          </w:p>
        </w:tc>
      </w:tr>
      <w:tr>
        <w:trPr>
          <w:trHeight w:val="115"/>
        </w:trPr>
        <w:tc>
          <w:tcPr>
            <w:tcW w:w="396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2024</w:t>
            </w: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64,809,592</w:t>
            </w:r>
          </w:p>
        </w:tc>
        <w:tc>
          <w:tcPr>
            <w:tcW w:w="1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ind w:right="3"/>
              <w:spacing w:after="0" w:line="115" w:lineRule="exact"/>
              <w:rPr>
                <w:sz w:val="20"/>
                <w:szCs w:val="20"/>
                <w:color w:val="auto"/>
              </w:rPr>
            </w:pPr>
            <w:r>
              <w:rPr>
                <w:rFonts w:ascii="Arial" w:cs="Arial" w:eastAsia="Arial" w:hAnsi="Arial"/>
                <w:sz w:val="11"/>
                <w:szCs w:val="11"/>
                <w:b w:val="1"/>
                <w:bCs w:val="1"/>
                <w:color w:val="auto"/>
              </w:rPr>
              <w:t>861,951</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(683,833)</w:t>
            </w: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(241)</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177,883</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1"/>
                <w:szCs w:val="11"/>
                <w:color w:val="auto"/>
              </w:rPr>
              <w:t>Issuance of common stock upon the exercise of stock options and 2021 ESPP</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60" w:type="dxa"/>
            <w:vAlign w:val="bottom"/>
            <w:vMerge w:val="continue"/>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100,305</w:t>
            </w: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3"/>
              <w:spacing w:after="0" w:line="102" w:lineRule="exact"/>
              <w:rPr>
                <w:sz w:val="20"/>
                <w:szCs w:val="20"/>
                <w:color w:val="auto"/>
              </w:rPr>
            </w:pPr>
            <w:r>
              <w:rPr>
                <w:rFonts w:ascii="Arial" w:cs="Arial" w:eastAsia="Arial" w:hAnsi="Arial"/>
                <w:sz w:val="11"/>
                <w:szCs w:val="11"/>
                <w:color w:val="auto"/>
              </w:rPr>
              <w:t>103</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103</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27,169</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141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141</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in connection with the transaction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3,741,646</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15,154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15,154</w:t>
            </w:r>
          </w:p>
        </w:tc>
        <w:tc>
          <w:tcPr>
            <w:tcW w:w="0" w:type="dxa"/>
            <w:vAlign w:val="bottom"/>
          </w:tcPr>
          <w:p>
            <w:pPr>
              <w:spacing w:after="0"/>
              <w:rPr>
                <w:sz w:val="1"/>
                <w:szCs w:val="1"/>
                <w:color w:val="auto"/>
              </w:rPr>
            </w:pPr>
          </w:p>
        </w:tc>
      </w:tr>
      <w:tr>
        <w:trPr>
          <w:trHeight w:val="108"/>
        </w:trPr>
        <w:tc>
          <w:tcPr>
            <w:tcW w:w="39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 exercise of PIPE, net of underwriting</w:t>
            </w: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1"/>
                <w:szCs w:val="11"/>
                <w:color w:val="auto"/>
              </w:rPr>
              <w:t>discounts and commissions and other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15,873,011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56,593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56,595</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(102)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(102)</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34</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3,503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3,503</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(31,207)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(31,207)</w:t>
            </w:r>
          </w:p>
        </w:tc>
        <w:tc>
          <w:tcPr>
            <w:tcW w:w="0" w:type="dxa"/>
            <w:vAlign w:val="bottom"/>
          </w:tcPr>
          <w:p>
            <w:pPr>
              <w:spacing w:after="0"/>
              <w:rPr>
                <w:sz w:val="1"/>
                <w:szCs w:val="1"/>
                <w:color w:val="auto"/>
              </w:rPr>
            </w:pPr>
          </w:p>
        </w:tc>
      </w:tr>
      <w:tr>
        <w:trPr>
          <w:trHeight w:val="115"/>
        </w:trPr>
        <w:tc>
          <w:tcPr>
            <w:tcW w:w="39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June 30, 2024</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84,551,723</w:t>
            </w:r>
          </w:p>
        </w:tc>
        <w:tc>
          <w:tcPr>
            <w:tcW w:w="14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b w:val="1"/>
                <w:bCs w:val="1"/>
                <w:color w:val="auto"/>
              </w:rPr>
              <w:t>937,445</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(715,040)</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(309)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222,104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3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4"/>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ind w:left="140"/>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780" w:type="dxa"/>
            <w:vAlign w:val="bottom"/>
          </w:tcPr>
          <w:p>
            <w:pPr>
              <w:jc w:val="right"/>
              <w:ind w:right="4"/>
              <w:spacing w:after="0" w:line="155"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63"/>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line="155"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104"/>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9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320" w:type="dxa"/>
            <w:vAlign w:val="bottom"/>
            <w:tcBorders>
              <w:top w:val="single" w:sz="8" w:color="auto"/>
            </w:tcBorders>
            <w:gridSpan w:val="2"/>
            <w:shd w:val="clear" w:color="auto" w:fill="CCEEFF"/>
          </w:tcPr>
          <w:p>
            <w:pPr>
              <w:jc w:val="right"/>
              <w:ind w:right="71"/>
              <w:spacing w:after="0" w:line="115" w:lineRule="exact"/>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ind w:right="3"/>
              <w:spacing w:after="0" w:line="115" w:lineRule="exact"/>
              <w:rPr>
                <w:sz w:val="20"/>
                <w:szCs w:val="20"/>
                <w:color w:val="auto"/>
              </w:rPr>
            </w:pPr>
            <w:r>
              <w:rPr>
                <w:rFonts w:ascii="Arial" w:cs="Arial" w:eastAsia="Arial" w:hAnsi="Arial"/>
                <w:sz w:val="11"/>
                <w:szCs w:val="11"/>
                <w:b w:val="1"/>
                <w:bCs w:val="1"/>
                <w:color w:val="auto"/>
              </w:rPr>
              <w:t>824,292</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302,738</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452,102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448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448</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95,877</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85,145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269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3,797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3,797</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(31,264)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(31,264)</w:t>
            </w:r>
          </w:p>
        </w:tc>
        <w:tc>
          <w:tcPr>
            <w:tcW w:w="0" w:type="dxa"/>
            <w:vAlign w:val="bottom"/>
          </w:tcPr>
          <w:p>
            <w:pPr>
              <w:spacing w:after="0"/>
              <w:rPr>
                <w:sz w:val="1"/>
                <w:szCs w:val="1"/>
                <w:color w:val="auto"/>
              </w:rPr>
            </w:pPr>
          </w:p>
        </w:tc>
      </w:tr>
      <w:tr>
        <w:trPr>
          <w:trHeight w:val="115"/>
        </w:trPr>
        <w:tc>
          <w:tcPr>
            <w:tcW w:w="39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2023</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59,106,784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line="115" w:lineRule="exact"/>
              <w:rPr>
                <w:sz w:val="20"/>
                <w:szCs w:val="20"/>
                <w:color w:val="auto"/>
              </w:rPr>
            </w:pPr>
            <w:r>
              <w:rPr>
                <w:rFonts w:ascii="Arial" w:cs="Arial" w:eastAsia="Arial" w:hAnsi="Arial"/>
                <w:sz w:val="11"/>
                <w:szCs w:val="11"/>
                <w:b w:val="1"/>
                <w:bCs w:val="1"/>
                <w:color w:val="auto"/>
              </w:rPr>
              <w:t>828,806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(550,362)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(1,275)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277,175</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1"/>
                <w:szCs w:val="11"/>
                <w:color w:val="auto"/>
              </w:rPr>
              <w:t>Issuance of common stock upon the exercise of stock options</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60" w:type="dxa"/>
            <w:vAlign w:val="bottom"/>
            <w:vMerge w:val="continue"/>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118,567</w:t>
            </w: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3"/>
              <w:spacing w:after="0" w:line="102" w:lineRule="exact"/>
              <w:rPr>
                <w:sz w:val="20"/>
                <w:szCs w:val="20"/>
                <w:color w:val="auto"/>
              </w:rPr>
            </w:pPr>
            <w:r>
              <w:rPr>
                <w:rFonts w:ascii="Arial" w:cs="Arial" w:eastAsia="Arial" w:hAnsi="Arial"/>
                <w:sz w:val="11"/>
                <w:szCs w:val="11"/>
                <w:color w:val="auto"/>
              </w:rPr>
              <w:t>125</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125</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83,645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209</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59</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3,285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3,285</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(33,291)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(33,291)</w:t>
            </w:r>
          </w:p>
        </w:tc>
        <w:tc>
          <w:tcPr>
            <w:tcW w:w="0" w:type="dxa"/>
            <w:vAlign w:val="bottom"/>
          </w:tcPr>
          <w:p>
            <w:pPr>
              <w:spacing w:after="0"/>
              <w:rPr>
                <w:sz w:val="1"/>
                <w:szCs w:val="1"/>
                <w:color w:val="auto"/>
              </w:rPr>
            </w:pPr>
          </w:p>
        </w:tc>
      </w:tr>
      <w:tr>
        <w:trPr>
          <w:trHeight w:val="115"/>
        </w:trPr>
        <w:tc>
          <w:tcPr>
            <w:tcW w:w="39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2023</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59,308,996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line="115" w:lineRule="exact"/>
              <w:rPr>
                <w:sz w:val="20"/>
                <w:szCs w:val="20"/>
                <w:color w:val="auto"/>
              </w:rPr>
            </w:pPr>
            <w:r>
              <w:rPr>
                <w:rFonts w:ascii="Arial" w:cs="Arial" w:eastAsia="Arial" w:hAnsi="Arial"/>
                <w:sz w:val="11"/>
                <w:szCs w:val="11"/>
                <w:b w:val="1"/>
                <w:bCs w:val="1"/>
                <w:color w:val="auto"/>
              </w:rPr>
              <w:t>832,425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(583,653)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(1,207)</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247,571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4808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color w:val="auto"/>
              </w:rPr>
              <w:t>Six Months Ended</w:t>
            </w:r>
          </w:p>
        </w:tc>
        <w:tc>
          <w:tcPr>
            <w:tcW w:w="160" w:type="dxa"/>
            <w:vAlign w:val="bottom"/>
          </w:tcPr>
          <w:p>
            <w:pPr>
              <w:spacing w:after="0"/>
              <w:rPr>
                <w:sz w:val="14"/>
                <w:szCs w:val="14"/>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color w:val="auto"/>
              </w:rPr>
              <w:t>June 30, 2024</w:t>
            </w:r>
          </w:p>
        </w:tc>
        <w:tc>
          <w:tcPr>
            <w:tcW w:w="160" w:type="dxa"/>
            <w:vAlign w:val="bottom"/>
          </w:tcPr>
          <w:p>
            <w:pPr>
              <w:spacing w:after="0"/>
              <w:rPr>
                <w:sz w:val="16"/>
                <w:szCs w:val="16"/>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(59,269)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880" w:type="dxa"/>
            <w:vAlign w:val="bottom"/>
            <w:gridSpan w:val="2"/>
          </w:tcPr>
          <w:p>
            <w:pPr>
              <w:jc w:val="right"/>
              <w:ind w:right="380"/>
              <w:spacing w:after="0"/>
              <w:rPr>
                <w:sz w:val="20"/>
                <w:szCs w:val="20"/>
                <w:color w:val="auto"/>
              </w:rPr>
            </w:pPr>
            <w:r>
              <w:rPr>
                <w:rFonts w:ascii="Arial" w:cs="Arial" w:eastAsia="Arial" w:hAnsi="Arial"/>
                <w:sz w:val="14"/>
                <w:szCs w:val="14"/>
                <w:color w:val="auto"/>
              </w:rPr>
              <w:t>(64,555)</w:t>
            </w:r>
          </w:p>
        </w:tc>
        <w:tc>
          <w:tcPr>
            <w:tcW w:w="0" w:type="dxa"/>
            <w:vAlign w:val="bottom"/>
          </w:tcPr>
          <w:p>
            <w:pPr>
              <w:spacing w:after="0"/>
              <w:rPr>
                <w:sz w:val="1"/>
                <w:szCs w:val="1"/>
                <w:color w:val="auto"/>
              </w:rPr>
            </w:pPr>
          </w:p>
        </w:tc>
      </w:tr>
      <w:tr>
        <w:trPr>
          <w:trHeight w:val="153"/>
        </w:trPr>
        <w:tc>
          <w:tcPr>
            <w:tcW w:w="4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activities: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6,688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6,142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Non-cash operating lease expense (benefit)</w:t>
            </w:r>
          </w:p>
        </w:tc>
        <w:tc>
          <w:tcPr>
            <w:tcW w:w="16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4"/>
                <w:szCs w:val="14"/>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7,082</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Impairment</w:t>
            </w:r>
          </w:p>
        </w:tc>
        <w:tc>
          <w:tcPr>
            <w:tcW w:w="160" w:type="dxa"/>
            <w:vAlign w:val="bottom"/>
          </w:tcPr>
          <w:p>
            <w:pPr>
              <w:spacing w:after="0"/>
              <w:rPr>
                <w:sz w:val="14"/>
                <w:szCs w:val="14"/>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4,220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Amortization/accretion of investments</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(2,458)</w:t>
            </w: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Change in fair value of contingent liabilities</w:t>
            </w:r>
          </w:p>
        </w:tc>
        <w:tc>
          <w:tcPr>
            <w:tcW w:w="16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(782)</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Escrow deposit</w:t>
            </w:r>
          </w:p>
        </w:tc>
        <w:tc>
          <w:tcPr>
            <w:tcW w:w="160" w:type="dxa"/>
            <w:vAlign w:val="bottom"/>
          </w:tcPr>
          <w:p>
            <w:pPr>
              <w:spacing w:after="0"/>
              <w:rPr>
                <w:sz w:val="14"/>
                <w:szCs w:val="14"/>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(2,122)</w:t>
            </w: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Operating lease liability</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6,723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(1,625)</w:t>
            </w: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(1,189)</w:t>
            </w:r>
          </w:p>
        </w:tc>
        <w:tc>
          <w:tcPr>
            <w:tcW w:w="160" w:type="dxa"/>
            <w:vAlign w:val="bottom"/>
          </w:tcPr>
          <w:p>
            <w:pPr>
              <w:spacing w:after="0"/>
              <w:rPr>
                <w:sz w:val="14"/>
                <w:szCs w:val="14"/>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4"/>
                <w:szCs w:val="14"/>
                <w:color w:val="auto"/>
              </w:rPr>
              <w:t>(3,468)</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(3,557)</w:t>
            </w: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Non-current security deposit</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80" w:type="dxa"/>
            <w:vAlign w:val="bottom"/>
            <w:tcBorders>
              <w:top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(57,580)</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(48,469)</w:t>
            </w:r>
          </w:p>
        </w:tc>
        <w:tc>
          <w:tcPr>
            <w:tcW w:w="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6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(804)</w:t>
            </w:r>
          </w:p>
        </w:tc>
        <w:tc>
          <w:tcPr>
            <w:tcW w:w="160" w:type="dxa"/>
            <w:vAlign w:val="bottom"/>
          </w:tcPr>
          <w:p>
            <w:pPr>
              <w:spacing w:after="0"/>
              <w:rPr>
                <w:sz w:val="14"/>
                <w:szCs w:val="14"/>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4"/>
                <w:szCs w:val="14"/>
                <w:color w:val="auto"/>
              </w:rPr>
              <w:t>(9,491)</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(88,947)</w:t>
            </w: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(141,843)</w:t>
            </w: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77,036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189,646</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Clade Therapeutics, Inc., net of cash acquired</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(9,608)</w:t>
            </w: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(used in) provided by investing activities</w:t>
            </w:r>
          </w:p>
        </w:tc>
        <w:tc>
          <w:tcPr>
            <w:tcW w:w="16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(22,323)</w:t>
            </w:r>
          </w:p>
        </w:tc>
        <w:tc>
          <w:tcPr>
            <w:tcW w:w="2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38,312</w:t>
            </w:r>
          </w:p>
        </w:tc>
        <w:tc>
          <w:tcPr>
            <w:tcW w:w="3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Proceeds from issuance of common stock and ESPP</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572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on long term debt</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Proceeds from ATM, net of issuance costs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17,829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PIPE, net of issuance costs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56,593</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74,892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(9,669)</w:t>
            </w:r>
          </w:p>
        </w:tc>
        <w:tc>
          <w:tcPr>
            <w:tcW w:w="0" w:type="dxa"/>
            <w:vAlign w:val="bottom"/>
          </w:tcPr>
          <w:p>
            <w:pPr>
              <w:spacing w:after="0"/>
              <w:rPr>
                <w:sz w:val="1"/>
                <w:szCs w:val="1"/>
                <w:color w:val="auto"/>
              </w:rPr>
            </w:pPr>
          </w:p>
        </w:tc>
      </w:tr>
      <w:tr>
        <w:trPr>
          <w:trHeight w:val="156"/>
        </w:trPr>
        <w:tc>
          <w:tcPr>
            <w:tcW w:w="49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8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Net (decrease) increase in cash, cash equivalents, and</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tcPr>
          <w:p>
            <w:pPr>
              <w:ind w:left="340"/>
              <w:spacing w:after="0"/>
              <w:rPr>
                <w:sz w:val="20"/>
                <w:szCs w:val="20"/>
                <w:color w:val="auto"/>
              </w:rPr>
            </w:pPr>
            <w:r>
              <w:rPr>
                <w:rFonts w:ascii="Arial" w:cs="Arial" w:eastAsia="Arial" w:hAnsi="Arial"/>
                <w:sz w:val="14"/>
                <w:szCs w:val="14"/>
                <w:b w:val="1"/>
                <w:bCs w:val="1"/>
                <w:color w:val="auto"/>
              </w:rPr>
              <w:t>restricted cash</w:t>
            </w:r>
          </w:p>
        </w:tc>
        <w:tc>
          <w:tcPr>
            <w:tcW w:w="16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(5,011)</w:t>
            </w:r>
          </w:p>
        </w:tc>
        <w:tc>
          <w:tcPr>
            <w:tcW w:w="160" w:type="dxa"/>
            <w:vAlign w:val="bottom"/>
          </w:tcPr>
          <w:p>
            <w:pPr>
              <w:spacing w:after="0"/>
              <w:rPr>
                <w:sz w:val="14"/>
                <w:szCs w:val="14"/>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(19,826)</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86,244</w:t>
            </w: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44,292</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66,418</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Cash paid for income tax</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191</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911</w:t>
            </w:r>
          </w:p>
        </w:tc>
        <w:tc>
          <w:tcPr>
            <w:tcW w:w="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activities: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Stock issued in connection with the Acquisition</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15,154</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120"/>
              <w:spacing w:after="0"/>
              <w:rPr>
                <w:sz w:val="20"/>
                <w:szCs w:val="20"/>
                <w:color w:val="auto"/>
              </w:rPr>
            </w:pPr>
            <w:r>
              <w:rPr>
                <w:rFonts w:ascii="Arial" w:cs="Arial" w:eastAsia="Arial" w:hAnsi="Arial"/>
                <w:sz w:val="14"/>
                <w:szCs w:val="14"/>
                <w:color w:val="auto"/>
              </w:rPr>
              <w:t>Purchase of property and equipment, accrued and unpaid</w:t>
            </w: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w w:val="76"/>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1,639</w:t>
            </w:r>
          </w:p>
        </w:tc>
        <w:tc>
          <w:tcPr>
            <w:tcW w:w="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shd w:val="clear" w:color="auto" w:fill="CCEEFF"/>
          </w:tcPr>
          <w:p>
            <w:pPr>
              <w:ind w:left="120"/>
              <w:spacing w:after="0" w:line="143" w:lineRule="exact"/>
              <w:rPr>
                <w:sz w:val="20"/>
                <w:szCs w:val="20"/>
                <w:color w:val="auto"/>
              </w:rPr>
            </w:pPr>
            <w:r>
              <w:rPr>
                <w:rFonts w:ascii="Arial" w:cs="Arial" w:eastAsia="Arial" w:hAnsi="Arial"/>
                <w:sz w:val="14"/>
                <w:szCs w:val="14"/>
                <w:color w:val="auto"/>
              </w:rPr>
              <w:t>Landlord paid leasehold improvements</w:t>
            </w:r>
          </w:p>
        </w:tc>
        <w:tc>
          <w:tcPr>
            <w:tcW w:w="160" w:type="dxa"/>
            <w:vAlign w:val="bottom"/>
            <w:tcBorders>
              <w:bottom w:val="single" w:sz="8" w:color="auto"/>
            </w:tcBorders>
            <w:shd w:val="clear" w:color="auto" w:fill="CCEEFF"/>
          </w:tcPr>
          <w:p>
            <w:pPr>
              <w:jc w:val="right"/>
              <w:ind w:right="8"/>
              <w:spacing w:after="0" w:line="143" w:lineRule="exact"/>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934</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3" w:lineRule="exact"/>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83"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the Company’s subsidiaries, Century Therapeutics Canada ULC (“Century Canada”), Clade Therapeutics (“Clade”) and Gadeta B.V. (“Gadeta”). All intercompany balances and transactions have been eliminated in consolidation.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9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Since inception, the Company has incurred net losses and negative cash flows from operations. During the three and six months ended June 30, 2024, the Company incurred a net loss of $31,207 and $ 59,269, respectively. During the six months ended June 30, 2024, the Company used $57,580 of cash in operations. Cash and cash equivalents and investments were $269,628 at June 30, 2024.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interim period reporting requirements of Form 10-Q and Article 10 of Regulation S-X. The consolidated balance sheet as of June 30, 2024, and the consolidated statements of operations and comprehensive loss, consolidated statements of changes in stockholders’ equity, and the consolidated statements of cash flows for the six months ended June 30, 2024 and 2023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2024 or for any other subsequent interim period. The consolidated balance sheet at December 31, 2023 has been derived from the Company’s audited consolidated financial statements.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prior year information has been reclassified to conform to the fiscal year 2024 presentation.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83"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6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intangible assets acquired in business combinations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June 30, 2024 and December 31, 2023, the Company has not experienced any losses on its deposits of cash and cash equivalents.</w:t>
      </w:r>
    </w:p>
    <w:p>
      <w:pPr>
        <w:spacing w:after="0" w:line="13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6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44" w:lineRule="exact"/>
        <w:rPr>
          <w:sz w:val="20"/>
          <w:szCs w:val="20"/>
          <w:color w:val="auto"/>
        </w:rPr>
      </w:pPr>
    </w:p>
    <w:p>
      <w:pPr>
        <w:ind w:left="700" w:right="359" w:hanging="647"/>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13" w:lineRule="exact"/>
        <w:rPr>
          <w:sz w:val="20"/>
          <w:szCs w:val="20"/>
          <w:color w:val="auto"/>
        </w:rPr>
      </w:pPr>
    </w:p>
    <w:p>
      <w:pPr>
        <w:ind w:left="700" w:right="279" w:hanging="647"/>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647"/>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83"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As of June 30, 2024 and December 31, 2023, the Company had $2,835 and $1,979, respectively in cash on deposit to secure certain lease commitments. Restricted cash is recorded separately in the Company’s consolidated balance sheets.</w:t>
      </w:r>
    </w:p>
    <w:p>
      <w:pPr>
        <w:spacing w:after="0" w:line="128"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June 30, 2024</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2023</w:t>
            </w:r>
          </w:p>
        </w:tc>
      </w:tr>
      <w:tr>
        <w:trPr>
          <w:trHeight w:val="196"/>
        </w:trPr>
        <w:tc>
          <w:tcPr>
            <w:tcW w:w="6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41,457</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47,324</w:t>
            </w:r>
          </w:p>
        </w:tc>
      </w:tr>
      <w:tr>
        <w:trPr>
          <w:trHeight w:val="203"/>
        </w:trPr>
        <w:tc>
          <w:tcPr>
            <w:tcW w:w="62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2,835</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196"/>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44,292</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49,303</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6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8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Black 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and comprehensive loss. The Company has not utilized any foreign currency hedging strategies to mitigate the effect of its foreign currency exposure.</w:t>
      </w:r>
    </w:p>
    <w:p>
      <w:pPr>
        <w:spacing w:after="0" w:line="127"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is anti-dilutive during periods of net loss, there were no differences between the Company’s basic and diluted net loss per common share for the three and six months ended June 30, 2024 and 2023.</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6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3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5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43"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53"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2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18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Acquisition-related contingent consideration consists of our future obligations owed to shareholders of Clade and Gadeta and includes contingent milestone payments, earn out considerations, and indemnification obligations. Acquisition-related contingent consideration was recorded on the acquisition date at the estimated fair value of the obligations, in accordance with the acquisition method of accounting. The fair value measurement is based on significant inputs that are unobservable in the market and thus represents a Level 3 fair value measurement. The fair value of the acquisition-related contingent considerations are remeasured each reporting period, with changes in fair value recorded in the consolidated statements of operations and comprehensive loss with general and administrative expense.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Combinations</w:t>
      </w:r>
    </w:p>
    <w:p>
      <w:pPr>
        <w:spacing w:after="0" w:line="169"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auto"/>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spacing w:after="0" w:line="7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 See “Note 3 – Business combination” for additional detail.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 and Intangible Assets</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Goodwill represents the excess of the purchase price over the net amount of identifiable assets acquired and liabilities assumed in a business combination measured at fair value. Goodwill is not amortized but is tested for impairment at least annually. The Company reviews goodwill for impairment annually in the fourth quarter and whenever events or changes in circumstances indicate that the fair value of a reporting unit may be less than its carrying amount (a triggering event). The Company first assesses qualitative factors to determine whether it is more likely than not that the fair value of its reporting unit is less than its carrying amount as a basis for determining whether it is necessary to perform the quantitative goodwill impairment test described in ASC Topic 350, Intangibles – Goodwill and Other. The more likely than not threshold is defined as having a likelihood of more than 50 percent. If, after assessing the totality of events or circumstances, the Company determines that it is not more likely than not that the fair value of a reporting unit is less than its carrying amount, then performing the quantitative goodwill impairment test is unnecessary and goodwill is considered to be unimpaired. However, if based on the qualitative assessment the Company concludes that it is more likely than not that the fair value of a reporting unit is less than its carrying amount, the Company will proceed with performing the quantitative goodwill impairment test. In performing the quantitative goodwill impairment test, the Company determines the fair value of its reporting unit and compares it to its carrying value. If the fair value of the reporting unit exceeds the carrying value of the net assets assigned to that unit, goodwill is not impaired. If the carrying value of the reporting unit exceeds its fair value, the Company records an impairment loss equal to the difference. For the three and six months ended June 30, 2024 there were no impairment charges.</w:t>
      </w:r>
    </w:p>
    <w:p>
      <w:pPr>
        <w:spacing w:after="0" w:line="16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they carrying value exceeds the estimated fair value, the Company records an impairment loss for the difference. For the three and six months ended June 30, 2024, there were no impairment charges. For further discussion of identified intangible assets, see “Note 3 – Business Combination”.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currently evaluating the impact of adopting this new accounting guidance.</w:t>
      </w:r>
    </w:p>
    <w:p>
      <w:pPr>
        <w:spacing w:after="0" w:line="16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November 2023, the Financial Accounting Standard Board ("FASB") issued Accounting Standards Update ("ASU") No. 2023-07, Segment Reporting (Topic 280):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the guidance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 – Business combination</w:t>
      </w:r>
    </w:p>
    <w:p>
      <w:pPr>
        <w:spacing w:after="0" w:line="187" w:lineRule="exact"/>
        <w:rPr>
          <w:sz w:val="20"/>
          <w:szCs w:val="20"/>
          <w:color w:val="auto"/>
        </w:rPr>
      </w:pPr>
    </w:p>
    <w:p>
      <w:pPr>
        <w:ind w:left="60" w:right="139"/>
        <w:spacing w:after="0" w:line="227" w:lineRule="auto"/>
        <w:rPr>
          <w:sz w:val="20"/>
          <w:szCs w:val="20"/>
          <w:color w:val="auto"/>
        </w:rPr>
      </w:pPr>
      <w:r>
        <w:rPr>
          <w:rFonts w:ascii="Arial" w:cs="Arial" w:eastAsia="Arial" w:hAnsi="Arial"/>
          <w:sz w:val="18"/>
          <w:szCs w:val="18"/>
          <w:color w:val="auto"/>
        </w:rPr>
        <w:t>On April 11, 2024, the Company acquired 100% of Clade, a privately-held biotechnology company focused on discovering and delivering engineerable, off-the-shelf, scalable, and consistent stem cell-based medicines, with a focus on iPSC-derived αβ T cells. The acquisition brings us novel technology enhancing our efforts on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 and a newly expanded pipeline incorporating three additional preclinical-stage programs from Clade’s αβ iT platform spanning across cancer and autoimmune diseases. The results of Clade’s operations have been included in the consolidated financial statements since that date. A total of 3,741,646 common shares were issued to the Clade shareholders on the date of close, which were valued based on the closing price of common stock on that date.</w:t>
      </w:r>
    </w:p>
    <w:p>
      <w:pPr>
        <w:spacing w:after="0" w:line="14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Contingent consideration was estimated at fair value on the date of the close and consists of both additional stock consideration (“Holdback Shares”) as well as a contingent milestone payment of $10 million (“Clade Milestone”). The Holdback Shares total up to 793,687 shares of common stock consideration which will be issued and delivered to the sellers on the eighteen-month anniversary of the Closing Date, subject to potential reduction based on indemnification claims favoring the Company, if any. This contingent consideration was recorded at fair value as of the closing date, based on the closing stock price on that date, adjusted for a discount for lack of marketability, and totaled $2.6 million. Contingent consideration also includes the Clade Milestone, which consists of one potential clinical development milestone payment of $ 10 million, which may be paid in cash, shares, or a combination thereof, upon the achievement of the milestone. The fair value of this contingent consideration was estimated based on the probability of milestone achievement, and an estimated discount rate, and totaled $7.1 million.</w:t>
      </w:r>
    </w:p>
    <w:p>
      <w:pPr>
        <w:spacing w:after="0" w:line="14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Company recognized $895 of acquisition-related costs during the period ended June 30, 2024, which were expensed as incurred in the consolidated statement of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provisional fair values of the assets acquired and liabilities assumed at the date of the acquisition:</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20"/>
                <w:szCs w:val="20"/>
                <w:color w:val="auto"/>
              </w:rPr>
              <w:t>Consideration transferred:</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consideration</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14,854</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Fair value of common stock (3,741,646 at closing price of $4.05)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15,154</w:t>
            </w:r>
          </w:p>
        </w:tc>
      </w:tr>
      <w:tr>
        <w:trPr>
          <w:trHeight w:val="216"/>
        </w:trPr>
        <w:tc>
          <w:tcPr>
            <w:tcW w:w="6740" w:type="dxa"/>
            <w:vAlign w:val="bottom"/>
            <w:tcBorders>
              <w:bottom w:val="single" w:sz="8" w:color="CCEEFF"/>
            </w:tcBorders>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9,722</w:t>
            </w:r>
          </w:p>
        </w:tc>
      </w:tr>
      <w:tr>
        <w:trPr>
          <w:trHeight w:val="209"/>
        </w:trPr>
        <w:tc>
          <w:tcPr>
            <w:tcW w:w="6740" w:type="dxa"/>
            <w:vAlign w:val="bottom"/>
            <w:tcBorders>
              <w:bottom w:val="single" w:sz="8" w:color="CCEEFF"/>
            </w:tcBorders>
            <w:shd w:val="clear" w:color="auto" w:fill="CCEEFF"/>
          </w:tcPr>
          <w:p>
            <w:pPr>
              <w:ind w:left="220"/>
              <w:spacing w:after="0" w:line="209" w:lineRule="exact"/>
              <w:rPr>
                <w:sz w:val="20"/>
                <w:szCs w:val="20"/>
                <w:color w:val="auto"/>
              </w:rPr>
            </w:pPr>
            <w:r>
              <w:rPr>
                <w:rFonts w:ascii="Arial" w:cs="Arial" w:eastAsia="Arial" w:hAnsi="Arial"/>
                <w:sz w:val="20"/>
                <w:szCs w:val="20"/>
                <w:color w:val="auto"/>
              </w:rPr>
              <w:t>Total consideration transferred</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Assets acquired: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and restricted cash</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5,246</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Prepaid expenses and other assets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400</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Property and equipment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2,652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Right-of-use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In-process research and development ("IPR&amp;D")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33,300</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Goodwill</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5,091</w:t>
            </w:r>
          </w:p>
        </w:tc>
      </w:tr>
      <w:tr>
        <w:trPr>
          <w:trHeight w:val="25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assets acquired</w:t>
            </w:r>
          </w:p>
        </w:tc>
        <w:tc>
          <w:tcPr>
            <w:tcW w:w="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54,754</w:t>
            </w:r>
          </w:p>
        </w:tc>
      </w:tr>
      <w:tr>
        <w:trPr>
          <w:trHeight w:val="196"/>
        </w:trPr>
        <w:tc>
          <w:tcPr>
            <w:tcW w:w="6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Liabilities assumed: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Accounts payable</w:t>
            </w:r>
          </w:p>
        </w:tc>
        <w:tc>
          <w:tcPr>
            <w:tcW w:w="800" w:type="dxa"/>
            <w:vAlign w:val="bottom"/>
            <w:gridSpan w:val="2"/>
            <w:shd w:val="clear" w:color="auto" w:fill="CCEEFF"/>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868</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Accrued expenses and other current liabilities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2,353</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Lease liabilities -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372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Deferred tax liability</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3,366</w:t>
            </w:r>
          </w:p>
        </w:tc>
      </w:tr>
      <w:tr>
        <w:trPr>
          <w:trHeight w:val="21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liabilities assumed</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15,024</w:t>
            </w:r>
          </w:p>
        </w:tc>
      </w:tr>
      <w:tr>
        <w:trPr>
          <w:trHeight w:val="210"/>
        </w:trPr>
        <w:tc>
          <w:tcPr>
            <w:tcW w:w="6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09"/>
        </w:trPr>
        <w:tc>
          <w:tcPr>
            <w:tcW w:w="6740" w:type="dxa"/>
            <w:vAlign w:val="bottom"/>
          </w:tcPr>
          <w:p>
            <w:pPr>
              <w:ind w:left="100"/>
              <w:spacing w:after="0" w:line="209" w:lineRule="exact"/>
              <w:rPr>
                <w:sz w:val="20"/>
                <w:szCs w:val="20"/>
                <w:color w:val="auto"/>
              </w:rPr>
            </w:pPr>
            <w:r>
              <w:rPr>
                <w:rFonts w:ascii="Arial" w:cs="Arial" w:eastAsia="Arial" w:hAnsi="Arial"/>
                <w:sz w:val="20"/>
                <w:szCs w:val="20"/>
                <w:color w:val="auto"/>
              </w:rPr>
              <w:t>Net assets acquired</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amounts above represent the Company's provisional fair value estimates related to the acquisition as of April 11, 2024 and are subject to subsequent adjustments as additional information is obtained during the applicable measurement period. The primary areas of estimates that are not yet finalized include the valuation of the identifiable intangible assets and income taxes. The purchase price was allocated to the tangible assets and identifiable intangible assets acquired and liabilities assumed based on their acquisition date estimated fair values. The identifiable intangible assets consist of IPR&amp;D which were assigned fair values of $33,300 million. The fair value of the IPR&amp;D was estimated using the multi-period excess earnings method, which the Company estimates future cash flows attributable to the technology and applies a probability of success and a discount rate of 16.4%.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nonrecurring fair value measurements are Level 3 measurements within the fair value hierarchy.</w:t>
      </w:r>
    </w:p>
    <w:p>
      <w:pPr>
        <w:spacing w:after="0" w:line="185"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Goodwill represents the excess of the purchase price over the net identifiable tangible and intangible assets acquired. The Company believes the goodwill related to the acquisition was attributable to the expected synergies, value of the assembled workforce as well as the collective experience of the management team with regards to its operations. The goodwill is not expected to be tax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Results for six months ended June 30, 2024, included a net loss of $2,113 from Clade. The following table presents unaudited supplemental pro forma financial information as if the Clade acquisition had occurred on January 1, 2023.</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color w:val="auto"/>
              </w:rPr>
              <w:t>Three Months Ended</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color w:val="auto"/>
              </w:rPr>
              <w:t>Three Months Ended</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color w:val="auto"/>
              </w:rPr>
              <w:t>Six Months Ended</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color w:val="auto"/>
              </w:rPr>
              <w:t>Six Months Ended</w:t>
            </w:r>
          </w:p>
        </w:tc>
      </w:tr>
      <w:tr>
        <w:trPr>
          <w:trHeight w:val="198"/>
        </w:trPr>
        <w:tc>
          <w:tcPr>
            <w:tcW w:w="108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color w:val="auto"/>
              </w:rPr>
              <w:t>June 30, 2024</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color w:val="auto"/>
              </w:rPr>
              <w:t>June 30, 2023</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color w:val="auto"/>
              </w:rPr>
              <w:t>June 30, 2024</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color w:val="auto"/>
              </w:rPr>
              <w:t>June 30, 2023</w:t>
            </w:r>
          </w:p>
        </w:tc>
      </w:tr>
      <w:tr>
        <w:trPr>
          <w:trHeight w:val="209"/>
        </w:trPr>
        <w:tc>
          <w:tcPr>
            <w:tcW w:w="1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w:t>
            </w:r>
          </w:p>
        </w:tc>
        <w:tc>
          <w:tcPr>
            <w:tcW w:w="1480" w:type="dxa"/>
            <w:vAlign w:val="bottom"/>
            <w:tcBorders>
              <w:top w:val="single" w:sz="8" w:color="auto"/>
            </w:tcBorders>
            <w:shd w:val="clear" w:color="auto" w:fill="CCEEFF"/>
          </w:tcPr>
          <w:p>
            <w:pPr>
              <w:jc w:val="right"/>
              <w:ind w:right="495"/>
              <w:spacing w:after="0" w:line="209" w:lineRule="exact"/>
              <w:rPr>
                <w:sz w:val="20"/>
                <w:szCs w:val="20"/>
                <w:color w:val="auto"/>
              </w:rPr>
            </w:pPr>
            <w:r>
              <w:rPr>
                <w:rFonts w:ascii="Arial" w:cs="Arial" w:eastAsia="Arial" w:hAnsi="Arial"/>
                <w:sz w:val="20"/>
                <w:szCs w:val="20"/>
                <w:color w:val="auto"/>
              </w:rPr>
              <w:t>771</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35"/>
              <w:spacing w:after="0" w:line="209" w:lineRule="exact"/>
              <w:rPr>
                <w:sz w:val="20"/>
                <w:szCs w:val="20"/>
                <w:color w:val="auto"/>
              </w:rPr>
            </w:pPr>
            <w:r>
              <w:rPr>
                <w:rFonts w:ascii="Arial" w:cs="Arial" w:eastAsia="Arial" w:hAnsi="Arial"/>
                <w:sz w:val="20"/>
                <w:szCs w:val="20"/>
                <w:color w:val="auto"/>
              </w:rPr>
              <w:t>99</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415"/>
              <w:spacing w:after="0" w:line="209" w:lineRule="exact"/>
              <w:rPr>
                <w:sz w:val="20"/>
                <w:szCs w:val="20"/>
                <w:color w:val="auto"/>
              </w:rPr>
            </w:pPr>
            <w:r>
              <w:rPr>
                <w:rFonts w:ascii="Arial" w:cs="Arial" w:eastAsia="Arial" w:hAnsi="Arial"/>
                <w:sz w:val="20"/>
                <w:szCs w:val="20"/>
                <w:color w:val="auto"/>
              </w:rPr>
              <w:t>1,625</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415"/>
              <w:spacing w:after="0" w:line="209" w:lineRule="exact"/>
              <w:rPr>
                <w:sz w:val="20"/>
                <w:szCs w:val="20"/>
                <w:color w:val="auto"/>
              </w:rPr>
            </w:pPr>
            <w:r>
              <w:rPr>
                <w:rFonts w:ascii="Arial" w:cs="Arial" w:eastAsia="Arial" w:hAnsi="Arial"/>
                <w:sz w:val="20"/>
                <w:szCs w:val="20"/>
                <w:color w:val="auto"/>
              </w:rPr>
              <w:t>1,819</w:t>
            </w:r>
          </w:p>
        </w:tc>
        <w:tc>
          <w:tcPr>
            <w:tcW w:w="220" w:type="dxa"/>
            <w:vAlign w:val="bottom"/>
            <w:tcBorders>
              <w:top w:val="single" w:sz="8" w:color="CCEEFF"/>
            </w:tcBorders>
            <w:shd w:val="clear" w:color="auto" w:fill="CCEEFF"/>
          </w:tcPr>
          <w:p>
            <w:pPr>
              <w:spacing w:after="0"/>
              <w:rPr>
                <w:sz w:val="18"/>
                <w:szCs w:val="18"/>
                <w:color w:val="auto"/>
              </w:rPr>
            </w:pPr>
          </w:p>
        </w:tc>
      </w:tr>
      <w:tr>
        <w:trPr>
          <w:trHeight w:val="261"/>
        </w:trPr>
        <w:tc>
          <w:tcPr>
            <w:tcW w:w="1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80" w:type="dxa"/>
            <w:vAlign w:val="bottom"/>
          </w:tcPr>
          <w:p>
            <w:pPr>
              <w:jc w:val="right"/>
              <w:ind w:right="295"/>
              <w:spacing w:after="0"/>
              <w:rPr>
                <w:sz w:val="20"/>
                <w:szCs w:val="20"/>
                <w:color w:val="auto"/>
              </w:rPr>
            </w:pPr>
            <w:r>
              <w:rPr>
                <w:rFonts w:ascii="Arial" w:cs="Arial" w:eastAsia="Arial" w:hAnsi="Arial"/>
                <w:sz w:val="20"/>
                <w:szCs w:val="20"/>
                <w:color w:val="auto"/>
              </w:rPr>
              <w:t>(33,189)</w:t>
            </w:r>
          </w:p>
        </w:tc>
        <w:tc>
          <w:tcPr>
            <w:tcW w:w="220" w:type="dxa"/>
            <w:vAlign w:val="bottom"/>
          </w:tcPr>
          <w:p>
            <w:pPr>
              <w:spacing w:after="0"/>
              <w:rPr>
                <w:sz w:val="22"/>
                <w:szCs w:val="22"/>
                <w:color w:val="auto"/>
              </w:rPr>
            </w:pPr>
          </w:p>
        </w:tc>
        <w:tc>
          <w:tcPr>
            <w:tcW w:w="1480" w:type="dxa"/>
            <w:vAlign w:val="bottom"/>
          </w:tcPr>
          <w:p>
            <w:pPr>
              <w:jc w:val="right"/>
              <w:ind w:right="295"/>
              <w:spacing w:after="0"/>
              <w:rPr>
                <w:sz w:val="20"/>
                <w:szCs w:val="20"/>
                <w:color w:val="auto"/>
              </w:rPr>
            </w:pPr>
            <w:r>
              <w:rPr>
                <w:rFonts w:ascii="Arial" w:cs="Arial" w:eastAsia="Arial" w:hAnsi="Arial"/>
                <w:sz w:val="20"/>
                <w:szCs w:val="20"/>
                <w:color w:val="auto"/>
              </w:rPr>
              <w:t>(34,136)</w:t>
            </w:r>
          </w:p>
        </w:tc>
        <w:tc>
          <w:tcPr>
            <w:tcW w:w="220" w:type="dxa"/>
            <w:vAlign w:val="bottom"/>
          </w:tcPr>
          <w:p>
            <w:pPr>
              <w:spacing w:after="0"/>
              <w:rPr>
                <w:sz w:val="22"/>
                <w:szCs w:val="22"/>
                <w:color w:val="auto"/>
              </w:rPr>
            </w:pPr>
          </w:p>
        </w:tc>
        <w:tc>
          <w:tcPr>
            <w:tcW w:w="1480" w:type="dxa"/>
            <w:vAlign w:val="bottom"/>
          </w:tcPr>
          <w:p>
            <w:pPr>
              <w:jc w:val="right"/>
              <w:ind w:right="275"/>
              <w:spacing w:after="0"/>
              <w:rPr>
                <w:sz w:val="20"/>
                <w:szCs w:val="20"/>
                <w:color w:val="auto"/>
              </w:rPr>
            </w:pPr>
            <w:r>
              <w:rPr>
                <w:rFonts w:ascii="Arial" w:cs="Arial" w:eastAsia="Arial" w:hAnsi="Arial"/>
                <w:sz w:val="20"/>
                <w:szCs w:val="20"/>
                <w:color w:val="auto"/>
              </w:rPr>
              <w:t>(71,797)</w:t>
            </w:r>
          </w:p>
        </w:tc>
        <w:tc>
          <w:tcPr>
            <w:tcW w:w="220" w:type="dxa"/>
            <w:vAlign w:val="bottom"/>
          </w:tcPr>
          <w:p>
            <w:pPr>
              <w:spacing w:after="0"/>
              <w:rPr>
                <w:sz w:val="22"/>
                <w:szCs w:val="22"/>
                <w:color w:val="auto"/>
              </w:rPr>
            </w:pPr>
          </w:p>
        </w:tc>
        <w:tc>
          <w:tcPr>
            <w:tcW w:w="1500" w:type="dxa"/>
            <w:vAlign w:val="bottom"/>
          </w:tcPr>
          <w:p>
            <w:pPr>
              <w:jc w:val="right"/>
              <w:ind w:right="295"/>
              <w:spacing w:after="0"/>
              <w:rPr>
                <w:sz w:val="20"/>
                <w:szCs w:val="20"/>
                <w:color w:val="auto"/>
              </w:rPr>
            </w:pPr>
            <w:r>
              <w:rPr>
                <w:rFonts w:ascii="Arial" w:cs="Arial" w:eastAsia="Arial" w:hAnsi="Arial"/>
                <w:sz w:val="20"/>
                <w:szCs w:val="20"/>
                <w:color w:val="auto"/>
              </w:rPr>
              <w:t>(75,769)</w:t>
            </w:r>
          </w:p>
        </w:tc>
        <w:tc>
          <w:tcPr>
            <w:tcW w:w="220" w:type="dxa"/>
            <w:vAlign w:val="bottom"/>
          </w:tcPr>
          <w:p>
            <w:pPr>
              <w:spacing w:after="0"/>
              <w:rPr>
                <w:sz w:val="22"/>
                <w:szCs w:val="22"/>
                <w:color w:val="auto"/>
              </w:rPr>
            </w:pPr>
          </w:p>
        </w:tc>
      </w:tr>
    </w:tbl>
    <w:p>
      <w:pPr>
        <w:spacing w:after="0" w:line="13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pro forma financial information presented above has been prepared by combining the Company’s historical results and the historical results of Clade and adjusting those results to eliminate historical transaction costs and to reflect the effects of the acquisition as if they occurred on January 1, 2023. These results do not purport to be indicative of the results of operations which actually would have resulted had the acquisitions occurred on the date indicated above, or that may result in the future, and do not reflect potential synergies or additional costs following the acquisition.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4—Financial instruments and fair value measurements</w:t>
      </w:r>
    </w:p>
    <w:p>
      <w:pPr>
        <w:spacing w:after="0" w:line="173"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June 30, 2024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6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32,183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32,183</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43,568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43,568</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184,603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184,603</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32,183</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228,171</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260,354</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9,312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9,312</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2023,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42,263</w:t>
            </w:r>
          </w:p>
        </w:tc>
        <w:tc>
          <w:tcPr>
            <w:tcW w:w="10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42,263</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8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26,114</w:t>
            </w:r>
          </w:p>
        </w:tc>
        <w:tc>
          <w:tcPr>
            <w:tcW w:w="280" w:type="dxa"/>
            <w:vAlign w:val="bottom"/>
          </w:tcPr>
          <w:p>
            <w:pPr>
              <w:spacing w:after="0"/>
              <w:rPr>
                <w:sz w:val="17"/>
                <w:szCs w:val="17"/>
                <w:color w:val="auto"/>
              </w:rPr>
            </w:pPr>
          </w:p>
        </w:tc>
        <w:tc>
          <w:tcPr>
            <w:tcW w:w="3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26,114</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188,396</w:t>
            </w:r>
          </w:p>
        </w:tc>
        <w:tc>
          <w:tcPr>
            <w:tcW w:w="2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23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42,263</w:t>
            </w:r>
          </w:p>
        </w:tc>
        <w:tc>
          <w:tcPr>
            <w:tcW w:w="10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$ 214,510</w:t>
            </w:r>
          </w:p>
        </w:tc>
        <w:tc>
          <w:tcPr>
            <w:tcW w:w="2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256,773</w:t>
            </w: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There were no transfers between levels during the period ended June 30, 2024. The Company uses the services of its investment manager, which uses widely accepted models for assumptions in valuing securities with inputs from major third-party data providers.</w:t>
      </w:r>
    </w:p>
    <w:p>
      <w:pPr>
        <w:spacing w:after="0" w:line="142"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June 30, 2024:</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820" w:type="dxa"/>
            <w:vAlign w:val="bottom"/>
            <w:gridSpan w:val="2"/>
          </w:tcPr>
          <w:p>
            <w:pPr>
              <w:jc w:val="right"/>
              <w:ind w:right="17"/>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120" w:type="dxa"/>
            <w:vAlign w:val="bottom"/>
          </w:tcPr>
          <w:p>
            <w:pPr>
              <w:spacing w:after="0"/>
              <w:rPr>
                <w:sz w:val="14"/>
                <w:szCs w:val="14"/>
                <w:color w:val="auto"/>
              </w:rPr>
            </w:pPr>
          </w:p>
        </w:tc>
        <w:tc>
          <w:tcPr>
            <w:tcW w:w="2840" w:type="dxa"/>
            <w:vAlign w:val="bottom"/>
            <w:gridSpan w:val="3"/>
          </w:tcPr>
          <w:p>
            <w:pPr>
              <w:ind w:left="1800"/>
              <w:spacing w:after="0"/>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43,607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43,568</w:t>
            </w:r>
          </w:p>
        </w:tc>
      </w:tr>
      <w:tr>
        <w:trPr>
          <w:trHeight w:val="203"/>
        </w:trPr>
        <w:tc>
          <w:tcPr>
            <w:tcW w:w="3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8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184,794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184,603</w:t>
            </w:r>
          </w:p>
        </w:tc>
      </w:tr>
      <w:tr>
        <w:trPr>
          <w:trHeight w:val="196"/>
        </w:trPr>
        <w:tc>
          <w:tcPr>
            <w:tcW w:w="3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228,401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228,171</w:t>
            </w:r>
          </w:p>
        </w:tc>
      </w:tr>
      <w:tr>
        <w:trPr>
          <w:trHeight w:val="20"/>
        </w:trPr>
        <w:tc>
          <w:tcPr>
            <w:tcW w:w="3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2023:</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color w:val="auto"/>
              </w:rPr>
              <w:t>Gross</w:t>
            </w:r>
          </w:p>
        </w:tc>
        <w:tc>
          <w:tcPr>
            <w:tcW w:w="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rPr>
              <w:t>Unrealized</w:t>
            </w:r>
          </w:p>
        </w:tc>
        <w:tc>
          <w:tcPr>
            <w:tcW w:w="920" w:type="dxa"/>
            <w:vAlign w:val="bottom"/>
            <w:gridSpan w:val="5"/>
          </w:tcPr>
          <w:p>
            <w:pPr>
              <w:jc w:val="right"/>
              <w:ind w:right="20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8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color w:val="auto"/>
              </w:rPr>
              <w:t>Gains</w:t>
            </w:r>
          </w:p>
        </w:tc>
        <w:tc>
          <w:tcPr>
            <w:tcW w:w="920" w:type="dxa"/>
            <w:vAlign w:val="bottom"/>
            <w:gridSpan w:val="5"/>
          </w:tcPr>
          <w:p>
            <w:pPr>
              <w:jc w:val="right"/>
              <w:ind w:right="2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26,070</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26,114</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188,219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9"/>
              </w:rPr>
              <w:t>399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(222)</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214,289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03"/>
        </w:trPr>
        <w:tc>
          <w:tcPr>
            <w:tcW w:w="7380" w:type="dxa"/>
            <w:vAlign w:val="bottom"/>
            <w:gridSpan w:val="9"/>
          </w:tcPr>
          <w:p>
            <w:pPr>
              <w:ind w:left="2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8"/>
        </w:trPr>
        <w:tc>
          <w:tcPr>
            <w:tcW w:w="5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10"/>
          </w:tcPr>
          <w:p>
            <w:pPr>
              <w:spacing w:after="0"/>
              <w:rPr>
                <w:sz w:val="17"/>
                <w:szCs w:val="17"/>
                <w:color w:val="auto"/>
              </w:rPr>
            </w:pPr>
          </w:p>
        </w:tc>
      </w:tr>
      <w:tr>
        <w:trPr>
          <w:trHeight w:val="156"/>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10"/>
          </w:tcPr>
          <w:p>
            <w:pPr>
              <w:jc w:val="right"/>
              <w:spacing w:after="0" w:line="155" w:lineRule="exact"/>
              <w:rPr>
                <w:sz w:val="20"/>
                <w:szCs w:val="20"/>
                <w:color w:val="auto"/>
              </w:rPr>
            </w:pPr>
            <w:r>
              <w:rPr>
                <w:rFonts w:ascii="Arial" w:cs="Arial" w:eastAsia="Arial" w:hAnsi="Arial"/>
                <w:sz w:val="14"/>
                <w:szCs w:val="14"/>
                <w:color w:val="auto"/>
              </w:rPr>
              <w:t>June 30, 2024   December 31, 2023</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154,945</w:t>
            </w: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125,414</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73,226</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89,096</w:t>
            </w:r>
          </w:p>
        </w:tc>
      </w:tr>
      <w:tr>
        <w:trPr>
          <w:trHeight w:val="196"/>
        </w:trPr>
        <w:tc>
          <w:tcPr>
            <w:tcW w:w="5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228,171</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4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At June 30, 2024 and December 31, 2023, the Company had 83 and 25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bonds approach maturity.</w:t>
      </w:r>
    </w:p>
    <w:p>
      <w:pPr>
        <w:spacing w:after="0" w:line="18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As of June 30, 2024 and December 31, 2023, accrued interest receivable on available-for-sale investment debt securities totaling $ 1,759 and $1,570, respectively, is excluded from the estimate of credit losses and is included in prepaid expenses and other current assets.</w:t>
      </w:r>
    </w:p>
    <w:p>
      <w:pPr>
        <w:spacing w:after="0" w:line="169"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following is a rollforward of the components of the Company’s contingent consideration liability (See note 9 – Commitments and contingencies):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Gadeta</w:t>
            </w:r>
          </w:p>
        </w:tc>
        <w:tc>
          <w:tcPr>
            <w:tcW w:w="420" w:type="dxa"/>
            <w:vAlign w:val="bottom"/>
          </w:tcPr>
          <w:p>
            <w:pPr>
              <w:spacing w:after="0"/>
              <w:rPr>
                <w:sz w:val="20"/>
                <w:szCs w:val="20"/>
                <w:color w:val="auto"/>
              </w:rPr>
            </w:pPr>
          </w:p>
        </w:tc>
        <w:tc>
          <w:tcPr>
            <w:tcW w:w="2060" w:type="dxa"/>
            <w:vAlign w:val="bottom"/>
            <w:gridSpan w:val="2"/>
          </w:tcPr>
          <w:p>
            <w:pPr>
              <w:jc w:val="right"/>
              <w:ind w:right="500"/>
              <w:spacing w:after="0"/>
              <w:rPr>
                <w:sz w:val="20"/>
                <w:szCs w:val="20"/>
                <w:color w:val="auto"/>
              </w:rPr>
            </w:pPr>
            <w:r>
              <w:rPr>
                <w:rFonts w:ascii="Arial" w:cs="Arial" w:eastAsia="Arial" w:hAnsi="Arial"/>
                <w:sz w:val="20"/>
                <w:szCs w:val="20"/>
                <w:color w:val="auto"/>
              </w:rPr>
              <w:t>Holdback Shares</w:t>
            </w:r>
          </w:p>
        </w:tc>
        <w:tc>
          <w:tcPr>
            <w:tcW w:w="1400" w:type="dxa"/>
            <w:vAlign w:val="bottom"/>
            <w:gridSpan w:val="2"/>
          </w:tcPr>
          <w:p>
            <w:pPr>
              <w:ind w:left="60"/>
              <w:spacing w:after="0"/>
              <w:rPr>
                <w:sz w:val="20"/>
                <w:szCs w:val="20"/>
                <w:color w:val="auto"/>
              </w:rPr>
            </w:pPr>
            <w:r>
              <w:rPr>
                <w:rFonts w:ascii="Arial" w:cs="Arial" w:eastAsia="Arial" w:hAnsi="Arial"/>
                <w:sz w:val="20"/>
                <w:szCs w:val="20"/>
                <w:color w:val="auto"/>
              </w:rPr>
              <w:t>Milestone</w:t>
            </w:r>
          </w:p>
        </w:tc>
        <w:tc>
          <w:tcPr>
            <w:tcW w:w="1000" w:type="dxa"/>
            <w:vAlign w:val="bottom"/>
            <w:gridSpan w:val="2"/>
          </w:tcPr>
          <w:p>
            <w:pPr>
              <w:ind w:left="280"/>
              <w:spacing w:after="0"/>
              <w:rPr>
                <w:sz w:val="20"/>
                <w:szCs w:val="20"/>
                <w:color w:val="auto"/>
              </w:rPr>
            </w:pPr>
            <w:r>
              <w:rPr>
                <w:rFonts w:ascii="Arial" w:cs="Arial" w:eastAsia="Arial" w:hAnsi="Arial"/>
                <w:sz w:val="20"/>
                <w:szCs w:val="20"/>
                <w:color w:val="auto"/>
              </w:rPr>
              <w:t>Total</w:t>
            </w:r>
          </w:p>
        </w:tc>
      </w:tr>
      <w:tr>
        <w:trPr>
          <w:trHeight w:val="216"/>
        </w:trPr>
        <w:tc>
          <w:tcPr>
            <w:tcW w:w="284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Balance as of April 11, 2024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372</w:t>
            </w:r>
          </w:p>
        </w:tc>
        <w:tc>
          <w:tcPr>
            <w:tcW w:w="20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2,588</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7,134</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10,094</w:t>
            </w:r>
          </w:p>
        </w:tc>
        <w:tc>
          <w:tcPr>
            <w:tcW w:w="20" w:type="dxa"/>
            <w:vAlign w:val="bottom"/>
          </w:tcPr>
          <w:p>
            <w:pPr>
              <w:spacing w:after="0"/>
              <w:rPr>
                <w:sz w:val="18"/>
                <w:szCs w:val="18"/>
                <w:color w:val="auto"/>
              </w:rPr>
            </w:pPr>
          </w:p>
        </w:tc>
      </w:tr>
      <w:tr>
        <w:trPr>
          <w:trHeight w:val="216"/>
        </w:trPr>
        <w:tc>
          <w:tcPr>
            <w:tcW w:w="2840" w:type="dxa"/>
            <w:vAlign w:val="bottom"/>
          </w:tcPr>
          <w:p>
            <w:pPr>
              <w:ind w:left="20"/>
              <w:spacing w:after="0" w:line="216" w:lineRule="exact"/>
              <w:rPr>
                <w:sz w:val="20"/>
                <w:szCs w:val="20"/>
                <w:color w:val="auto"/>
              </w:rPr>
            </w:pPr>
            <w:r>
              <w:rPr>
                <w:rFonts w:ascii="Arial" w:cs="Arial" w:eastAsia="Arial" w:hAnsi="Arial"/>
                <w:sz w:val="20"/>
                <w:szCs w:val="20"/>
                <w:color w:val="auto"/>
              </w:rPr>
              <w:t>Changes in fair value</w:t>
            </w:r>
          </w:p>
        </w:tc>
        <w:tc>
          <w:tcPr>
            <w:tcW w:w="2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6</w:t>
            </w:r>
          </w:p>
        </w:tc>
        <w:tc>
          <w:tcPr>
            <w:tcW w:w="2480" w:type="dxa"/>
            <w:vAlign w:val="bottom"/>
            <w:gridSpan w:val="3"/>
          </w:tcPr>
          <w:p>
            <w:pPr>
              <w:jc w:val="right"/>
              <w:ind w:right="440"/>
              <w:spacing w:after="0" w:line="216" w:lineRule="exact"/>
              <w:rPr>
                <w:sz w:val="20"/>
                <w:szCs w:val="20"/>
                <w:color w:val="auto"/>
              </w:rPr>
            </w:pPr>
            <w:r>
              <w:rPr>
                <w:rFonts w:ascii="Arial" w:cs="Arial" w:eastAsia="Arial" w:hAnsi="Arial"/>
                <w:sz w:val="20"/>
                <w:szCs w:val="20"/>
                <w:color w:val="auto"/>
              </w:rPr>
              <w:t>(953)</w:t>
            </w: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165</w:t>
            </w:r>
          </w:p>
        </w:tc>
        <w:tc>
          <w:tcPr>
            <w:tcW w:w="44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(782)</w:t>
            </w:r>
          </w:p>
        </w:tc>
        <w:tc>
          <w:tcPr>
            <w:tcW w:w="20" w:type="dxa"/>
            <w:vAlign w:val="bottom"/>
          </w:tcPr>
          <w:p>
            <w:pPr>
              <w:spacing w:after="0"/>
              <w:rPr>
                <w:sz w:val="18"/>
                <w:szCs w:val="18"/>
                <w:color w:val="auto"/>
              </w:rPr>
            </w:pPr>
          </w:p>
        </w:tc>
      </w:tr>
      <w:tr>
        <w:trPr>
          <w:trHeight w:val="209"/>
        </w:trPr>
        <w:tc>
          <w:tcPr>
            <w:tcW w:w="2840" w:type="dxa"/>
            <w:vAlign w:val="bottom"/>
            <w:tcBorders>
              <w:top w:val="single" w:sz="8" w:color="CCEEFF"/>
              <w:bottom w:val="single" w:sz="8" w:color="CCEEFF"/>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Balance as of June 30, 2024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378</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1,635</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7,299</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9,312</w:t>
            </w:r>
          </w:p>
        </w:tc>
        <w:tc>
          <w:tcPr>
            <w:tcW w:w="2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gridSpan w:val="2"/>
          </w:tcPr>
          <w:p>
            <w:pPr>
              <w:jc w:val="right"/>
              <w:ind w:right="1421"/>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0"/>
        </w:trPr>
        <w:tc>
          <w:tcPr>
            <w:tcW w:w="2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table includes quantitative information about the significant unobservable inputs for the components of the Company’s contingent consideration liability as of the April 11, 2024 acquisition date and June 30, 2024:</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20"/>
                <w:szCs w:val="20"/>
                <w:color w:val="auto"/>
              </w:rPr>
              <w:t>April 11</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20"/>
                <w:szCs w:val="20"/>
                <w:color w:val="auto"/>
                <w:w w:val="95"/>
              </w:rPr>
              <w:t>June 30</w:t>
            </w:r>
          </w:p>
        </w:tc>
      </w:tr>
      <w:tr>
        <w:trPr>
          <w:trHeight w:val="209"/>
        </w:trPr>
        <w:tc>
          <w:tcPr>
            <w:tcW w:w="4260" w:type="dxa"/>
            <w:vAlign w:val="bottom"/>
            <w:shd w:val="clear" w:color="auto" w:fill="CCEEFF"/>
          </w:tcPr>
          <w:p>
            <w:pPr>
              <w:ind w:left="20"/>
              <w:spacing w:after="0" w:line="209" w:lineRule="exact"/>
              <w:rPr>
                <w:sz w:val="20"/>
                <w:szCs w:val="20"/>
                <w:color w:val="auto"/>
              </w:rPr>
            </w:pPr>
            <w:r>
              <w:rPr>
                <w:rFonts w:ascii="Arial" w:cs="Arial" w:eastAsia="Arial" w:hAnsi="Arial"/>
                <w:sz w:val="20"/>
                <w:szCs w:val="20"/>
                <w:color w:val="auto"/>
              </w:rPr>
              <w:t>Gadeta Earnout:</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20"/>
                <w:szCs w:val="20"/>
                <w:color w:val="auto"/>
              </w:rPr>
              <w:t>Probability adjusted value of payment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9"/>
              </w:rPr>
              <w:t>1,060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65"/>
              <w:spacing w:after="0" w:line="216" w:lineRule="exact"/>
              <w:rPr>
                <w:sz w:val="20"/>
                <w:szCs w:val="20"/>
                <w:color w:val="auto"/>
              </w:rPr>
            </w:pPr>
            <w:r>
              <w:rPr>
                <w:rFonts w:ascii="Arial" w:cs="Arial" w:eastAsia="Arial" w:hAnsi="Arial"/>
                <w:sz w:val="20"/>
                <w:szCs w:val="20"/>
                <w:color w:val="auto"/>
                <w:w w:val="99"/>
              </w:rPr>
              <w:t>1,060</w:t>
            </w:r>
          </w:p>
        </w:tc>
      </w:tr>
      <w:tr>
        <w:trPr>
          <w:trHeight w:val="216"/>
        </w:trPr>
        <w:tc>
          <w:tcPr>
            <w:tcW w:w="42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Discount rate</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61"/>
              <w:spacing w:after="0" w:line="216" w:lineRule="exact"/>
              <w:rPr>
                <w:sz w:val="20"/>
                <w:szCs w:val="20"/>
                <w:color w:val="auto"/>
              </w:rPr>
            </w:pPr>
            <w:r>
              <w:rPr>
                <w:rFonts w:ascii="Arial" w:cs="Arial" w:eastAsia="Arial" w:hAnsi="Arial"/>
                <w:sz w:val="20"/>
                <w:szCs w:val="20"/>
                <w:color w:val="auto"/>
                <w:w w:val="98"/>
              </w:rPr>
              <w:t>12.6%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45"/>
              <w:spacing w:after="0" w:line="216" w:lineRule="exact"/>
              <w:rPr>
                <w:sz w:val="20"/>
                <w:szCs w:val="20"/>
                <w:color w:val="auto"/>
              </w:rPr>
            </w:pPr>
            <w:r>
              <w:rPr>
                <w:rFonts w:ascii="Arial" w:cs="Arial" w:eastAsia="Arial" w:hAnsi="Arial"/>
                <w:sz w:val="20"/>
                <w:szCs w:val="20"/>
                <w:color w:val="auto"/>
                <w:w w:val="98"/>
              </w:rPr>
              <w:t>12.8%</w:t>
            </w: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20"/>
                <w:szCs w:val="20"/>
                <w:color w:val="auto"/>
              </w:rPr>
              <w:t>Discount period (years)</w:t>
            </w:r>
          </w:p>
        </w:tc>
        <w:tc>
          <w:tcPr>
            <w:tcW w:w="860" w:type="dxa"/>
            <w:vAlign w:val="bottom"/>
          </w:tcPr>
          <w:p>
            <w:pPr>
              <w:spacing w:after="0"/>
              <w:rPr>
                <w:sz w:val="18"/>
                <w:szCs w:val="18"/>
                <w:color w:val="auto"/>
              </w:rPr>
            </w:pPr>
          </w:p>
        </w:tc>
        <w:tc>
          <w:tcPr>
            <w:tcW w:w="1440" w:type="dxa"/>
            <w:vAlign w:val="bottom"/>
          </w:tcPr>
          <w:p>
            <w:pPr>
              <w:jc w:val="center"/>
              <w:ind w:left="61"/>
              <w:spacing w:after="0" w:line="216" w:lineRule="exact"/>
              <w:rPr>
                <w:sz w:val="20"/>
                <w:szCs w:val="20"/>
                <w:color w:val="auto"/>
              </w:rPr>
            </w:pPr>
            <w:r>
              <w:rPr>
                <w:rFonts w:ascii="Arial" w:cs="Arial" w:eastAsia="Arial" w:hAnsi="Arial"/>
                <w:sz w:val="20"/>
                <w:szCs w:val="20"/>
                <w:color w:val="auto"/>
              </w:rPr>
              <w:t>8.8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45"/>
              <w:spacing w:after="0" w:line="216" w:lineRule="exact"/>
              <w:rPr>
                <w:sz w:val="20"/>
                <w:szCs w:val="20"/>
                <w:color w:val="auto"/>
              </w:rPr>
            </w:pPr>
            <w:r>
              <w:rPr>
                <w:rFonts w:ascii="Arial" w:cs="Arial" w:eastAsia="Arial" w:hAnsi="Arial"/>
                <w:sz w:val="20"/>
                <w:szCs w:val="20"/>
                <w:color w:val="auto"/>
              </w:rPr>
              <w:t>8.6</w:t>
            </w:r>
          </w:p>
        </w:tc>
      </w:tr>
      <w:tr>
        <w:trPr>
          <w:trHeight w:val="216"/>
        </w:trPr>
        <w:tc>
          <w:tcPr>
            <w:tcW w:w="4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20"/>
                <w:szCs w:val="20"/>
                <w:color w:val="auto"/>
              </w:rPr>
              <w:t>Holdback Shares</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Closing stock price on valuation date</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41"/>
              <w:spacing w:after="0" w:line="216" w:lineRule="exact"/>
              <w:rPr>
                <w:sz w:val="20"/>
                <w:szCs w:val="20"/>
                <w:color w:val="auto"/>
              </w:rPr>
            </w:pPr>
            <w:r>
              <w:rPr>
                <w:rFonts w:ascii="Arial" w:cs="Arial" w:eastAsia="Arial" w:hAnsi="Arial"/>
                <w:sz w:val="20"/>
                <w:szCs w:val="20"/>
                <w:color w:val="auto"/>
                <w:w w:val="97"/>
              </w:rPr>
              <w:t>4.05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65"/>
              <w:spacing w:after="0" w:line="216" w:lineRule="exact"/>
              <w:rPr>
                <w:sz w:val="20"/>
                <w:szCs w:val="20"/>
                <w:color w:val="auto"/>
              </w:rPr>
            </w:pPr>
            <w:r>
              <w:rPr>
                <w:rFonts w:ascii="Arial" w:cs="Arial" w:eastAsia="Arial" w:hAnsi="Arial"/>
                <w:sz w:val="20"/>
                <w:szCs w:val="20"/>
                <w:color w:val="auto"/>
                <w:w w:val="97"/>
              </w:rPr>
              <w:t>2.55</w:t>
            </w: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20"/>
                <w:szCs w:val="20"/>
                <w:color w:val="auto"/>
              </w:rPr>
              <w:t>Discount for lack of marketability</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center"/>
              <w:ind w:left="61"/>
              <w:spacing w:after="0" w:line="216" w:lineRule="exact"/>
              <w:rPr>
                <w:sz w:val="20"/>
                <w:szCs w:val="20"/>
                <w:color w:val="auto"/>
              </w:rPr>
            </w:pPr>
            <w:r>
              <w:rPr>
                <w:rFonts w:ascii="Arial" w:cs="Arial" w:eastAsia="Arial" w:hAnsi="Arial"/>
                <w:sz w:val="20"/>
                <w:szCs w:val="20"/>
                <w:color w:val="auto"/>
                <w:w w:val="99"/>
              </w:rPr>
              <w:t>(0.79)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45"/>
              <w:spacing w:after="0" w:line="216" w:lineRule="exact"/>
              <w:rPr>
                <w:sz w:val="20"/>
                <w:szCs w:val="20"/>
                <w:color w:val="auto"/>
              </w:rPr>
            </w:pPr>
            <w:r>
              <w:rPr>
                <w:rFonts w:ascii="Arial" w:cs="Arial" w:eastAsia="Arial" w:hAnsi="Arial"/>
                <w:sz w:val="20"/>
                <w:szCs w:val="20"/>
                <w:color w:val="auto"/>
                <w:w w:val="99"/>
              </w:rPr>
              <w:t>(0.49)</w:t>
            </w:r>
          </w:p>
        </w:tc>
      </w:tr>
      <w:tr>
        <w:trPr>
          <w:trHeight w:val="216"/>
        </w:trPr>
        <w:tc>
          <w:tcPr>
            <w:tcW w:w="4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20"/>
                <w:szCs w:val="20"/>
                <w:color w:val="auto"/>
              </w:rPr>
              <w:t>Clade Milestone:</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Probability adjusted value of payments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41"/>
              <w:spacing w:after="0" w:line="216" w:lineRule="exact"/>
              <w:rPr>
                <w:sz w:val="20"/>
                <w:szCs w:val="20"/>
                <w:color w:val="auto"/>
              </w:rPr>
            </w:pPr>
            <w:r>
              <w:rPr>
                <w:rFonts w:ascii="Arial" w:cs="Arial" w:eastAsia="Arial" w:hAnsi="Arial"/>
                <w:sz w:val="20"/>
                <w:szCs w:val="20"/>
                <w:color w:val="auto"/>
                <w:w w:val="99"/>
              </w:rPr>
              <w:t>9,000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65"/>
              <w:spacing w:after="0" w:line="216" w:lineRule="exact"/>
              <w:rPr>
                <w:sz w:val="20"/>
                <w:szCs w:val="20"/>
                <w:color w:val="auto"/>
              </w:rPr>
            </w:pPr>
            <w:r>
              <w:rPr>
                <w:rFonts w:ascii="Arial" w:cs="Arial" w:eastAsia="Arial" w:hAnsi="Arial"/>
                <w:sz w:val="20"/>
                <w:szCs w:val="20"/>
                <w:color w:val="auto"/>
                <w:w w:val="99"/>
              </w:rPr>
              <w:t>9,000</w:t>
            </w:r>
          </w:p>
        </w:tc>
      </w:tr>
      <w:tr>
        <w:trPr>
          <w:trHeight w:val="216"/>
        </w:trPr>
        <w:tc>
          <w:tcPr>
            <w:tcW w:w="4260" w:type="dxa"/>
            <w:vAlign w:val="bottom"/>
          </w:tcPr>
          <w:p>
            <w:pPr>
              <w:ind w:left="20"/>
              <w:spacing w:after="0" w:line="216" w:lineRule="exact"/>
              <w:rPr>
                <w:sz w:val="20"/>
                <w:szCs w:val="20"/>
                <w:color w:val="auto"/>
              </w:rPr>
            </w:pPr>
            <w:r>
              <w:rPr>
                <w:rFonts w:ascii="Arial" w:cs="Arial" w:eastAsia="Arial" w:hAnsi="Arial"/>
                <w:sz w:val="20"/>
                <w:szCs w:val="20"/>
                <w:color w:val="auto"/>
              </w:rPr>
              <w:t>Discount rate</w:t>
            </w:r>
          </w:p>
        </w:tc>
        <w:tc>
          <w:tcPr>
            <w:tcW w:w="860" w:type="dxa"/>
            <w:vAlign w:val="bottom"/>
          </w:tcPr>
          <w:p>
            <w:pPr>
              <w:spacing w:after="0"/>
              <w:rPr>
                <w:sz w:val="18"/>
                <w:szCs w:val="18"/>
                <w:color w:val="auto"/>
              </w:rPr>
            </w:pPr>
          </w:p>
        </w:tc>
        <w:tc>
          <w:tcPr>
            <w:tcW w:w="1440" w:type="dxa"/>
            <w:vAlign w:val="bottom"/>
          </w:tcPr>
          <w:p>
            <w:pPr>
              <w:jc w:val="center"/>
              <w:ind w:left="61"/>
              <w:spacing w:after="0" w:line="216" w:lineRule="exact"/>
              <w:rPr>
                <w:sz w:val="20"/>
                <w:szCs w:val="20"/>
                <w:color w:val="auto"/>
              </w:rPr>
            </w:pPr>
            <w:r>
              <w:rPr>
                <w:rFonts w:ascii="Arial" w:cs="Arial" w:eastAsia="Arial" w:hAnsi="Arial"/>
                <w:sz w:val="20"/>
                <w:szCs w:val="20"/>
                <w:color w:val="auto"/>
                <w:w w:val="98"/>
              </w:rPr>
              <w:t>10.6%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45"/>
              <w:spacing w:after="0" w:line="216" w:lineRule="exact"/>
              <w:rPr>
                <w:sz w:val="20"/>
                <w:szCs w:val="20"/>
                <w:color w:val="auto"/>
              </w:rPr>
            </w:pPr>
            <w:r>
              <w:rPr>
                <w:rFonts w:ascii="Arial" w:cs="Arial" w:eastAsia="Arial" w:hAnsi="Arial"/>
                <w:sz w:val="20"/>
                <w:szCs w:val="20"/>
                <w:color w:val="auto"/>
                <w:w w:val="98"/>
              </w:rPr>
              <w:t>10.5%</w:t>
            </w:r>
          </w:p>
        </w:tc>
      </w:tr>
      <w:tr>
        <w:trPr>
          <w:trHeight w:val="216"/>
        </w:trPr>
        <w:tc>
          <w:tcPr>
            <w:tcW w:w="42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Discount period (years)</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61"/>
              <w:spacing w:after="0" w:line="216" w:lineRule="exact"/>
              <w:rPr>
                <w:sz w:val="20"/>
                <w:szCs w:val="20"/>
                <w:color w:val="auto"/>
              </w:rPr>
            </w:pPr>
            <w:r>
              <w:rPr>
                <w:rFonts w:ascii="Arial" w:cs="Arial" w:eastAsia="Arial" w:hAnsi="Arial"/>
                <w:sz w:val="20"/>
                <w:szCs w:val="20"/>
                <w:color w:val="auto"/>
              </w:rPr>
              <w:t>2.3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45"/>
              <w:spacing w:after="0" w:line="216" w:lineRule="exact"/>
              <w:rPr>
                <w:sz w:val="20"/>
                <w:szCs w:val="20"/>
                <w:color w:val="auto"/>
              </w:rPr>
            </w:pPr>
            <w:r>
              <w:rPr>
                <w:rFonts w:ascii="Arial" w:cs="Arial" w:eastAsia="Arial" w:hAnsi="Arial"/>
                <w:sz w:val="20"/>
                <w:szCs w:val="20"/>
                <w:color w:val="auto"/>
              </w:rPr>
              <w:t>2.1</w:t>
            </w:r>
          </w:p>
        </w:tc>
      </w:tr>
      <w:tr>
        <w:trPr>
          <w:trHeight w:val="473"/>
        </w:trPr>
        <w:tc>
          <w:tcPr>
            <w:tcW w:w="4260" w:type="dxa"/>
            <w:vAlign w:val="bottom"/>
          </w:tcPr>
          <w:p>
            <w:pPr>
              <w:ind w:left="20"/>
              <w:spacing w:after="0"/>
              <w:rPr>
                <w:sz w:val="20"/>
                <w:szCs w:val="20"/>
                <w:color w:val="auto"/>
              </w:rPr>
            </w:pPr>
            <w:r>
              <w:rPr>
                <w:rFonts w:ascii="Arial" w:cs="Arial" w:eastAsia="Arial" w:hAnsi="Arial"/>
                <w:sz w:val="22"/>
                <w:szCs w:val="22"/>
                <w:color w:val="auto"/>
              </w:rPr>
              <w:t>Note 5—Property and equipment, net</w:t>
            </w: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6560" w:type="dxa"/>
            <w:vAlign w:val="bottom"/>
            <w:gridSpan w:val="3"/>
          </w:tcPr>
          <w:p>
            <w:pPr>
              <w:ind w:left="20"/>
              <w:spacing w:after="0"/>
              <w:rPr>
                <w:sz w:val="20"/>
                <w:szCs w:val="20"/>
                <w:color w:val="auto"/>
              </w:rPr>
            </w:pPr>
            <w:r>
              <w:rPr>
                <w:rFonts w:ascii="Arial" w:cs="Arial" w:eastAsia="Arial" w:hAnsi="Arial"/>
                <w:sz w:val="22"/>
                <w:szCs w:val="22"/>
                <w:color w:val="auto"/>
              </w:rPr>
              <w:t>The following is a summary of property and equipment, net: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4"/>
        </w:trPr>
        <w:tc>
          <w:tcPr>
            <w:tcW w:w="4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40" w:type="dxa"/>
            <w:vAlign w:val="bottom"/>
            <w:gridSpan w:val="6"/>
          </w:tcPr>
          <w:p>
            <w:pPr>
              <w:spacing w:after="0"/>
              <w:rPr>
                <w:sz w:val="20"/>
                <w:szCs w:val="20"/>
                <w:color w:val="auto"/>
              </w:rPr>
            </w:pPr>
            <w:r>
              <w:rPr>
                <w:rFonts w:ascii="Arial" w:cs="Arial" w:eastAsia="Arial" w:hAnsi="Arial"/>
                <w:sz w:val="14"/>
                <w:szCs w:val="14"/>
                <w:color w:val="auto"/>
              </w:rPr>
              <w:t>June 30, 2024  December 31, 2023</w:t>
            </w:r>
          </w:p>
        </w:tc>
      </w:tr>
      <w:tr>
        <w:trPr>
          <w:trHeight w:val="196"/>
        </w:trPr>
        <w:tc>
          <w:tcPr>
            <w:tcW w:w="42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8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32,361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29,597</w:t>
            </w:r>
          </w:p>
        </w:tc>
      </w:tr>
      <w:tr>
        <w:trPr>
          <w:trHeight w:val="203"/>
        </w:trPr>
        <w:tc>
          <w:tcPr>
            <w:tcW w:w="42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62,261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60,862</w:t>
            </w:r>
          </w:p>
        </w:tc>
      </w:tr>
      <w:tr>
        <w:trPr>
          <w:trHeight w:val="203"/>
        </w:trPr>
        <w:tc>
          <w:tcPr>
            <w:tcW w:w="4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426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2,899</w:t>
            </w:r>
          </w:p>
        </w:tc>
      </w:tr>
      <w:tr>
        <w:trPr>
          <w:trHeight w:val="203"/>
        </w:trPr>
        <w:tc>
          <w:tcPr>
            <w:tcW w:w="4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r>
      <w:tr>
        <w:trPr>
          <w:trHeight w:val="196"/>
        </w:trPr>
        <w:tc>
          <w:tcPr>
            <w:tcW w:w="42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98,775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94,543</w:t>
            </w:r>
          </w:p>
        </w:tc>
      </w:tr>
      <w:tr>
        <w:trPr>
          <w:trHeight w:val="203"/>
        </w:trPr>
        <w:tc>
          <w:tcPr>
            <w:tcW w:w="4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(29,370)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(22,838)</w:t>
            </w:r>
          </w:p>
        </w:tc>
      </w:tr>
      <w:tr>
        <w:trPr>
          <w:trHeight w:val="196"/>
        </w:trPr>
        <w:tc>
          <w:tcPr>
            <w:tcW w:w="426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69,405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71,705</w:t>
            </w:r>
          </w:p>
        </w:tc>
      </w:tr>
      <w:tr>
        <w:trPr>
          <w:trHeight w:val="20"/>
        </w:trPr>
        <w:tc>
          <w:tcPr>
            <w:tcW w:w="4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Depreciation expense was $3,462 and $3,234 for the three months ended June 30, 2024 and 2023, respectively. The Company recognized $4,002 in impairment on property and equipment, net during the three and six months ended June 30, 2023. See Note 16, “Impairment of long-lived assets”.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$6,688 and $6,142 for the six months ended June 30, 2024 and 2023, respectively.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6—Accrued expenses and other liabilities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20" w:type="dxa"/>
            <w:vAlign w:val="bottom"/>
            <w:gridSpan w:val="6"/>
          </w:tcPr>
          <w:p>
            <w:pPr>
              <w:spacing w:after="0"/>
              <w:rPr>
                <w:sz w:val="20"/>
                <w:szCs w:val="20"/>
                <w:color w:val="auto"/>
              </w:rPr>
            </w:pPr>
            <w:r>
              <w:rPr>
                <w:rFonts w:ascii="Arial" w:cs="Arial" w:eastAsia="Arial" w:hAnsi="Arial"/>
                <w:sz w:val="14"/>
                <w:szCs w:val="14"/>
                <w:color w:val="auto"/>
              </w:rPr>
              <w:t>June 30, 2024   December 31, 2023</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2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4,612</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1,376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3,663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260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11,095</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0" w:type="dxa"/>
            <w:vAlign w:val="bottom"/>
            <w:vMerge w:val="restart"/>
          </w:tcPr>
          <w:p>
            <w:pPr>
              <w:jc w:val="right"/>
              <w:ind w:right="185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9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9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7—Long-term debt</w:t>
      </w:r>
    </w:p>
    <w:p>
      <w:pPr>
        <w:spacing w:after="0" w:line="187" w:lineRule="exact"/>
        <w:rPr>
          <w:sz w:val="20"/>
          <w:szCs w:val="20"/>
          <w:color w:val="auto"/>
        </w:rPr>
      </w:pPr>
    </w:p>
    <w:p>
      <w:pPr>
        <w:ind w:left="60" w:right="240"/>
        <w:spacing w:after="0" w:line="247"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133" w:lineRule="exact"/>
        <w:rPr>
          <w:sz w:val="20"/>
          <w:szCs w:val="20"/>
          <w:color w:val="auto"/>
        </w:rPr>
      </w:pPr>
    </w:p>
    <w:p>
      <w:pPr>
        <w:ind w:left="60" w:right="180"/>
        <w:spacing w:after="0"/>
        <w:rPr>
          <w:sz w:val="20"/>
          <w:szCs w:val="20"/>
          <w:color w:val="auto"/>
        </w:rPr>
      </w:pPr>
      <w:r>
        <w:rPr>
          <w:rFonts w:ascii="Arial" w:cs="Arial" w:eastAsia="Arial" w:hAnsi="Arial"/>
          <w:sz w:val="18"/>
          <w:szCs w:val="18"/>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$395, which is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140" w:lineRule="exact"/>
        <w:rPr>
          <w:sz w:val="20"/>
          <w:szCs w:val="20"/>
          <w:color w:val="auto"/>
        </w:rPr>
      </w:pPr>
    </w:p>
    <w:p>
      <w:pPr>
        <w:ind w:left="60" w:right="160"/>
        <w:spacing w:after="0" w:line="242"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attributable to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34290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color w:val="auto"/>
              </w:rPr>
              <w:t>For the Six Months Ended</w:t>
            </w:r>
          </w:p>
        </w:tc>
        <w:tc>
          <w:tcPr>
            <w:tcW w:w="1720" w:type="dxa"/>
            <w:vAlign w:val="bottom"/>
            <w:gridSpan w:val="3"/>
          </w:tcPr>
          <w:p>
            <w:pPr>
              <w:ind w:left="20"/>
              <w:spacing w:after="0"/>
              <w:rPr>
                <w:sz w:val="20"/>
                <w:szCs w:val="20"/>
                <w:color w:val="auto"/>
              </w:rPr>
            </w:pPr>
            <w:r>
              <w:rPr>
                <w:rFonts w:ascii="Arial" w:cs="Arial" w:eastAsia="Arial" w:hAnsi="Arial"/>
                <w:sz w:val="14"/>
                <w:szCs w:val="14"/>
                <w:color w:val="auto"/>
              </w:rPr>
              <w:t>For the Six Months Ended</w:t>
            </w:r>
          </w:p>
        </w:tc>
      </w:tr>
      <w:tr>
        <w:trPr>
          <w:trHeight w:val="17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June 30, 2024</w:t>
            </w:r>
          </w:p>
        </w:tc>
        <w:tc>
          <w:tcPr>
            <w:tcW w:w="24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color w:val="auto"/>
              </w:rPr>
              <w:t>June 30, 2023</w:t>
            </w: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ind w:left="12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20" w:type="dxa"/>
            <w:vAlign w:val="bottom"/>
            <w:tcBorders>
              <w:top w:val="single" w:sz="8" w:color="CCEEFF"/>
            </w:tcBorders>
            <w:shd w:val="clear" w:color="auto" w:fill="CCEEFF"/>
          </w:tcPr>
          <w:p>
            <w:pPr>
              <w:spacing w:after="0"/>
              <w:rPr>
                <w:sz w:val="17"/>
                <w:szCs w:val="17"/>
                <w:color w:val="auto"/>
              </w:rPr>
            </w:pPr>
          </w:p>
        </w:tc>
      </w:tr>
      <w:tr>
        <w:trPr>
          <w:trHeight w:val="184"/>
        </w:trPr>
        <w:tc>
          <w:tcPr>
            <w:tcW w:w="5400" w:type="dxa"/>
            <w:vAlign w:val="bottom"/>
          </w:tcPr>
          <w:p>
            <w:pPr>
              <w:ind w:left="20"/>
              <w:spacing w:after="0" w:line="183" w:lineRule="exact"/>
              <w:rPr>
                <w:sz w:val="20"/>
                <w:szCs w:val="20"/>
                <w:color w:val="auto"/>
              </w:rPr>
            </w:pPr>
            <w:r>
              <w:rPr>
                <w:rFonts w:ascii="Arial" w:cs="Arial" w:eastAsia="Arial" w:hAnsi="Arial"/>
                <w:sz w:val="18"/>
                <w:szCs w:val="18"/>
                <w:color w:val="auto"/>
              </w:rPr>
              <w:t>Amortization of debt issuance costs, including end of term fee</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54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19"/>
                <w:szCs w:val="19"/>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96"/>
        </w:trPr>
        <w:tc>
          <w:tcPr>
            <w:tcW w:w="54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ind w:left="12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22"/>
          <w:szCs w:val="22"/>
          <w:color w:val="auto"/>
        </w:rPr>
        <w:t>Note 8 – Bristol-Myers Squibb Collaboration</w:t>
      </w:r>
    </w:p>
    <w:p>
      <w:pPr>
        <w:spacing w:after="0" w:line="160" w:lineRule="exact"/>
        <w:rPr>
          <w:sz w:val="20"/>
          <w:szCs w:val="20"/>
          <w:color w:val="auto"/>
        </w:rPr>
      </w:pPr>
    </w:p>
    <w:p>
      <w:pPr>
        <w:ind w:left="60" w:right="120"/>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40" w:lineRule="exact"/>
        <w:rPr>
          <w:sz w:val="20"/>
          <w:szCs w:val="20"/>
          <w:color w:val="auto"/>
        </w:rPr>
      </w:pPr>
    </w:p>
    <w:p>
      <w:pPr>
        <w:ind w:left="60" w:right="80"/>
        <w:spacing w:after="0" w:line="239"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commercialization activities for such Development Candidates worldwide. The Company has the option to co-promote Development Candidates generated from certain specified Collaboration Programs.</w:t>
      </w:r>
    </w:p>
    <w:p>
      <w:pPr>
        <w:spacing w:after="0" w:line="12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the Company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12-year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royalty-free, perpetual and irrevocable.</w:t>
      </w:r>
    </w:p>
    <w:p>
      <w:pPr>
        <w:spacing w:after="0" w:line="14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4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5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58" w:lineRule="exact"/>
        <w:rPr>
          <w:sz w:val="20"/>
          <w:szCs w:val="20"/>
          <w:color w:val="auto"/>
        </w:rPr>
      </w:pPr>
    </w:p>
    <w:p>
      <w:pPr>
        <w:ind w:left="720" w:right="219"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43" w:lineRule="exact"/>
        <w:rPr>
          <w:rFonts w:ascii="Times New Roman" w:cs="Times New Roman" w:eastAsia="Times New Roman" w:hAnsi="Times New Roman"/>
          <w:sz w:val="18"/>
          <w:szCs w:val="18"/>
          <w:color w:val="auto"/>
        </w:rPr>
      </w:pPr>
    </w:p>
    <w:p>
      <w:pPr>
        <w:ind w:left="720" w:right="7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36"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auto"/>
        </w:rPr>
        <w:t>The following table summarizes the allocation of the total transaction price to the identified performance obligations under the arrangement, and the amount of the transaction price unsatisfied as of June 30, 2024:</w:t>
      </w:r>
    </w:p>
    <w:p>
      <w:pPr>
        <w:sectPr>
          <w:pgSz w:w="11900" w:h="16838" w:orient="portrait"/>
          <w:cols w:equalWidth="0" w:num="1">
            <w:col w:w="9019"/>
          </w:cols>
          <w:pgMar w:left="1440" w:top="512" w:right="1440" w:bottom="1440" w:gutter="0" w:footer="0" w:header="0"/>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(9,059)</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28"/>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114,128</w:t>
            </w:r>
          </w:p>
        </w:tc>
      </w:tr>
      <w:tr>
        <w:trPr>
          <w:trHeight w:val="387"/>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109,768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-574040</wp:posOffset>
            </wp:positionV>
            <wp:extent cx="564896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060" w:space="400"/>
            <w:col w:w="5559"/>
          </w:cols>
          <w:pgMar w:left="1440" w:top="512" w:right="1440" w:bottom="1440" w:gutter="0" w:footer="0" w:header="0"/>
          <w:type w:val="continuous"/>
        </w:sectPr>
      </w:pPr>
    </w:p>
    <w:p>
      <w:pPr>
        <w:ind w:left="60" w:right="47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2023:</w:t>
      </w:r>
    </w:p>
    <w:p>
      <w:pPr>
        <w:sectPr>
          <w:pgSz w:w="11900" w:h="16838" w:orient="portrait"/>
          <w:cols w:equalWidth="0" w:num="1">
            <w:col w:w="9019"/>
          </w:cols>
          <w:pgMar w:left="1440" w:top="512" w:right="1440" w:bottom="1440" w:gutter="0" w:footer="0" w:header="0"/>
          <w:type w:val="continuous"/>
        </w:sect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(7,434)</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8"/>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115,753</w:t>
            </w:r>
          </w:p>
        </w:tc>
      </w:tr>
      <w:tr>
        <w:trPr>
          <w:trHeight w:val="387"/>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-574040</wp:posOffset>
            </wp:positionV>
            <wp:extent cx="564896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060" w:space="400"/>
            <w:col w:w="555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22"/>
          <w:szCs w:val="22"/>
          <w:color w:val="auto"/>
        </w:rPr>
        <w:t>Note 9—Commitments and contingencies</w:t>
      </w:r>
    </w:p>
    <w:p>
      <w:pPr>
        <w:spacing w:after="0" w:line="187"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8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“Master Service Agreement”).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The Company had $35 within accounts payable as of June 30, 2024 and $106 as of December 31, 2023, in its consolidated balance sheets related to the Master Service Agreement.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2024 or 2023.</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Clade Therapeutics</w:t>
      </w:r>
    </w:p>
    <w:p>
      <w:pPr>
        <w:spacing w:after="0" w:line="212"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In connection with the acquisition of Clade Therapeutics, (Note – 3), the Company is subject to a contingent milestone payment to the shareholders of Clade. The milestone payment is $10,000 and is payable in cash, shares of Century, or a combination thereof, at the discretion of Century.</w:t>
      </w:r>
    </w:p>
    <w:p>
      <w:pPr>
        <w:spacing w:after="0" w:line="155" w:lineRule="exact"/>
        <w:rPr>
          <w:sz w:val="20"/>
          <w:szCs w:val="20"/>
          <w:color w:val="auto"/>
        </w:rPr>
      </w:pPr>
    </w:p>
    <w:p>
      <w:pPr>
        <w:ind w:left="60" w:right="139"/>
        <w:spacing w:after="0" w:line="261" w:lineRule="auto"/>
        <w:rPr>
          <w:sz w:val="20"/>
          <w:szCs w:val="20"/>
          <w:color w:val="auto"/>
        </w:rPr>
      </w:pPr>
      <w:r>
        <w:rPr>
          <w:rFonts w:ascii="Arial" w:cs="Arial" w:eastAsia="Arial" w:hAnsi="Arial"/>
          <w:sz w:val="17"/>
          <w:szCs w:val="17"/>
          <w:color w:val="auto"/>
        </w:rPr>
        <w:t>A total of 793,687 shares (“Holdback Shares”) representing approximately 10% of the aggregate consideration, were held back at the closing of the acquisition as recourse to satisfy certain indemnification obligations of the Clade shareholders under the Merger Agreement should they arise and, subject to any forfeiture of Holdback Shares as a result of indemnification claims made prior to the 18-month anniversary of the Closing, will be issued pursuant to the terms of the Merger Agreement following the 18-month anniversary of the Closing.</w:t>
      </w:r>
    </w:p>
    <w:p>
      <w:pPr>
        <w:spacing w:after="0" w:line="152" w:lineRule="exact"/>
        <w:rPr>
          <w:sz w:val="20"/>
          <w:szCs w:val="20"/>
          <w:color w:val="auto"/>
        </w:rPr>
      </w:pPr>
    </w:p>
    <w:p>
      <w:pPr>
        <w:ind w:left="60" w:right="719"/>
        <w:spacing w:after="0" w:line="247" w:lineRule="auto"/>
        <w:rPr>
          <w:sz w:val="20"/>
          <w:szCs w:val="20"/>
          <w:color w:val="auto"/>
        </w:rPr>
      </w:pPr>
      <w:r>
        <w:rPr>
          <w:rFonts w:ascii="Arial" w:cs="Arial" w:eastAsia="Arial" w:hAnsi="Arial"/>
          <w:sz w:val="18"/>
          <w:szCs w:val="18"/>
          <w:color w:val="auto"/>
        </w:rPr>
        <w:t>In connection with the acquisition of Clade, the Company also assumed an earn-out obligation (“Gadeta Milestone”) that is contingent on a clinical development milestone of a product that incorporates Gadeta intellectual property between the acquisition date and December 31, 2032. The total payment to the shareholders of Gadeta is upon the occurrence of such an event is $20,000.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10—Leases</w:t>
      </w:r>
    </w:p>
    <w:p>
      <w:pPr>
        <w:spacing w:after="0" w:line="17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$ 410 and $1,260 within security deposits and non-current assets in its consolidated balance sheets at June 30, 2024 and December 31, 2023, respectively. The Company’s leases have initial lease terms ranging from 5 to 16 years. Certain lease agreements contain provisions for future rent increases.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w:t>
            </w: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4"/>
                <w:szCs w:val="14"/>
                <w:color w:val="auto"/>
              </w:rPr>
              <w:t>Six Months Ended</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June 30, 2024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June 30, 2023</w:t>
            </w:r>
          </w:p>
        </w:tc>
        <w:tc>
          <w:tcPr>
            <w:tcW w:w="260" w:type="dxa"/>
            <w:vAlign w:val="bottom"/>
          </w:tcPr>
          <w:p>
            <w:pPr>
              <w:spacing w:after="0"/>
              <w:rPr>
                <w:sz w:val="14"/>
                <w:szCs w:val="14"/>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4"/>
                <w:szCs w:val="14"/>
                <w:color w:val="auto"/>
              </w:rPr>
              <w:t>June 30, 2024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June 30, 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4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2,306</w:t>
            </w:r>
          </w:p>
        </w:tc>
        <w:tc>
          <w:tcPr>
            <w:tcW w:w="4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200" w:type="dxa"/>
            <w:vAlign w:val="bottom"/>
          </w:tcPr>
          <w:p>
            <w:pPr>
              <w:spacing w:after="0"/>
              <w:rPr>
                <w:sz w:val="17"/>
                <w:szCs w:val="17"/>
                <w:color w:val="auto"/>
              </w:rPr>
            </w:pPr>
          </w:p>
        </w:tc>
        <w:tc>
          <w:tcPr>
            <w:tcW w:w="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operating lease</w:t>
            </w:r>
          </w:p>
        </w:tc>
        <w:tc>
          <w:tcPr>
            <w:tcW w:w="42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48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0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42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260" w:type="dxa"/>
            <w:vAlign w:val="bottom"/>
            <w:gridSpan w:val="12"/>
          </w:tcPr>
          <w:p>
            <w:pPr>
              <w:ind w:left="2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gridSpan w:val="2"/>
          </w:tcPr>
          <w:p>
            <w:pPr>
              <w:jc w:val="center"/>
              <w:ind w:left="299"/>
              <w:spacing w:after="0"/>
              <w:rPr>
                <w:sz w:val="20"/>
                <w:szCs w:val="20"/>
                <w:color w:val="auto"/>
              </w:rPr>
            </w:pPr>
            <w:r>
              <w:rPr>
                <w:rFonts w:ascii="Arial" w:cs="Arial" w:eastAsia="Arial" w:hAnsi="Arial"/>
                <w:sz w:val="14"/>
                <w:szCs w:val="14"/>
                <w:color w:val="auto"/>
              </w:rPr>
              <w:t>As of</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As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4"/>
          </w:tcPr>
          <w:p>
            <w:pPr>
              <w:jc w:val="center"/>
              <w:ind w:right="40"/>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ind w:left="300"/>
              <w:spacing w:after="0"/>
              <w:rPr>
                <w:sz w:val="20"/>
                <w:szCs w:val="20"/>
                <w:color w:val="auto"/>
              </w:rPr>
            </w:pPr>
            <w:r>
              <w:rPr>
                <w:rFonts w:ascii="Arial" w:cs="Arial" w:eastAsia="Arial" w:hAnsi="Arial"/>
                <w:sz w:val="14"/>
                <w:szCs w:val="14"/>
                <w:color w:val="auto"/>
              </w:rPr>
              <w:t>Location in Balance Sheet</w:t>
            </w:r>
          </w:p>
        </w:tc>
        <w:tc>
          <w:tcPr>
            <w:tcW w:w="74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4"/>
                <w:szCs w:val="14"/>
                <w:color w:val="auto"/>
              </w:rPr>
              <w:t>2024</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28,570</w:t>
            </w:r>
          </w:p>
        </w:tc>
        <w:tc>
          <w:tcPr>
            <w:tcW w:w="160" w:type="dxa"/>
            <w:vAlign w:val="bottom"/>
          </w:tcPr>
          <w:p>
            <w:pPr>
              <w:spacing w:after="0"/>
              <w:rPr>
                <w:sz w:val="17"/>
                <w:szCs w:val="17"/>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20,376</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3,663</w:t>
            </w:r>
          </w:p>
        </w:tc>
        <w:tc>
          <w:tcPr>
            <w:tcW w:w="1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21"/>
        </w:trPr>
        <w:tc>
          <w:tcPr>
            <w:tcW w:w="322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52,713</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46,658</w:t>
            </w:r>
          </w:p>
        </w:tc>
      </w:tr>
      <w:tr>
        <w:trPr>
          <w:trHeight w:val="196"/>
        </w:trPr>
        <w:tc>
          <w:tcPr>
            <w:tcW w:w="32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56,376</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48,171</w:t>
            </w:r>
          </w:p>
        </w:tc>
      </w:tr>
      <w:tr>
        <w:trPr>
          <w:trHeight w:val="20"/>
        </w:trPr>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-548005</wp:posOffset>
            </wp:positionV>
            <wp:extent cx="568325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325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-290830</wp:posOffset>
            </wp:positionV>
            <wp:extent cx="56832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325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220"/>
            <w:col w:w="567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580" w:type="dxa"/>
            <w:vAlign w:val="bottom"/>
            <w:tcBorders>
              <w:top w:val="single" w:sz="8" w:color="auto"/>
            </w:tcBorders>
          </w:tcPr>
          <w:p>
            <w:pPr>
              <w:spacing w:after="0"/>
              <w:rPr>
                <w:sz w:val="15"/>
                <w:szCs w:val="15"/>
                <w:color w:val="auto"/>
              </w:rPr>
            </w:pPr>
          </w:p>
        </w:tc>
        <w:tc>
          <w:tcPr>
            <w:tcW w:w="31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As of June 30, 2024   As of December 31, 2023</w:t>
            </w:r>
          </w:p>
        </w:tc>
        <w:tc>
          <w:tcPr>
            <w:tcW w:w="160" w:type="dxa"/>
            <w:vAlign w:val="bottom"/>
          </w:tcPr>
          <w:p>
            <w:pPr>
              <w:spacing w:after="0"/>
              <w:rPr>
                <w:sz w:val="15"/>
                <w:szCs w:val="15"/>
                <w:color w:val="auto"/>
              </w:rPr>
            </w:pPr>
          </w:p>
        </w:tc>
      </w:tr>
      <w:tr>
        <w:trPr>
          <w:trHeight w:val="196"/>
        </w:trPr>
        <w:tc>
          <w:tcPr>
            <w:tcW w:w="5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300" w:type="dxa"/>
            <w:vAlign w:val="bottom"/>
            <w:tcBorders>
              <w:top w:val="single" w:sz="8" w:color="auto"/>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7.9 years</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7.6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39"/>
        </w:trPr>
        <w:tc>
          <w:tcPr>
            <w:tcW w:w="55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9.9 %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9.9 %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5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color w:val="auto"/>
              </w:rPr>
              <w:t>For the Six</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color w:val="auto"/>
              </w:rPr>
              <w:t>For the Six</w:t>
            </w:r>
          </w:p>
        </w:tc>
      </w:tr>
      <w:tr>
        <w:trPr>
          <w:trHeight w:val="162"/>
        </w:trPr>
        <w:tc>
          <w:tcPr>
            <w:tcW w:w="654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color w:val="auto"/>
              </w:rPr>
              <w:t>Months Ended</w:t>
            </w:r>
          </w:p>
        </w:tc>
        <w:tc>
          <w:tcPr>
            <w:tcW w:w="10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color w:val="auto"/>
              </w:rPr>
              <w:t>Months Ended</w:t>
            </w:r>
          </w:p>
        </w:tc>
      </w:tr>
      <w:tr>
        <w:trPr>
          <w:trHeight w:val="171"/>
        </w:trPr>
        <w:tc>
          <w:tcPr>
            <w:tcW w:w="654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color w:val="auto"/>
              </w:rPr>
              <w:t>June 30, 2024</w:t>
            </w:r>
          </w:p>
        </w:tc>
        <w:tc>
          <w:tcPr>
            <w:tcW w:w="10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color w:val="auto"/>
              </w:rPr>
              <w:t>June 30, 2023</w:t>
            </w:r>
          </w:p>
        </w:tc>
      </w:tr>
      <w:tr>
        <w:trPr>
          <w:trHeight w:val="196"/>
        </w:trPr>
        <w:tc>
          <w:tcPr>
            <w:tcW w:w="6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June 30,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520" w:type="dxa"/>
            <w:vAlign w:val="bottom"/>
            <w:tcBorders>
              <w:top w:val="single" w:sz="8" w:color="auto"/>
              <w:bottom w:val="single" w:sz="8" w:color="CCEEFF"/>
            </w:tcBorders>
          </w:tcPr>
          <w:p>
            <w:pPr>
              <w:spacing w:after="0"/>
              <w:rPr>
                <w:sz w:val="15"/>
                <w:szCs w:val="15"/>
                <w:color w:val="auto"/>
              </w:rPr>
            </w:pPr>
          </w:p>
        </w:tc>
        <w:tc>
          <w:tcPr>
            <w:tcW w:w="416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2024</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4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48,554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4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416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160" w:type="dxa"/>
            <w:vAlign w:val="bottom"/>
            <w:vMerge w:val="restart"/>
          </w:tcPr>
          <w:p>
            <w:pPr>
              <w:jc w:val="right"/>
              <w:ind w:right="303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5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11—Income taxes</w:t>
      </w:r>
    </w:p>
    <w:p>
      <w:pPr>
        <w:spacing w:after="0" w:line="214"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During the three and six months ended June 30, 2024, the Company recorded no income tax benefits for the net operating losses incurred or for the research and development tax credits generated in the U.S. due to its uncertainty of realizing a benefit from those items</w:t>
      </w:r>
    </w:p>
    <w:p>
      <w:pPr>
        <w:spacing w:after="0" w:line="169"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During the three months ended June 30, 2023, the Company recorded tax expense of $950. During the six months ended June 30, 2023, the Company recorded a tax expense of $2,158, primarily consisting of current federal and state tax expense resulting from revenue recognition for tax purposes from the Company's Research Collaboration and License Agreement entered into with Bristol-Myers Squibb Company in 2022, combined with statutory limitations on deductions for research and development expenses, net operating losses, and research credits.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12—Basic and diluted net loss per common share</w:t>
      </w:r>
    </w:p>
    <w:p>
      <w:pPr>
        <w:spacing w:after="0" w:line="18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Company’s potentially dilutive securities, which include RSUs (“Restricted Stock Units”),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six months ended June 30, 2024 and 2023 because including them would have had an anti-dilutive effect.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color w:val="auto"/>
              </w:rPr>
              <w:t>Six Months Ended</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Six Months Ended</w:t>
            </w:r>
          </w:p>
        </w:tc>
      </w:tr>
      <w:tr>
        <w:trPr>
          <w:trHeight w:val="162"/>
        </w:trPr>
        <w:tc>
          <w:tcPr>
            <w:tcW w:w="63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rPr>
              <w:t>June 30,</w:t>
            </w:r>
          </w:p>
        </w:tc>
        <w:tc>
          <w:tcPr>
            <w:tcW w:w="1200" w:type="dxa"/>
            <w:vAlign w:val="bottom"/>
          </w:tcPr>
          <w:p>
            <w:pPr>
              <w:jc w:val="center"/>
              <w:spacing w:after="0"/>
              <w:rPr>
                <w:sz w:val="20"/>
                <w:szCs w:val="20"/>
                <w:color w:val="auto"/>
              </w:rPr>
            </w:pPr>
            <w:r>
              <w:rPr>
                <w:rFonts w:ascii="Arial" w:cs="Arial" w:eastAsia="Arial" w:hAnsi="Arial"/>
                <w:sz w:val="14"/>
                <w:szCs w:val="14"/>
                <w:color w:val="auto"/>
              </w:rPr>
              <w:t>June 30,</w:t>
            </w:r>
          </w:p>
        </w:tc>
      </w:tr>
      <w:tr>
        <w:trPr>
          <w:trHeight w:val="171"/>
        </w:trPr>
        <w:tc>
          <w:tcPr>
            <w:tcW w:w="63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5,118,026</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8,796,470</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57,211</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302,011</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subject to future vesting</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24,731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49,416</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4,107,893</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2,398,356</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9,339,870</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11,578,262</w:t>
            </w: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13—Stock-based compensation</w:t>
      </w:r>
    </w:p>
    <w:p>
      <w:pPr>
        <w:spacing w:after="0" w:line="17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28"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2023, the 2021 Incentive Plan reserved shares were increased under clause (i) by 2,954,788 shares, effective as of January 1, 2023. For 2024, the 2021 Incentive Plan reserved shares were increased under clause (i) by 3,025,220 shares, effective as of January 1, 2024. As of June 30, 2024, there were 4,284,651 shares available for issuance under the 2021 Incentive Plan.</w:t>
      </w:r>
    </w:p>
    <w:p>
      <w:pPr>
        <w:spacing w:after="0" w:line="15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 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2024, the Company had reserved shares of common stock for issuance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660" w:type="dxa"/>
            <w:vAlign w:val="bottom"/>
          </w:tcPr>
          <w:p>
            <w:pPr>
              <w:jc w:val="right"/>
              <w:ind w:right="514"/>
              <w:spacing w:after="0"/>
              <w:rPr>
                <w:sz w:val="20"/>
                <w:szCs w:val="20"/>
                <w:color w:val="auto"/>
              </w:rPr>
            </w:pPr>
            <w:r>
              <w:rPr>
                <w:rFonts w:ascii="Arial" w:cs="Arial" w:eastAsia="Arial" w:hAnsi="Arial"/>
                <w:sz w:val="14"/>
                <w:szCs w:val="14"/>
                <w:color w:val="auto"/>
              </w:rPr>
              <w:t>Shares</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9,225,919</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4,284,651</w:t>
            </w:r>
          </w:p>
        </w:tc>
      </w:tr>
      <w:tr>
        <w:trPr>
          <w:trHeight w:val="202"/>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954,522</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14,465,092</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June 30, 2024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80" w:type="dxa"/>
            <w:vAlign w:val="bottom"/>
            <w:gridSpan w:val="2"/>
          </w:tcPr>
          <w:p>
            <w:pPr>
              <w:ind w:left="60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b w:val="1"/>
                <w:bCs w:val="1"/>
                <w:color w:val="auto"/>
              </w:rPr>
              <w:t>Balance December 31, 2023</w:t>
            </w:r>
          </w:p>
        </w:tc>
        <w:tc>
          <w:tcPr>
            <w:tcW w:w="35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3,128,244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2,954,788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(1,920,588)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694,864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June 30, 2024</w:t>
            </w:r>
          </w:p>
        </w:tc>
        <w:tc>
          <w:tcPr>
            <w:tcW w:w="35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4,284,651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500" w:type="dxa"/>
            <w:vAlign w:val="bottom"/>
            <w:vMerge w:val="restart"/>
          </w:tcPr>
          <w:p>
            <w:pPr>
              <w:jc w:val="right"/>
              <w:ind w:right="2590"/>
              <w:spacing w:after="0"/>
              <w:rPr>
                <w:sz w:val="20"/>
                <w:szCs w:val="20"/>
                <w:color w:val="auto"/>
              </w:rPr>
            </w:pPr>
            <w:r>
              <w:rPr>
                <w:rFonts w:ascii="Arial" w:cs="Arial" w:eastAsia="Arial" w:hAnsi="Arial"/>
                <w:sz w:val="18"/>
                <w:szCs w:val="18"/>
                <w:color w:val="auto"/>
              </w:rPr>
              <w:t>28</w:t>
            </w: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six month period ended June 30,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57"/>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Shares</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Exercise Price</w:t>
            </w:r>
          </w:p>
        </w:tc>
        <w:tc>
          <w:tcPr>
            <w:tcW w:w="740" w:type="dxa"/>
            <w:vAlign w:val="bottom"/>
          </w:tcPr>
          <w:p>
            <w:pPr>
              <w:jc w:val="center"/>
              <w:spacing w:after="0"/>
              <w:rPr>
                <w:sz w:val="20"/>
                <w:szCs w:val="20"/>
                <w:color w:val="auto"/>
              </w:rPr>
            </w:pPr>
            <w:r>
              <w:rPr>
                <w:rFonts w:ascii="Arial" w:cs="Arial" w:eastAsia="Arial" w:hAnsi="Arial"/>
                <w:sz w:val="14"/>
                <w:szCs w:val="14"/>
                <w:color w:val="auto"/>
              </w:rPr>
              <w:t>(years)</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2024</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3,938,006</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1,920,588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(231,969)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(505,154)</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(3,445)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Outstanding, June 30, 2024</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5,118,026</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5.69</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Exercisable at June 30, 2024</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5,055,598</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5.69</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The weighted average grant date fair value of awards for options granted during the six months ended June 30, 2024 was $3.34. As of June 30, 2024, there was $ 17,536 of total unrecognized compensation expense related to unvested stock options with time-based vesting terms, which is expected to be recognized over a weighted average period of 2.90 years. The aggregate intrinsic value of options vested and exercisable as of June 30, 2024 and 2023 is calculated based on the difference between the exercise price and the fair value of our common stock. The intrinsic value of options exercised in 2024 and 2023 was $665 and $1,545, respectively.</w:t>
      </w:r>
    </w:p>
    <w:p>
      <w:pPr>
        <w:spacing w:after="0" w:line="12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June 30, 2024</w:t>
            </w:r>
          </w:p>
        </w:tc>
        <w:tc>
          <w:tcPr>
            <w:tcW w:w="1460" w:type="dxa"/>
            <w:vAlign w:val="bottom"/>
            <w:gridSpan w:val="3"/>
          </w:tcPr>
          <w:p>
            <w:pPr>
              <w:ind w:left="20"/>
              <w:spacing w:after="0"/>
              <w:rPr>
                <w:sz w:val="20"/>
                <w:szCs w:val="20"/>
                <w:color w:val="auto"/>
              </w:rPr>
            </w:pPr>
            <w:r>
              <w:rPr>
                <w:rFonts w:ascii="Arial" w:cs="Arial" w:eastAsia="Arial" w:hAnsi="Arial"/>
                <w:sz w:val="14"/>
                <w:szCs w:val="14"/>
                <w:color w:val="auto"/>
              </w:rPr>
              <w:t>December 31, 2023</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28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3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5.98</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4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78.04 %</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77.87 %</w:t>
            </w:r>
          </w:p>
        </w:tc>
        <w:tc>
          <w:tcPr>
            <w:tcW w:w="20" w:type="dxa"/>
            <w:vAlign w:val="bottom"/>
          </w:tcPr>
          <w:p>
            <w:pPr>
              <w:spacing w:after="0"/>
              <w:rPr>
                <w:sz w:val="17"/>
                <w:szCs w:val="17"/>
                <w:color w:val="auto"/>
              </w:rPr>
            </w:pPr>
          </w:p>
        </w:tc>
      </w:tr>
      <w:tr>
        <w:trPr>
          <w:trHeight w:val="239"/>
        </w:trPr>
        <w:tc>
          <w:tcPr>
            <w:tcW w:w="3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120" w:type="dxa"/>
            <w:vAlign w:val="bottom"/>
            <w:gridSpan w:val="3"/>
          </w:tcPr>
          <w:p>
            <w:pPr>
              <w:jc w:val="right"/>
              <w:ind w:right="100"/>
              <w:spacing w:after="0"/>
              <w:rPr>
                <w:sz w:val="20"/>
                <w:szCs w:val="20"/>
                <w:color w:val="auto"/>
              </w:rPr>
            </w:pPr>
            <w:r>
              <w:rPr>
                <w:rFonts w:ascii="Arial" w:cs="Arial" w:eastAsia="Arial" w:hAnsi="Arial"/>
                <w:sz w:val="18"/>
                <w:szCs w:val="18"/>
                <w:color w:val="auto"/>
              </w:rPr>
              <w:t>4.40 %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3.68 %</w:t>
            </w:r>
          </w:p>
        </w:tc>
        <w:tc>
          <w:tcPr>
            <w:tcW w:w="20" w:type="dxa"/>
            <w:vAlign w:val="bottom"/>
          </w:tcPr>
          <w:p>
            <w:pPr>
              <w:spacing w:after="0"/>
              <w:rPr>
                <w:sz w:val="20"/>
                <w:szCs w:val="20"/>
                <w:color w:val="auto"/>
              </w:rPr>
            </w:pPr>
          </w:p>
        </w:tc>
      </w:tr>
      <w:tr>
        <w:trPr>
          <w:trHeight w:val="818"/>
        </w:trPr>
        <w:tc>
          <w:tcPr>
            <w:tcW w:w="3340" w:type="dxa"/>
            <w:vAlign w:val="bottom"/>
          </w:tcPr>
          <w:p>
            <w:pPr>
              <w:spacing w:after="0"/>
              <w:rPr>
                <w:sz w:val="24"/>
                <w:szCs w:val="24"/>
                <w:color w:val="auto"/>
              </w:rPr>
            </w:pPr>
          </w:p>
        </w:tc>
        <w:tc>
          <w:tcPr>
            <w:tcW w:w="2800" w:type="dxa"/>
            <w:vAlign w:val="bottom"/>
          </w:tcPr>
          <w:p>
            <w:pPr>
              <w:jc w:val="right"/>
              <w:ind w:right="1490"/>
              <w:spacing w:after="0"/>
              <w:rPr>
                <w:sz w:val="20"/>
                <w:szCs w:val="20"/>
                <w:color w:val="auto"/>
              </w:rPr>
            </w:pPr>
            <w:r>
              <w:rPr>
                <w:rFonts w:ascii="Arial" w:cs="Arial" w:eastAsia="Arial" w:hAnsi="Arial"/>
                <w:sz w:val="18"/>
                <w:szCs w:val="18"/>
                <w:color w:val="auto"/>
              </w:rPr>
              <w:t>29</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5680" w:type="dxa"/>
            <w:vAlign w:val="bottom"/>
            <w:gridSpan w:val="9"/>
          </w:tcPr>
          <w:p>
            <w:pPr>
              <w:jc w:val="right"/>
              <w:spacing w:after="0"/>
              <w:rPr>
                <w:sz w:val="20"/>
                <w:szCs w:val="20"/>
                <w:color w:val="auto"/>
              </w:rPr>
            </w:pPr>
            <w:r>
              <w:rPr>
                <w:rFonts w:ascii="Arial" w:cs="Arial" w:eastAsia="Arial" w:hAnsi="Arial"/>
                <w:sz w:val="14"/>
                <w:szCs w:val="14"/>
                <w:color w:val="auto"/>
              </w:rPr>
              <w:t>Three Months EndedThree Months Ended Six Months Ended Six Months Ended</w:t>
            </w:r>
          </w:p>
        </w:tc>
      </w:tr>
      <w:tr>
        <w:trPr>
          <w:trHeight w:val="203"/>
        </w:trPr>
        <w:tc>
          <w:tcPr>
            <w:tcW w:w="3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color w:val="auto"/>
              </w:rPr>
              <w:t>June 30,</w:t>
            </w:r>
          </w:p>
        </w:tc>
        <w:tc>
          <w:tcPr>
            <w:tcW w:w="26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7"/>
                <w:szCs w:val="17"/>
                <w:color w:val="auto"/>
              </w:rPr>
            </w:pPr>
          </w:p>
        </w:tc>
        <w:tc>
          <w:tcPr>
            <w:tcW w:w="960" w:type="dxa"/>
            <w:vAlign w:val="bottom"/>
          </w:tcPr>
          <w:p>
            <w:pPr>
              <w:jc w:val="right"/>
              <w:ind w:right="277"/>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7"/>
                <w:szCs w:val="17"/>
                <w:color w:val="auto"/>
              </w:rPr>
            </w:pPr>
          </w:p>
        </w:tc>
        <w:tc>
          <w:tcPr>
            <w:tcW w:w="960" w:type="dxa"/>
            <w:vAlign w:val="bottom"/>
          </w:tcPr>
          <w:p>
            <w:pPr>
              <w:jc w:val="right"/>
              <w:ind w:right="277"/>
              <w:spacing w:after="0"/>
              <w:rPr>
                <w:sz w:val="20"/>
                <w:szCs w:val="20"/>
                <w:color w:val="auto"/>
              </w:rPr>
            </w:pPr>
            <w:r>
              <w:rPr>
                <w:rFonts w:ascii="Arial" w:cs="Arial" w:eastAsia="Arial" w:hAnsi="Arial"/>
                <w:sz w:val="14"/>
                <w:szCs w:val="14"/>
                <w:color w:val="auto"/>
              </w:rPr>
              <w:t>June 30,</w:t>
            </w:r>
          </w:p>
        </w:tc>
      </w:tr>
      <w:tr>
        <w:trPr>
          <w:trHeight w:val="204"/>
        </w:trPr>
        <w:tc>
          <w:tcPr>
            <w:tcW w:w="3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2024</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2023</w:t>
            </w: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2,455</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2,234</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3,914</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4,346</w:t>
            </w:r>
          </w:p>
        </w:tc>
      </w:tr>
      <w:tr>
        <w:trPr>
          <w:trHeight w:val="203"/>
        </w:trPr>
        <w:tc>
          <w:tcPr>
            <w:tcW w:w="3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1,048</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1,051</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2,796</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2,736</w:t>
            </w:r>
          </w:p>
        </w:tc>
      </w:tr>
      <w:tr>
        <w:trPr>
          <w:trHeight w:val="196"/>
        </w:trPr>
        <w:tc>
          <w:tcPr>
            <w:tcW w:w="32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stock-based compensation</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3,503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3,285</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6,710</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7,082</w:t>
            </w:r>
          </w:p>
        </w:tc>
      </w:tr>
      <w:tr>
        <w:trPr>
          <w:trHeight w:val="20"/>
        </w:trPr>
        <w:tc>
          <w:tcPr>
            <w:tcW w:w="3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units</w:t>
      </w:r>
    </w:p>
    <w:p>
      <w:pPr>
        <w:ind w:left="60"/>
        <w:spacing w:after="0" w:line="234" w:lineRule="auto"/>
        <w:rPr>
          <w:sz w:val="20"/>
          <w:szCs w:val="20"/>
          <w:color w:val="auto"/>
        </w:rPr>
      </w:pPr>
      <w:r>
        <w:rPr>
          <w:rFonts w:ascii="Arial" w:cs="Arial" w:eastAsia="Arial" w:hAnsi="Arial"/>
          <w:sz w:val="18"/>
          <w:szCs w:val="18"/>
          <w:color w:val="auto"/>
        </w:rPr>
        <w:t>Restricted stock awards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 stock purchase plan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stock-based compensation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4"/>
          <w:szCs w:val="14"/>
          <w:color w:val="auto"/>
        </w:rPr>
        <w:t>Three Months EndedThree Months Ended Six Months Ended Six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color w:val="auto"/>
              </w:rPr>
              <w:t>June 30,</w:t>
            </w:r>
          </w:p>
        </w:tc>
        <w:tc>
          <w:tcPr>
            <w:tcW w:w="28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6"/>
                <w:szCs w:val="16"/>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color w:val="auto"/>
              </w:rPr>
              <w:t>June 30,</w:t>
            </w:r>
          </w:p>
        </w:tc>
      </w:tr>
      <w:tr>
        <w:trPr>
          <w:trHeight w:val="207"/>
        </w:trPr>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2024</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2023</w:t>
            </w:r>
          </w:p>
        </w:tc>
      </w:tr>
      <w:tr>
        <w:trPr>
          <w:trHeight w:val="181"/>
        </w:trPr>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line="182" w:lineRule="exact"/>
              <w:rPr>
                <w:sz w:val="20"/>
                <w:szCs w:val="20"/>
                <w:color w:val="auto"/>
              </w:rPr>
            </w:pPr>
            <w:r>
              <w:rPr>
                <w:rFonts w:ascii="Arial" w:cs="Arial" w:eastAsia="Arial" w:hAnsi="Arial"/>
                <w:sz w:val="18"/>
                <w:szCs w:val="18"/>
                <w:color w:val="auto"/>
              </w:rPr>
              <w:t>2,268</w:t>
            </w:r>
          </w:p>
        </w:tc>
        <w:tc>
          <w:tcPr>
            <w:tcW w:w="28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2,193</w:t>
            </w:r>
          </w:p>
        </w:tc>
        <w:tc>
          <w:tcPr>
            <w:tcW w:w="24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4,359</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5,739</w:t>
            </w:r>
          </w:p>
        </w:tc>
      </w:tr>
      <w:tr>
        <w:trPr>
          <w:trHeight w:val="203"/>
        </w:trPr>
        <w:tc>
          <w:tcPr>
            <w:tcW w:w="320" w:type="dxa"/>
            <w:vAlign w:val="bottom"/>
          </w:tcPr>
          <w:p>
            <w:pPr>
              <w:spacing w:after="0"/>
              <w:rPr>
                <w:sz w:val="17"/>
                <w:szCs w:val="17"/>
                <w:color w:val="auto"/>
              </w:rPr>
            </w:pPr>
          </w:p>
        </w:tc>
        <w:tc>
          <w:tcPr>
            <w:tcW w:w="10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1,133</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987</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2,147</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r>
      <w:tr>
        <w:trPr>
          <w:trHeight w:val="203"/>
        </w:trPr>
        <w:tc>
          <w:tcPr>
            <w:tcW w:w="320" w:type="dxa"/>
            <w:vAlign w:val="bottom"/>
          </w:tcPr>
          <w:p>
            <w:pPr>
              <w:spacing w:after="0"/>
              <w:rPr>
                <w:sz w:val="17"/>
                <w:szCs w:val="17"/>
                <w:color w:val="auto"/>
              </w:rPr>
            </w:pPr>
          </w:p>
        </w:tc>
        <w:tc>
          <w:tcPr>
            <w:tcW w:w="10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21"/>
        </w:trPr>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196"/>
        </w:trPr>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3,503</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3,285</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6,710</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-685165</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-419100</wp:posOffset>
            </wp:positionV>
            <wp:extent cx="564896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-161925</wp:posOffset>
            </wp:positionV>
            <wp:extent cx="564896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3100" w:space="720"/>
            <w:col w:w="519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summarizes RSU activity for the six months ended June 30, 2024:</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Weighted Average</w:t>
            </w:r>
          </w:p>
        </w:tc>
      </w:tr>
      <w:tr>
        <w:trPr>
          <w:trHeight w:val="210"/>
        </w:trPr>
        <w:tc>
          <w:tcPr>
            <w:tcW w:w="63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2023</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3,721,471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572,657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(186,235)</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Total Unvested June 30, 2024</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4,107,893</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w:t>
            </w:r>
          </w:p>
        </w:tc>
      </w:tr>
      <w:tr>
        <w:trPr>
          <w:trHeight w:val="20"/>
        </w:trPr>
        <w:tc>
          <w:tcPr>
            <w:tcW w:w="6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As of June 30, 2024, there was $6,315 of total unrecognized compensation expense related to the unvested restricted stock with time-based vesting terms, which is expected to be recognized over a weighted average period of 2.61 years.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June 30, 2024 and December 31, 2023:</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71"/>
        </w:trPr>
        <w:tc>
          <w:tcPr>
            <w:tcW w:w="6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2023</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Vested</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(24,685)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w:t>
            </w:r>
          </w:p>
        </w:tc>
      </w:tr>
      <w:tr>
        <w:trPr>
          <w:trHeight w:val="196"/>
        </w:trPr>
        <w:tc>
          <w:tcPr>
            <w:tcW w:w="6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June 30, 2024</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24,731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
        </w:trPr>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As of June 30, 2024, there was $311 of total unrecognized compensation expense related to the unvested restricted stock with time-based vesting terms, which is expected to be recognized over a weighted average period of 0.73 years. All restricted stock vests over a four-year period.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83"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$350 was recorded as a deposit liability on the Company’s balance sheet as of June 30, 2024.</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and 2024, the board waived the annual increase to the shares reserved under the ESPP. As of June 30, 2024, there were 954,522 shares available for issuance, under the ESPP.</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14—Related party transactions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w:t>
      </w:r>
    </w:p>
    <w:p>
      <w:pPr>
        <w:spacing w:after="0" w:line="183"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the Company. The acquired licenses and other contracts with FCDI are as follows: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169"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4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28"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October 2019, the Company entered into the Master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 (as defined below).</w:t>
      </w:r>
    </w:p>
    <w:p>
      <w:pPr>
        <w:spacing w:after="0" w:line="144" w:lineRule="exact"/>
        <w:rPr>
          <w:sz w:val="20"/>
          <w:szCs w:val="20"/>
          <w:color w:val="auto"/>
        </w:rPr>
      </w:pPr>
    </w:p>
    <w:p>
      <w:pPr>
        <w:jc w:val="both"/>
        <w:ind w:left="60" w:right="109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4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January, 2022, the Company and FCDI entered into a letter agreement (the “Letter Agreement”), which amended the Reprogramming License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royalties received by the Company under the FCDI Collaboration Agreement in respect of sales of products in Japan.</w:t>
      </w:r>
    </w:p>
    <w:p>
      <w:pPr>
        <w:spacing w:after="0" w:line="12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w:t>
      </w:r>
    </w:p>
    <w:p>
      <w:pPr>
        <w:spacing w:after="0" w:line="17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During the three and six months ended June 30, 2024, the Company made payments of $124 and $ 2,831 and incurred research and development expenses of $2,615 and $5,282, and legal fees of $38 and $73, in each case related to these agreements, and recorded within general and administrative expenses in its consolidated statements of operations and comprehensive loss, respectively.</w:t>
      </w:r>
    </w:p>
    <w:p>
      <w:pPr>
        <w:spacing w:after="0" w:line="133" w:lineRule="exact"/>
        <w:rPr>
          <w:sz w:val="20"/>
          <w:szCs w:val="20"/>
          <w:color w:val="auto"/>
        </w:rPr>
      </w:pPr>
    </w:p>
    <w:p>
      <w:pPr>
        <w:ind w:left="60" w:right="419"/>
        <w:spacing w:after="0" w:line="275" w:lineRule="auto"/>
        <w:rPr>
          <w:sz w:val="20"/>
          <w:szCs w:val="20"/>
          <w:color w:val="auto"/>
        </w:rPr>
      </w:pPr>
      <w:r>
        <w:rPr>
          <w:rFonts w:ascii="Arial" w:cs="Arial" w:eastAsia="Arial" w:hAnsi="Arial"/>
          <w:sz w:val="17"/>
          <w:szCs w:val="17"/>
          <w:color w:val="auto"/>
        </w:rPr>
        <w:t>During the three and six months ended June 30, 2023, the Company made payments of $55 and $68 and incurred research and development expenses of $0 and $33 and legal fees of $37 and $68, recorded within general and administrative expenses in its consolidated statements of operations and comprehensive loss.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183"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 – 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At-The-Market</w:t>
      </w:r>
    </w:p>
    <w:p>
      <w:pPr>
        <w:spacing w:after="0" w:line="198"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 Company has a Sales Agreement (“Sales Agreement”), with Cowen and Company, LLC, or (“Cowen”) to provide for the offering, issuance and sale of up to an aggregate amount of $150,000 of common stock from time to time in “at-the-market” offerings (the “ATM Program”) pursuant to its shelf registration statement on Form S-3 (File No. 333-265975) and subject to the limitations thereof. During the six months ended June 30, 2024, the Company sold 4,084,502 shares pursuant to the ATM Program for net proceeds of $17,829, after deducting commissions of $551.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Private Placement Offering</w:t>
      </w:r>
    </w:p>
    <w:p>
      <w:pPr>
        <w:spacing w:after="0" w:line="19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In April, 2024, the Company entered into a securities purchase agreement (the “Securities Purchase Agreement”) with certain institutional accredited investors (the “Investors”), pursuant to which the Company agreed to issue and sell to the Investors in a private placement an aggregate of 15,873,011 shares of the Company’s common stock (the “Private Placement Shares”), at a price of $3.78 per share (the “Private Placement”).</w:t>
      </w:r>
    </w:p>
    <w:p>
      <w:pPr>
        <w:spacing w:after="0" w:line="16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Private Placement closed on April 15, 2024. The Company received aggregate net proceeds from the Private Placement of approximately $56,593, after deducting placement agent fees and offering expenses. The Company intends to use the net proceeds from the private placement to support the expansion of CNTY-101 in autoimmune indications and for working capital and general corporate purposes.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 – Impairment of long-lived assets</w:t>
      </w:r>
    </w:p>
    <w:p>
      <w:pPr>
        <w:spacing w:after="0" w:line="20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the second quarter of 2023, the Company made the strategic decision to consolidate two of its existing leased lab facilities in Philadelphia. The company concluded it would exit one of the leases early and as a result the Company completed an impairment analysis of its right of use asset related to this lease along with the related property and equipment at this facility. The Company reviewed its long-lived assets for impairment following Financial Accounting Standards Board’s Accounting Standards Codification (ASC) 360 for Property, Plant, and Equipment. The Company evaluated its long-lived assets for recoverability due to changes in circumstances that indicated that the carrying amounts may not be recoverable.</w:t>
      </w:r>
    </w:p>
    <w:p>
      <w:pPr>
        <w:spacing w:after="0" w:line="158"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The Company reviewed its property and equipment related assets for impairment by comparing the carrying values of the assets with their estimated future undiscounted cash flows. Impairment charge was calculated as the difference between asset carrying values and fair value as discounted cash flows, indicative fair market quotes received which are considered level three fair value estimates.</w:t>
      </w:r>
    </w:p>
    <w:p>
      <w:pPr>
        <w:spacing w:after="0" w:line="133"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The Company analyzed its right-of used assets for impairment based on fair values calculated as discounted cash flows estimated to be received from the lease assets where applicable. The difference between fair value and carrying value of the right of use asset was recognized as an impairment in June 2023 of $4,220.</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17—Reduction in force</w:t>
      </w:r>
    </w:p>
    <w:p>
      <w:pPr>
        <w:spacing w:after="0" w:line="17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January 2023, the Company's Board of Directors approved, and management implemented, a new portfolio prioritization and capital allocation strategy. The resulting changes included pausing investments in CNTY-103 for glioblastoma as well as a discovery program in hematologic malignancies. The Company has shifted focus to CNTY-101 and will accelerate key programs, including one follow-on candidate for lymphoma, CNTY-102, CNTY-107 for Nectin-4+ solid tumors, and CNTY-101 in moderate to severe Systemic Lupus Eythematosus (“SLE”). In addition, the Company continues its partnered programs with Bristol Myers Squibb. The restructuring plan resulted in a reduction in the Company's workforce of approximately 25%. In connection with the restructuring plan, lab operations in Seattle and Hamilton, Ontario were closed and research activities were consolidated in Philadelphia.</w:t>
      </w:r>
    </w:p>
    <w:p>
      <w:pPr>
        <w:spacing w:after="0" w:line="156"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During the six months ended June 30, 2023, the Company incurred $2,032 of cash-based expenses related to employee severances, benefits and related costs. Of these amounts, $292 related to general and administrative expense, while $1,740 related to R&amp;D expense. In addition, the Company recorded non-cash stock-based compensation charge of $581 related to modification of equity awards for employees impacted by the restructuring during the year ended December 31, 2023. Of these amounts, $171 related to G&amp;A expense, while $410 related to R&amp;D expense. There were no remaining outstanding liabilities related to the reduction in force at June 30, 2024 and no related expenses incurred during the three and six months ended June 30, 2024</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18—Subsequent Events</w:t>
      </w:r>
    </w:p>
    <w:p>
      <w:pPr>
        <w:spacing w:after="0" w:line="17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2023 and the related Management’s Discussion and Analysis of Financial Condition and Results of Operations, which are contained in our Annual Report on Form 10-K filed with the Securities and Exchange Commission (the “SEC”) on March 14, 2024, (the “Annual Report”). This Quarterly Report on Form 10-Q contains “forward-looking statements” within the meaning of Section 27A of the Securities Act and Section 21E of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diseases that we believe will allow us to overcome the limitations of first-generation cell therapies. We have created a comprehensive, genetically engineered allogeneic cell therapy platform that includes:</w:t>
      </w:r>
    </w:p>
    <w:p>
      <w:pPr>
        <w:spacing w:after="0" w:line="160" w:lineRule="exact"/>
        <w:rPr>
          <w:sz w:val="20"/>
          <w:szCs w:val="20"/>
          <w:color w:val="auto"/>
        </w:rPr>
      </w:pPr>
    </w:p>
    <w:p>
      <w:pPr>
        <w:ind w:left="1040" w:right="179" w:hanging="639"/>
        <w:spacing w:after="0" w:line="27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Industry-leading induced pluripotent stem cells, (“iPSCs”) and differentiated know-how to generate immune effector cells from iPSCs, (“iPSC-derived cells”);</w:t>
      </w:r>
    </w:p>
    <w:p>
      <w:pPr>
        <w:spacing w:after="0" w:line="140" w:lineRule="exact"/>
        <w:rPr>
          <w:rFonts w:ascii="Arial" w:cs="Arial" w:eastAsia="Arial" w:hAnsi="Arial"/>
          <w:sz w:val="18"/>
          <w:szCs w:val="18"/>
          <w:color w:val="auto"/>
        </w:rPr>
      </w:pPr>
    </w:p>
    <w:p>
      <w:pPr>
        <w:ind w:left="1040" w:right="339" w:hanging="639"/>
        <w:spacing w:after="0" w:line="25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(“CRISPR”), mediated precision gene editing that allows us to incorporate multiple transgenes and remove target genes intended to optimize cell product performance;</w:t>
      </w:r>
    </w:p>
    <w:p>
      <w:pPr>
        <w:spacing w:after="0" w:line="155" w:lineRule="exact"/>
        <w:rPr>
          <w:rFonts w:ascii="Arial" w:cs="Arial" w:eastAsia="Arial" w:hAnsi="Arial"/>
          <w:sz w:val="18"/>
          <w:szCs w:val="18"/>
          <w:color w:val="auto"/>
        </w:rPr>
      </w:pPr>
    </w:p>
    <w:p>
      <w:pPr>
        <w:ind w:left="1040" w:right="559" w:hanging="639"/>
        <w:spacing w:after="0" w:line="27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(“CARs”);</w:t>
      </w:r>
    </w:p>
    <w:p>
      <w:pPr>
        <w:spacing w:after="0" w:line="132" w:lineRule="exact"/>
        <w:rPr>
          <w:rFonts w:ascii="Arial" w:cs="Arial" w:eastAsia="Arial" w:hAnsi="Arial"/>
          <w:sz w:val="18"/>
          <w:szCs w:val="18"/>
          <w:color w:val="auto"/>
        </w:rPr>
      </w:pPr>
    </w:p>
    <w:p>
      <w:pPr>
        <w:ind w:left="1040" w:right="159" w:hanging="639"/>
        <w:spacing w:after="0" w:line="212"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proprietary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technology intended to prevent rejection of our cell products by the host immune system; and</w:t>
      </w:r>
    </w:p>
    <w:p>
      <w:pPr>
        <w:spacing w:after="0" w:line="167" w:lineRule="exact"/>
        <w:rPr>
          <w:rFonts w:ascii="Arial" w:cs="Arial" w:eastAsia="Arial" w:hAnsi="Arial"/>
          <w:sz w:val="18"/>
          <w:szCs w:val="18"/>
          <w:color w:val="auto"/>
        </w:rPr>
      </w:pPr>
    </w:p>
    <w:p>
      <w:pPr>
        <w:ind w:left="1040" w:hanging="63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Cutting edge manufacturing capabilities intended to minimize product development and supply risk.</w:t>
      </w:r>
    </w:p>
    <w:p>
      <w:pPr>
        <w:spacing w:after="0" w:line="19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iPSC-derived natural killer cells, (“iNK cells”) and iPSC-derived T cells, (“iT cells”)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as well as autoimmune diseases. To achieve our vision, we have assembled a world-class team with decades of collective experience in cell therapy and drug development, manufacturing, and commercialization.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conducting our ELiPSE-1 clinical trial, initiating our CALiPSO-1 clinical trial, undertaking preclinical studies, in-licensing intellectual property, and acquiring and integrating Clade Therapeutics. All of our programs are currently in the development stage, and we do not have any products approved for sale. Since our inception, we have incurred net losses each year. We had an accumulated deficit of $715.0 million as of June 30, 2024. Substantially all of our losses have resulted from expenses incurred in connection with our research and development programs, the acquisition of in-process research and development and from general and administrative costs associated with our operations.</w:t>
      </w:r>
    </w:p>
    <w:p>
      <w:pPr>
        <w:spacing w:after="0" w:line="156"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To date, we have funded our operations from the issuance and sale of our equity securities and the receipt of payments from Bristol-Myers Squibb, in connection with our collaborations as described below, and have not generated any revenues. Since our inception, through June 30, 2024, we have raised approximately $665 million in net proceeds from sales of our equity securities. As of June 30, 2024, we had cash and cash equivalents of $41.5 million and investments of $228.2 million.</w:t>
      </w:r>
    </w:p>
    <w:p>
      <w:pPr>
        <w:spacing w:after="0" w:line="136"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In August 2022, the U.S. Food and Drug Administration (“FDA”) notified us that our ELiPSE-1 clinical trial may proceed to assess CNTY-101 in patients with relapsed or refractory CD19 positive B-cell malignancies. The phase 1 trial, ELiPSE-1, is ongoing in patients with relapsed or refractory CD19-positive B-cell malignancies. In December 2023, we announced preliminary clinical data from seven patients treated at the two lowest dose levels in the trial. In June 2024, we presented encouraging interim efficacy and safety data and recently completed dose escalation of schedule A (single dose per cycle) and schedule B (3 doses per cycle), and is currently enrolling patients in the dose confirmation portion.</w:t>
      </w:r>
    </w:p>
    <w:p>
      <w:pPr>
        <w:spacing w:after="0" w:line="14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231F20"/>
        </w:rPr>
        <w:t>In December 2023, we were notified by the FDA that the Phase 1 clinical trial may proceed to assess CNTY-101 in patients with moderate to severe systemic lupus erythematosus who have failed at least two standard immunosuppressive therapies. The Company recently initiated the Phase 1 CALiPSO-1 trial of CNTY-101 in Systemic Lupus Erythematosus (SLE). The first clinical trial site has been activated, with additional sites continuing to open across the United States. The Company expects initial clinical data from CALiPSO-1 by year-end 2024. Furthermore, Century recently amended the protocol to include a new indication-specific cohort of Lupus Nephritis (LN) patients. The Company intends to submit additional regulatory filings for CNTY-101 in autoimmune disease indications with limited current treatment options and high unmet need in the second half of 2024.</w:t>
      </w:r>
    </w:p>
    <w:p>
      <w:pPr>
        <w:spacing w:after="0" w:line="156"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In January 2023, we announced a strategic internal portfolio prioritization (the “January 2023 Strategic Reprioritization”) through which, among other discovery efforts, CNTY-103, a CAR-iNK product targeting CD133 and a discovery program for hematological malignancies, was de-prioritized, allowing us to further prioritize our CNTY-102 and CNTY-107 product candidates, which we believe have a higher probability of technical success and greater market potential. As a result of the operational restructuring, lab operations in Seattle and Hamilton, Ontario, have been closed and research activities have been consolidated in Philadelphia.</w:t>
      </w:r>
    </w:p>
    <w:p>
      <w:pPr>
        <w:spacing w:after="0" w:line="125" w:lineRule="exact"/>
        <w:rPr>
          <w:sz w:val="20"/>
          <w:szCs w:val="20"/>
          <w:color w:val="auto"/>
        </w:rPr>
      </w:pPr>
    </w:p>
    <w:p>
      <w:pPr>
        <w:ind w:left="60" w:right="139"/>
        <w:spacing w:after="0" w:line="228" w:lineRule="auto"/>
        <w:rPr>
          <w:sz w:val="20"/>
          <w:szCs w:val="20"/>
          <w:color w:val="auto"/>
        </w:rPr>
      </w:pPr>
      <w:r>
        <w:rPr>
          <w:rFonts w:ascii="Arial" w:cs="Arial" w:eastAsia="Arial" w:hAnsi="Arial"/>
          <w:sz w:val="18"/>
          <w:szCs w:val="18"/>
          <w:color w:val="auto"/>
        </w:rPr>
        <w:t>In the second quarter of 2024, we announced plans to expand clinical development for CNTY-101 into additional autoimmune disease indications. To support these increased research and development activities in autoimmune diseases, in April 2024 we completed a private placement offering of our common stock to certain institutional investors and received $60 million in gross proceeds before deducting placement agent fees and other offering related expenses. Concurrently, we announced pipeline and platform enhancements through the acquisition of Clade Therapeutics, Inc. (“Clade”), a privately-held biotechnology company focused on discovering and delivering engineerable, off-the-shelf, scalable, and consistent stem cell-based medicines, with a focus on iPSC-derived αβ T cells. The acquisition brings us novel technology enhancing our efforts on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and a newly expanded pipeline incorporating three additional preclinical-stage programs from Clade’s αβ iT platform spanning across cancer and autoimmune diseases.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Based on our current business plans, we believe our cash, cash equivalents and investments as of the date of this quarterly report will be sufficient for us to fund our operating expenses and capital expenditures requirements into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52"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Times New Roman" w:cs="Times New Roman" w:eastAsia="Times New Roman" w:hAnsi="Times New Roman"/>
          <w:sz w:val="18"/>
          <w:szCs w:val="18"/>
          <w:color w:val="auto"/>
        </w:rPr>
      </w:pPr>
    </w:p>
    <w:p>
      <w:pPr>
        <w:ind w:left="380" w:right="559" w:hanging="330"/>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current good manufacturing practices, (“cGMP”), facilities;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380" w:right="199" w:hanging="330"/>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4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3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CNTY-102, CNTY-107, and CNTY-108, CLDE-308, CLDE-361,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current and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8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(the “Collaboration Agreement”), to collaborate on the research, development and commercialization of iNK and iT cell programs for hematologic malignancies and solid tumors, (the “Collaboration Program”), and each product candidate, (each, a “Development Candidate”). We and Bristol-Myers Squibb will initially collaborate on two Collaboration Programs focused on acute myeloid leukemia, and multiple myeloma,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4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and product candidates developed under a Licensed Program (the “Licensed Products”). For each Licensed Program, Bristol-Myers Squibb will pay up to $235 million in milestone payments upon the first achievement of certain development and regulatory milestones and will pay up to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4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4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September 18, 2018, we entered into a license agreement,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January 2023 Strategic Reprioritization.</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Also on September 18, 2018, we entered into the non-exclusive license,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(the” FCDI Collaboration Agreement”), with FCDI pursuant to which we agreed to fund research and development work at FCDI pursuant to a research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On January 7, 2022, we and FCDI entered into a letter agreement, which amends each of the FCDI agreements as further discussed in Note 14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65"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(the “Autoimmune License”).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w:t>
      </w:r>
    </w:p>
    <w:p>
      <w:pPr>
        <w:spacing w:after="0" w:line="15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During the three and six months ended June 30, 2024, we made payments of $0.1 million and $2.8 million and incurred research and development expenses of $2.6 million and $5.3 million and legal fees of $38 thousand and $73 thousand, recorded within general and administrative expenses in its consolidated statements of operations and comprehensive loss.</w:t>
      </w:r>
    </w:p>
    <w:p>
      <w:pPr>
        <w:spacing w:after="0" w:line="147"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During the three and six months ended June 30, 2023, we made payments of $ 55 thousand and $68 thousand and incurred research and development expenses of $0 and $33 thousand and legal fees of $37 thousand and $68 thousand.</w:t>
      </w:r>
    </w:p>
    <w:p>
      <w:pPr>
        <w:spacing w:after="0" w:line="128"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color w:val="auto"/>
        </w:rPr>
        <w:t>From inception of the FCDI Collaboration Agreement through June 30, 2024, we incurred $41.7 million of expenses under the FCDI Collaboration Agreement.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69"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Interest expense relates to interest incurred on the September 14, 2020 $ 10,000 Term Loan Agreement (the “Loan Agreement”) we entered into with Hercules Capital, Inc., as well as amortization of the related deferred financing cost. The loan was repaid in full in May 2023. See Note 7 to our consolidated financial statements for additional information.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incurred losses and recorded a full valuation allowance on all of our net deferred tax assets. For the six months ended June 30, 2024, the Company recorded no income tax benefits for the net operating losses incurred or for the research and development tax credits generated in the U.S. due to its uncertainty of realizing a benefit from those items. The tax provision recorded during the 2023 interim period primarily consisted of current federal and state tax expense resulting from revenue recognition for tax purposes from the Company's Research Collaboration and License Agreement entered into with Bristol-Myers Squibb Company in 2022, combined with statutory limitations on deductions for research and development expenses, net operating losses, and research credits.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June 30, 2024 and 2023.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June 30, 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June 30, 2023</w:t>
            </w:r>
          </w:p>
        </w:tc>
        <w:tc>
          <w:tcPr>
            <w:tcW w:w="120" w:type="dxa"/>
            <w:vAlign w:val="bottom"/>
          </w:tcPr>
          <w:p>
            <w:pPr>
              <w:spacing w:after="0"/>
              <w:rPr>
                <w:sz w:val="14"/>
                <w:szCs w:val="14"/>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Change</w:t>
            </w:r>
          </w:p>
        </w:tc>
      </w:tr>
      <w:tr>
        <w:trPr>
          <w:trHeight w:val="142"/>
        </w:trPr>
        <w:tc>
          <w:tcPr>
            <w:tcW w:w="5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w:t>
            </w: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22,727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4,493</w:t>
            </w:r>
          </w:p>
        </w:tc>
      </w:tr>
      <w:tr>
        <w:trPr>
          <w:trHeight w:val="203"/>
        </w:trPr>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8,306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8,229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long-lived assets</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(4,220)</w:t>
            </w:r>
          </w:p>
        </w:tc>
      </w:tr>
      <w:tr>
        <w:trPr>
          <w:trHeight w:val="196"/>
        </w:trPr>
        <w:tc>
          <w:tcPr>
            <w:tcW w:w="50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35,526</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35,176</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w:t>
            </w: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(34,755)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(35,077)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3,582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r>
      <w:tr>
        <w:trPr>
          <w:trHeight w:val="196"/>
        </w:trPr>
        <w:tc>
          <w:tcPr>
            <w:tcW w:w="500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3,570</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2,736</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834</w:t>
            </w: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(32,341)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1,156</w:t>
            </w:r>
          </w:p>
        </w:tc>
      </w:tr>
      <w:tr>
        <w:trPr>
          <w:trHeight w:val="203"/>
        </w:trPr>
        <w:tc>
          <w:tcPr>
            <w:tcW w:w="5000" w:type="dxa"/>
            <w:vAlign w:val="bottom"/>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(950)</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(31,207)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(33,291)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2,084</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During the three months ended June 30, 2024 and 2023, we recognized revenue of $0.8 and $0.1 million under our collaboration agreement with Bristol-Myers Squibb, respectively. Revenue recognized under the collaboration agreement fluctuates based on the amount and timing of expenses incurred under the agreement.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660" w:type="dxa"/>
            <w:vAlign w:val="bottom"/>
            <w:tcBorders>
              <w:top w:val="single" w:sz="8" w:color="auto"/>
            </w:tcBorders>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 2024</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 2023</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3"/>
          </w:tcPr>
          <w:p>
            <w:pPr>
              <w:jc w:val="right"/>
              <w:ind w:right="472"/>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10,939</w:t>
            </w:r>
          </w:p>
        </w:tc>
        <w:tc>
          <w:tcPr>
            <w:tcW w:w="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9,821</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$ 1,118</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6,544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6,412</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40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laboratory</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405"/>
        </w:trPr>
        <w:tc>
          <w:tcPr>
            <w:tcW w:w="5000" w:type="dxa"/>
            <w:vAlign w:val="bottom"/>
          </w:tcPr>
          <w:p>
            <w:pPr>
              <w:ind w:left="20"/>
              <w:spacing w:after="0"/>
              <w:rPr>
                <w:sz w:val="20"/>
                <w:szCs w:val="20"/>
                <w:color w:val="auto"/>
              </w:rPr>
            </w:pPr>
            <w:r>
              <w:rPr>
                <w:rFonts w:ascii="Arial" w:cs="Arial" w:eastAsia="Arial" w:hAnsi="Arial"/>
                <w:sz w:val="18"/>
                <w:szCs w:val="18"/>
                <w:color w:val="auto"/>
              </w:rPr>
              <w:t>Collaboration</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r>
      <w:tr>
        <w:trPr>
          <w:trHeight w:val="398"/>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 expense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27,220</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22,727</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$ 4,493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Research and development expenses were $ 27.2 million and $22.7 million for the three months ended June 30, 2024 and 2023, respectively. The increase of $4.5 million was primarily due to:</w:t>
      </w:r>
    </w:p>
    <w:p>
      <w:pPr>
        <w:spacing w:after="0" w:line="127" w:lineRule="exact"/>
        <w:rPr>
          <w:sz w:val="20"/>
          <w:szCs w:val="20"/>
          <w:color w:val="auto"/>
        </w:rPr>
      </w:pPr>
    </w:p>
    <w:p>
      <w:pPr>
        <w:ind w:left="380" w:right="299" w:hanging="330"/>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$1.1 million, including an increase in salary and benefit expense of $0.9 million, and an increase in stock compensation expense of $0.2 million. This is primarily the result of the acquisition of Clade.</w:t>
      </w:r>
    </w:p>
    <w:p>
      <w:pPr>
        <w:spacing w:after="0" w:line="130" w:lineRule="exact"/>
        <w:rPr>
          <w:rFonts w:ascii="Times New Roman" w:cs="Times New Roman" w:eastAsia="Times New Roman" w:hAnsi="Times New Roman"/>
          <w:sz w:val="18"/>
          <w:szCs w:val="18"/>
          <w:color w:val="auto"/>
        </w:rPr>
      </w:pPr>
    </w:p>
    <w:p>
      <w:pPr>
        <w:ind w:left="380" w:right="49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$1.4 million in research and laboratory due to progression of ELiPSE-1 trial and start-up costs of CALiPSO-1 trial.</w:t>
      </w:r>
    </w:p>
    <w:p>
      <w:pPr>
        <w:spacing w:after="0" w:line="113" w:lineRule="exact"/>
        <w:rPr>
          <w:rFonts w:ascii="Times New Roman" w:cs="Times New Roman" w:eastAsia="Times New Roman" w:hAnsi="Times New Roman"/>
          <w:sz w:val="18"/>
          <w:szCs w:val="18"/>
          <w:color w:val="auto"/>
        </w:rPr>
      </w:pPr>
    </w:p>
    <w:p>
      <w:pPr>
        <w:ind w:left="380" w:right="85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$1.8 million in collaboration due to manufacturing our CNTY-101 product candidate performed under our collaboration with FCDI.</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General and administrative expenses were $8.3 million for the three months ended June 30, 2024 and $8.2 million for three months ended June 30, 2023. The increase is most notably due to legal fees incurred from the acquisition of Clade, partially offset by a gain recognized on contingent consideration liabilities.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Interest expense was $0.0 million and $0.1 million for the three months ended June 30, 2024 and 2023, respectively, which related to our Loan Agreement with Hercules. On May 1, 2023, we repaid the loan in its entirety and thus expect our interest expenses to decrease accordingly in subsequent periods.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Interest income was $3.6 million and $3.1 million for the three months ended June 30, 2024 and 2023, respectively, which related to interest earned on our cash, cash equivalents, and investment balances. The increase in our interest income was due to higher interest rates earned on average balances of cash, cash equivalents and investments.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2024 and 2023.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Six Months Ended</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June 30, 2024</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June 30, 2023</w:t>
            </w:r>
          </w:p>
        </w:tc>
        <w:tc>
          <w:tcPr>
            <w:tcW w:w="180" w:type="dxa"/>
            <w:vAlign w:val="bottom"/>
          </w:tcPr>
          <w:p>
            <w:pPr>
              <w:spacing w:after="0"/>
              <w:rPr>
                <w:sz w:val="14"/>
                <w:szCs w:val="14"/>
                <w:color w:val="auto"/>
              </w:rPr>
            </w:pPr>
          </w:p>
        </w:tc>
        <w:tc>
          <w:tcPr>
            <w:tcW w:w="820" w:type="dxa"/>
            <w:vAlign w:val="bottom"/>
          </w:tcPr>
          <w:p>
            <w:pPr>
              <w:jc w:val="right"/>
              <w:ind w:right="151"/>
              <w:spacing w:after="0"/>
              <w:rPr>
                <w:sz w:val="20"/>
                <w:szCs w:val="20"/>
                <w:color w:val="auto"/>
              </w:rPr>
            </w:pPr>
            <w:r>
              <w:rPr>
                <w:rFonts w:ascii="Arial" w:cs="Arial" w:eastAsia="Arial" w:hAnsi="Arial"/>
                <w:sz w:val="14"/>
                <w:szCs w:val="14"/>
                <w:color w:val="auto"/>
              </w:rPr>
              <w:t>Change</w:t>
            </w:r>
          </w:p>
        </w:tc>
      </w:tr>
      <w:tr>
        <w:trPr>
          <w:trHeight w:val="142"/>
        </w:trPr>
        <w:tc>
          <w:tcPr>
            <w:tcW w:w="5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131"/>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17,052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17,131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long-lived assets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r>
      <w:tr>
        <w:trPr>
          <w:trHeight w:val="196"/>
        </w:trPr>
        <w:tc>
          <w:tcPr>
            <w:tcW w:w="52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67,693</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68,977</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2,936</w:t>
            </w:r>
          </w:p>
        </w:tc>
      </w:tr>
      <w:tr>
        <w:trPr>
          <w:trHeight w:val="196"/>
        </w:trPr>
        <w:tc>
          <w:tcPr>
            <w:tcW w:w="5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(66,068)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(67,158)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1,090</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6,820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5,681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1,139</w:t>
            </w: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196"/>
        </w:trPr>
        <w:tc>
          <w:tcPr>
            <w:tcW w:w="5280" w:type="dxa"/>
            <w:vAlign w:val="bottom"/>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6,821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4,761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2,060</w:t>
            </w: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(59,247)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(62,397)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3,150</w:t>
            </w:r>
          </w:p>
        </w:tc>
      </w:tr>
      <w:tr>
        <w:trPr>
          <w:trHeight w:val="202"/>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(2,158)</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2,136</w:t>
            </w:r>
          </w:p>
        </w:tc>
      </w:tr>
      <w:tr>
        <w:trPr>
          <w:trHeight w:val="196"/>
        </w:trPr>
        <w:tc>
          <w:tcPr>
            <w:tcW w:w="52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(64,555)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5,286</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During the six months ended June 30, 2024 and 2023, we recognized revenue of $1.6 and $1.8 million under our collaboration agreement with Bristol-Myers Squibb, respectively. Revenue recognized under the collaboration agreement fluctuates based on the amount and timing of expenses incurred under the agreement.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4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June 30, 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June 30, 2023</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20,701</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22,290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(1,589)</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11,236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12,226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3,327</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Collaboration</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1,573</w:t>
            </w: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03"/>
        </w:trPr>
        <w:tc>
          <w:tcPr>
            <w:tcW w:w="5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442</w:t>
            </w:r>
          </w:p>
        </w:tc>
      </w:tr>
      <w:tr>
        <w:trPr>
          <w:trHeight w:val="196"/>
        </w:trPr>
        <w:tc>
          <w:tcPr>
            <w:tcW w:w="5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50,641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47,626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3,015</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Research and development expenses were $ 50.6 million and $47.6 million for the six months ended June 30, 2024 and 2023, respectively. The increase of $3.0 million was primarily due to:</w:t>
      </w:r>
    </w:p>
    <w:p>
      <w:pPr>
        <w:spacing w:after="0" w:line="46" w:lineRule="exact"/>
        <w:rPr>
          <w:sz w:val="20"/>
          <w:szCs w:val="20"/>
          <w:color w:val="auto"/>
        </w:rPr>
      </w:pPr>
    </w:p>
    <w:p>
      <w:pPr>
        <w:ind w:left="380" w:right="49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$3.3 million in research and laboratory due to progression of ELiPSE-1 trial and start-up costs of CALiPSO-1 trial.</w:t>
      </w:r>
    </w:p>
    <w:p>
      <w:pPr>
        <w:spacing w:after="0" w:line="46" w:lineRule="exact"/>
        <w:rPr>
          <w:rFonts w:ascii="Times New Roman" w:cs="Times New Roman" w:eastAsia="Times New Roman" w:hAnsi="Times New Roman"/>
          <w:sz w:val="18"/>
          <w:szCs w:val="18"/>
          <w:color w:val="auto"/>
        </w:rPr>
      </w:pPr>
    </w:p>
    <w:p>
      <w:pPr>
        <w:ind w:left="380" w:right="23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personnel-related expenses of $1.6 million, including a decrease in salary and benefit expense of $1.3 million, and a decrease in stock compensation expense of $0.3 million. This is a result of the expenses associated with the reduction in force that occurred in January of 2023.</w:t>
      </w:r>
    </w:p>
    <w:p>
      <w:pPr>
        <w:spacing w:after="0" w:line="62" w:lineRule="exact"/>
        <w:rPr>
          <w:rFonts w:ascii="Times New Roman" w:cs="Times New Roman" w:eastAsia="Times New Roman" w:hAnsi="Times New Roman"/>
          <w:sz w:val="18"/>
          <w:szCs w:val="18"/>
          <w:color w:val="auto"/>
        </w:rPr>
      </w:pPr>
    </w:p>
    <w:p>
      <w:pPr>
        <w:ind w:left="380" w:right="23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$1.0 million of facility and other allocated costs, which consists of a decrease in rent of $1.0 million, which is a result of consolidating leased facilities during the second half 2023, and a decrease of facility services of $0.5 million. This was offset by an increase in depreciation of $0.5 million.</w:t>
      </w:r>
    </w:p>
    <w:p>
      <w:pPr>
        <w:spacing w:after="0" w:line="62" w:lineRule="exact"/>
        <w:rPr>
          <w:rFonts w:ascii="Times New Roman" w:cs="Times New Roman" w:eastAsia="Times New Roman" w:hAnsi="Times New Roman"/>
          <w:sz w:val="18"/>
          <w:szCs w:val="18"/>
          <w:color w:val="auto"/>
        </w:rPr>
      </w:pPr>
    </w:p>
    <w:p>
      <w:pPr>
        <w:ind w:left="380" w:right="85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collaboration of $1.6 million due to manufacturing our CNTY-101 product candidate performed under our collaboration with FCDI.</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6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General and administrative expenses were $17.0 million for the six months ended June 30, 2024 and $17.1 million for six months ended June 30, 2023. The decrease is most notably due to gain recognized on contingent consideration liabilities partially offset by legal fees incurred from the acquisition of Clade.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Interest expense was $0.0 million and $0.5 million for the six months ended June 30, 2024 and 2023, respectively, which related to our Loan Agreement with Hercules. On May 1, 2023, we repaid the loan in its entirety and thus expect our interest expenses to decrease accordingly in subsequent periods.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Interest income was $6.8 million and $5.7 million for the six months ended June 30, 2024 and 2023, respectively, which related to interest earned on our cash, cash equivalents, and investment balances. The increase in our interest income was due to higher interest rates earned on average balances of cash, cash equivalents and investments.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179"/>
        <w:spacing w:after="0" w:line="256" w:lineRule="auto"/>
        <w:rPr>
          <w:sz w:val="20"/>
          <w:szCs w:val="20"/>
          <w:color w:val="auto"/>
        </w:rPr>
      </w:pPr>
      <w:r>
        <w:rPr>
          <w:rFonts w:ascii="Arial" w:cs="Arial" w:eastAsia="Arial" w:hAnsi="Arial"/>
          <w:sz w:val="17"/>
          <w:szCs w:val="17"/>
          <w:color w:val="auto"/>
        </w:rPr>
        <w:t>To date, we have funded our operations from the issuance and sale of our equity securities, debt financing and collaboration revenues. Since our inception, we have raised approximately $666 million in net proceeds from the sales of our equity securities. As of June 30, 2024, we had cash, and cash equivalents of $41.5 million and investments of $228.2 million. Based on our research and development plans, we believe our existing cash, cash equivalents and investments, will be sufficient to fund our operating expenses and capital expenditures requirements into 2026. Since our inception, we have incurred significant operating losses. We have not yet commercialized any products and we do not expect to generate revenue from sales of any product candidates for a number of years, if ever. We had an accumulated deficit of $715.0 million as of June 30, 2024.</w:t>
      </w:r>
    </w:p>
    <w:p>
      <w:pPr>
        <w:spacing w:after="0" w:line="12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July 2022, we entered into a Sales Agreement, with Cowen and Company, LLC (“Cowen”), under which we may offer and sell, from time to time in our sole discretion, shares of our common stock, having an aggregate offering price of up to $150 million through Cowen as sales agent. In February of 2024, 4,084,502 shares of common stock were issued and sold pursuant to the Sales Agreement at a weighted-average price of $4.50 per share, resulting in approximately $18.4 million in gross proceeds.</w:t>
      </w:r>
    </w:p>
    <w:p>
      <w:pPr>
        <w:spacing w:after="0" w:line="149"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In April 2024, we entered into a securities purchase agreement (the “Securities Purchase Agreement”) with certain institutional accredited investors (the “Investors”), pursuant to which we agreed to issue and sell to the Investors in a private placement an aggregate of 15,873,011 shares of common stock (the “Private Placement Shares”), at a price of $3.78 per share (the “Private Placement”). We received aggregate gross proceeds from the Private Placement of approximately $60 million, before deducting placement agent fees and offering expenses.</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6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380" w:right="31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right="29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380" w:right="219" w:hanging="330"/>
        <w:spacing w:after="0" w:line="246"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39" w:hanging="330"/>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43"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197"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97"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color w:val="auto"/>
              </w:rPr>
              <w:t>Six Months Ended</w:t>
            </w:r>
          </w:p>
        </w:tc>
        <w:tc>
          <w:tcPr>
            <w:tcW w:w="14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color w:val="auto"/>
              </w:rPr>
              <w:t>June 30, 2024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June 30,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40" w:type="dxa"/>
            <w:vAlign w:val="bottom"/>
            <w:gridSpan w:val="4"/>
          </w:tcPr>
          <w:p>
            <w:pPr>
              <w:jc w:val="right"/>
              <w:ind w:right="1116"/>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(57,580)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(48,469)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(22,323)</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74,892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58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(decrease) increase in cash, cash equivalents, and restricted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(5,011)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8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Net cash used in operating activities was $57.6 million and $48.5 million for the six months ended June 30, 2024 and 2023, respectively. Net cash used in operating activities during the six months ended June 30, 2024 consisted primarily of our net loss of $ 59.3 million. The non-cash charges of $10.0 million consisted primarily of $6.7 million for depreciation expense, non-cash operating lease of $0.1 million, and non-cash stock-based compensation expense of $6.7 million. This was partially offset by amortization of marketable securities of $2.5 million and gain on contingent consideration liability of $0.8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Net cash used in operating activities was $48.5 million for the six months ended June 30, 2023. Net cash used in operating activities during the six months ended June 30, 2023 consisted primarily of our net loss of $64.6 million. The non-cash charges of $16.0 million consisted primarily of $6.1 million for depreciation expense, non-cash stock-based compensation expense of $7.0 million, and impairment of $4.2 million.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Net cash (used in) provided by investing activities was ($22.3) million and $38.3 million for the six months ended June 30, 2024 and 2023, respectively. Cash (used in) investing activities for the six months ended June 30, 2024 consisted primarily of the sale of fixed maturity securities, available for sale of $77.0 million, which was partially offset by purchases of fixed maturity securities of $89.0 million, acquisition of property and equipment of $0.8 million, and the acquisition of Clade of $9.6 million.</w:t>
      </w:r>
    </w:p>
    <w:p>
      <w:pPr>
        <w:spacing w:after="0" w:line="13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Cash provided by investing activities was $38.3 million for the six months ended June 30, 2023 and consisted primarily of the sale of fixed maturity securities, available for sale of $189.6 million, which was partially offset by purchases of fixed maturity securities of $141.8 million and acquisition of property and equipment of $9.5 million.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2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Net cash provided by (used in) financing activities was $74.9 million and ($9.7) million for the six months ended June 30, 2024 and 2023, respectively. Cash provided by financing activities consisted of $17.8 million from proceeds from our at-the-market capital raise, $56.6 million from proceeds from our PIPE financing, and $0.5 million from issuance of our common stock from equity incentive plans pursuant to the exercise of employee stock options.</w:t>
      </w:r>
    </w:p>
    <w:p>
      <w:pPr>
        <w:spacing w:after="0" w:line="109" w:lineRule="exact"/>
        <w:rPr>
          <w:sz w:val="20"/>
          <w:szCs w:val="20"/>
          <w:color w:val="auto"/>
        </w:rPr>
      </w:pPr>
    </w:p>
    <w:p>
      <w:pPr>
        <w:jc w:val="both"/>
        <w:ind w:left="60" w:right="199"/>
        <w:spacing w:after="0" w:line="275" w:lineRule="auto"/>
        <w:rPr>
          <w:sz w:val="20"/>
          <w:szCs w:val="20"/>
          <w:color w:val="auto"/>
        </w:rPr>
      </w:pPr>
      <w:r>
        <w:rPr>
          <w:rFonts w:ascii="Arial" w:cs="Arial" w:eastAsia="Arial" w:hAnsi="Arial"/>
          <w:sz w:val="17"/>
          <w:szCs w:val="17"/>
          <w:color w:val="auto"/>
        </w:rPr>
        <w:t>Net cash used in financing activities was $38.3 million for the six months ended June 30, 2023. Cash provided by financing activities consisted of $ 10.2 million for payments on long term debt and offset by $0.6 million from issuance of our common stock from equity incentive plans pursuant to the exercise of employee stock options.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June 30,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8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3780" w:type="dxa"/>
            <w:vAlign w:val="bottom"/>
          </w:tcPr>
          <w:p>
            <w:pPr>
              <w:spacing w:after="0"/>
              <w:rPr>
                <w:sz w:val="13"/>
                <w:szCs w:val="13"/>
                <w:color w:val="auto"/>
              </w:rPr>
            </w:pPr>
          </w:p>
        </w:tc>
        <w:tc>
          <w:tcPr>
            <w:tcW w:w="84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color w:val="auto"/>
              </w:rPr>
              <w:t>1 Year</w:t>
            </w:r>
          </w:p>
        </w:tc>
        <w:tc>
          <w:tcPr>
            <w:tcW w:w="10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10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 to 5 Years</w:t>
            </w:r>
          </w:p>
        </w:tc>
        <w:tc>
          <w:tcPr>
            <w:tcW w:w="130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More than 5 Years</w:t>
            </w:r>
          </w:p>
        </w:tc>
        <w:tc>
          <w:tcPr>
            <w:tcW w:w="98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84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99"/>
              </w:rPr>
              <w:t>$ 10,077</w:t>
            </w:r>
          </w:p>
        </w:tc>
        <w:tc>
          <w:tcPr>
            <w:tcW w:w="10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$ 20,268</w:t>
            </w:r>
          </w:p>
        </w:tc>
        <w:tc>
          <w:tcPr>
            <w:tcW w:w="10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$ 20,958</w:t>
            </w:r>
          </w:p>
        </w:tc>
        <w:tc>
          <w:tcPr>
            <w:tcW w:w="4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43,210</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$ 94,513</w:t>
            </w:r>
          </w:p>
        </w:tc>
      </w:tr>
    </w:tbl>
    <w:p>
      <w:pPr>
        <w:spacing w:after="0" w:line="18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Payment obligations under our license, collaboration, and acquisition and merger agreements as of June 30, 2024 are contingent upon future events such as our achievement of pre-specified development, regulatory, and commercial milestones, or royalties on net product sales. As of June 30, 2024, the timing and likelihood of achieving the milestones and success payments and generating future product sales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9 “Commitments and contingencies” for additional information.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commitments under operating leases for certain facilities used in our operations.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8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36" w:lineRule="exact"/>
        <w:rPr>
          <w:sz w:val="20"/>
          <w:szCs w:val="20"/>
          <w:color w:val="auto"/>
        </w:rPr>
      </w:pPr>
    </w:p>
    <w:p>
      <w:pPr>
        <w:ind w:left="380" w:right="6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97" w:lineRule="exact"/>
        <w:rPr>
          <w:rFonts w:ascii="Times New Roman" w:cs="Times New Roman" w:eastAsia="Times New Roman" w:hAnsi="Times New Roman"/>
          <w:sz w:val="18"/>
          <w:szCs w:val="18"/>
          <w:color w:val="auto"/>
        </w:rPr>
      </w:pPr>
    </w:p>
    <w:p>
      <w:pPr>
        <w:ind w:left="380" w:right="179" w:hanging="330"/>
        <w:spacing w:after="0" w:line="252"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30" w:lineRule="exact"/>
        <w:rPr>
          <w:rFonts w:ascii="Times New Roman" w:cs="Times New Roman" w:eastAsia="Times New Roman" w:hAnsi="Times New Roman"/>
          <w:sz w:val="18"/>
          <w:szCs w:val="18"/>
          <w:color w:val="auto"/>
        </w:rPr>
      </w:pPr>
    </w:p>
    <w:p>
      <w:pPr>
        <w:ind w:left="380" w:right="5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9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4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During the six months ended June 30, 2024, there were no material changes to our critical accounting policies from those described in our audited financial statements for the year ended December 31, 2023 included in our Annual Report on Form 10-K filed with the SEC on March 14, 2024, except as noted above.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We had cash, cash equivalents, and restricted cash of $44.3 million as of June 30, 2024, which consisted of bank deposits and money market funds. We also had investments of $228.2 million as of June 30, 2024.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69"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9"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56"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119"/>
        <w:spacing w:after="0" w:line="236" w:lineRule="auto"/>
        <w:rPr>
          <w:sz w:val="20"/>
          <w:szCs w:val="20"/>
          <w:color w:val="auto"/>
        </w:rPr>
      </w:pPr>
      <w:r>
        <w:rPr>
          <w:rFonts w:ascii="Arial" w:cs="Arial" w:eastAsia="Arial" w:hAnsi="Arial"/>
          <w:sz w:val="18"/>
          <w:szCs w:val="18"/>
          <w:color w:val="auto"/>
        </w:rPr>
        <w:t>15(e) under the Exchange Act, as of June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principal executive officer and principal financial officer concluded that, as of such date, our disclosure controls and procedures were effective at a reasonable assurance level.</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Management determined that, as of June 30, 2024, there were no changes in our internal control over financial reporting that occurred during the three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Other than what is set forth below, there have been no material changes in our risk factors from those disclosed in our Annual Report on Form 10-K for the year ended December 31, 2023 and our Quarterly Report on Form 10-Q for the quarter ended March 31, 2024.</w:t>
      </w:r>
    </w:p>
    <w:p>
      <w:pPr>
        <w:spacing w:after="0" w:line="142" w:lineRule="exact"/>
        <w:rPr>
          <w:sz w:val="20"/>
          <w:szCs w:val="20"/>
          <w:color w:val="auto"/>
        </w:rPr>
      </w:pPr>
    </w:p>
    <w:p>
      <w:pPr>
        <w:ind w:left="60" w:right="3159"/>
        <w:spacing w:after="0" w:line="43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w:t>
      </w:r>
    </w:p>
    <w:p>
      <w:pPr>
        <w:spacing w:after="0" w:line="1"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Rule 10b-1 Trading Plans</w:t>
      </w:r>
    </w:p>
    <w:p>
      <w:pPr>
        <w:spacing w:after="0" w:line="171"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During the quarter ended June 30, 2024, none of our directors or officers (as defined in Rule 16a-1 under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300"/>
        </w:trPr>
        <w:tc>
          <w:tcPr>
            <w:tcW w:w="940" w:type="dxa"/>
            <w:vAlign w:val="bottom"/>
          </w:tcPr>
          <w:p>
            <w:pPr>
              <w:spacing w:after="0"/>
              <w:rPr>
                <w:sz w:val="20"/>
                <w:szCs w:val="20"/>
                <w:color w:val="auto"/>
              </w:rPr>
            </w:pPr>
            <w:r>
              <w:rPr>
                <w:rFonts w:ascii="Arial" w:cs="Arial" w:eastAsia="Arial" w:hAnsi="Arial"/>
                <w:sz w:val="18"/>
                <w:szCs w:val="18"/>
                <w:color w:val="auto"/>
              </w:rPr>
              <w:t xml:space="preserve">2.1 </w:t>
            </w:r>
            <w:r>
              <w:rPr>
                <w:rFonts w:ascii="Times New Roman" w:cs="Times New Roman" w:eastAsia="Times New Roman" w:hAnsi="Times New Roman"/>
                <w:sz w:val="26"/>
                <w:szCs w:val="26"/>
                <w:b w:val="1"/>
                <w:bCs w:val="1"/>
                <w:color w:val="auto"/>
                <w:vertAlign w:val="superscript"/>
              </w:rPr>
              <w:t>Ù</w:t>
            </w:r>
            <w:r>
              <w:rPr>
                <w:rFonts w:ascii="Arial" w:cs="Arial" w:eastAsia="Arial" w:hAnsi="Arial"/>
                <w:sz w:val="18"/>
                <w:szCs w:val="18"/>
                <w:color w:val="auto"/>
              </w:rPr>
              <w:t>†</w:t>
            </w:r>
          </w:p>
        </w:tc>
        <w:tc>
          <w:tcPr>
            <w:tcW w:w="7880" w:type="dxa"/>
            <w:vAlign w:val="bottom"/>
            <w:gridSpan w:val="14"/>
          </w:tcPr>
          <w:p>
            <w:pPr>
              <w:spacing w:after="0"/>
              <w:rPr>
                <w:rFonts w:ascii="Arial" w:cs="Arial" w:eastAsia="Arial" w:hAnsi="Arial"/>
                <w:sz w:val="18"/>
                <w:szCs w:val="18"/>
                <w:color w:val="0000EE"/>
              </w:rPr>
            </w:pPr>
            <w:hyperlink r:id="rId74">
              <w:r>
                <w:rPr>
                  <w:rFonts w:ascii="Arial" w:cs="Arial" w:eastAsia="Arial" w:hAnsi="Arial"/>
                  <w:sz w:val="18"/>
                  <w:szCs w:val="18"/>
                  <w:color w:val="0000EE"/>
                </w:rPr>
                <w:t>Agreement and Plan of Merger, dated April 11, 2024, by and among the Company and the other</w:t>
              </w:r>
            </w:hyperlink>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1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74">
              <w:r>
                <w:rPr>
                  <w:rFonts w:ascii="Arial" w:cs="Arial" w:eastAsia="Arial" w:hAnsi="Arial"/>
                  <w:sz w:val="18"/>
                  <w:szCs w:val="18"/>
                  <w:color w:val="0000EE"/>
                </w:rPr>
                <w:t>parties thereto</w:t>
              </w:r>
            </w:hyperlink>
          </w:p>
        </w:tc>
        <w:tc>
          <w:tcPr>
            <w:tcW w:w="6460" w:type="dxa"/>
            <w:vAlign w:val="bottom"/>
            <w:tcBorders>
              <w:top w:val="single" w:sz="8" w:color="0000EE"/>
            </w:tcBorders>
            <w:gridSpan w:val="6"/>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Securities Purchase Agreement, dated April 11, 2024, by and among the Company and the other</w:t>
              </w:r>
            </w:hyperlink>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1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parties thereto</w:t>
              </w:r>
            </w:hyperlink>
          </w:p>
        </w:tc>
        <w:tc>
          <w:tcPr>
            <w:tcW w:w="6520" w:type="dxa"/>
            <w:vAlign w:val="bottom"/>
            <w:tcBorders>
              <w:top w:val="single" w:sz="8" w:color="0000EE"/>
            </w:tcBorders>
            <w:gridSpan w:val="7"/>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Registration Rights Agreement, dated April 11, 2024, by and among the Company and the other</w:t>
              </w:r>
            </w:hyperlink>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1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76">
              <w:r>
                <w:rPr>
                  <w:rFonts w:ascii="Arial" w:cs="Arial" w:eastAsia="Arial" w:hAnsi="Arial"/>
                  <w:sz w:val="18"/>
                  <w:szCs w:val="18"/>
                  <w:color w:val="0000EE"/>
                  <w:w w:val="99"/>
                </w:rPr>
                <w:t>parties thereto</w:t>
              </w:r>
            </w:hyperlink>
          </w:p>
        </w:tc>
        <w:tc>
          <w:tcPr>
            <w:tcW w:w="6460" w:type="dxa"/>
            <w:vAlign w:val="bottom"/>
            <w:tcBorders>
              <w:top w:val="single" w:sz="8" w:color="0000EE"/>
            </w:tcBorders>
            <w:gridSpan w:val="6"/>
          </w:tcPr>
          <w:p>
            <w:pPr>
              <w:spacing w:after="0"/>
              <w:rPr>
                <w:sz w:val="15"/>
                <w:szCs w:val="15"/>
                <w:color w:val="auto"/>
              </w:rPr>
            </w:pPr>
          </w:p>
        </w:tc>
        <w:tc>
          <w:tcPr>
            <w:tcW w:w="12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14"/>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7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14"/>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4"/>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76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Section 906 of the Sarbanes-Oxley Act of 2002</w:t>
            </w:r>
          </w:p>
        </w:tc>
        <w:tc>
          <w:tcPr>
            <w:tcW w:w="408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4"/>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9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0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vMerge w:val="continue"/>
          </w:tcPr>
          <w:p>
            <w:pPr>
              <w:spacing w:after="0"/>
              <w:rPr>
                <w:sz w:val="17"/>
                <w:szCs w:val="17"/>
                <w:color w:val="auto"/>
              </w:rPr>
            </w:pPr>
          </w:p>
        </w:tc>
        <w:tc>
          <w:tcPr>
            <w:tcW w:w="7880" w:type="dxa"/>
            <w:vAlign w:val="bottom"/>
            <w:gridSpan w:val="14"/>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880" w:type="dxa"/>
            <w:vAlign w:val="bottom"/>
            <w:gridSpan w:val="14"/>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00" w:right="459" w:hanging="945"/>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June 30, 2024,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ind w:left="440" w:hanging="385"/>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13" w:lineRule="exact"/>
        <w:rPr>
          <w:rFonts w:ascii="Arial" w:cs="Arial" w:eastAsia="Arial" w:hAnsi="Arial"/>
          <w:sz w:val="18"/>
          <w:szCs w:val="18"/>
          <w:color w:val="auto"/>
        </w:rPr>
      </w:pPr>
    </w:p>
    <w:p>
      <w:pPr>
        <w:ind w:left="440" w:right="99"/>
        <w:spacing w:after="0" w:line="232"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 w:lineRule="exact"/>
        <w:rPr>
          <w:sz w:val="20"/>
          <w:szCs w:val="20"/>
          <w:color w:val="auto"/>
        </w:rPr>
      </w:pPr>
    </w:p>
    <w:p>
      <w:pPr>
        <w:ind w:left="440" w:right="299" w:hanging="385"/>
        <w:spacing w:after="0" w:line="193" w:lineRule="auto"/>
        <w:tabs>
          <w:tab w:leader="none" w:pos="440" w:val="left"/>
        </w:tabs>
        <w:numPr>
          <w:ilvl w:val="0"/>
          <w:numId w:val="15"/>
        </w:numPr>
        <w:rPr>
          <w:rFonts w:ascii="Times New Roman" w:cs="Times New Roman" w:eastAsia="Times New Roman" w:hAnsi="Times New Roman"/>
          <w:sz w:val="27"/>
          <w:szCs w:val="27"/>
          <w:b w:val="1"/>
          <w:bCs w:val="1"/>
          <w:color w:val="auto"/>
          <w:vertAlign w:val="superscript"/>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ind w:left="440" w:right="139" w:hanging="385"/>
        <w:spacing w:after="0" w:line="242"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Company hereby agrees to furnish supplementally an unredacted copy of the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060" w:type="dxa"/>
            <w:vAlign w:val="bottom"/>
          </w:tcPr>
          <w:p>
            <w:pPr>
              <w:spacing w:after="0"/>
              <w:rPr>
                <w:sz w:val="20"/>
                <w:szCs w:val="20"/>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Century Therapeutics, Inc.</w:t>
            </w:r>
          </w:p>
        </w:tc>
      </w:tr>
      <w:tr>
        <w:trPr>
          <w:trHeight w:val="388"/>
        </w:trPr>
        <w:tc>
          <w:tcPr>
            <w:tcW w:w="3060" w:type="dxa"/>
            <w:vAlign w:val="bottom"/>
          </w:tcPr>
          <w:p>
            <w:pPr>
              <w:spacing w:after="0"/>
              <w:rPr>
                <w:sz w:val="20"/>
                <w:szCs w:val="20"/>
                <w:color w:val="auto"/>
              </w:rPr>
            </w:pPr>
            <w:r>
              <w:rPr>
                <w:rFonts w:ascii="Arial" w:cs="Arial" w:eastAsia="Arial" w:hAnsi="Arial"/>
                <w:sz w:val="18"/>
                <w:szCs w:val="18"/>
                <w:color w:val="auto"/>
              </w:rPr>
              <w:t>Date: August 8, 2024</w:t>
            </w: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Brent Pfeiffenberger, PharmD, MBA</w:t>
            </w:r>
          </w:p>
        </w:tc>
      </w:tr>
      <w:tr>
        <w:trPr>
          <w:trHeight w:val="177"/>
        </w:trPr>
        <w:tc>
          <w:tcPr>
            <w:tcW w:w="3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120" w:type="dxa"/>
            <w:vAlign w:val="bottom"/>
          </w:tcPr>
          <w:p>
            <w:pPr>
              <w:jc w:val="center"/>
              <w:spacing w:after="0" w:line="177" w:lineRule="exact"/>
              <w:rPr>
                <w:sz w:val="20"/>
                <w:szCs w:val="20"/>
                <w:color w:val="auto"/>
              </w:rPr>
            </w:pPr>
            <w:r>
              <w:rPr>
                <w:rFonts w:ascii="Arial" w:cs="Arial" w:eastAsia="Arial" w:hAnsi="Arial"/>
                <w:sz w:val="18"/>
                <w:szCs w:val="18"/>
                <w:color w:val="auto"/>
                <w:w w:val="99"/>
              </w:rPr>
              <w:t>Brent Pfeiffenberger, PharmD, MBA</w:t>
            </w:r>
          </w:p>
        </w:tc>
      </w:tr>
      <w:tr>
        <w:trPr>
          <w:trHeight w:val="203"/>
        </w:trPr>
        <w:tc>
          <w:tcPr>
            <w:tcW w:w="3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Chief Executive Officer</w:t>
            </w:r>
          </w:p>
        </w:tc>
      </w:tr>
      <w:tr>
        <w:trPr>
          <w:trHeight w:val="239"/>
        </w:trPr>
        <w:tc>
          <w:tcPr>
            <w:tcW w:w="3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400"/>
        </w:trPr>
        <w:tc>
          <w:tcPr>
            <w:tcW w:w="3060" w:type="dxa"/>
            <w:vAlign w:val="bottom"/>
          </w:tcPr>
          <w:p>
            <w:pPr>
              <w:spacing w:after="0"/>
              <w:rPr>
                <w:sz w:val="20"/>
                <w:szCs w:val="20"/>
                <w:color w:val="auto"/>
              </w:rPr>
            </w:pPr>
            <w:r>
              <w:rPr>
                <w:rFonts w:ascii="Arial" w:cs="Arial" w:eastAsia="Arial" w:hAnsi="Arial"/>
                <w:sz w:val="18"/>
                <w:szCs w:val="18"/>
                <w:color w:val="auto"/>
              </w:rPr>
              <w:t>Date: August 8, 2024</w:t>
            </w: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/s/ Douglas Carr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-7620</wp:posOffset>
            </wp:positionV>
            <wp:extent cx="26149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jc w:val="center"/>
        <w:ind w:left="4760"/>
        <w:spacing w:after="0" w:line="234" w:lineRule="auto"/>
        <w:rPr>
          <w:sz w:val="20"/>
          <w:szCs w:val="20"/>
          <w:color w:val="auto"/>
        </w:rPr>
      </w:pPr>
      <w:r>
        <w:rPr>
          <w:rFonts w:ascii="Arial" w:cs="Arial" w:eastAsia="Arial" w:hAnsi="Arial"/>
          <w:sz w:val="18"/>
          <w:szCs w:val="18"/>
          <w:color w:val="auto"/>
        </w:rPr>
        <w:t>Douglas Carr</w:t>
      </w:r>
    </w:p>
    <w:p>
      <w:pPr>
        <w:jc w:val="center"/>
        <w:ind w:left="4760"/>
        <w:spacing w:after="0" w:line="235" w:lineRule="auto"/>
        <w:rPr>
          <w:sz w:val="20"/>
          <w:szCs w:val="20"/>
          <w:color w:val="auto"/>
        </w:rPr>
      </w:pPr>
      <w:r>
        <w:rPr>
          <w:rFonts w:ascii="Arial" w:cs="Arial" w:eastAsia="Arial" w:hAnsi="Arial"/>
          <w:sz w:val="18"/>
          <w:szCs w:val="18"/>
          <w:color w:val="auto"/>
        </w:rPr>
        <w:t>Senior Vice President, Finance &amp; Operations</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ACTIVE/123125527.3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392430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Carr, certify that:</w:t>
      </w:r>
    </w:p>
    <w:p>
      <w:pPr>
        <w:spacing w:after="0" w:line="117" w:lineRule="exact"/>
        <w:rPr>
          <w:sz w:val="20"/>
          <w:szCs w:val="20"/>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 &amp; Operations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ACTIVE/123125576.3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392430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June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June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 &amp; Operations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0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Ù"/>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74" Type="http://schemas.openxmlformats.org/officeDocument/2006/relationships/hyperlink" Target="https://www.sec.gov/Archives/edgar/data/1850119/000110465924046373/tm2411557d1_ex2-1.htm" TargetMode="External"/><Relationship Id="rId75" Type="http://schemas.openxmlformats.org/officeDocument/2006/relationships/hyperlink" Target="https://www.sec.gov/Archives/edgar/data/1850119/000110465924046373/tm2411557d1_ex10-1.htm" TargetMode="External"/><Relationship Id="rId76" Type="http://schemas.openxmlformats.org/officeDocument/2006/relationships/hyperlink" Target="https://www.sec.gov/Archives/edgar/data/1850119/000110465924046373/tm241155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2024-08-08T06:38:31Z</dcterms:created>
  <dcterms:modified xsi:type="dcterms:W3CDTF">2024-08-08T06:38:31Z</dcterms:modified>
</cp:coreProperties>
</file>