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On January 13, 2025, Century Therapeutics, Inc. (the “Company”) announced that, as of December 31, 2024, the Company had approximately $220 million of cash, cash equivalents and investments. This unaudited, preliminary amount has been prepared by and is the responsibility of management. This amount is based upon information available to management as of the date of this Current Report on Form 8-K and subject to completion of financial closing procedures that could result in changes to the amount. Furthermore, this amount does not present all information necessary for an understanding of the Company’s financial condition as of December 31, 2024. The Company’s independent registered public accounting firm, Ernst &amp; Young LLP, has not audited, reviewed, compiled or performed any procedures with respect to this preliminary financial data and, accordingly, Ernst &amp; Young LLP does not express an opinion or any other form of assurance with respect thereto. The Company’s actual results for the year ended December 31, 2024 will be included in the Company’s Annual Report on Form 10-K for the year ended December 31, 2024 and may differ materially from the above estimate.</w:t>
      </w:r>
    </w:p>
    <w:p>
      <w:pPr>
        <w:spacing w:after="0" w:line="1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furnished pursuant to this Item 2.02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On January 13, 2025, the Company updated information reflected in a slide presentation, which is attached hereto as Exhibit 99.1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99.1)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32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6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Pr>
          <w:p>
            <w:pPr>
              <w:spacing w:after="0"/>
              <w:rPr>
                <w:sz w:val="21"/>
                <w:szCs w:val="21"/>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January 13, 2025</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2025-01-13T06:34:06Z</dcterms:created>
  <dcterms:modified xsi:type="dcterms:W3CDTF">2025-01-13T06:34:06Z</dcterms:modified>
</cp:coreProperties>
</file>