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5"/>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3"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102235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0"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Date of Report (Date of earliest event reported): October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103505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7"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Century Therapeutics, Inc.</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sectPr>
      </w:pPr>
    </w:p>
    <w:p>
      <w:pPr>
        <w:spacing w:after="0" w:line="298" w:lineRule="exact"/>
        <w:rPr>
          <w:sz w:val="24"/>
          <w:szCs w:val="24"/>
          <w:color w:val="auto"/>
        </w:rPr>
      </w:pPr>
    </w:p>
    <w:p>
      <w:pPr>
        <w:ind w:left="1565"/>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105"/>
        <w:spacing w:after="0"/>
        <w:rPr>
          <w:sz w:val="20"/>
          <w:szCs w:val="20"/>
          <w:color w:val="auto"/>
        </w:rPr>
      </w:pPr>
      <w:r>
        <w:rPr>
          <w:rFonts w:ascii="Arial" w:cs="Arial" w:eastAsia="Arial" w:hAnsi="Arial"/>
          <w:sz w:val="11"/>
          <w:szCs w:val="11"/>
          <w:color w:val="auto"/>
        </w:rPr>
        <w:t>(State or other jurisdiction of</w:t>
      </w:r>
    </w:p>
    <w:p>
      <w:pPr>
        <w:spacing w:after="0" w:line="18" w:lineRule="exact"/>
        <w:rPr>
          <w:sz w:val="24"/>
          <w:szCs w:val="24"/>
          <w:color w:val="auto"/>
        </w:rPr>
      </w:pPr>
    </w:p>
    <w:p>
      <w:pPr>
        <w:ind w:left="1085"/>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000"/>
        <w:spacing w:after="0"/>
        <w:rPr>
          <w:sz w:val="20"/>
          <w:szCs w:val="20"/>
          <w:color w:val="auto"/>
        </w:rPr>
      </w:pPr>
      <w:r>
        <w:rPr>
          <w:rFonts w:ascii="Arial" w:cs="Arial" w:eastAsia="Arial" w:hAnsi="Arial"/>
          <w:sz w:val="12"/>
          <w:szCs w:val="12"/>
          <w:b w:val="1"/>
          <w:bCs w:val="1"/>
          <w:color w:val="auto"/>
        </w:rPr>
        <w:t>001-40498</w:t>
      </w:r>
    </w:p>
    <w:p>
      <w:pPr>
        <w:spacing w:after="0" w:line="19"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84-2040295</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1"/>
          <w:szCs w:val="11"/>
          <w:color w:val="auto"/>
        </w:rPr>
        <w:t>Identification No.)</w:t>
      </w:r>
    </w:p>
    <w:p>
      <w:pPr>
        <w:spacing w:after="0" w:line="149" w:lineRule="exact"/>
        <w:rPr>
          <w:sz w:val="24"/>
          <w:szCs w:val="24"/>
          <w:color w:val="auto"/>
        </w:rPr>
      </w:pPr>
    </w:p>
    <w:p>
      <w:pPr>
        <w:sectPr>
          <w:pgSz w:w="11900" w:h="16838" w:orient="portrait"/>
          <w:cols w:equalWidth="0" w:num="3">
            <w:col w:w="4285" w:space="720"/>
            <w:col w:w="3320" w:space="720"/>
            <w:col w:w="2260"/>
          </w:cols>
          <w:pgMar w:left="295" w:top="517" w:right="299" w:bottom="1440" w:gutter="0" w:footer="0" w:header="0"/>
          <w:type w:val="continuous"/>
        </w:sectPr>
      </w:pPr>
    </w:p>
    <w:p>
      <w:pPr>
        <w:jc w:val="center"/>
        <w:ind w:right="1995"/>
        <w:spacing w:after="0"/>
        <w:rPr>
          <w:sz w:val="20"/>
          <w:szCs w:val="20"/>
          <w:color w:val="auto"/>
        </w:rPr>
      </w:pPr>
      <w:r>
        <w:rPr>
          <w:rFonts w:ascii="Arial" w:cs="Arial" w:eastAsia="Arial" w:hAnsi="Arial"/>
          <w:sz w:val="12"/>
          <w:szCs w:val="12"/>
          <w:b w:val="1"/>
          <w:bCs w:val="1"/>
          <w:color w:val="auto"/>
        </w:rPr>
        <w:t>3675 Market Street</w:t>
      </w:r>
    </w:p>
    <w:p>
      <w:pPr>
        <w:spacing w:after="0" w:line="19" w:lineRule="exact"/>
        <w:rPr>
          <w:sz w:val="24"/>
          <w:szCs w:val="24"/>
          <w:color w:val="auto"/>
        </w:rPr>
      </w:pPr>
    </w:p>
    <w:p>
      <w:pPr>
        <w:jc w:val="center"/>
        <w:ind w:right="1995"/>
        <w:spacing w:after="0"/>
        <w:rPr>
          <w:sz w:val="20"/>
          <w:szCs w:val="20"/>
          <w:color w:val="auto"/>
        </w:rPr>
      </w:pPr>
      <w:r>
        <w:rPr>
          <w:rFonts w:ascii="Arial" w:cs="Arial" w:eastAsia="Arial" w:hAnsi="Arial"/>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19104</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color w:val="auto"/>
        </w:rPr>
        <w:t>(Zip Code)</w:t>
      </w:r>
    </w:p>
    <w:p>
      <w:pPr>
        <w:spacing w:after="0" w:line="149" w:lineRule="exact"/>
        <w:rPr>
          <w:sz w:val="24"/>
          <w:szCs w:val="24"/>
          <w:color w:val="auto"/>
        </w:rPr>
      </w:pPr>
    </w:p>
    <w:p>
      <w:pPr>
        <w:sectPr>
          <w:pgSz w:w="11900" w:h="16838" w:orient="portrait"/>
          <w:cols w:equalWidth="0" w:num="2">
            <w:col w:w="7545" w:space="720"/>
            <w:col w:w="3040"/>
          </w:cols>
          <w:pgMar w:left="295" w:top="517" w:right="299" w:bottom="1440" w:gutter="0" w:footer="0" w:header="0"/>
          <w:type w:val="continuous"/>
        </w:sectPr>
      </w:pPr>
    </w:p>
    <w:p>
      <w:pPr>
        <w:jc w:val="center"/>
        <w:ind w:right="15"/>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(267) 817-5790</w:t>
      </w:r>
    </w:p>
    <w:p>
      <w:pPr>
        <w:spacing w:after="0" w:line="173"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102870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type w:val="continuous"/>
        </w:sectPr>
      </w:pPr>
    </w:p>
    <w:p>
      <w:pPr>
        <w:spacing w:after="0" w:line="324" w:lineRule="exact"/>
        <w:rPr>
          <w:sz w:val="24"/>
          <w:szCs w:val="24"/>
          <w:color w:val="auto"/>
        </w:rPr>
      </w:pPr>
    </w:p>
    <w:p>
      <w:pPr>
        <w:ind w:left="5"/>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5" w:type="dxa"/>
        <w:tblCellMar>
          <w:top w:w="0" w:type="dxa"/>
          <w:left w:w="0" w:type="dxa"/>
          <w:bottom w:w="0" w:type="dxa"/>
          <w:right w:w="0" w:type="dxa"/>
        </w:tblCellMar>
      </w:tblPr>
      <w:tr>
        <w:trPr>
          <w:trHeight w:val="153"/>
        </w:trPr>
        <w:tc>
          <w:tcPr>
            <w:tcW w:w="38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Title of Each Class</w:t>
            </w:r>
          </w:p>
        </w:tc>
        <w:tc>
          <w:tcPr>
            <w:tcW w:w="3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Trading Symbol</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89"/>
              </w:rPr>
              <w:t>Name of Exchange on Which Registered</w:t>
            </w:r>
          </w:p>
        </w:tc>
      </w:tr>
      <w:tr>
        <w:trPr>
          <w:trHeight w:val="146"/>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Nasdaq Global Select Market</w:t>
            </w:r>
          </w:p>
        </w:tc>
      </w:tr>
    </w:tbl>
    <w:p>
      <w:pPr>
        <w:spacing w:after="0" w:line="122" w:lineRule="exact"/>
        <w:rPr>
          <w:sz w:val="24"/>
          <w:szCs w:val="24"/>
          <w:color w:val="auto"/>
        </w:rPr>
      </w:pPr>
    </w:p>
    <w:p>
      <w:pPr>
        <w:ind w:left="5"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9845"/>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92" w:lineRule="exact"/>
        <w:rPr>
          <w:sz w:val="24"/>
          <w:szCs w:val="24"/>
          <w:color w:val="auto"/>
        </w:rPr>
      </w:pPr>
    </w:p>
    <w:p>
      <w:pPr>
        <w:ind w:left="5" w:right="10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type w:val="continuous"/>
        </w:sectPr>
      </w:pPr>
    </w:p>
    <w:bookmarkStart w:id="1" w:name="page2"/>
    <w:bookmarkEnd w:id="1"/>
    <w:p>
      <w:pPr>
        <w:ind w:left="20"/>
        <w:spacing w:after="0"/>
        <w:tabs>
          <w:tab w:leader="none" w:pos="7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54"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On October 3, 2023, Century Therapeutics, Inc. (the “Company”) updated information reflected in a slide presentation, which is attached hereto as Exhibit 99.1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(d) Exhibits</w:t>
            </w:r>
          </w:p>
        </w:tc>
        <w:tc>
          <w:tcPr>
            <w:tcW w:w="3580" w:type="dxa"/>
            <w:vAlign w:val="bottom"/>
          </w:tcPr>
          <w:p>
            <w:pPr>
              <w:spacing w:after="0"/>
              <w:rPr>
                <w:sz w:val="13"/>
                <w:szCs w:val="13"/>
                <w:color w:val="auto"/>
              </w:rPr>
            </w:pPr>
          </w:p>
        </w:tc>
        <w:tc>
          <w:tcPr>
            <w:tcW w:w="6600" w:type="dxa"/>
            <w:vAlign w:val="bottom"/>
          </w:tcPr>
          <w:p>
            <w:pPr>
              <w:spacing w:after="0"/>
              <w:rPr>
                <w:sz w:val="13"/>
                <w:szCs w:val="13"/>
                <w:color w:val="auto"/>
              </w:rPr>
            </w:pPr>
          </w:p>
        </w:tc>
      </w:tr>
      <w:tr>
        <w:trPr>
          <w:trHeight w:val="275"/>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3580" w:type="dxa"/>
            <w:vAlign w:val="bottom"/>
          </w:tcPr>
          <w:p>
            <w:pPr>
              <w:spacing w:after="0"/>
              <w:rPr>
                <w:sz w:val="23"/>
                <w:szCs w:val="23"/>
                <w:color w:val="auto"/>
              </w:rPr>
            </w:pPr>
          </w:p>
        </w:tc>
        <w:tc>
          <w:tcPr>
            <w:tcW w:w="6600" w:type="dxa"/>
            <w:vAlign w:val="bottom"/>
          </w:tcPr>
          <w:p>
            <w:pPr>
              <w:spacing w:after="0"/>
              <w:rPr>
                <w:sz w:val="23"/>
                <w:szCs w:val="23"/>
                <w:color w:val="auto"/>
              </w:rPr>
            </w:pPr>
          </w:p>
        </w:tc>
      </w:tr>
      <w:tr>
        <w:trPr>
          <w:trHeight w:val="157"/>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No.</w:t>
            </w:r>
          </w:p>
        </w:tc>
        <w:tc>
          <w:tcPr>
            <w:tcW w:w="3580" w:type="dxa"/>
            <w:vAlign w:val="bottom"/>
          </w:tcPr>
          <w:p>
            <w:pPr>
              <w:spacing w:after="0"/>
              <w:rPr>
                <w:sz w:val="13"/>
                <w:szCs w:val="13"/>
                <w:color w:val="auto"/>
              </w:rPr>
            </w:pPr>
          </w:p>
        </w:tc>
        <w:tc>
          <w:tcPr>
            <w:tcW w:w="6600" w:type="dxa"/>
            <w:vAlign w:val="bottom"/>
          </w:tcPr>
          <w:p>
            <w:pPr>
              <w:ind w:left="1240"/>
              <w:spacing w:after="0"/>
              <w:rPr>
                <w:sz w:val="20"/>
                <w:szCs w:val="20"/>
                <w:color w:val="auto"/>
              </w:rPr>
            </w:pPr>
            <w:r>
              <w:rPr>
                <w:rFonts w:ascii="Arial" w:cs="Arial" w:eastAsia="Arial" w:hAnsi="Arial"/>
                <w:sz w:val="12"/>
                <w:szCs w:val="12"/>
                <w:b w:val="1"/>
                <w:bCs w:val="1"/>
                <w:color w:val="auto"/>
              </w:rPr>
              <w:t>Document</w:t>
            </w:r>
          </w:p>
        </w:tc>
      </w:tr>
      <w:tr>
        <w:trPr>
          <w:trHeight w:val="106"/>
        </w:trPr>
        <w:tc>
          <w:tcPr>
            <w:tcW w:w="90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2"/>
                <w:szCs w:val="12"/>
                <w:color w:val="0000EE"/>
              </w:rPr>
              <w:t>99.</w:t>
            </w:r>
            <w:r>
              <w:rPr>
                <w:rFonts w:ascii="Arial" w:cs="Arial" w:eastAsia="Arial" w:hAnsi="Arial"/>
                <w:sz w:val="12"/>
                <w:szCs w:val="12"/>
                <w:u w:val="single" w:color="auto"/>
                <w:color w:val="0000EE"/>
              </w:rPr>
              <w:t>1</w:t>
            </w:r>
          </w:p>
        </w:tc>
        <w:tc>
          <w:tcPr>
            <w:tcW w:w="220" w:type="dxa"/>
            <w:vAlign w:val="bottom"/>
          </w:tcPr>
          <w:p>
            <w:pPr>
              <w:spacing w:after="0"/>
              <w:rPr>
                <w:sz w:val="9"/>
                <w:szCs w:val="9"/>
                <w:color w:val="auto"/>
              </w:rPr>
            </w:pPr>
          </w:p>
        </w:tc>
        <w:tc>
          <w:tcPr>
            <w:tcW w:w="1018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2"/>
                <w:szCs w:val="12"/>
                <w:color w:val="0000EE"/>
              </w:rPr>
              <w:t>Investor Presentation of Century Therapeutics, Inc., dated October 3, 2023</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81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Gregory Russotti, Ph.D.</w:t>
            </w:r>
          </w:p>
        </w:tc>
      </w:tr>
      <w:tr>
        <w:trPr>
          <w:trHeight w:val="124"/>
        </w:trPr>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Gregory Russotti, Ph.D..</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Interim President and Chief Executive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Date: October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 w:name="page4"/>
    <w:bookmarkEnd w:id="3"/>
    <w:p>
      <w:pPr>
        <w:ind w:left="942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122555</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2"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2023-10-03T07:05:35Z</dcterms:created>
  <dcterms:modified xsi:type="dcterms:W3CDTF">2023-10-03T07:05:35Z</dcterms:modified>
</cp:coreProperties>
</file>