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ind w:left="1200" w:right="40" w:hanging="1133"/>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u w:val="single" w:color="auto"/>
          <w:color w:val="auto"/>
        </w:rPr>
        <w:t>Departures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15, 2024, Michael C. Diem, M.D. notified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his decision to resign as Chief Financial Officer of the Company, effective as of February 2, 2024. The Company has commenced a search for a new Chief Financial Officer. Following the effectiveness of Dr. Diem’s resignation and until a new Chief Financial Officer is appointed, Douglas Carr, the Company’s Senior Vice President, Finance and Operations, will serve as interim Principal Financial Officer. Dr. Diem’s decision to resign from the Company was not the result of any disagreement with the Company on matters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 MBA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 MBA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2024-01-19T16:08:21Z</dcterms:created>
  <dcterms:modified xsi:type="dcterms:W3CDTF">2024-01-19T16:08:21Z</dcterms:modified>
</cp:coreProperties>
</file>