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13, 2026</w:t>
      </w:r>
    </w:p>
    <w:p>
      <w:pPr>
        <w:spacing w:after="0" w:line="2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Century Therapeutics,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00" w:right="339" w:bottom="1440" w:gutter="0" w:footer="0" w:header="0"/>
        </w:sectPr>
      </w:pPr>
    </w:p>
    <w:p>
      <w:pPr>
        <w:spacing w:after="0" w:line="201"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76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9" w:lineRule="exact"/>
        <w:rPr>
          <w:sz w:val="24"/>
          <w:szCs w:val="24"/>
          <w:color w:val="auto"/>
        </w:rPr>
      </w:pPr>
    </w:p>
    <w:p>
      <w:pPr>
        <w:ind w:left="720"/>
        <w:spacing w:after="0"/>
        <w:rPr>
          <w:sz w:val="20"/>
          <w:szCs w:val="20"/>
          <w:color w:val="auto"/>
        </w:rPr>
      </w:pPr>
      <w:r>
        <w:rPr>
          <w:rFonts w:ascii="Times New Roman" w:cs="Times New Roman" w:eastAsia="Times New Roman" w:hAnsi="Times New Roman"/>
          <w:sz w:val="18"/>
          <w:szCs w:val="18"/>
          <w:color w:val="auto"/>
        </w:rPr>
        <w:t>incorporation or organization)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420"/>
        <w:spacing w:after="0"/>
        <w:rPr>
          <w:sz w:val="20"/>
          <w:szCs w:val="20"/>
          <w:color w:val="auto"/>
        </w:rPr>
      </w:pPr>
      <w:r>
        <w:rPr>
          <w:rFonts w:ascii="Times New Roman" w:cs="Times New Roman" w:eastAsia="Times New Roman" w:hAnsi="Times New Roman"/>
          <w:sz w:val="18"/>
          <w:szCs w:val="18"/>
          <w:b w:val="1"/>
          <w:bCs w:val="1"/>
          <w:color w:val="auto"/>
        </w:rPr>
        <w:t>001-40498</w:t>
      </w:r>
    </w:p>
    <w:p>
      <w:pPr>
        <w:spacing w:after="0" w:line="31" w:lineRule="exact"/>
        <w:rPr>
          <w:sz w:val="24"/>
          <w:szCs w:val="24"/>
          <w:color w:val="auto"/>
        </w:rPr>
      </w:pPr>
    </w:p>
    <w:p>
      <w:pPr>
        <w:jc w:val="center"/>
        <w:ind w:right="142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84-2040295</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3920" w:space="720"/>
            <w:col w:w="3420" w:space="720"/>
            <w:col w:w="2460"/>
          </w:cols>
          <w:pgMar w:left="320" w:top="700" w:right="339" w:bottom="1440" w:gutter="0" w:footer="0" w:header="0"/>
          <w:type w:val="continuous"/>
        </w:sectPr>
      </w:pPr>
    </w:p>
    <w:p>
      <w:pPr>
        <w:spacing w:after="0" w:line="3"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25 North 38th Street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11th Floor</w:t>
      </w:r>
    </w:p>
    <w:p>
      <w:pPr>
        <w:spacing w:after="0" w:line="31"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Philadelphia, Pennsylvania</w:t>
      </w:r>
    </w:p>
    <w:p>
      <w:pPr>
        <w:spacing w:after="0" w:line="9"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340"/>
        <w:spacing w:after="0"/>
        <w:rPr>
          <w:sz w:val="20"/>
          <w:szCs w:val="20"/>
          <w:color w:val="auto"/>
        </w:rPr>
      </w:pPr>
      <w:r>
        <w:rPr>
          <w:rFonts w:ascii="Times New Roman" w:cs="Times New Roman" w:eastAsia="Times New Roman" w:hAnsi="Times New Roman"/>
          <w:sz w:val="18"/>
          <w:szCs w:val="18"/>
          <w:b w:val="1"/>
          <w:bCs w:val="1"/>
          <w:color w:val="auto"/>
        </w:rPr>
        <w:t>19104</w:t>
      </w:r>
    </w:p>
    <w:p>
      <w:pPr>
        <w:spacing w:after="0" w:line="31" w:lineRule="exact"/>
        <w:rPr>
          <w:sz w:val="24"/>
          <w:szCs w:val="24"/>
          <w:color w:val="auto"/>
        </w:rPr>
      </w:pPr>
    </w:p>
    <w:p>
      <w:pPr>
        <w:jc w:val="center"/>
        <w:ind w:right="234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700"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(267) 817-5790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460" w:hanging="448"/>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460" w:hanging="448"/>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460" w:hanging="448"/>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460" w:hanging="448"/>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32"/>
        </w:trPr>
        <w:tc>
          <w:tcPr>
            <w:tcW w:w="4580" w:type="dxa"/>
            <w:vAlign w:val="bottom"/>
            <w:gridSpan w:val="3"/>
          </w:tcPr>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060" w:type="dxa"/>
            <w:vAlign w:val="bottom"/>
            <w:gridSpan w:val="2"/>
          </w:tcPr>
          <w:p>
            <w:pPr>
              <w:jc w:val="center"/>
              <w:ind w:right="94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Exchange on Which Registered</w:t>
            </w:r>
          </w:p>
        </w:tc>
      </w:tr>
      <w:tr>
        <w:trPr>
          <w:trHeight w:val="232"/>
        </w:trPr>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220" w:type="dxa"/>
            <w:vAlign w:val="bottom"/>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2860" w:type="dxa"/>
            <w:vAlign w:val="bottom"/>
            <w:tcBorders>
              <w:top w:val="single" w:sz="8" w:color="auto"/>
            </w:tcBorders>
          </w:tcPr>
          <w:p>
            <w:pPr>
              <w:jc w:val="center"/>
              <w:ind w:right="650"/>
              <w:spacing w:after="0"/>
              <w:rPr>
                <w:sz w:val="20"/>
                <w:szCs w:val="20"/>
                <w:color w:val="auto"/>
              </w:rPr>
            </w:pPr>
            <w:r>
              <w:rPr>
                <w:rFonts w:ascii="Times New Roman" w:cs="Times New Roman" w:eastAsia="Times New Roman" w:hAnsi="Times New Roman"/>
                <w:sz w:val="18"/>
                <w:szCs w:val="18"/>
                <w:b w:val="1"/>
                <w:bCs w:val="1"/>
                <w:color w:val="auto"/>
                <w:w w:val="97"/>
              </w:rPr>
              <w:t>IPSC</w:t>
            </w:r>
          </w:p>
        </w:tc>
        <w:tc>
          <w:tcPr>
            <w:tcW w:w="20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 Capital Market</w:t>
            </w:r>
          </w:p>
        </w:tc>
      </w:tr>
    </w:tbl>
    <w:p>
      <w:pPr>
        <w:spacing w:after="0" w:line="175"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2" w:lineRule="exact"/>
        <w:rPr>
          <w:sz w:val="24"/>
          <w:szCs w:val="24"/>
          <w:color w:val="auto"/>
        </w:rPr>
      </w:pPr>
    </w:p>
    <w:p>
      <w:pPr>
        <w:ind w:left="9040"/>
        <w:spacing w:after="0"/>
        <w:rPr>
          <w:sz w:val="20"/>
          <w:szCs w:val="20"/>
          <w:color w:val="auto"/>
        </w:rPr>
      </w:pPr>
      <w:r>
        <w:rPr>
          <w:rFonts w:ascii="Times New Roman" w:cs="Times New Roman" w:eastAsia="Times New Roman" w:hAnsi="Times New Roman"/>
          <w:sz w:val="17"/>
          <w:szCs w:val="17"/>
          <w:color w:val="auto"/>
        </w:rPr>
        <w:t xml:space="preserve">Emerging growth company </w:t>
      </w:r>
      <w:r>
        <w:rPr>
          <w:rFonts w:ascii="Wingdings" w:cs="Wingdings" w:eastAsia="Wingdings" w:hAnsi="Wingdings"/>
          <w:sz w:val="17"/>
          <w:szCs w:val="17"/>
          <w:b w:val="1"/>
          <w:bCs w:val="1"/>
          <w:color w:val="auto"/>
        </w:rPr>
        <w:t>x</w:t>
      </w:r>
    </w:p>
    <w:p>
      <w:pPr>
        <w:spacing w:after="0" w:line="237"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454025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00" w:right="339" w:bottom="1440" w:gutter="0" w:footer="0" w:header="0"/>
          <w:type w:val="continuous"/>
        </w:sectPr>
      </w:pPr>
    </w:p>
    <w:bookmarkStart w:id="1" w:name="page2"/>
    <w:bookmarkEnd w:id="1"/>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8"/>
          <w:szCs w:val="18"/>
          <w:b w:val="1"/>
          <w:bCs w:val="1"/>
          <w:color w:val="auto"/>
        </w:rPr>
        <w:t>Results of Operations and Financial Condition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May 13, 2026, Century Therapeutics, Inc. (the “Company”) issued a press release announcing its financial results for the quarter ended March 31, 2026.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the press release is furnished as Exhibit 99.1 to this Current Report on Form 8-K and is incorporated herein by reference.</w:t>
      </w:r>
    </w:p>
    <w:p>
      <w:pPr>
        <w:spacing w:after="0" w:line="20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information contained in this Item 2.02 (including Exhibit 99.1) is being furnished and shall not be deemed “filed” for purposes of Section 18 of the Securities Exchange Act of 1934, as amended (the “Exchange Act”), or otherwise subject to the liabilities of that section and shall not be deemed to be incorporated by reference in any filing under the Securities Act of 1933, as amended, or the Exchange Act, except as shall be expressly set forth by specific reference in such filing.</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1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32"/>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 Exhibits</w:t>
            </w:r>
          </w:p>
        </w:tc>
        <w:tc>
          <w:tcPr>
            <w:tcW w:w="10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5320" w:type="dxa"/>
            <w:vAlign w:val="bottom"/>
          </w:tcPr>
          <w:p>
            <w:pPr>
              <w:spacing w:after="0"/>
              <w:rPr>
                <w:sz w:val="24"/>
                <w:szCs w:val="24"/>
                <w:color w:val="auto"/>
              </w:rPr>
            </w:pPr>
          </w:p>
        </w:tc>
      </w:tr>
      <w:tr>
        <w:trPr>
          <w:trHeight w:val="41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5320" w:type="dxa"/>
            <w:vAlign w:val="bottom"/>
          </w:tcPr>
          <w:p>
            <w:pPr>
              <w:spacing w:after="0"/>
              <w:rPr>
                <w:sz w:val="24"/>
                <w:szCs w:val="24"/>
                <w:color w:val="auto"/>
              </w:rPr>
            </w:pPr>
          </w:p>
        </w:tc>
      </w:tr>
      <w:tr>
        <w:trPr>
          <w:trHeight w:val="238"/>
        </w:trPr>
        <w:tc>
          <w:tcPr>
            <w:tcW w:w="1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No.</w:t>
            </w:r>
          </w:p>
        </w:tc>
        <w:tc>
          <w:tcPr>
            <w:tcW w:w="100" w:type="dxa"/>
            <w:vAlign w:val="bottom"/>
          </w:tcPr>
          <w:p>
            <w:pPr>
              <w:spacing w:after="0"/>
              <w:rPr>
                <w:sz w:val="20"/>
                <w:szCs w:val="20"/>
                <w:color w:val="auto"/>
              </w:rPr>
            </w:pPr>
          </w:p>
        </w:tc>
        <w:tc>
          <w:tcPr>
            <w:tcW w:w="10000" w:type="dxa"/>
            <w:vAlign w:val="bottom"/>
            <w:tcBorders>
              <w:bottom w:val="single" w:sz="8" w:color="auto"/>
            </w:tcBorders>
            <w:gridSpan w:val="2"/>
          </w:tcPr>
          <w:p>
            <w:pPr>
              <w:ind w:left="4620"/>
              <w:spacing w:after="0"/>
              <w:rPr>
                <w:sz w:val="20"/>
                <w:szCs w:val="20"/>
                <w:color w:val="auto"/>
              </w:rPr>
            </w:pPr>
            <w:r>
              <w:rPr>
                <w:rFonts w:ascii="Times New Roman" w:cs="Times New Roman" w:eastAsia="Times New Roman" w:hAnsi="Times New Roman"/>
                <w:sz w:val="18"/>
                <w:szCs w:val="18"/>
                <w:b w:val="1"/>
                <w:bCs w:val="1"/>
                <w:color w:val="auto"/>
              </w:rPr>
              <w:t>Document</w:t>
            </w:r>
          </w:p>
        </w:tc>
      </w:tr>
      <w:tr>
        <w:trPr>
          <w:trHeight w:val="169"/>
        </w:trPr>
        <w:tc>
          <w:tcPr>
            <w:tcW w:w="1140" w:type="dxa"/>
            <w:vAlign w:val="bottom"/>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100" w:type="dxa"/>
            <w:vAlign w:val="bottom"/>
          </w:tcPr>
          <w:p>
            <w:pPr>
              <w:spacing w:after="0"/>
              <w:rPr>
                <w:sz w:val="14"/>
                <w:szCs w:val="14"/>
                <w:color w:val="auto"/>
              </w:rPr>
            </w:pPr>
          </w:p>
        </w:tc>
        <w:tc>
          <w:tcPr>
            <w:tcW w:w="10000" w:type="dxa"/>
            <w:vAlign w:val="bottom"/>
            <w:gridSpan w:val="2"/>
          </w:tcPr>
          <w:p>
            <w:pPr>
              <w:ind w:left="20"/>
              <w:spacing w:after="0" w:line="169" w:lineRule="exact"/>
              <w:rPr>
                <w:sz w:val="20"/>
                <w:szCs w:val="20"/>
                <w:color w:val="auto"/>
              </w:rPr>
            </w:pPr>
            <w:r>
              <w:rPr>
                <w:rFonts w:ascii="Times New Roman" w:cs="Times New Roman" w:eastAsia="Times New Roman" w:hAnsi="Times New Roman"/>
                <w:sz w:val="18"/>
                <w:szCs w:val="18"/>
                <w:color w:val="0000EE"/>
              </w:rPr>
              <w:t>Press Release of Century Therapeutics, Inc., dated May 13, 2026</w:t>
            </w:r>
          </w:p>
        </w:tc>
      </w:tr>
      <w:tr>
        <w:trPr>
          <w:trHeight w:val="20"/>
        </w:trPr>
        <w:tc>
          <w:tcPr>
            <w:tcW w:w="32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80" w:type="dxa"/>
            <w:vAlign w:val="bottom"/>
            <w:shd w:val="clear" w:color="auto" w:fill="0000EE"/>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675"/>
        </w:trPr>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c>
          <w:tcPr>
            <w:tcW w:w="53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CENTURY THERAPEUTICS, INC.</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Brent Pfeiffenberger, Pharm.D.</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Brent Pfeiffenberger, Pharm.D.</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Century Therapeutics Reports First Quarter Financial Results and Business Updates</w:t>
      </w:r>
    </w:p>
    <w:p>
      <w:pPr>
        <w:spacing w:after="0" w:line="229" w:lineRule="exact"/>
        <w:rPr>
          <w:sz w:val="20"/>
          <w:szCs w:val="20"/>
          <w:color w:val="auto"/>
        </w:rPr>
      </w:pPr>
    </w:p>
    <w:p>
      <w:pPr>
        <w:ind w:left="660" w:right="440" w:hanging="328"/>
        <w:spacing w:after="0" w:line="281" w:lineRule="auto"/>
        <w:tabs>
          <w:tab w:leader="none" w:pos="66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CNTY-813, Century’s type 1 diabetes iPSC-derived islet therapy with functional-cure potential, remains on track for IND in 4Q 2026; initial clinical data expected in 2H 2027</w:t>
      </w:r>
    </w:p>
    <w:p>
      <w:pPr>
        <w:spacing w:after="0" w:line="162" w:lineRule="exact"/>
        <w:rPr>
          <w:rFonts w:ascii="Arial" w:cs="Arial" w:eastAsia="Arial" w:hAnsi="Arial"/>
          <w:sz w:val="18"/>
          <w:szCs w:val="18"/>
          <w:b w:val="1"/>
          <w:bCs w:val="1"/>
          <w:color w:val="auto"/>
        </w:rPr>
      </w:pPr>
    </w:p>
    <w:p>
      <w:pPr>
        <w:ind w:left="660" w:right="180" w:hanging="328"/>
        <w:spacing w:after="0" w:line="281" w:lineRule="auto"/>
        <w:tabs>
          <w:tab w:leader="none" w:pos="66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Upcoming oral presentation at the American Diabetes Association (ADA) annual Scientific Sessions highlighting CNTY-813 preclinical data on June 8, 2026</w:t>
      </w:r>
    </w:p>
    <w:p>
      <w:pPr>
        <w:spacing w:after="0" w:line="162" w:lineRule="exact"/>
        <w:rPr>
          <w:rFonts w:ascii="Arial" w:cs="Arial" w:eastAsia="Arial" w:hAnsi="Arial"/>
          <w:sz w:val="18"/>
          <w:szCs w:val="18"/>
          <w:b w:val="1"/>
          <w:bCs w:val="1"/>
          <w:color w:val="auto"/>
        </w:rPr>
      </w:pPr>
    </w:p>
    <w:p>
      <w:pPr>
        <w:ind w:left="660" w:hanging="328"/>
        <w:spacing w:after="0"/>
        <w:tabs>
          <w:tab w:leader="none" w:pos="66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track to advance CNTY-308, Century’s CD19-targeted CAR-iT cell therapy, into the clinic this year</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Cash runway into 1Q 2029 with cash, cash equivalents, and marketable securities of $217.0 million as of March 31, 2026</w:t>
      </w:r>
    </w:p>
    <w:p>
      <w:pPr>
        <w:spacing w:after="0" w:line="220" w:lineRule="exact"/>
        <w:rPr>
          <w:sz w:val="20"/>
          <w:szCs w:val="20"/>
          <w:color w:val="auto"/>
        </w:rPr>
      </w:pPr>
    </w:p>
    <w:p>
      <w:pPr>
        <w:jc w:val="both"/>
        <w:ind w:right="1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PHILADELPHIA, May 13, 2026 </w:t>
      </w:r>
      <w:r>
        <w:rPr>
          <w:rFonts w:ascii="Times New Roman" w:cs="Times New Roman" w:eastAsia="Times New Roman" w:hAnsi="Times New Roman"/>
          <w:sz w:val="18"/>
          <w:szCs w:val="18"/>
          <w:color w:val="auto"/>
        </w:rPr>
        <w:t>-- Century Therapeutics, Inc. (‘Century’, NASDAQ: IPSC), a biotechnology company developing induced pluripotent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stem cell (iPSC)-derived cell therapies for autoimmune diseases, including type 1 diabetes, and cancer, today reported financial results for the first quarter ended March 31, 2026, and recent business highlights.</w:t>
      </w:r>
    </w:p>
    <w:p>
      <w:pPr>
        <w:spacing w:after="0" w:line="17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are executing our pipeline with discipline to deliver an iPSC-derived islet replacement therapy to patients. The progress of CNTY-813 highlights what Century can achieve pairing our Allo-Evasion™ engineering with a scalable iPSC platform,” said Brent Pfeiffenberger, Pharm.D., Chief Executive Officer of Century Therapeutics. “In a relatively short time since initiating this program, we have advanced CNTY-813 into IND-enabling studies on a timeline we believe is highly competitive with leading efforts in the field. With an IND submission expected in the fourth quarter of 2026 and initial clinical data anticipated in the second half of 2027, our focus is clear: to deliver a differentiated, patient-centric, potentially curative approach for people with type 1 diabetes while continuing to expand our autoimmune disease portfolio with CNTY-308.”</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2026 and Recent Highlights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Pipeline</w:t>
      </w:r>
    </w:p>
    <w:p>
      <w:pPr>
        <w:spacing w:after="0" w:line="225" w:lineRule="exact"/>
        <w:rPr>
          <w:sz w:val="20"/>
          <w:szCs w:val="20"/>
          <w:color w:val="auto"/>
        </w:rPr>
      </w:pPr>
    </w:p>
    <w:p>
      <w:pPr>
        <w:ind w:left="660" w:right="60" w:hanging="328"/>
        <w:spacing w:after="0" w:line="259" w:lineRule="auto"/>
        <w:tabs>
          <w:tab w:leader="none" w:pos="66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CNTY-813, Century’s priority program in type 1 diabetes, reflects strong execution: </w:t>
      </w:r>
      <w:r>
        <w:rPr>
          <w:rFonts w:ascii="Times New Roman" w:cs="Times New Roman" w:eastAsia="Times New Roman" w:hAnsi="Times New Roman"/>
          <w:sz w:val="18"/>
          <w:szCs w:val="18"/>
          <w:color w:val="auto"/>
        </w:rPr>
        <w:t>During Q1 2026, the company made meaningful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progress across key IND-enabling activities, including non-clinical development, manufacturing, and regulatory readiness, supporting a clear line of sight to the clinic. Progress to date includes compelling preclinical data showing durable glucose control and immune protection, completion of GMP Master Cell Bank manufacturing, and recent FDA engagement, further de-risking the program. Building on this momentum, Century expects to submit an IND in 4Q 2026, subject to completion of remaining studies, and anticipates initial clinical data in the second half of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 w:name="page5"/>
    <w:bookmarkEnd w:id="4"/>
    <w:p>
      <w:pPr>
        <w:ind w:left="660" w:hanging="328"/>
        <w:spacing w:after="0"/>
        <w:tabs>
          <w:tab w:leader="none" w:pos="66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Upcoming ADA presentation highlights Century’s islet cell replacement therapy engineered with Allo-Evasion™ 5.0: </w:t>
      </w:r>
      <w:r>
        <w:rPr>
          <w:rFonts w:ascii="Times New Roman" w:cs="Times New Roman" w:eastAsia="Times New Roman" w:hAnsi="Times New Roman"/>
          <w:sz w:val="18"/>
          <w:szCs w:val="18"/>
          <w:color w:val="auto"/>
        </w:rPr>
        <w:t>Century will deliver</w:t>
      </w:r>
    </w:p>
    <w:p>
      <w:pPr>
        <w:spacing w:after="0" w:line="30" w:lineRule="exact"/>
        <w:rPr>
          <w:rFonts w:ascii="Arial" w:cs="Arial" w:eastAsia="Arial" w:hAnsi="Arial"/>
          <w:sz w:val="18"/>
          <w:szCs w:val="18"/>
          <w:b w:val="1"/>
          <w:bCs w:val="1"/>
          <w:color w:val="auto"/>
        </w:rPr>
      </w:pPr>
    </w:p>
    <w:p>
      <w:pPr>
        <w:jc w:val="both"/>
        <w:ind w:left="660" w:right="260"/>
        <w:spacing w:after="0" w:line="255" w:lineRule="auto"/>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an oral presentation at the ADA 86th Scientific Sessions titled “CNTY-813: Scalable Production of Allo-Evasion™ 5.0-Engineered iPSC Beta Islets for Off-the-Shelf Cell Therapies” (Oral Presentation 1318-OR; Monday, June 8, 2026), highlighting scalable production of iPSC-derived islets with robust endocrine function and the demonstrated ability to evade the host immune system.</w:t>
      </w:r>
    </w:p>
    <w:p>
      <w:pPr>
        <w:spacing w:after="0" w:line="181" w:lineRule="exact"/>
        <w:rPr>
          <w:rFonts w:ascii="Arial" w:cs="Arial" w:eastAsia="Arial" w:hAnsi="Arial"/>
          <w:sz w:val="18"/>
          <w:szCs w:val="18"/>
          <w:b w:val="1"/>
          <w:bCs w:val="1"/>
          <w:color w:val="auto"/>
        </w:rPr>
      </w:pPr>
    </w:p>
    <w:p>
      <w:pPr>
        <w:ind w:left="660" w:right="260" w:hanging="328"/>
        <w:spacing w:after="0" w:line="220" w:lineRule="exact"/>
        <w:tabs>
          <w:tab w:leader="none" w:pos="66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CNTY-308 to progress through IND-enabling studies with clinical trial planned to initiate in 2026</w:t>
      </w:r>
      <w:r>
        <w:rPr>
          <w:rFonts w:ascii="Times New Roman" w:cs="Times New Roman" w:eastAsia="Times New Roman" w:hAnsi="Times New Roman"/>
          <w:sz w:val="18"/>
          <w:szCs w:val="18"/>
          <w:color w:val="auto"/>
        </w:rPr>
        <w:t>: Century remains on track to complete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IND-enabling activities for CNTY-308 and initiate clinical testing in 2026, pending regulatory clearance. CNTY-308 is a CD19-targeted CD4</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/CD8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αβ CAR-iT cell therapy engineered with Allo-Evasion™ 5.0 for B-cell-mediated diseases. Previously presented preclinical data showed functional comparability to primary CAR-T cells, including target-driven proliferation, cytokine secretion, and durable persistence. Collectively, these results and the expanding clinical validation of CAR-T therapy support Century’s confidence that CNTY-308 could deliver autologous-like benefits in an allogeneic, patient-centric format designed to broaden access.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w:t>
      </w:r>
    </w:p>
    <w:p>
      <w:pPr>
        <w:spacing w:after="0" w:line="229"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As previously disclosed, completed oversubscribed $135 million private placement financing in January 2026 (</w:t>
      </w:r>
      <w:r>
        <w:rPr>
          <w:rFonts w:ascii="Times New Roman" w:cs="Times New Roman" w:eastAsia="Times New Roman" w:hAnsi="Times New Roman"/>
          <w:sz w:val="18"/>
          <w:szCs w:val="18"/>
          <w:u w:val="single" w:color="auto"/>
          <w:color w:val="auto"/>
        </w:rPr>
        <w:t>HERE</w:t>
      </w:r>
      <w:r>
        <w:rPr>
          <w:rFonts w:ascii="Times New Roman" w:cs="Times New Roman" w:eastAsia="Times New Roman" w:hAnsi="Times New Roman"/>
          <w:sz w:val="18"/>
          <w:szCs w:val="18"/>
          <w:color w:val="auto"/>
        </w:rPr>
        <w:t xml:space="preserve"> for more details).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2026 Financial Results</w:t>
      </w:r>
    </w:p>
    <w:p>
      <w:pPr>
        <w:spacing w:after="0" w:line="225" w:lineRule="exact"/>
        <w:rPr>
          <w:sz w:val="20"/>
          <w:szCs w:val="20"/>
          <w:color w:val="auto"/>
        </w:rPr>
      </w:pPr>
    </w:p>
    <w:p>
      <w:pPr>
        <w:ind w:left="660" w:hanging="328"/>
        <w:spacing w:after="0" w:line="262" w:lineRule="auto"/>
        <w:tabs>
          <w:tab w:leader="none" w:pos="660" w:val="left"/>
        </w:tabs>
        <w:numPr>
          <w:ilvl w:val="0"/>
          <w:numId w:val="6"/>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Cash Position: </w:t>
      </w:r>
      <w:r>
        <w:rPr>
          <w:rFonts w:ascii="Times New Roman" w:cs="Times New Roman" w:eastAsia="Times New Roman" w:hAnsi="Times New Roman"/>
          <w:sz w:val="18"/>
          <w:szCs w:val="18"/>
          <w:color w:val="auto"/>
        </w:rPr>
        <w:t>Cash, cash equivalents, and marketable securities were $217.0 million as of March 31, 2026, as compared to $117.1 million as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December 31, 2025. Net cash used in operations was $25.3 million for the quarter ended March 31, 2026, compared to net cash used in operations of $34.6 million for the quarter ended March 31, 2025. The company estimates its cash, cash equivalents, and investments as of March 31, 2026 will support operations into the first quarter of 2029.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0" w:right="399" w:bottom="1440" w:gutter="0" w:footer="0" w:header="0"/>
        </w:sectPr>
      </w:pPr>
    </w:p>
    <w:bookmarkStart w:id="5" w:name="page6"/>
    <w:bookmarkEnd w:id="5"/>
    <w:p>
      <w:pPr>
        <w:ind w:left="660" w:right="320" w:hanging="328"/>
        <w:spacing w:after="0" w:line="285" w:lineRule="auto"/>
        <w:tabs>
          <w:tab w:leader="none" w:pos="660" w:val="left"/>
        </w:tabs>
        <w:numPr>
          <w:ilvl w:val="0"/>
          <w:numId w:val="7"/>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Research and Development (R&amp;D) Expenses: </w:t>
      </w:r>
      <w:r>
        <w:rPr>
          <w:rFonts w:ascii="Times New Roman" w:cs="Times New Roman" w:eastAsia="Times New Roman" w:hAnsi="Times New Roman"/>
          <w:sz w:val="18"/>
          <w:szCs w:val="18"/>
          <w:color w:val="auto"/>
        </w:rPr>
        <w:t>R&amp;D expenses were $17.1 million for the quarter ended March 31, 2026, compared to $26.6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 for the same period in 2025. The decrease was primarily the result of a reduction in personnel and lower clinical trial spending.</w:t>
      </w:r>
    </w:p>
    <w:p>
      <w:pPr>
        <w:spacing w:after="0" w:line="155" w:lineRule="exact"/>
        <w:rPr>
          <w:rFonts w:ascii="Arial" w:cs="Arial" w:eastAsia="Arial" w:hAnsi="Arial"/>
          <w:sz w:val="18"/>
          <w:szCs w:val="18"/>
          <w:b w:val="1"/>
          <w:bCs w:val="1"/>
          <w:color w:val="auto"/>
        </w:rPr>
      </w:pPr>
    </w:p>
    <w:p>
      <w:pPr>
        <w:ind w:left="660" w:right="120" w:hanging="328"/>
        <w:spacing w:after="0" w:line="285" w:lineRule="auto"/>
        <w:tabs>
          <w:tab w:leader="none" w:pos="660" w:val="left"/>
        </w:tabs>
        <w:numPr>
          <w:ilvl w:val="0"/>
          <w:numId w:val="7"/>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General and Administrative (G&amp;A) Expenses: </w:t>
      </w:r>
      <w:r>
        <w:rPr>
          <w:rFonts w:ascii="Times New Roman" w:cs="Times New Roman" w:eastAsia="Times New Roman" w:hAnsi="Times New Roman"/>
          <w:sz w:val="18"/>
          <w:szCs w:val="18"/>
          <w:color w:val="auto"/>
        </w:rPr>
        <w:t>G&amp;A expenses were $6.6 million for quarter ended March 31, 2026, compared to $8.4 million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 same period in 2025.</w:t>
      </w:r>
    </w:p>
    <w:p>
      <w:pPr>
        <w:spacing w:after="0" w:line="155" w:lineRule="exact"/>
        <w:rPr>
          <w:rFonts w:ascii="Arial" w:cs="Arial" w:eastAsia="Arial" w:hAnsi="Arial"/>
          <w:sz w:val="18"/>
          <w:szCs w:val="18"/>
          <w:b w:val="1"/>
          <w:bCs w:val="1"/>
          <w:color w:val="auto"/>
        </w:rPr>
      </w:pPr>
    </w:p>
    <w:p>
      <w:pPr>
        <w:ind w:left="660" w:right="280" w:hanging="328"/>
        <w:spacing w:after="0" w:line="285" w:lineRule="auto"/>
        <w:tabs>
          <w:tab w:leader="none" w:pos="660" w:val="left"/>
        </w:tabs>
        <w:numPr>
          <w:ilvl w:val="0"/>
          <w:numId w:val="7"/>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Net Income (Loss): </w:t>
      </w:r>
      <w:r>
        <w:rPr>
          <w:rFonts w:ascii="Times New Roman" w:cs="Times New Roman" w:eastAsia="Times New Roman" w:hAnsi="Times New Roman"/>
          <w:sz w:val="18"/>
          <w:szCs w:val="18"/>
          <w:color w:val="auto"/>
        </w:rPr>
        <w:t>Net (loss) was $21.6 million for the quarter ended March 31, 2026, compared to net income of $76.6 million for the same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period in 2025.</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Century Therapeutics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Century Therapeutics (NASDAQ: IPSC) is a biotechnology company advancing a pipeline of induced pluripotent stem cell (iPSC)-derived cell therapies with the potential to meaningfully address autoimmune diseases, including type 1 diabetes, and cancer. The company’s therapies are derived from its iPSC cell foundry and leverage its novel immune evasion engineering technology, Allo-Evasion™. Century believes its approach to developing off-the-shelf cell therapies will expand patient access and provide advantages over existing cell therapies which will ultimately advance the course of care. For more information on Century Therapeutics, please visit </w:t>
      </w:r>
      <w:r>
        <w:rPr>
          <w:rFonts w:ascii="Times New Roman" w:cs="Times New Roman" w:eastAsia="Times New Roman" w:hAnsi="Times New Roman"/>
          <w:sz w:val="18"/>
          <w:szCs w:val="18"/>
          <w:u w:val="single" w:color="auto"/>
          <w:color w:val="auto"/>
        </w:rPr>
        <w:t>www.centurytx.com</w:t>
      </w:r>
      <w:r>
        <w:rPr>
          <w:rFonts w:ascii="Times New Roman" w:cs="Times New Roman" w:eastAsia="Times New Roman" w:hAnsi="Times New Roman"/>
          <w:sz w:val="18"/>
          <w:szCs w:val="18"/>
          <w:color w:val="auto"/>
        </w:rPr>
        <w:t xml:space="preserve"> and connect with us on LinkedIn.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0" w:right="3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and made pursuant to the safe harbor provisions of, The Private Securities Litigation Reform Act of 1995. All statements contained in this press release, other than statements of historical facts or statements that relate to present facts or current conditions, including but not limited to, statements our timing and expectations regarding our preclinical and clinical development programs, including their planned development, therapeutic potential and market opportunity, ongoing and planned regulatory submissions and interactions, the achievement of developmental milestones, corporate strategies, anticipated data readouts, and our financial resources and expected cash runway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 some cases, you can identify forward-looking statements by terms such as “may,” “might,” “will,” “should,” “expect,” “plan,” “aim,” “seek,” “anticipate,” “could,” “intend,” “target,” “project,” “contemplate,” “believe,” “estimate,” “predict,” “forecast,” “potential” or “continue” or the negative of these terms or other similar expressions. The forward-looking statements in this press release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press release and are subject to a number of risks, uncertainties and assumptions, some of which cannot be predicted or quantified and some of which are beyond our control, including, among others: our ability to successfully advance our current and future product candidates through development activities, preclinical studies, and clinical trials; our ability to meet development milestones on anticipated timelines; uncertainties inherent in the results of preliminary data, pre-clinical studies and earlier-stage clinical trials, which may not be predictive of final results or the results of later-stage clinical trials; our ability to obtain clearance of our future IND or CTA submissions and commence and complete clinical trials on expected timelines, or at all; our reliance on the maintenance of certain key collaborative relationships for the manufacturing and development of our product candidates; the timing, scope and likelihood of regulatory filings and approvals, including final regulatory approval of our product candidates; the impact of geopolitical issues, trade disputes and tariffs, banking instability and inflation on our business and operations, supply chain and labor force; the performance of third parties in connection with the development of our product candidates, including third parties conducting our clinical trials as well as third-party suppliers and manufacturers; our ability to successfully commercialize our product candidates and develop sales and marketing capabilities, if our product candidates are approved; our ability to recruit and maintain key members of management and our ability to maintain and successfully enforce adequate intellectual property protection. These and other risks and uncertainties are described more fully in the “Risk Factors” section of our most recent filings with the Securities and Exchange Commission and available at www.sec.gov.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Moreover, we operate in a dynamic industry and economy. New risk factors and uncertainties may emerge from time to time, and it is not possible for management to predict all risk factors and uncertainties that we may face. Except as required by applicable law, we do not plan to publicly update or revise any forward-looking statements contained herein, whether as a result of any new information, future events, changed circumstances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431165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For More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Century Therapeutics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Douglas Carr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Vice President, Finance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investor.relations@centurytx.com</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Corey Davis, Ph.D.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LifeSci Advisors,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212-915-2577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cdavis@lifesciadvisors.com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8" w:name="page9"/>
    <w:bookmarkEnd w:id="8"/>
    <w:p>
      <w:pPr>
        <w:ind w:left="4600"/>
        <w:spacing w:after="0"/>
        <w:rPr>
          <w:sz w:val="20"/>
          <w:szCs w:val="20"/>
          <w:color w:val="auto"/>
        </w:rPr>
      </w:pPr>
      <w:r>
        <w:rPr>
          <w:rFonts w:ascii="Times New Roman" w:cs="Times New Roman" w:eastAsia="Times New Roman" w:hAnsi="Times New Roman"/>
          <w:sz w:val="18"/>
          <w:szCs w:val="18"/>
          <w:b w:val="1"/>
          <w:bCs w:val="1"/>
          <w:color w:val="auto"/>
        </w:rPr>
        <w:t>Century Therapeutics, Inc</w:t>
      </w:r>
    </w:p>
    <w:p>
      <w:pPr>
        <w:spacing w:after="0" w:line="31"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9"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6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7"/>
              </w:rPr>
              <w:t>December 31,</w:t>
            </w:r>
          </w:p>
        </w:tc>
      </w:tr>
      <w:tr>
        <w:trPr>
          <w:trHeight w:val="238"/>
        </w:trPr>
        <w:tc>
          <w:tcPr>
            <w:tcW w:w="6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7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0"/>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51,048</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61,853</w:t>
            </w:r>
          </w:p>
        </w:tc>
      </w:tr>
      <w:tr>
        <w:trPr>
          <w:trHeight w:val="216"/>
        </w:trPr>
        <w:tc>
          <w:tcPr>
            <w:tcW w:w="6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Short-term investments</w:t>
            </w:r>
          </w:p>
        </w:tc>
        <w:tc>
          <w:tcPr>
            <w:tcW w:w="1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83,755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55,261</w:t>
            </w:r>
          </w:p>
        </w:tc>
      </w:tr>
      <w:tr>
        <w:trPr>
          <w:trHeight w:val="229"/>
        </w:trPr>
        <w:tc>
          <w:tcPr>
            <w:tcW w:w="6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4,236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3,655</w:t>
            </w:r>
          </w:p>
        </w:tc>
        <w:tc>
          <w:tcPr>
            <w:tcW w:w="80" w:type="dxa"/>
            <w:vAlign w:val="bottom"/>
          </w:tcPr>
          <w:p>
            <w:pPr>
              <w:spacing w:after="0"/>
              <w:rPr>
                <w:sz w:val="19"/>
                <w:szCs w:val="19"/>
                <w:color w:val="auto"/>
              </w:rPr>
            </w:pPr>
          </w:p>
        </w:tc>
      </w:tr>
      <w:tr>
        <w:trPr>
          <w:trHeight w:val="210"/>
        </w:trPr>
        <w:tc>
          <w:tcPr>
            <w:tcW w:w="6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7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139,039</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120,769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47,606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50,026</w:t>
            </w:r>
          </w:p>
        </w:tc>
      </w:tr>
      <w:tr>
        <w:trPr>
          <w:trHeight w:val="216"/>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20,972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16,139</w:t>
            </w: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82,169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1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34,200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34,200</w:t>
            </w:r>
          </w:p>
        </w:tc>
      </w:tr>
      <w:tr>
        <w:trPr>
          <w:trHeight w:val="229"/>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1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2,567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2,570</w:t>
            </w:r>
          </w:p>
        </w:tc>
        <w:tc>
          <w:tcPr>
            <w:tcW w:w="80" w:type="dxa"/>
            <w:vAlign w:val="bottom"/>
          </w:tcPr>
          <w:p>
            <w:pPr>
              <w:spacing w:after="0"/>
              <w:rPr>
                <w:sz w:val="19"/>
                <w:szCs w:val="19"/>
                <w:color w:val="auto"/>
              </w:rPr>
            </w:pPr>
          </w:p>
        </w:tc>
      </w:tr>
      <w:tr>
        <w:trPr>
          <w:trHeight w:val="223"/>
        </w:trPr>
        <w:tc>
          <w:tcPr>
            <w:tcW w:w="6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7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326,553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223,704</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6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66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convertible preferred stock, and stockholders' equity</w:t>
            </w:r>
          </w:p>
        </w:tc>
        <w:tc>
          <w:tcPr>
            <w:tcW w:w="1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3,150</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4,773</w:t>
            </w:r>
          </w:p>
        </w:tc>
        <w:tc>
          <w:tcPr>
            <w:tcW w:w="80" w:type="dxa"/>
            <w:vAlign w:val="bottom"/>
            <w:shd w:val="clear" w:color="auto" w:fill="CCEEFF"/>
          </w:tcPr>
          <w:p>
            <w:pPr>
              <w:spacing w:after="0"/>
              <w:rPr>
                <w:sz w:val="18"/>
                <w:szCs w:val="18"/>
                <w:color w:val="auto"/>
              </w:rPr>
            </w:pPr>
          </w:p>
        </w:tc>
      </w:tr>
      <w:tr>
        <w:trPr>
          <w:trHeight w:val="216"/>
        </w:trPr>
        <w:tc>
          <w:tcPr>
            <w:tcW w:w="6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8,477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11,696</w:t>
            </w:r>
          </w:p>
        </w:tc>
        <w:tc>
          <w:tcPr>
            <w:tcW w:w="80" w:type="dxa"/>
            <w:vAlign w:val="bottom"/>
          </w:tcPr>
          <w:p>
            <w:pPr>
              <w:spacing w:after="0"/>
              <w:rPr>
                <w:sz w:val="18"/>
                <w:szCs w:val="18"/>
                <w:color w:val="auto"/>
              </w:rPr>
            </w:pPr>
          </w:p>
        </w:tc>
      </w:tr>
      <w:tr>
        <w:trPr>
          <w:trHeight w:val="229"/>
        </w:trPr>
        <w:tc>
          <w:tcPr>
            <w:tcW w:w="6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Contingent consideration liability, short term</w:t>
            </w:r>
          </w:p>
        </w:tc>
        <w:tc>
          <w:tcPr>
            <w:tcW w:w="17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1,939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3,757</w:t>
            </w:r>
          </w:p>
        </w:tc>
        <w:tc>
          <w:tcPr>
            <w:tcW w:w="80" w:type="dxa"/>
            <w:vAlign w:val="bottom"/>
            <w:shd w:val="clear" w:color="auto" w:fill="CCEEFF"/>
          </w:tcPr>
          <w:p>
            <w:pPr>
              <w:spacing w:after="0"/>
              <w:rPr>
                <w:sz w:val="19"/>
                <w:szCs w:val="19"/>
                <w:color w:val="auto"/>
              </w:rPr>
            </w:pPr>
          </w:p>
        </w:tc>
      </w:tr>
      <w:tr>
        <w:trPr>
          <w:trHeight w:val="210"/>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7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13,566</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20,226</w:t>
            </w:r>
          </w:p>
        </w:tc>
        <w:tc>
          <w:tcPr>
            <w:tcW w:w="100" w:type="dxa"/>
            <w:vAlign w:val="bottom"/>
            <w:gridSpan w:val="2"/>
          </w:tcPr>
          <w:p>
            <w:pPr>
              <w:spacing w:after="0"/>
              <w:rPr>
                <w:sz w:val="18"/>
                <w:szCs w:val="18"/>
                <w:color w:val="auto"/>
              </w:rPr>
            </w:pPr>
          </w:p>
        </w:tc>
      </w:tr>
      <w:tr>
        <w:trPr>
          <w:trHeight w:val="216"/>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liability, long-term</w:t>
            </w:r>
          </w:p>
        </w:tc>
        <w:tc>
          <w:tcPr>
            <w:tcW w:w="1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43,942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40,241</w:t>
            </w:r>
          </w:p>
        </w:tc>
      </w:tr>
      <w:tr>
        <w:trPr>
          <w:trHeight w:val="230"/>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liability</w:t>
            </w:r>
          </w:p>
        </w:tc>
        <w:tc>
          <w:tcPr>
            <w:tcW w:w="1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4,301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4,301</w:t>
            </w:r>
          </w:p>
        </w:tc>
        <w:tc>
          <w:tcPr>
            <w:tcW w:w="80" w:type="dxa"/>
            <w:vAlign w:val="bottom"/>
          </w:tcPr>
          <w:p>
            <w:pPr>
              <w:spacing w:after="0"/>
              <w:rPr>
                <w:sz w:val="19"/>
                <w:szCs w:val="19"/>
                <w:color w:val="auto"/>
              </w:rPr>
            </w:pPr>
          </w:p>
        </w:tc>
      </w:tr>
      <w:tr>
        <w:trPr>
          <w:trHeight w:val="209"/>
        </w:trPr>
        <w:tc>
          <w:tcPr>
            <w:tcW w:w="6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7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61,809</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64,768</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0"/>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1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1,078,873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950,814</w:t>
            </w:r>
          </w:p>
        </w:tc>
        <w:tc>
          <w:tcPr>
            <w:tcW w:w="80" w:type="dxa"/>
            <w:vAlign w:val="bottom"/>
          </w:tcPr>
          <w:p>
            <w:pPr>
              <w:spacing w:after="0"/>
              <w:rPr>
                <w:sz w:val="18"/>
                <w:szCs w:val="18"/>
                <w:color w:val="auto"/>
              </w:rPr>
            </w:pPr>
          </w:p>
        </w:tc>
      </w:tr>
      <w:tr>
        <w:trPr>
          <w:trHeight w:val="216"/>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(813,562)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(791,917)</w:t>
            </w:r>
          </w:p>
        </w:tc>
      </w:tr>
      <w:tr>
        <w:trPr>
          <w:trHeight w:val="230"/>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(585)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Pr>
          <w:p>
            <w:pPr>
              <w:spacing w:after="0"/>
              <w:rPr>
                <w:sz w:val="19"/>
                <w:szCs w:val="19"/>
                <w:color w:val="auto"/>
              </w:rPr>
            </w:pPr>
          </w:p>
        </w:tc>
      </w:tr>
      <w:tr>
        <w:trPr>
          <w:trHeight w:val="210"/>
        </w:trPr>
        <w:tc>
          <w:tcPr>
            <w:tcW w:w="6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7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264,744</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158,936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23"/>
        </w:trPr>
        <w:tc>
          <w:tcPr>
            <w:tcW w:w="6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7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326,553</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223,704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6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655"/>
        </w:trPr>
        <w:tc>
          <w:tcPr>
            <w:tcW w:w="66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Century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and per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320" w:type="dxa"/>
            <w:vAlign w:val="bottom"/>
          </w:tcPr>
          <w:p>
            <w:pPr>
              <w:spacing w:after="0"/>
              <w:rPr>
                <w:sz w:val="19"/>
                <w:szCs w:val="19"/>
                <w:color w:val="auto"/>
              </w:rPr>
            </w:pPr>
          </w:p>
        </w:tc>
        <w:tc>
          <w:tcPr>
            <w:tcW w:w="2020" w:type="dxa"/>
            <w:vAlign w:val="bottom"/>
            <w:gridSpan w:val="3"/>
          </w:tcPr>
          <w:p>
            <w:pPr>
              <w:jc w:val="right"/>
              <w:ind w:right="221"/>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90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38"/>
        </w:trPr>
        <w:tc>
          <w:tcPr>
            <w:tcW w:w="7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20" w:type="dxa"/>
            <w:vAlign w:val="bottom"/>
            <w:gridSpan w:val="2"/>
          </w:tcPr>
          <w:p>
            <w:pPr>
              <w:jc w:val="right"/>
              <w:ind w:right="441"/>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200" w:type="dxa"/>
            <w:vAlign w:val="bottom"/>
          </w:tcPr>
          <w:p>
            <w:pPr>
              <w:spacing w:after="0"/>
              <w:rPr>
                <w:sz w:val="20"/>
                <w:szCs w:val="20"/>
                <w:color w:val="auto"/>
              </w:rPr>
            </w:pPr>
          </w:p>
        </w:tc>
        <w:tc>
          <w:tcPr>
            <w:tcW w:w="170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0" w:type="dxa"/>
            <w:vAlign w:val="bottom"/>
          </w:tcPr>
          <w:p>
            <w:pPr>
              <w:spacing w:after="0"/>
              <w:rPr>
                <w:sz w:val="1"/>
                <w:szCs w:val="1"/>
                <w:color w:val="auto"/>
              </w:rPr>
            </w:pPr>
          </w:p>
        </w:tc>
      </w:tr>
      <w:tr>
        <w:trPr>
          <w:trHeight w:val="210"/>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Collaboration Revenue</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109,164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tcPr>
          <w:p>
            <w:pPr>
              <w:spacing w:after="0"/>
              <w:rPr>
                <w:sz w:val="18"/>
                <w:szCs w:val="18"/>
                <w:color w:val="auto"/>
              </w:rPr>
            </w:pPr>
          </w:p>
        </w:tc>
        <w:tc>
          <w:tcPr>
            <w:tcW w:w="18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17,105</w:t>
            </w:r>
          </w:p>
        </w:tc>
        <w:tc>
          <w:tcPr>
            <w:tcW w:w="200" w:type="dxa"/>
            <w:vAlign w:val="bottom"/>
          </w:tcPr>
          <w:p>
            <w:pPr>
              <w:spacing w:after="0"/>
              <w:rPr>
                <w:sz w:val="18"/>
                <w:szCs w:val="18"/>
                <w:color w:val="auto"/>
              </w:rPr>
            </w:pP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26,580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6,579</w:t>
            </w:r>
          </w:p>
        </w:tc>
        <w:tc>
          <w:tcPr>
            <w:tcW w:w="20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8,408</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3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00" w:type="dxa"/>
            <w:vAlign w:val="bottom"/>
            <w:tcBorders>
              <w:top w:val="single" w:sz="8" w:color="auto"/>
              <w:bottom w:val="single" w:sz="8" w:color="auto"/>
            </w:tcBorders>
          </w:tcPr>
          <w:p>
            <w:pPr>
              <w:spacing w:after="0"/>
              <w:rPr>
                <w:sz w:val="18"/>
                <w:szCs w:val="18"/>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23,684</w:t>
            </w:r>
          </w:p>
        </w:tc>
        <w:tc>
          <w:tcPr>
            <w:tcW w:w="2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34,988</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(loss) from operations</w:t>
            </w:r>
          </w:p>
        </w:tc>
        <w:tc>
          <w:tcPr>
            <w:tcW w:w="200" w:type="dxa"/>
            <w:vAlign w:val="bottom"/>
          </w:tcPr>
          <w:p>
            <w:pPr>
              <w:spacing w:after="0"/>
              <w:rPr>
                <w:sz w:val="18"/>
                <w:szCs w:val="18"/>
                <w:color w:val="auto"/>
              </w:rPr>
            </w:pPr>
          </w:p>
        </w:tc>
        <w:tc>
          <w:tcPr>
            <w:tcW w:w="18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(23,684)</w:t>
            </w:r>
          </w:p>
        </w:tc>
        <w:tc>
          <w:tcPr>
            <w:tcW w:w="200" w:type="dxa"/>
            <w:vAlign w:val="bottom"/>
          </w:tcPr>
          <w:p>
            <w:pPr>
              <w:spacing w:after="0"/>
              <w:rPr>
                <w:sz w:val="18"/>
                <w:szCs w:val="18"/>
                <w:color w:val="auto"/>
              </w:rPr>
            </w:pP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74,176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tcPr>
          <w:p>
            <w:pPr>
              <w:spacing w:after="0"/>
              <w:rPr>
                <w:sz w:val="18"/>
                <w:szCs w:val="18"/>
                <w:color w:val="auto"/>
              </w:rPr>
            </w:pPr>
          </w:p>
        </w:tc>
        <w:tc>
          <w:tcPr>
            <w:tcW w:w="18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2,019</w:t>
            </w:r>
          </w:p>
        </w:tc>
        <w:tc>
          <w:tcPr>
            <w:tcW w:w="200" w:type="dxa"/>
            <w:vAlign w:val="bottom"/>
          </w:tcPr>
          <w:p>
            <w:pPr>
              <w:spacing w:after="0"/>
              <w:rPr>
                <w:sz w:val="18"/>
                <w:szCs w:val="18"/>
                <w:color w:val="auto"/>
              </w:rPr>
            </w:pP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2,422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(loss)</w:t>
            </w:r>
          </w:p>
        </w:tc>
        <w:tc>
          <w:tcPr>
            <w:tcW w:w="20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shd w:val="clear" w:color="auto" w:fill="CCEEFF"/>
          </w:tcPr>
          <w:p>
            <w:pPr>
              <w:spacing w:after="0"/>
              <w:rPr>
                <w:sz w:val="19"/>
                <w:szCs w:val="19"/>
                <w:color w:val="auto"/>
              </w:rPr>
            </w:pPr>
          </w:p>
        </w:tc>
        <w:tc>
          <w:tcPr>
            <w:tcW w:w="17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0"/>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Total other income</w:t>
            </w:r>
          </w:p>
        </w:tc>
        <w:tc>
          <w:tcPr>
            <w:tcW w:w="20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2,039</w:t>
            </w: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3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(21,645</w:t>
            </w:r>
          </w:p>
        </w:tc>
        <w:tc>
          <w:tcPr>
            <w:tcW w:w="200" w:type="dxa"/>
            <w:vAlign w:val="bottom"/>
            <w:tcBorders>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76,560</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7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Unrealized loss on investments</w:t>
            </w:r>
          </w:p>
        </w:tc>
        <w:tc>
          <w:tcPr>
            <w:tcW w:w="200" w:type="dxa"/>
            <w:vAlign w:val="bottom"/>
          </w:tcPr>
          <w:p>
            <w:pPr>
              <w:spacing w:after="0"/>
              <w:rPr>
                <w:sz w:val="19"/>
                <w:szCs w:val="19"/>
                <w:color w:val="auto"/>
              </w:rPr>
            </w:pPr>
          </w:p>
        </w:tc>
        <w:tc>
          <w:tcPr>
            <w:tcW w:w="18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(615)</w:t>
            </w:r>
          </w:p>
        </w:tc>
        <w:tc>
          <w:tcPr>
            <w:tcW w:w="200" w:type="dxa"/>
            <w:vAlign w:val="bottom"/>
          </w:tcPr>
          <w:p>
            <w:pPr>
              <w:spacing w:after="0"/>
              <w:rPr>
                <w:sz w:val="19"/>
                <w:szCs w:val="19"/>
                <w:color w:val="auto"/>
              </w:rPr>
            </w:pPr>
          </w:p>
        </w:tc>
        <w:tc>
          <w:tcPr>
            <w:tcW w:w="17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23"/>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 (loss)</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(22,260</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76,541</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73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income (loss) per common share</w:t>
            </w:r>
          </w:p>
        </w:tc>
        <w:tc>
          <w:tcPr>
            <w:tcW w:w="20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200" w:type="dxa"/>
            <w:vAlign w:val="bottom"/>
            <w:shd w:val="clear" w:color="auto" w:fill="CCEEFF"/>
          </w:tcPr>
          <w:p>
            <w:pPr>
              <w:spacing w:after="0"/>
              <w:rPr>
                <w:sz w:val="22"/>
                <w:szCs w:val="22"/>
                <w:color w:val="auto"/>
              </w:rPr>
            </w:pPr>
          </w:p>
        </w:tc>
        <w:tc>
          <w:tcPr>
            <w:tcW w:w="18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(0.11)</w:t>
            </w:r>
          </w:p>
        </w:tc>
        <w:tc>
          <w:tcPr>
            <w:tcW w:w="200" w:type="dxa"/>
            <w:vAlign w:val="bottom"/>
            <w:shd w:val="clear" w:color="auto" w:fill="CCEEFF"/>
          </w:tcPr>
          <w:p>
            <w:pPr>
              <w:spacing w:after="0"/>
              <w:rPr>
                <w:sz w:val="22"/>
                <w:szCs w:val="22"/>
                <w:color w:val="auto"/>
              </w:rPr>
            </w:pPr>
          </w:p>
        </w:tc>
        <w:tc>
          <w:tcPr>
            <w:tcW w:w="1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0.89</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73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 average common shares outstanding</w:t>
            </w:r>
          </w:p>
        </w:tc>
        <w:tc>
          <w:tcPr>
            <w:tcW w:w="20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shd w:val="clear" w:color="auto" w:fill="CCEEFF"/>
          </w:tcPr>
          <w:p>
            <w:pPr>
              <w:spacing w:after="0"/>
              <w:rPr>
                <w:sz w:val="22"/>
                <w:szCs w:val="22"/>
                <w:color w:val="auto"/>
              </w:rPr>
            </w:pPr>
          </w:p>
        </w:tc>
        <w:tc>
          <w:tcPr>
            <w:tcW w:w="18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193,474,913</w:t>
            </w:r>
          </w:p>
        </w:tc>
        <w:tc>
          <w:tcPr>
            <w:tcW w:w="200" w:type="dxa"/>
            <w:vAlign w:val="bottom"/>
            <w:shd w:val="clear" w:color="auto" w:fill="CCEEFF"/>
          </w:tcPr>
          <w:p>
            <w:pPr>
              <w:spacing w:after="0"/>
              <w:rPr>
                <w:sz w:val="22"/>
                <w:szCs w:val="22"/>
                <w:color w:val="auto"/>
              </w:rPr>
            </w:pPr>
          </w:p>
        </w:tc>
        <w:tc>
          <w:tcPr>
            <w:tcW w:w="1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86,021,188</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bottom w:val="single" w:sz="8" w:color="CCEEFF"/>
            </w:tcBorders>
            <w:vMerge w:val="restart"/>
          </w:tcPr>
          <w:p>
            <w:pPr>
              <w:spacing w:after="0" w:line="191" w:lineRule="exact"/>
              <w:rPr>
                <w:sz w:val="20"/>
                <w:szCs w:val="20"/>
                <w:color w:val="auto"/>
              </w:rPr>
            </w:pPr>
            <w:r>
              <w:rPr>
                <w:rFonts w:ascii="Times New Roman" w:cs="Times New Roman" w:eastAsia="Times New Roman" w:hAnsi="Times New Roman"/>
                <w:sz w:val="18"/>
                <w:szCs w:val="18"/>
                <w:color w:val="auto"/>
              </w:rPr>
              <w:t>Weighted average common shares outstanding</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732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1"/>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tcPr>
          <w:p>
            <w:pPr>
              <w:spacing w:after="0"/>
              <w:rPr>
                <w:sz w:val="22"/>
                <w:szCs w:val="22"/>
                <w:color w:val="auto"/>
              </w:rPr>
            </w:pPr>
          </w:p>
        </w:tc>
        <w:tc>
          <w:tcPr>
            <w:tcW w:w="18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193,474,913</w:t>
            </w:r>
          </w:p>
        </w:tc>
        <w:tc>
          <w:tcPr>
            <w:tcW w:w="200" w:type="dxa"/>
            <w:vAlign w:val="bottom"/>
          </w:tcPr>
          <w:p>
            <w:pPr>
              <w:spacing w:after="0"/>
              <w:rPr>
                <w:sz w:val="22"/>
                <w:szCs w:val="22"/>
                <w:color w:val="auto"/>
              </w:rPr>
            </w:pP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86,098,619</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73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2026-05-13T07:10:55Z</dcterms:created>
  <dcterms:modified xsi:type="dcterms:W3CDTF">2026-05-13T07:10:55Z</dcterms:modified>
</cp:coreProperties>
</file>