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3675 Market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u w:val="single" w:color="auto"/>
          <w:color w:val="auto"/>
        </w:rPr>
        <w:t>Results of Operations and Financial Condition</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March 16, 2023, 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its financial results for the year ended December 31, 2022. A copy of the press release is furnished as Exhibit 99.1 to this Current Report on Form 8-K and is incorporated herein by reference.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is being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u w:val="single" w:color="auto"/>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80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1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880" w:type="dxa"/>
            <w:vAlign w:val="bottom"/>
            <w:gridSpan w:val="2"/>
          </w:tcPr>
          <w:p>
            <w:pPr>
              <w:ind w:left="454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of Century Therapeutics, Inc., dated March 16, 2023</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0" w:type="dxa"/>
            <w:vAlign w:val="bottom"/>
            <w:shd w:val="clear" w:color="auto" w:fill="0000EE"/>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42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64"/>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Osvaldo Flores, Ph.D.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Osvaldo Flores, Ph.D.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6858000" cy="1971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Century Therapeutics Reports Full Year 2022 Financial Results and Provides Business Updates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 Phase 1 ELiPSE-1 trial of CNTY-101 in relapsed/refractory CD19 positive B-cell lymphomas underway -</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 Ended 2022 with cash, cash equivalents, and investments of $367.4 million; Cash runway expected into 2026 –</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PHILADELPHIA, March 16, 2023 -- </w:t>
      </w:r>
      <w:r>
        <w:rPr>
          <w:rFonts w:ascii="Times New Roman" w:cs="Times New Roman" w:eastAsia="Times New Roman" w:hAnsi="Times New Roman"/>
          <w:sz w:val="18"/>
          <w:szCs w:val="18"/>
          <w:u w:val="single" w:color="auto"/>
          <w:color w:val="auto"/>
        </w:rPr>
        <w:t>Century Therapeutics, Inc.</w:t>
      </w:r>
      <w:r>
        <w:rPr>
          <w:rFonts w:ascii="Times New Roman" w:cs="Times New Roman" w:eastAsia="Times New Roman" w:hAnsi="Times New Roman"/>
          <w:sz w:val="18"/>
          <w:szCs w:val="18"/>
          <w:color w:val="auto"/>
        </w:rPr>
        <w:t xml:space="preserve"> (NASDAQ: IPSC), an innovative clinical-stage biotechnology company developing induced pluripotent stem cell (iPSC)-derived cell therapies in immuno-oncology, today reported financial results and business highlights for the full-year ended December 31, 2022.</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excited about the significant progress of our next generation platforms for iNK and gamma delta iT product candidates, including the commencement of our Phase 1 ELiPSE-1 trial for CNTY-101. We are well-positioned for a productive 2023 as we continue building on the foundational investments we’ve made in iPSC technology, genetic editing, and manufacturing,” said Lalo Flores, Chief Executive Officer, Century Therapeutics. “We have a strong balance sheet and are realizing platform and operational efficiencies which we believe extend our cash runway into 2026 and allow us to deliver on our key platform and program milestones.”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ind w:left="660" w:right="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February 2023, the Company </w:t>
      </w:r>
      <w:r>
        <w:rPr>
          <w:rFonts w:ascii="Times New Roman" w:cs="Times New Roman" w:eastAsia="Times New Roman" w:hAnsi="Times New Roman"/>
          <w:sz w:val="18"/>
          <w:szCs w:val="18"/>
          <w:u w:val="single" w:color="auto"/>
          <w:color w:val="auto"/>
        </w:rPr>
        <w:t>announced</w:t>
      </w:r>
      <w:r>
        <w:rPr>
          <w:rFonts w:ascii="Times New Roman" w:cs="Times New Roman" w:eastAsia="Times New Roman" w:hAnsi="Times New Roman"/>
          <w:sz w:val="18"/>
          <w:szCs w:val="18"/>
          <w:color w:val="auto"/>
        </w:rPr>
        <w:t xml:space="preserve"> that the first patient has been dosed in the first-in-human Phase 1 ELiPSE-1 trial evaluating CNTY-101 in relapsed or refractory CD19 positive B-cell lymphomas. As a leading next-generation allogeneic cell therapy candidate, CNTY-101 is the first to test the potential of a finite, repeat dosing regimen and the ability to deliver more durable responses enabled by Allo-Evasion™ gene edits designed to prevent rejection. Initial data from Schedule A of the trial is planned to be available by year-end 2023.</w:t>
      </w:r>
    </w:p>
    <w:p>
      <w:pPr>
        <w:spacing w:after="0" w:line="2"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January 2023, the Company </w:t>
      </w:r>
      <w:r>
        <w:rPr>
          <w:rFonts w:ascii="Times New Roman" w:cs="Times New Roman" w:eastAsia="Times New Roman" w:hAnsi="Times New Roman"/>
          <w:sz w:val="18"/>
          <w:szCs w:val="18"/>
          <w:u w:val="single" w:color="auto"/>
          <w:color w:val="auto"/>
        </w:rPr>
        <w:t>announced</w:t>
      </w:r>
      <w:r>
        <w:rPr>
          <w:rFonts w:ascii="Times New Roman" w:cs="Times New Roman" w:eastAsia="Times New Roman" w:hAnsi="Times New Roman"/>
          <w:sz w:val="18"/>
          <w:szCs w:val="18"/>
          <w:color w:val="auto"/>
        </w:rPr>
        <w:t xml:space="preserve"> an internal portfolio prioritization which allows for the acceleration of key programs including CNTY-107 in Nectin-4+ tumors, and extended the Company’s expected cash runway into 2026.</w:t>
      </w: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selected targets for CNTY-102, a CAR-iT product candidate, against CD19 and CD22 for relapsed/refractory B-cell lymphoma and other B-cell malignancies. The Company expects to share pre-clinical data later this year.</w:t>
      </w:r>
    </w:p>
    <w:p>
      <w:pPr>
        <w:ind w:left="660" w:hanging="328"/>
        <w:spacing w:after="0" w:line="25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November 2022, the Company </w:t>
      </w:r>
      <w:r>
        <w:rPr>
          <w:rFonts w:ascii="Times New Roman" w:cs="Times New Roman" w:eastAsia="Times New Roman" w:hAnsi="Times New Roman"/>
          <w:sz w:val="18"/>
          <w:szCs w:val="18"/>
          <w:u w:val="single" w:color="auto"/>
          <w:color w:val="auto"/>
        </w:rPr>
        <w:t>presented</w:t>
      </w:r>
      <w:r>
        <w:rPr>
          <w:rFonts w:ascii="Times New Roman" w:cs="Times New Roman" w:eastAsia="Times New Roman" w:hAnsi="Times New Roman"/>
          <w:sz w:val="18"/>
          <w:szCs w:val="18"/>
          <w:color w:val="auto"/>
        </w:rPr>
        <w:t xml:space="preserve"> preclinical data in two posters at the Society for Immunotherapy of Cancer 37th Annual Meeting. The data presented supported the Company’s next generation platform for iPSC-derived NK cells and demonstrated that iPSC-derived CAR gamma delta T cells effectively control solid tumors as monotherapy and in combination with a therapeutic antibody. The Company also hosted a virtual Research and Development Day, where the Company announced the nomination of the next pipeline program, CNTY-107.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858000" cy="1971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2022 Financial Results</w:t>
      </w:r>
    </w:p>
    <w:p>
      <w:pPr>
        <w:spacing w:after="0" w:line="225" w:lineRule="exact"/>
        <w:rPr>
          <w:sz w:val="20"/>
          <w:szCs w:val="20"/>
          <w:color w:val="auto"/>
        </w:rPr>
      </w:pPr>
    </w:p>
    <w:p>
      <w:pPr>
        <w:ind w:left="660" w:right="2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$367.4 million as of December 31, 2022, as compared to $358.8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December 31, 2021. Net cash provided by operations was $14.1 million for the twelve months ended December 31, 2022 (which includes deferred revenues from the Bristol-Myers Squibb (BMS) collaboration of $118.0 million), compared to net cash used in operations of $89.0 million for the twelve months ended December 31, 2021.</w:t>
      </w:r>
    </w:p>
    <w:p>
      <w:pPr>
        <w:spacing w:after="0" w:line="176" w:lineRule="exact"/>
        <w:rPr>
          <w:rFonts w:ascii="Times New Roman" w:cs="Times New Roman" w:eastAsia="Times New Roman" w:hAnsi="Times New Roman"/>
          <w:sz w:val="18"/>
          <w:szCs w:val="18"/>
          <w:color w:val="auto"/>
        </w:rPr>
      </w:pPr>
    </w:p>
    <w:p>
      <w:pPr>
        <w:ind w:left="660" w:right="6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was $5.2 million for the twelve months ended December 31, 2022, generated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collaboration, option and license agreement with BMS.</w:t>
      </w:r>
    </w:p>
    <w:p>
      <w:pPr>
        <w:spacing w:after="0" w:line="181" w:lineRule="exact"/>
        <w:rPr>
          <w:rFonts w:ascii="Times New Roman" w:cs="Times New Roman" w:eastAsia="Times New Roman" w:hAnsi="Times New Roman"/>
          <w:sz w:val="18"/>
          <w:szCs w:val="18"/>
          <w:color w:val="auto"/>
        </w:rPr>
      </w:pPr>
    </w:p>
    <w:p>
      <w:pPr>
        <w:ind w:left="660" w:right="20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Research and Development (R&amp;D) expenses</w:t>
      </w:r>
      <w:r>
        <w:rPr>
          <w:rFonts w:ascii="Times New Roman" w:cs="Times New Roman" w:eastAsia="Times New Roman" w:hAnsi="Times New Roman"/>
          <w:sz w:val="18"/>
          <w:szCs w:val="18"/>
          <w:color w:val="auto"/>
        </w:rPr>
        <w:t>: R&amp;D expenses were $97.2 million for the year ended December 31, 2022, compared to $75.6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year ended December 31, 2021. The increase in R&amp;D expenses was primarily due to an increase in personnel expenses related to increased headcount to expand the Company’s R&amp;D capabilities, costs for preclinical studies and clinical expenses for advancing CNTY-101, costs for laboratory supplies, and facility costs.</w:t>
      </w:r>
    </w:p>
    <w:p>
      <w:pPr>
        <w:spacing w:after="0" w:line="176" w:lineRule="exact"/>
        <w:rPr>
          <w:rFonts w:ascii="Times New Roman" w:cs="Times New Roman" w:eastAsia="Times New Roman" w:hAnsi="Times New Roman"/>
          <w:sz w:val="18"/>
          <w:szCs w:val="18"/>
          <w:color w:val="auto"/>
        </w:rPr>
      </w:pPr>
    </w:p>
    <w:p>
      <w:pPr>
        <w:ind w:left="660" w:right="2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and Administrative (G&amp;A) expenses</w:t>
      </w:r>
      <w:r>
        <w:rPr>
          <w:rFonts w:ascii="Times New Roman" w:cs="Times New Roman" w:eastAsia="Times New Roman" w:hAnsi="Times New Roman"/>
          <w:sz w:val="18"/>
          <w:szCs w:val="18"/>
          <w:color w:val="auto"/>
        </w:rPr>
        <w:t>: G&amp;A expenses were $31.9 million for the year ended December 31, 2022, compared to $19.2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year ended December 31, 2021. The increase in G&amp;A expenses was primarily due to an increase in employee headcount and additional costs to operate as a public company.</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was $130.9 million for the year ended December 31, 2022, compared to $95.8 million for the year ended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ind w:left="660" w:right="5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full year generally accepted accounting principles (GAAP) operating expenses to be between $135 million and $145 million, including non-cash stock-based compensation expense of $12 million to $17 million.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estimates its cash, cash equivalents, and investments will support operations into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Century Therapeutics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Century Therapeutics, Inc. (NASDAQ: IPSC) is a clinical-stage biotechnology company harnessing the power of adult stem cells to develop curative cell therapy products for cancer that we believe will allow us to overcome the limitations of first-generation cell therapies. Our genetically engineered, iPSC-derived iNK and iT cell product candidates are designed to specifically target hematologic and solid tumor cancers.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care. For more information on Century Therapeutics please visit </w:t>
      </w:r>
      <w:r>
        <w:rPr>
          <w:rFonts w:ascii="Times New Roman" w:cs="Times New Roman" w:eastAsia="Times New Roman" w:hAnsi="Times New Roman"/>
          <w:sz w:val="18"/>
          <w:szCs w:val="18"/>
          <w:u w:val="single" w:color="auto"/>
          <w:color w:val="auto"/>
        </w:rPr>
        <w:t>https://www.centurytx.com/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858000" cy="1971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obtain FDA acceptance for our future IND submissions and commence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the COVID-19 pandemic, geopolitical issues and inflation on our business and operations, supply chain and labor force; the performance of third parties in connection with the development of our product candidates, including third parties conducting our future clinical trials as well as third-party suppliers and manufacturers; our ability to successfully commercialize our product candidates and develop sales and marketing capabilities, if our product candidates are approved;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858000" cy="1971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Company: Elizabeth Krutoholow – investor.relations@centurytx.com</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Investors: Melissa Forst/Maghan Meyers – century@argotpartners.com</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Media: Joshua R. Mansbach – century@argotpartners.com</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2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3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3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22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75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84,265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56,445</w:t>
            </w:r>
          </w:p>
        </w:tc>
      </w:tr>
      <w:tr>
        <w:trPr>
          <w:trHeight w:val="216"/>
        </w:trPr>
        <w:tc>
          <w:tcPr>
            <w:tcW w:w="75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231,233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166,434</w:t>
            </w:r>
          </w:p>
        </w:tc>
      </w:tr>
      <w:tr>
        <w:trPr>
          <w:trHeight w:val="230"/>
        </w:trPr>
        <w:tc>
          <w:tcPr>
            <w:tcW w:w="75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5,275</w:t>
            </w:r>
          </w:p>
        </w:tc>
      </w:tr>
      <w:tr>
        <w:trPr>
          <w:trHeight w:val="210"/>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228,154</w:t>
            </w:r>
          </w:p>
        </w:tc>
        <w:tc>
          <w:tcPr>
            <w:tcW w:w="100" w:type="dxa"/>
            <w:vAlign w:val="bottom"/>
          </w:tcPr>
          <w:p>
            <w:pPr>
              <w:spacing w:after="0"/>
              <w:rPr>
                <w:sz w:val="18"/>
                <w:szCs w:val="18"/>
                <w:color w:val="auto"/>
              </w:rPr>
            </w:pPr>
          </w:p>
        </w:tc>
      </w:tr>
      <w:tr>
        <w:trPr>
          <w:trHeight w:val="216"/>
        </w:trPr>
        <w:tc>
          <w:tcPr>
            <w:tcW w:w="75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82,785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57,967</w:t>
            </w:r>
          </w:p>
        </w:tc>
      </w:tr>
      <w:tr>
        <w:trPr>
          <w:trHeight w:val="216"/>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11,854</w:t>
            </w:r>
          </w:p>
        </w:tc>
      </w:tr>
      <w:tr>
        <w:trPr>
          <w:trHeight w:val="216"/>
        </w:trPr>
        <w:tc>
          <w:tcPr>
            <w:tcW w:w="75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51,854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135,914</w:t>
            </w:r>
          </w:p>
        </w:tc>
      </w:tr>
      <w:tr>
        <w:trPr>
          <w:trHeight w:val="230"/>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w:t>
            </w:r>
          </w:p>
        </w:tc>
      </w:tr>
      <w:tr>
        <w:trPr>
          <w:trHeight w:val="223"/>
        </w:trPr>
        <w:tc>
          <w:tcPr>
            <w:tcW w:w="754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7,596</w:t>
            </w:r>
          </w:p>
        </w:tc>
      </w:tr>
      <w:tr>
        <w:trPr>
          <w:trHeight w:val="216"/>
        </w:trPr>
        <w:tc>
          <w:tcPr>
            <w:tcW w:w="75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7,020</w:t>
            </w:r>
          </w:p>
        </w:tc>
      </w:tr>
      <w:tr>
        <w:trPr>
          <w:trHeight w:val="216"/>
        </w:trPr>
        <w:tc>
          <w:tcPr>
            <w:tcW w:w="75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r>
      <w:tr>
        <w:trPr>
          <w:trHeight w:val="230"/>
        </w:trPr>
        <w:tc>
          <w:tcPr>
            <w:tcW w:w="75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40" w:type="dxa"/>
            <w:vAlign w:val="bottom"/>
            <w:tcBorders>
              <w:top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14,559</w:t>
            </w:r>
          </w:p>
        </w:tc>
      </w:tr>
      <w:tr>
        <w:trPr>
          <w:trHeight w:val="216"/>
        </w:trPr>
        <w:tc>
          <w:tcPr>
            <w:tcW w:w="75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8,903</w:t>
            </w:r>
          </w:p>
        </w:tc>
      </w:tr>
      <w:tr>
        <w:trPr>
          <w:trHeight w:val="216"/>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r>
      <w:tr>
        <w:trPr>
          <w:trHeight w:val="229"/>
        </w:trPr>
        <w:tc>
          <w:tcPr>
            <w:tcW w:w="75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110,834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4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183,806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41,137</w:t>
            </w:r>
          </w:p>
        </w:tc>
        <w:tc>
          <w:tcPr>
            <w:tcW w:w="100" w:type="dxa"/>
            <w:vAlign w:val="bottom"/>
            <w:tcBorders>
              <w:bottom w:val="single" w:sz="8" w:color="CCEEFF"/>
            </w:tcBorders>
          </w:tcPr>
          <w:p>
            <w:pPr>
              <w:spacing w:after="0"/>
              <w:rPr>
                <w:sz w:val="18"/>
                <w:szCs w:val="18"/>
                <w:color w:val="auto"/>
              </w:rPr>
            </w:pPr>
          </w:p>
        </w:tc>
      </w:tr>
      <w:tr>
        <w:trPr>
          <w:trHeight w:val="209"/>
        </w:trPr>
        <w:tc>
          <w:tcPr>
            <w:tcW w:w="75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5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824,292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785,049</w:t>
            </w:r>
          </w:p>
        </w:tc>
      </w:tr>
      <w:tr>
        <w:trPr>
          <w:trHeight w:val="216"/>
        </w:trPr>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(519,098)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(388,166)</w:t>
            </w:r>
          </w:p>
        </w:tc>
      </w:tr>
      <w:tr>
        <w:trPr>
          <w:trHeight w:val="229"/>
        </w:trPr>
        <w:tc>
          <w:tcPr>
            <w:tcW w:w="75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r>
      <w:tr>
        <w:trPr>
          <w:trHeight w:val="210"/>
        </w:trPr>
        <w:tc>
          <w:tcPr>
            <w:tcW w:w="754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396,238</w:t>
            </w:r>
          </w:p>
        </w:tc>
        <w:tc>
          <w:tcPr>
            <w:tcW w:w="100" w:type="dxa"/>
            <w:vAlign w:val="bottom"/>
            <w:tcBorders>
              <w:bottom w:val="single" w:sz="8" w:color="CCEEFF"/>
            </w:tcBorders>
          </w:tcPr>
          <w:p>
            <w:pPr>
              <w:spacing w:after="0"/>
              <w:rPr>
                <w:sz w:val="18"/>
                <w:szCs w:val="18"/>
                <w:color w:val="auto"/>
              </w:rPr>
            </w:pPr>
          </w:p>
        </w:tc>
      </w:tr>
      <w:tr>
        <w:trPr>
          <w:trHeight w:val="223"/>
        </w:trPr>
        <w:tc>
          <w:tcPr>
            <w:tcW w:w="75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486,544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2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858000" cy="1971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01"/>
        </w:trPr>
        <w:tc>
          <w:tcPr>
            <w:tcW w:w="59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1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7"/>
                <w:szCs w:val="17"/>
                <w:color w:val="auto"/>
              </w:rPr>
            </w:pPr>
          </w:p>
        </w:tc>
      </w:tr>
      <w:tr>
        <w:trPr>
          <w:trHeight w:val="238"/>
        </w:trPr>
        <w:tc>
          <w:tcPr>
            <w:tcW w:w="592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97,173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75,648</w:t>
            </w: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31,857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19,235</w:t>
            </w:r>
          </w:p>
        </w:tc>
      </w:tr>
      <w:tr>
        <w:trPr>
          <w:trHeight w:val="230"/>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9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(133,831)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(94,883)</w:t>
            </w:r>
          </w:p>
        </w:tc>
      </w:tr>
      <w:tr>
        <w:trPr>
          <w:trHeight w:val="216"/>
        </w:trPr>
        <w:tc>
          <w:tcPr>
            <w:tcW w:w="59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377</w:t>
            </w: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(130,932</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9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57,755,842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32,392,554</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6"/>
        </w:trPr>
        <w:tc>
          <w:tcPr>
            <w:tcW w:w="5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2023-03-16T07:42:07Z</dcterms:created>
  <dcterms:modified xsi:type="dcterms:W3CDTF">2023-03-16T07:42:07Z</dcterms:modified>
</cp:coreProperties>
</file>