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mc:AlternateContent>
          <mc:Choice Requires="wps">
            <w:drawing>
              <wp:anchor simplePos="0" relativeHeight="251657728" behindDoc="1" locked="0" layoutInCell="0" allowOverlap="1">
                <wp:simplePos x="0" y="0"/>
                <wp:positionH relativeFrom="page">
                  <wp:posOffset>671195</wp:posOffset>
                </wp:positionH>
                <wp:positionV relativeFrom="page">
                  <wp:posOffset>709930</wp:posOffset>
                </wp:positionV>
                <wp:extent cx="620077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0775"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85pt,55.9pt" to="541.1pt,55.9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671195</wp:posOffset>
                </wp:positionH>
                <wp:positionV relativeFrom="page">
                  <wp:posOffset>774700</wp:posOffset>
                </wp:positionV>
                <wp:extent cx="62007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077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85pt,61pt" to="541.1pt,61pt" o:allowincell="f" strokecolor="#000000" strokeweight="0.96pt">
                <w10:wrap anchorx="page" anchory="page"/>
              </v:line>
            </w:pict>
          </mc:Fallback>
        </mc:AlternateContent>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4" w:lineRule="exact"/>
        <w:rPr>
          <w:sz w:val="24"/>
          <w:szCs w:val="24"/>
          <w:color w:val="auto"/>
        </w:rPr>
      </w:pPr>
    </w:p>
    <w:p>
      <w:pPr>
        <w:ind w:left="720" w:hanging="353"/>
        <w:spacing w:after="0"/>
        <w:tabs>
          <w:tab w:leader="none" w:pos="720" w:val="left"/>
        </w:tabs>
        <w:numPr>
          <w:ilvl w:val="0"/>
          <w:numId w:val="1"/>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2024</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720" w:right="220" w:hanging="353"/>
        <w:spacing w:after="0" w:line="303" w:lineRule="auto"/>
        <w:tabs>
          <w:tab w:leader="none" w:pos="720" w:val="left"/>
        </w:tabs>
        <w:numPr>
          <w:ilvl w:val="0"/>
          <w:numId w:val="2"/>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 w:lineRule="exact"/>
        <w:rPr>
          <w:sz w:val="24"/>
          <w:szCs w:val="24"/>
          <w:color w:val="auto"/>
        </w:rPr>
      </w:pPr>
    </w:p>
    <w:tbl>
      <w:tblPr>
        <w:tblLayout w:type="fixed"/>
        <w:tblInd w:w="3080" w:type="dxa"/>
        <w:tblCellMar>
          <w:top w:w="0" w:type="dxa"/>
          <w:left w:w="0" w:type="dxa"/>
          <w:bottom w:w="0" w:type="dxa"/>
          <w:right w:w="0" w:type="dxa"/>
        </w:tblCellMar>
      </w:tblPr>
      <w:tr>
        <w:trPr>
          <w:trHeight w:val="161"/>
        </w:trPr>
        <w:tc>
          <w:tcPr>
            <w:tcW w:w="2000" w:type="dxa"/>
            <w:vAlign w:val="bottom"/>
          </w:tcPr>
          <w:p>
            <w:pPr>
              <w:spacing w:after="0"/>
              <w:rPr>
                <w:sz w:val="20"/>
                <w:szCs w:val="20"/>
                <w:color w:val="auto"/>
              </w:rPr>
            </w:pPr>
            <w:r>
              <w:rPr>
                <w:rFonts w:ascii="Arial" w:cs="Arial" w:eastAsia="Arial" w:hAnsi="Arial"/>
                <w:sz w:val="14"/>
                <w:szCs w:val="14"/>
                <w:b w:val="1"/>
                <w:bCs w:val="1"/>
                <w:color w:val="auto"/>
              </w:rPr>
              <w:t>For the transition period from</w:t>
            </w:r>
          </w:p>
        </w:tc>
        <w:tc>
          <w:tcPr>
            <w:tcW w:w="7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to</w:t>
            </w:r>
          </w:p>
        </w:tc>
      </w:tr>
      <w:tr>
        <w:trPr>
          <w:trHeight w:val="20"/>
        </w:trPr>
        <w:tc>
          <w:tcPr>
            <w:tcW w:w="2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64"/>
        </w:trPr>
        <w:tc>
          <w:tcPr>
            <w:tcW w:w="3560" w:type="dxa"/>
            <w:vAlign w:val="bottom"/>
            <w:gridSpan w:val="4"/>
          </w:tcPr>
          <w:p>
            <w:pPr>
              <w:ind w:left="580"/>
              <w:spacing w:after="0"/>
              <w:rPr>
                <w:sz w:val="20"/>
                <w:szCs w:val="20"/>
                <w:color w:val="auto"/>
              </w:rPr>
            </w:pPr>
            <w:r>
              <w:rPr>
                <w:rFonts w:ascii="Arial" w:cs="Arial" w:eastAsia="Arial" w:hAnsi="Arial"/>
                <w:sz w:val="14"/>
                <w:szCs w:val="14"/>
                <w:b w:val="1"/>
                <w:bCs w:val="1"/>
                <w:color w:val="auto"/>
              </w:rPr>
              <w:t>Commission file number: 001-40498</w:t>
            </w:r>
          </w:p>
        </w:tc>
      </w:tr>
    </w:tbl>
    <w:p>
      <w:pPr>
        <w:spacing w:after="0" w:line="3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Century Therapeutics,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02" w:lineRule="exact"/>
        <w:rPr>
          <w:sz w:val="24"/>
          <w:szCs w:val="24"/>
          <w:color w:val="auto"/>
        </w:rPr>
      </w:pPr>
    </w:p>
    <w:tbl>
      <w:tblPr>
        <w:tblLayout w:type="fixed"/>
        <w:tblInd w:w="1460" w:type="dxa"/>
        <w:tblCellMar>
          <w:top w:w="0" w:type="dxa"/>
          <w:left w:w="0" w:type="dxa"/>
          <w:bottom w:w="0" w:type="dxa"/>
          <w:right w:w="0" w:type="dxa"/>
        </w:tblCellMar>
      </w:tblPr>
      <w:tr>
        <w:trPr>
          <w:trHeight w:val="163"/>
        </w:trPr>
        <w:tc>
          <w:tcPr>
            <w:tcW w:w="5400" w:type="dxa"/>
            <w:vAlign w:val="bottom"/>
          </w:tcPr>
          <w:p>
            <w:pPr>
              <w:jc w:val="center"/>
              <w:ind w:right="2950"/>
              <w:spacing w:after="0"/>
              <w:rPr>
                <w:sz w:val="20"/>
                <w:szCs w:val="20"/>
                <w:color w:val="auto"/>
              </w:rPr>
            </w:pPr>
            <w:r>
              <w:rPr>
                <w:rFonts w:ascii="Arial" w:cs="Arial" w:eastAsia="Arial" w:hAnsi="Arial"/>
                <w:sz w:val="14"/>
                <w:szCs w:val="14"/>
                <w:b w:val="1"/>
                <w:bCs w:val="1"/>
                <w:color w:val="auto"/>
              </w:rPr>
              <w:t>Delaware</w:t>
            </w:r>
          </w:p>
        </w:tc>
        <w:tc>
          <w:tcPr>
            <w:tcW w:w="1300" w:type="dxa"/>
            <w:vAlign w:val="bottom"/>
          </w:tcPr>
          <w:p>
            <w:pPr>
              <w:jc w:val="right"/>
              <w:ind w:right="110"/>
              <w:spacing w:after="0"/>
              <w:rPr>
                <w:sz w:val="20"/>
                <w:szCs w:val="20"/>
                <w:color w:val="auto"/>
              </w:rPr>
            </w:pPr>
            <w:r>
              <w:rPr>
                <w:rFonts w:ascii="Arial" w:cs="Arial" w:eastAsia="Arial" w:hAnsi="Arial"/>
                <w:sz w:val="14"/>
                <w:szCs w:val="14"/>
                <w:b w:val="1"/>
                <w:bCs w:val="1"/>
                <w:color w:val="auto"/>
              </w:rPr>
              <w:t>84-2040295</w:t>
            </w:r>
          </w:p>
        </w:tc>
      </w:tr>
      <w:tr>
        <w:trPr>
          <w:trHeight w:val="161"/>
        </w:trPr>
        <w:tc>
          <w:tcPr>
            <w:tcW w:w="5400" w:type="dxa"/>
            <w:vAlign w:val="bottom"/>
          </w:tcPr>
          <w:p>
            <w:pPr>
              <w:jc w:val="center"/>
              <w:ind w:right="2950"/>
              <w:spacing w:after="0"/>
              <w:rPr>
                <w:sz w:val="20"/>
                <w:szCs w:val="20"/>
                <w:color w:val="auto"/>
              </w:rPr>
            </w:pPr>
            <w:r>
              <w:rPr>
                <w:rFonts w:ascii="Arial" w:cs="Arial" w:eastAsia="Arial" w:hAnsi="Arial"/>
                <w:sz w:val="14"/>
                <w:szCs w:val="14"/>
                <w:color w:val="auto"/>
                <w:w w:val="99"/>
              </w:rPr>
              <w:t>(State or other jurisdiction of</w:t>
            </w:r>
          </w:p>
        </w:tc>
        <w:tc>
          <w:tcPr>
            <w:tcW w:w="1300" w:type="dxa"/>
            <w:vAlign w:val="bottom"/>
          </w:tcPr>
          <w:p>
            <w:pPr>
              <w:jc w:val="center"/>
              <w:ind w:left="130"/>
              <w:spacing w:after="0"/>
              <w:rPr>
                <w:sz w:val="20"/>
                <w:szCs w:val="20"/>
                <w:color w:val="auto"/>
              </w:rPr>
            </w:pPr>
            <w:r>
              <w:rPr>
                <w:rFonts w:ascii="Arial" w:cs="Arial" w:eastAsia="Arial" w:hAnsi="Arial"/>
                <w:sz w:val="14"/>
                <w:szCs w:val="14"/>
                <w:color w:val="auto"/>
                <w:w w:val="99"/>
              </w:rPr>
              <w:t>(I.R.S. Employer</w:t>
            </w:r>
          </w:p>
        </w:tc>
      </w:tr>
      <w:tr>
        <w:trPr>
          <w:trHeight w:val="159"/>
        </w:trPr>
        <w:tc>
          <w:tcPr>
            <w:tcW w:w="5400" w:type="dxa"/>
            <w:vAlign w:val="bottom"/>
          </w:tcPr>
          <w:p>
            <w:pPr>
              <w:jc w:val="center"/>
              <w:ind w:right="2950"/>
              <w:spacing w:after="0" w:line="159" w:lineRule="exact"/>
              <w:rPr>
                <w:sz w:val="20"/>
                <w:szCs w:val="20"/>
                <w:color w:val="auto"/>
              </w:rPr>
            </w:pPr>
            <w:r>
              <w:rPr>
                <w:rFonts w:ascii="Arial" w:cs="Arial" w:eastAsia="Arial" w:hAnsi="Arial"/>
                <w:sz w:val="14"/>
                <w:szCs w:val="14"/>
                <w:color w:val="auto"/>
                <w:w w:val="99"/>
              </w:rPr>
              <w:t>incorporation or organization)</w:t>
            </w:r>
          </w:p>
        </w:tc>
        <w:tc>
          <w:tcPr>
            <w:tcW w:w="1300" w:type="dxa"/>
            <w:vAlign w:val="bottom"/>
          </w:tcPr>
          <w:p>
            <w:pPr>
              <w:jc w:val="center"/>
              <w:ind w:left="150"/>
              <w:spacing w:after="0" w:line="159" w:lineRule="exact"/>
              <w:rPr>
                <w:sz w:val="20"/>
                <w:szCs w:val="20"/>
                <w:color w:val="auto"/>
              </w:rPr>
            </w:pPr>
            <w:r>
              <w:rPr>
                <w:rFonts w:ascii="Arial" w:cs="Arial" w:eastAsia="Arial" w:hAnsi="Arial"/>
                <w:sz w:val="14"/>
                <w:szCs w:val="14"/>
                <w:color w:val="auto"/>
                <w:w w:val="99"/>
              </w:rPr>
              <w:t>Identification No.)</w:t>
            </w:r>
          </w:p>
        </w:tc>
      </w:tr>
      <w:tr>
        <w:trPr>
          <w:trHeight w:val="162"/>
        </w:trPr>
        <w:tc>
          <w:tcPr>
            <w:tcW w:w="5400" w:type="dxa"/>
            <w:vAlign w:val="bottom"/>
          </w:tcPr>
          <w:p>
            <w:pPr>
              <w:jc w:val="center"/>
              <w:ind w:right="2950"/>
              <w:spacing w:after="0"/>
              <w:rPr>
                <w:sz w:val="20"/>
                <w:szCs w:val="20"/>
                <w:color w:val="auto"/>
              </w:rPr>
            </w:pPr>
            <w:r>
              <w:rPr>
                <w:rFonts w:ascii="Arial" w:cs="Arial" w:eastAsia="Arial" w:hAnsi="Arial"/>
                <w:sz w:val="14"/>
                <w:szCs w:val="14"/>
                <w:b w:val="1"/>
                <w:bCs w:val="1"/>
                <w:color w:val="auto"/>
              </w:rPr>
              <w:t>25 N 38th Street, 11th Floor</w:t>
            </w:r>
          </w:p>
        </w:tc>
        <w:tc>
          <w:tcPr>
            <w:tcW w:w="1300" w:type="dxa"/>
            <w:vAlign w:val="bottom"/>
          </w:tcPr>
          <w:p>
            <w:pPr>
              <w:jc w:val="right"/>
              <w:ind w:right="270"/>
              <w:spacing w:after="0"/>
              <w:rPr>
                <w:sz w:val="20"/>
                <w:szCs w:val="20"/>
                <w:color w:val="auto"/>
              </w:rPr>
            </w:pPr>
            <w:r>
              <w:rPr>
                <w:rFonts w:ascii="Arial" w:cs="Arial" w:eastAsia="Arial" w:hAnsi="Arial"/>
                <w:sz w:val="14"/>
                <w:szCs w:val="14"/>
                <w:b w:val="1"/>
                <w:bCs w:val="1"/>
                <w:color w:val="auto"/>
              </w:rPr>
              <w:t>19104</w:t>
            </w:r>
          </w:p>
        </w:tc>
      </w:tr>
      <w:tr>
        <w:trPr>
          <w:trHeight w:val="163"/>
        </w:trPr>
        <w:tc>
          <w:tcPr>
            <w:tcW w:w="5400" w:type="dxa"/>
            <w:vAlign w:val="bottom"/>
          </w:tcPr>
          <w:p>
            <w:pPr>
              <w:jc w:val="center"/>
              <w:ind w:right="2950"/>
              <w:spacing w:after="0"/>
              <w:rPr>
                <w:sz w:val="20"/>
                <w:szCs w:val="20"/>
                <w:color w:val="auto"/>
              </w:rPr>
            </w:pPr>
            <w:r>
              <w:rPr>
                <w:rFonts w:ascii="Arial" w:cs="Arial" w:eastAsia="Arial" w:hAnsi="Arial"/>
                <w:sz w:val="14"/>
                <w:szCs w:val="14"/>
                <w:b w:val="1"/>
                <w:bCs w:val="1"/>
                <w:color w:val="auto"/>
                <w:w w:val="99"/>
              </w:rPr>
              <w:t>Philadelphia, Pennsylvania</w:t>
            </w:r>
          </w:p>
        </w:tc>
        <w:tc>
          <w:tcPr>
            <w:tcW w:w="1300" w:type="dxa"/>
            <w:vAlign w:val="bottom"/>
          </w:tcPr>
          <w:p>
            <w:pPr>
              <w:jc w:val="center"/>
              <w:ind w:left="130"/>
              <w:spacing w:after="0"/>
              <w:rPr>
                <w:sz w:val="20"/>
                <w:szCs w:val="20"/>
                <w:color w:val="auto"/>
              </w:rPr>
            </w:pPr>
            <w:r>
              <w:rPr>
                <w:rFonts w:ascii="Arial" w:cs="Arial" w:eastAsia="Arial" w:hAnsi="Arial"/>
                <w:sz w:val="14"/>
                <w:szCs w:val="14"/>
                <w:color w:val="auto"/>
                <w:w w:val="99"/>
              </w:rPr>
              <w:t>(Zip Code)</w:t>
            </w:r>
          </w:p>
        </w:tc>
      </w:tr>
      <w:tr>
        <w:trPr>
          <w:trHeight w:val="189"/>
        </w:trPr>
        <w:tc>
          <w:tcPr>
            <w:tcW w:w="5400" w:type="dxa"/>
            <w:vAlign w:val="bottom"/>
          </w:tcPr>
          <w:p>
            <w:pPr>
              <w:jc w:val="center"/>
              <w:ind w:right="2950"/>
              <w:spacing w:after="0"/>
              <w:rPr>
                <w:sz w:val="20"/>
                <w:szCs w:val="20"/>
                <w:color w:val="auto"/>
              </w:rPr>
            </w:pPr>
            <w:r>
              <w:rPr>
                <w:rFonts w:ascii="Arial" w:cs="Arial" w:eastAsia="Arial" w:hAnsi="Arial"/>
                <w:sz w:val="14"/>
                <w:szCs w:val="14"/>
                <w:color w:val="auto"/>
                <w:w w:val="99"/>
              </w:rPr>
              <w:t>(Address of principal executive offices)</w:t>
            </w:r>
          </w:p>
        </w:tc>
        <w:tc>
          <w:tcPr>
            <w:tcW w:w="1300" w:type="dxa"/>
            <w:vAlign w:val="bottom"/>
          </w:tcPr>
          <w:p>
            <w:pPr>
              <w:spacing w:after="0"/>
              <w:rPr>
                <w:sz w:val="16"/>
                <w:szCs w:val="16"/>
                <w:color w:val="auto"/>
              </w:rPr>
            </w:pPr>
          </w:p>
        </w:tc>
      </w:tr>
      <w:tr>
        <w:trPr>
          <w:trHeight w:val="239"/>
        </w:trPr>
        <w:tc>
          <w:tcPr>
            <w:tcW w:w="5400" w:type="dxa"/>
            <w:vAlign w:val="bottom"/>
          </w:tcPr>
          <w:p>
            <w:pPr>
              <w:jc w:val="right"/>
              <w:ind w:right="1450"/>
              <w:spacing w:after="0"/>
              <w:rPr>
                <w:sz w:val="20"/>
                <w:szCs w:val="20"/>
                <w:color w:val="auto"/>
              </w:rPr>
            </w:pPr>
            <w:r>
              <w:rPr>
                <w:rFonts w:ascii="Arial" w:cs="Arial" w:eastAsia="Arial" w:hAnsi="Arial"/>
                <w:sz w:val="14"/>
                <w:szCs w:val="14"/>
                <w:b w:val="1"/>
                <w:bCs w:val="1"/>
                <w:color w:val="auto"/>
              </w:rPr>
              <w:t>(267) 817-5790</w:t>
            </w:r>
          </w:p>
        </w:tc>
        <w:tc>
          <w:tcPr>
            <w:tcW w:w="1300" w:type="dxa"/>
            <w:vAlign w:val="bottom"/>
          </w:tcPr>
          <w:p>
            <w:pPr>
              <w:spacing w:after="0"/>
              <w:rPr>
                <w:sz w:val="20"/>
                <w:szCs w:val="20"/>
                <w:color w:val="auto"/>
              </w:rPr>
            </w:pPr>
          </w:p>
        </w:tc>
      </w:tr>
      <w:tr>
        <w:trPr>
          <w:trHeight w:val="199"/>
        </w:trPr>
        <w:tc>
          <w:tcPr>
            <w:tcW w:w="5400" w:type="dxa"/>
            <w:vAlign w:val="bottom"/>
          </w:tcPr>
          <w:p>
            <w:pPr>
              <w:jc w:val="center"/>
              <w:ind w:left="133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30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51435</wp:posOffset>
                </wp:positionV>
                <wp:extent cx="616331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331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4.05pt" to="485.55pt,4.05pt" o:allowincell="f" strokecolor="#000000" strokeweight="1.02pt"/>
            </w:pict>
          </mc:Fallback>
        </mc:AlternateConten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80" w:type="dxa"/>
            <w:vAlign w:val="bottom"/>
          </w:tcPr>
          <w:p>
            <w:pPr>
              <w:spacing w:after="0"/>
              <w:rPr>
                <w:sz w:val="14"/>
                <w:szCs w:val="14"/>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200" w:type="dxa"/>
            <w:vAlign w:val="bottom"/>
          </w:tcPr>
          <w:p>
            <w:pPr>
              <w:spacing w:after="0"/>
              <w:rPr>
                <w:sz w:val="14"/>
                <w:szCs w:val="14"/>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9"/>
              </w:rPr>
              <w:t>Name of each exchange on which</w:t>
            </w:r>
          </w:p>
        </w:tc>
        <w:tc>
          <w:tcPr>
            <w:tcW w:w="0" w:type="dxa"/>
            <w:vAlign w:val="bottom"/>
          </w:tcPr>
          <w:p>
            <w:pPr>
              <w:spacing w:after="0"/>
              <w:rPr>
                <w:sz w:val="1"/>
                <w:szCs w:val="1"/>
                <w:color w:val="auto"/>
              </w:rPr>
            </w:pPr>
          </w:p>
        </w:tc>
      </w:tr>
      <w:tr>
        <w:trPr>
          <w:trHeight w:val="119"/>
        </w:trPr>
        <w:tc>
          <w:tcPr>
            <w:tcW w:w="32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0"/>
                <w:szCs w:val="10"/>
                <w:color w:val="auto"/>
              </w:rPr>
            </w:pPr>
          </w:p>
        </w:tc>
        <w:tc>
          <w:tcPr>
            <w:tcW w:w="2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registered</w:t>
            </w:r>
          </w:p>
        </w:tc>
        <w:tc>
          <w:tcPr>
            <w:tcW w:w="0" w:type="dxa"/>
            <w:vAlign w:val="bottom"/>
          </w:tcPr>
          <w:p>
            <w:pPr>
              <w:spacing w:after="0"/>
              <w:rPr>
                <w:sz w:val="1"/>
                <w:szCs w:val="1"/>
                <w:color w:val="auto"/>
              </w:rPr>
            </w:pPr>
          </w:p>
        </w:tc>
      </w:tr>
      <w:tr>
        <w:trPr>
          <w:trHeight w:val="58"/>
        </w:trPr>
        <w:tc>
          <w:tcPr>
            <w:tcW w:w="32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200" w:type="dxa"/>
            <w:vAlign w:val="bottom"/>
            <w:tcBorders>
              <w:bottom w:val="single" w:sz="8" w:color="auto"/>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2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3220" w:type="dxa"/>
            <w:vAlign w:val="bottom"/>
          </w:tcPr>
          <w:p>
            <w:pPr>
              <w:jc w:val="center"/>
              <w:spacing w:after="0"/>
              <w:rPr>
                <w:sz w:val="20"/>
                <w:szCs w:val="20"/>
                <w:color w:val="auto"/>
              </w:rPr>
            </w:pPr>
            <w:r>
              <w:rPr>
                <w:rFonts w:ascii="Arial" w:cs="Arial" w:eastAsia="Arial" w:hAnsi="Arial"/>
                <w:sz w:val="14"/>
                <w:szCs w:val="14"/>
                <w:color w:val="auto"/>
                <w:w w:val="99"/>
              </w:rPr>
              <w:t>Common Stock, $0.0001 par value per share</w:t>
            </w:r>
          </w:p>
        </w:tc>
        <w:tc>
          <w:tcPr>
            <w:tcW w:w="180" w:type="dxa"/>
            <w:vAlign w:val="bottom"/>
          </w:tcPr>
          <w:p>
            <w:pPr>
              <w:spacing w:after="0"/>
              <w:rPr>
                <w:sz w:val="17"/>
                <w:szCs w:val="17"/>
                <w:color w:val="auto"/>
              </w:rPr>
            </w:pPr>
          </w:p>
        </w:tc>
        <w:tc>
          <w:tcPr>
            <w:tcW w:w="3200" w:type="dxa"/>
            <w:vAlign w:val="bottom"/>
          </w:tcPr>
          <w:p>
            <w:pPr>
              <w:jc w:val="center"/>
              <w:spacing w:after="0"/>
              <w:rPr>
                <w:sz w:val="20"/>
                <w:szCs w:val="20"/>
                <w:color w:val="auto"/>
              </w:rPr>
            </w:pPr>
            <w:r>
              <w:rPr>
                <w:rFonts w:ascii="Arial" w:cs="Arial" w:eastAsia="Arial" w:hAnsi="Arial"/>
                <w:sz w:val="14"/>
                <w:szCs w:val="14"/>
                <w:color w:val="auto"/>
                <w:w w:val="97"/>
              </w:rPr>
              <w:t>IPSC</w:t>
            </w:r>
          </w:p>
        </w:tc>
        <w:tc>
          <w:tcPr>
            <w:tcW w:w="20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Arial" w:cs="Arial" w:eastAsia="Arial" w:hAnsi="Arial"/>
                <w:sz w:val="14"/>
                <w:szCs w:val="14"/>
                <w:color w:val="auto"/>
                <w:w w:val="99"/>
              </w:rPr>
              <w:t>The Nasdaq Global Select Market</w:t>
            </w:r>
          </w:p>
        </w:tc>
        <w:tc>
          <w:tcPr>
            <w:tcW w:w="0" w:type="dxa"/>
            <w:vAlign w:val="bottom"/>
          </w:tcPr>
          <w:p>
            <w:pPr>
              <w:spacing w:after="0"/>
              <w:rPr>
                <w:sz w:val="1"/>
                <w:szCs w:val="1"/>
                <w:color w:val="auto"/>
              </w:rPr>
            </w:pPr>
          </w:p>
        </w:tc>
      </w:tr>
    </w:tbl>
    <w:p>
      <w:pPr>
        <w:spacing w:after="0" w:line="73" w:lineRule="exact"/>
        <w:rPr>
          <w:sz w:val="24"/>
          <w:szCs w:val="24"/>
          <w:color w:val="auto"/>
        </w:rPr>
      </w:pPr>
    </w:p>
    <w:p>
      <w:pPr>
        <w:ind w:left="720" w:right="860"/>
        <w:spacing w:after="0" w:line="30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0" w:firstLine="720"/>
        <w:spacing w:after="0" w:line="25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61" w:lineRule="exact"/>
        <w:rPr>
          <w:sz w:val="20"/>
          <w:szCs w:val="20"/>
          <w:color w:val="auto"/>
        </w:rPr>
      </w:pPr>
      <w:r>
        <w:rPr>
          <w:rFonts w:ascii="Arial" w:cs="Arial" w:eastAsia="Arial" w:hAnsi="Arial"/>
          <w:sz w:val="14"/>
          <w:szCs w:val="14"/>
          <w:color w:val="auto"/>
        </w:rPr>
        <w:t xml:space="preserve">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ind w:right="160" w:firstLine="720"/>
        <w:spacing w:after="0" w:line="24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w:t>
      </w:r>
    </w:p>
    <w:p>
      <w:pPr>
        <w:spacing w:after="0" w:line="161" w:lineRule="exact"/>
        <w:rPr>
          <w:sz w:val="20"/>
          <w:szCs w:val="20"/>
          <w:color w:val="auto"/>
        </w:rPr>
      </w:pPr>
      <w:r>
        <w:rPr>
          <w:rFonts w:ascii="Arial" w:cs="Arial" w:eastAsia="Arial" w:hAnsi="Arial"/>
          <w:sz w:val="14"/>
          <w:szCs w:val="14"/>
          <w:color w:val="auto"/>
        </w:rPr>
        <w:t xml:space="preserve">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ind w:right="40" w:firstLine="7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1580" w:type="dxa"/>
        <w:tblCellMar>
          <w:top w:w="0" w:type="dxa"/>
          <w:left w:w="0" w:type="dxa"/>
          <w:bottom w:w="0" w:type="dxa"/>
          <w:right w:w="0" w:type="dxa"/>
        </w:tblCellMar>
      </w:tblPr>
      <w:tr>
        <w:trPr>
          <w:trHeight w:val="209"/>
        </w:trPr>
        <w:tc>
          <w:tcPr>
            <w:tcW w:w="3040" w:type="dxa"/>
            <w:vAlign w:val="bottom"/>
          </w:tcPr>
          <w:p>
            <w:pPr>
              <w:jc w:val="center"/>
              <w:ind w:right="1430"/>
              <w:spacing w:after="0" w:line="161" w:lineRule="exact"/>
              <w:rPr>
                <w:sz w:val="20"/>
                <w:szCs w:val="20"/>
                <w:color w:val="auto"/>
              </w:rPr>
            </w:pPr>
            <w:r>
              <w:rPr>
                <w:rFonts w:ascii="Arial" w:cs="Arial" w:eastAsia="Arial" w:hAnsi="Arial"/>
                <w:sz w:val="14"/>
                <w:szCs w:val="14"/>
                <w:color w:val="auto"/>
                <w:w w:val="98"/>
              </w:rPr>
              <w:t xml:space="preserve">Large accelerated filer </w:t>
            </w:r>
            <w:r>
              <w:rPr>
                <w:rFonts w:ascii="MS PGothic" w:cs="MS PGothic" w:eastAsia="MS PGothic" w:hAnsi="MS PGothic"/>
                <w:sz w:val="14"/>
                <w:szCs w:val="14"/>
                <w:color w:val="auto"/>
                <w:w w:val="98"/>
              </w:rPr>
              <w:t>☐</w:t>
            </w:r>
          </w:p>
        </w:tc>
        <w:tc>
          <w:tcPr>
            <w:tcW w:w="3320" w:type="dxa"/>
            <w:vAlign w:val="bottom"/>
          </w:tcPr>
          <w:p>
            <w:pPr>
              <w:jc w:val="center"/>
              <w:ind w:left="1410"/>
              <w:spacing w:after="0" w:line="161" w:lineRule="exact"/>
              <w:rPr>
                <w:sz w:val="20"/>
                <w:szCs w:val="20"/>
                <w:color w:val="auto"/>
              </w:rPr>
            </w:pPr>
            <w:r>
              <w:rPr>
                <w:rFonts w:ascii="Arial" w:cs="Arial" w:eastAsia="Arial" w:hAnsi="Arial"/>
                <w:sz w:val="14"/>
                <w:szCs w:val="14"/>
                <w:color w:val="auto"/>
                <w:w w:val="98"/>
              </w:rPr>
              <w:t xml:space="preserve">Accelerated filer </w:t>
            </w:r>
            <w:r>
              <w:rPr>
                <w:rFonts w:ascii="MS PGothic" w:cs="MS PGothic" w:eastAsia="MS PGothic" w:hAnsi="MS PGothic"/>
                <w:sz w:val="14"/>
                <w:szCs w:val="14"/>
                <w:color w:val="auto"/>
                <w:w w:val="98"/>
              </w:rPr>
              <w:t>☐</w:t>
            </w:r>
          </w:p>
        </w:tc>
        <w:tc>
          <w:tcPr>
            <w:tcW w:w="0" w:type="dxa"/>
            <w:vAlign w:val="bottom"/>
          </w:tcPr>
          <w:p>
            <w:pPr>
              <w:spacing w:after="0"/>
              <w:rPr>
                <w:sz w:val="1"/>
                <w:szCs w:val="1"/>
                <w:color w:val="auto"/>
              </w:rPr>
            </w:pPr>
          </w:p>
        </w:tc>
      </w:tr>
      <w:tr>
        <w:trPr>
          <w:trHeight w:val="197"/>
        </w:trPr>
        <w:tc>
          <w:tcPr>
            <w:tcW w:w="3040" w:type="dxa"/>
            <w:vAlign w:val="bottom"/>
            <w:vMerge w:val="restart"/>
          </w:tcPr>
          <w:p>
            <w:pPr>
              <w:jc w:val="center"/>
              <w:ind w:right="1430"/>
              <w:spacing w:after="0" w:line="161" w:lineRule="exact"/>
              <w:rPr>
                <w:sz w:val="20"/>
                <w:szCs w:val="20"/>
                <w:color w:val="auto"/>
              </w:rPr>
            </w:pPr>
            <w:r>
              <w:rPr>
                <w:rFonts w:ascii="Arial" w:cs="Arial" w:eastAsia="Arial" w:hAnsi="Arial"/>
                <w:sz w:val="14"/>
                <w:szCs w:val="14"/>
                <w:color w:val="auto"/>
                <w:w w:val="99"/>
              </w:rPr>
              <w:t xml:space="preserve">Non-accelerated filer </w:t>
            </w:r>
            <w:r>
              <w:rPr>
                <w:rFonts w:ascii="MS PGothic" w:cs="MS PGothic" w:eastAsia="MS PGothic" w:hAnsi="MS PGothic"/>
                <w:sz w:val="14"/>
                <w:szCs w:val="14"/>
                <w:color w:val="auto"/>
                <w:w w:val="99"/>
              </w:rPr>
              <w:t>☒</w:t>
            </w:r>
          </w:p>
        </w:tc>
        <w:tc>
          <w:tcPr>
            <w:tcW w:w="3320" w:type="dxa"/>
            <w:vAlign w:val="bottom"/>
          </w:tcPr>
          <w:p>
            <w:pPr>
              <w:jc w:val="center"/>
              <w:ind w:left="1410"/>
              <w:spacing w:after="0" w:line="161" w:lineRule="exact"/>
              <w:rPr>
                <w:sz w:val="20"/>
                <w:szCs w:val="20"/>
                <w:color w:val="auto"/>
              </w:rPr>
            </w:pPr>
            <w:r>
              <w:rPr>
                <w:rFonts w:ascii="Arial" w:cs="Arial" w:eastAsia="Arial" w:hAnsi="Arial"/>
                <w:sz w:val="14"/>
                <w:szCs w:val="14"/>
                <w:color w:val="auto"/>
                <w:w w:val="99"/>
              </w:rPr>
              <w:t xml:space="preserve">Smaller reporting company </w:t>
            </w: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9"/>
        </w:trPr>
        <w:tc>
          <w:tcPr>
            <w:tcW w:w="3040" w:type="dxa"/>
            <w:vAlign w:val="bottom"/>
            <w:vMerge w:val="continue"/>
          </w:tcPr>
          <w:p>
            <w:pPr>
              <w:spacing w:after="0"/>
              <w:rPr>
                <w:sz w:val="24"/>
                <w:szCs w:val="24"/>
                <w:color w:val="auto"/>
              </w:rPr>
            </w:pPr>
          </w:p>
        </w:tc>
        <w:tc>
          <w:tcPr>
            <w:tcW w:w="3320" w:type="dxa"/>
            <w:vAlign w:val="bottom"/>
          </w:tcPr>
          <w:p>
            <w:pPr>
              <w:jc w:val="center"/>
              <w:ind w:left="1410"/>
              <w:spacing w:after="0" w:line="161" w:lineRule="exact"/>
              <w:rPr>
                <w:sz w:val="20"/>
                <w:szCs w:val="20"/>
                <w:color w:val="auto"/>
              </w:rPr>
            </w:pPr>
            <w:r>
              <w:rPr>
                <w:rFonts w:ascii="Arial" w:cs="Arial" w:eastAsia="Arial" w:hAnsi="Arial"/>
                <w:sz w:val="14"/>
                <w:szCs w:val="14"/>
                <w:color w:val="auto"/>
                <w:w w:val="99"/>
              </w:rPr>
              <w:t>Emerging growth company</w:t>
            </w: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right="120" w:firstLine="720"/>
        <w:spacing w:after="0" w:line="21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right="280" w:firstLine="720"/>
        <w:spacing w:after="0" w:line="242"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prepared or issued its audit report. </w:t>
      </w:r>
      <w:r>
        <w:rPr>
          <w:rFonts w:ascii="MS PGothic" w:cs="MS PGothic" w:eastAsia="MS PGothic" w:hAnsi="MS PGothic"/>
          <w:sz w:val="14"/>
          <w:szCs w:val="14"/>
          <w:color w:val="auto"/>
        </w:rPr>
        <w:t>☐</w:t>
      </w:r>
    </w:p>
    <w:p>
      <w:pPr>
        <w:spacing w:after="0" w:line="112" w:lineRule="exact"/>
        <w:rPr>
          <w:sz w:val="24"/>
          <w:szCs w:val="24"/>
          <w:color w:val="auto"/>
        </w:rPr>
      </w:pPr>
    </w:p>
    <w:p>
      <w:pPr>
        <w:ind w:right="20" w:firstLine="720"/>
        <w:spacing w:after="0" w:line="221"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800" w:firstLine="760"/>
        <w:spacing w:after="0" w:line="21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ind w:left="7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5" w:lineRule="exact"/>
        <w:rPr>
          <w:sz w:val="24"/>
          <w:szCs w:val="24"/>
          <w:color w:val="auto"/>
        </w:rPr>
      </w:pPr>
    </w:p>
    <w:p>
      <w:pPr>
        <w:ind w:right="580" w:firstLine="720"/>
        <w:spacing w:after="0" w:line="266" w:lineRule="auto"/>
        <w:rPr>
          <w:sz w:val="20"/>
          <w:szCs w:val="20"/>
          <w:color w:val="auto"/>
        </w:rPr>
      </w:pPr>
      <w:r>
        <w:rPr>
          <w:rFonts w:ascii="Arial" w:cs="Arial" w:eastAsia="Arial" w:hAnsi="Arial"/>
          <w:sz w:val="14"/>
          <w:szCs w:val="14"/>
          <w:color w:val="auto"/>
        </w:rPr>
        <w:t>The aggregate market value of the registrant’s voting stock held by non-affiliates of the registrant was approximately $212,506,473 as of June 30, 2024, the last business day of the registrant’s last completed second quarter.</w:t>
      </w:r>
    </w:p>
    <w:p>
      <w:pPr>
        <w:spacing w:after="0" w:line="35" w:lineRule="exact"/>
        <w:rPr>
          <w:sz w:val="24"/>
          <w:szCs w:val="24"/>
          <w:color w:val="auto"/>
        </w:rPr>
      </w:pPr>
    </w:p>
    <w:p>
      <w:pPr>
        <w:ind w:left="720"/>
        <w:spacing w:after="0"/>
        <w:rPr>
          <w:sz w:val="20"/>
          <w:szCs w:val="20"/>
          <w:color w:val="auto"/>
        </w:rPr>
      </w:pPr>
      <w:r>
        <w:rPr>
          <w:rFonts w:ascii="Arial" w:cs="Arial" w:eastAsia="Arial" w:hAnsi="Arial"/>
          <w:sz w:val="14"/>
          <w:szCs w:val="14"/>
          <w:color w:val="auto"/>
        </w:rPr>
        <w:t>As of February 28, 2025, the registrant had 86,045,033 shares of Common Stock, $0.0001 par value per share, outstanding.</w:t>
      </w:r>
    </w:p>
    <w:p>
      <w:pPr>
        <w:spacing w:after="0" w:line="83" w:lineRule="exact"/>
        <w:rPr>
          <w:sz w:val="24"/>
          <w:szCs w:val="24"/>
          <w:color w:val="auto"/>
        </w:rPr>
      </w:pPr>
    </w:p>
    <w:p>
      <w:pPr>
        <w:ind w:left="32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67" w:lineRule="exact"/>
        <w:rPr>
          <w:sz w:val="24"/>
          <w:szCs w:val="24"/>
          <w:color w:val="auto"/>
        </w:rPr>
      </w:pPr>
    </w:p>
    <w:p>
      <w:pPr>
        <w:ind w:right="180" w:firstLine="720"/>
        <w:spacing w:after="0" w:line="283" w:lineRule="auto"/>
        <w:rPr>
          <w:sz w:val="20"/>
          <w:szCs w:val="20"/>
          <w:color w:val="auto"/>
        </w:rPr>
      </w:pPr>
      <w:r>
        <w:rPr>
          <w:rFonts w:ascii="Arial" w:cs="Arial" w:eastAsia="Arial" w:hAnsi="Arial"/>
          <w:sz w:val="14"/>
          <w:szCs w:val="14"/>
          <w:color w:val="auto"/>
        </w:rPr>
        <w:t>Part III of this Annual Report on Form 10-K incorporates certain information by reference from the registrant’s definitive proxy statement for the 2025 annual meeting of shareholders to be filed no later than 120 days after the end of the registrant’s fiscal year ended December 31, 2024.</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29845</wp:posOffset>
                </wp:positionV>
                <wp:extent cx="620014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014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2.35pt" to="487.1pt,2.35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94615</wp:posOffset>
                </wp:positionV>
                <wp:extent cx="620014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014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7.45pt" to="487.1pt,7.45pt" o:allowincell="f" strokecolor="#000000" strokeweight="3pt"/>
            </w:pict>
          </mc:Fallback>
        </mc:AlternateContent>
      </w:r>
    </w:p>
    <w:p>
      <w:pPr>
        <w:sectPr>
          <w:pgSz w:w="11880" w:h="15480" w:orient="portrait"/>
          <w:cols w:equalWidth="0" w:num="1">
            <w:col w:w="9720"/>
          </w:cols>
          <w:pgMar w:left="1080" w:top="1307" w:right="1080" w:bottom="702" w:gutter="0" w:footer="0" w:header="0"/>
        </w:sectPr>
      </w:pPr>
    </w:p>
    <w:bookmarkStart w:id="1" w:name="page2"/>
    <w:bookmarkEnd w:id="1"/>
    <w:p>
      <w:pPr>
        <w:ind w:left="3760"/>
        <w:spacing w:after="0"/>
        <w:rPr>
          <w:sz w:val="20"/>
          <w:szCs w:val="20"/>
          <w:color w:val="auto"/>
        </w:rPr>
      </w:pPr>
      <w:r>
        <w:rPr>
          <w:rFonts w:ascii="Arial" w:cs="Arial" w:eastAsia="Arial" w:hAnsi="Arial"/>
          <w:sz w:val="20"/>
          <w:szCs w:val="20"/>
          <w:b w:val="1"/>
          <w:bCs w:val="1"/>
          <w:color w:val="auto"/>
        </w:rPr>
        <w:t>TABLE OF CONTENTS</w:t>
      </w:r>
    </w:p>
    <w:p>
      <w:pPr>
        <w:spacing w:after="0" w:line="247" w:lineRule="exact"/>
        <w:rPr>
          <w:sz w:val="20"/>
          <w:szCs w:val="20"/>
          <w:color w:val="auto"/>
        </w:rPr>
      </w:pPr>
    </w:p>
    <w:p>
      <w:pPr>
        <w:ind w:left="220"/>
        <w:spacing w:after="0"/>
        <w:tabs>
          <w:tab w:leader="none" w:pos="9200" w:val="left"/>
        </w:tabs>
        <w:rPr>
          <w:sz w:val="20"/>
          <w:szCs w:val="20"/>
          <w:color w:val="auto"/>
        </w:rPr>
      </w:pPr>
      <w:r>
        <w:rPr>
          <w:rFonts w:ascii="Arial" w:cs="Arial" w:eastAsia="Arial" w:hAnsi="Arial"/>
          <w:sz w:val="18"/>
          <w:szCs w:val="18"/>
          <w:b w:val="1"/>
          <w:bCs w:val="1"/>
          <w:color w:val="auto"/>
        </w:rPr>
        <w:t>Item No.</w:t>
      </w:r>
      <w:r>
        <w:rPr>
          <w:sz w:val="20"/>
          <w:szCs w:val="20"/>
          <w:color w:val="auto"/>
        </w:rPr>
        <w:tab/>
      </w:r>
      <w:r>
        <w:rPr>
          <w:rFonts w:ascii="Arial" w:cs="Arial" w:eastAsia="Arial" w:hAnsi="Arial"/>
          <w:sz w:val="17"/>
          <w:szCs w:val="17"/>
          <w:b w:val="1"/>
          <w:bCs w:val="1"/>
          <w:color w:val="auto"/>
        </w:rPr>
        <w:t>Page</w:t>
      </w:r>
    </w:p>
    <w:p>
      <w:pPr>
        <w:spacing w:after="0" w:line="25"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wp:posOffset>
                </wp:positionH>
                <wp:positionV relativeFrom="paragraph">
                  <wp:posOffset>5715</wp:posOffset>
                </wp:positionV>
                <wp:extent cx="616204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0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999pt,0.45pt" to="484.6pt,0.45pt" o:allowincell="f" strokecolor="#000000" strokeweight="0.48pt"/>
            </w:pict>
          </mc:Fallback>
        </mc:AlternateContent>
      </w:r>
    </w:p>
    <w:p>
      <w:pPr>
        <w:spacing w:after="0" w:line="2"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auto"/>
        </w:rPr>
        <w:t>CAUTIONARY NOTE REGARDING FORWARD-LOOKING STATEMENTS . . . . . . . . . . . . . . . . . . . . . . . . . . . . . . . .</w:t>
      </w:r>
      <w:r>
        <w:rPr>
          <w:sz w:val="20"/>
          <w:szCs w:val="20"/>
          <w:color w:val="auto"/>
        </w:rPr>
        <w:tab/>
      </w:r>
      <w:r>
        <w:rPr>
          <w:rFonts w:ascii="Arial" w:cs="Arial" w:eastAsia="Arial" w:hAnsi="Arial"/>
          <w:sz w:val="17"/>
          <w:szCs w:val="17"/>
          <w:color w:val="auto"/>
        </w:rPr>
        <w:t>3</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PART I</w:t>
      </w:r>
    </w:p>
    <w:p>
      <w:pPr>
        <w:sectPr>
          <w:pgSz w:w="11880" w:h="15480" w:orient="portrait"/>
          <w:cols w:equalWidth="0" w:num="1">
            <w:col w:w="9700"/>
          </w:cols>
          <w:pgMar w:left="1100" w:top="1064" w:right="1080" w:bottom="542" w:gutter="0" w:footer="0" w:header="0"/>
        </w:sectPr>
      </w:pPr>
    </w:p>
    <w:p>
      <w:pPr>
        <w:spacing w:after="0" w:line="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BUSINESS. . . . . . . . . . . . . . . . . . . . . . . . . . . . . . . . . . . . . . . . . . . . . . . . . . . . . . . . . . . . . . . . . . . . . . . . .</w:t>
      </w:r>
    </w:p>
    <w:p>
      <w:pPr>
        <w:spacing w:after="0" w:line="3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 . . . . . . . . . . . . . . . . . . . . . . . . . . . . . . . . . . . . . . . . . . . . . . . . . . . . . . . . . . . . . . . . . . . .</w:t>
      </w:r>
    </w:p>
    <w:p>
      <w:pPr>
        <w:spacing w:after="0" w:line="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7"/>
          <w:szCs w:val="17"/>
          <w:color w:val="auto"/>
        </w:rPr>
        <w:t>UNRESOLVED STAFF COMMENTS . . . . . . . . . . . . . . . . . . . . . . . . . . . . . . . . . . . . . . . . . . . . . . . . . . .</w:t>
      </w:r>
    </w:p>
    <w:p>
      <w:pPr>
        <w:spacing w:after="0" w:line="3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1C.</w:t>
      </w:r>
      <w:r>
        <w:rPr>
          <w:sz w:val="20"/>
          <w:szCs w:val="20"/>
          <w:color w:val="auto"/>
        </w:rPr>
        <w:tab/>
      </w:r>
      <w:r>
        <w:rPr>
          <w:rFonts w:ascii="Arial" w:cs="Arial" w:eastAsia="Arial" w:hAnsi="Arial"/>
          <w:sz w:val="17"/>
          <w:szCs w:val="17"/>
          <w:color w:val="auto"/>
        </w:rPr>
        <w:t>CYBERSECURITY . . . . . . . . . . . . . . . . . . . . . . . . . . . . . . . . . . . . . . . . . . . . . . . . . . . . . . . . . . . . . . . . . .</w:t>
      </w:r>
    </w:p>
    <w:p>
      <w:pPr>
        <w:spacing w:after="0" w:line="3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PROPERTIES . . . . . . . . . . . . . . . . . . . . . . . . . . . . . . . . . . . . . . . . . . . . . . . . . . . . . . . . . . . . . . . . . . . . . .</w:t>
      </w:r>
    </w:p>
    <w:p>
      <w:pPr>
        <w:spacing w:after="0" w:line="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 . . . . . . . . . . . . . . . . . . . . . . . . . . . . . . . . . . . . . . . . . . . . . . . . . . . . . . . . . . . . . .</w:t>
      </w:r>
    </w:p>
    <w:p>
      <w:pPr>
        <w:spacing w:after="0" w:line="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 . . . . . . . . . . . . . . . . . . . . . . . . . . . . . . . . . . . . . . . . . . . . . . . . . . . . . . . .</w:t>
      </w:r>
    </w:p>
    <w:p>
      <w:pPr>
        <w:spacing w:after="0" w:line="30"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PART II</w:t>
      </w:r>
    </w:p>
    <w:p>
      <w:pPr>
        <w:spacing w:after="0" w:line="38" w:lineRule="exact"/>
        <w:rPr>
          <w:sz w:val="20"/>
          <w:szCs w:val="20"/>
          <w:color w:val="auto"/>
        </w:rPr>
      </w:pPr>
    </w:p>
    <w:p>
      <w:pPr>
        <w:ind w:left="1160" w:hanging="1170"/>
        <w:spacing w:after="0" w:line="252" w:lineRule="auto"/>
        <w:tabs>
          <w:tab w:leader="none" w:pos="11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color w:val="auto"/>
        </w:rPr>
        <w:t>MARKET FOR REGISTRANT’S COMMON EQUITY, RELATED STOCKHOLDER MATTERS AND ISSUER PURCHASES OF EQUITY SECURITIES. . . . . . . . . . . . . . . . . . . . . . . . . . . . . . . . . . . .</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RESERVED . . . . . . . . . . . . . . . . . . . . . . . . . . . . . . . . . . . . . . . . . . . . . . . . . . . . . . . . . . . . . . . . . . . . . . . .</w:t>
      </w:r>
    </w:p>
    <w:p>
      <w:pPr>
        <w:spacing w:after="0" w:line="29" w:lineRule="exact"/>
        <w:rPr>
          <w:sz w:val="20"/>
          <w:szCs w:val="20"/>
          <w:color w:val="auto"/>
        </w:rPr>
      </w:pPr>
    </w:p>
    <w:p>
      <w:pPr>
        <w:ind w:left="1160" w:hanging="1170"/>
        <w:spacing w:after="0" w:line="272" w:lineRule="auto"/>
        <w:tabs>
          <w:tab w:leader="none" w:pos="11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 . . . . . . . . . . . . . . . . . . . . . . . . . . . . . . . . . . . . . . . . . . . . . . . . . . . . . . . . . . . . . . . . . . .</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7A.</w:t>
      </w:r>
      <w:r>
        <w:rPr>
          <w:sz w:val="20"/>
          <w:szCs w:val="20"/>
          <w:color w:val="auto"/>
        </w:rPr>
        <w:tab/>
      </w:r>
      <w:r>
        <w:rPr>
          <w:rFonts w:ascii="Arial" w:cs="Arial" w:eastAsia="Arial" w:hAnsi="Arial"/>
          <w:sz w:val="17"/>
          <w:szCs w:val="17"/>
          <w:color w:val="auto"/>
        </w:rPr>
        <w:t>QUANTITATIVE AND QUALITATIVE DISCLOSURES ABOUT MARKET RISK . . . . . . . . . . . . . . . . .</w:t>
      </w:r>
    </w:p>
    <w:p>
      <w:pPr>
        <w:spacing w:after="0" w:line="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FINANCIAL STATEMENTS AND SUPPLEMENTARY DATA . . . . . . . . . . . . . . . . . . . . . . . . . . . . . . . .</w:t>
      </w:r>
    </w:p>
    <w:p>
      <w:pPr>
        <w:spacing w:after="0" w:line="29" w:lineRule="exact"/>
        <w:rPr>
          <w:sz w:val="20"/>
          <w:szCs w:val="20"/>
          <w:color w:val="auto"/>
        </w:rPr>
      </w:pPr>
    </w:p>
    <w:p>
      <w:pPr>
        <w:ind w:left="1160" w:hanging="1170"/>
        <w:spacing w:after="0" w:line="272" w:lineRule="auto"/>
        <w:tabs>
          <w:tab w:leader="none" w:pos="11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 . . . . . . . . . . . . . . . . . . . . . . . . . . . . . . . . . . . . . . . . . . . . . . . . . . . . . . . . . . . .</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9A.</w:t>
      </w:r>
      <w:r>
        <w:rPr>
          <w:sz w:val="20"/>
          <w:szCs w:val="20"/>
          <w:color w:val="auto"/>
        </w:rPr>
        <w:tab/>
      </w:r>
      <w:r>
        <w:rPr>
          <w:rFonts w:ascii="Arial" w:cs="Arial" w:eastAsia="Arial" w:hAnsi="Arial"/>
          <w:sz w:val="17"/>
          <w:szCs w:val="17"/>
          <w:color w:val="auto"/>
        </w:rPr>
        <w:t>CONTROLS AND PROCEDURES . . . . . . . . . . . . . . . . . . . . . . . . . . . . . . . . . . . . . . . . . . . . . . . . . . . . .</w:t>
      </w:r>
    </w:p>
    <w:p>
      <w:pPr>
        <w:spacing w:after="0" w:line="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9B.</w:t>
      </w:r>
      <w:r>
        <w:rPr>
          <w:sz w:val="20"/>
          <w:szCs w:val="20"/>
          <w:color w:val="auto"/>
        </w:rPr>
        <w:tab/>
      </w:r>
      <w:r>
        <w:rPr>
          <w:rFonts w:ascii="Arial" w:cs="Arial" w:eastAsia="Arial" w:hAnsi="Arial"/>
          <w:sz w:val="17"/>
          <w:szCs w:val="17"/>
          <w:color w:val="auto"/>
        </w:rPr>
        <w:t>OTHER INFORMATION . . . . . . . . . . . . . . . . . . . . . . . . . . . . . . . . . . . . . . . . . . . . . . . . . . . . . . . . . . . . . .</w:t>
      </w:r>
    </w:p>
    <w:p>
      <w:pPr>
        <w:spacing w:after="0" w:line="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9C.</w:t>
      </w:r>
      <w:r>
        <w:rPr>
          <w:sz w:val="20"/>
          <w:szCs w:val="20"/>
          <w:color w:val="auto"/>
        </w:rPr>
        <w:tab/>
      </w:r>
      <w:r>
        <w:rPr>
          <w:rFonts w:ascii="Arial" w:cs="Arial" w:eastAsia="Arial" w:hAnsi="Arial"/>
          <w:sz w:val="17"/>
          <w:szCs w:val="17"/>
          <w:color w:val="auto"/>
        </w:rPr>
        <w:t>DISCLOSURE REGARDING FOREIGN JURISDICTIONS THAT PREVENT INSPECTIONS . . . . . .</w:t>
      </w:r>
    </w:p>
    <w:p>
      <w:pPr>
        <w:spacing w:after="0" w:line="3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PART III</w:t>
      </w:r>
    </w:p>
    <w:p>
      <w:pPr>
        <w:spacing w:after="0" w:line="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DIRECTORS, EXECUTIVE OFFICERS AND CORPORATE GOVERNANCE . . . . . . . . . . . . . . . . . . .</w:t>
      </w:r>
    </w:p>
    <w:p>
      <w:pPr>
        <w:spacing w:after="0" w:line="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7"/>
          <w:szCs w:val="17"/>
          <w:color w:val="auto"/>
        </w:rPr>
        <w:t>EXECUTIVE COMPENSATION . . . . . . . . . . . . . . . . . . . . . . . . . . . . . . . . . . . . . . . . . . . . . . . . . . . . . . . .</w:t>
      </w:r>
    </w:p>
    <w:p>
      <w:pPr>
        <w:spacing w:after="0" w:line="29" w:lineRule="exact"/>
        <w:rPr>
          <w:sz w:val="20"/>
          <w:szCs w:val="20"/>
          <w:color w:val="auto"/>
        </w:rPr>
      </w:pPr>
    </w:p>
    <w:p>
      <w:pPr>
        <w:ind w:left="1160" w:hanging="1170"/>
        <w:spacing w:after="0" w:line="272" w:lineRule="auto"/>
        <w:tabs>
          <w:tab w:leader="none" w:pos="114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7"/>
          <w:szCs w:val="17"/>
          <w:color w:val="auto"/>
        </w:rPr>
        <w:t>SECURITY OWNERSHIP OF CERTAIN BENEFICIAL OWNERS AND MANAGEMENT AND RELATED STOCKHOLDER MATTERS . . . . . . . . . . . . . . . . . . . . . . . . . . . . . . . . . . . . . . . . . . . . . . . . .</w:t>
      </w:r>
    </w:p>
    <w:p>
      <w:pPr>
        <w:spacing w:after="0" w:line="1" w:lineRule="exact"/>
        <w:rPr>
          <w:sz w:val="20"/>
          <w:szCs w:val="20"/>
          <w:color w:val="auto"/>
        </w:rPr>
      </w:pPr>
    </w:p>
    <w:p>
      <w:pPr>
        <w:ind w:left="1160" w:hanging="1170"/>
        <w:spacing w:after="0" w:line="272" w:lineRule="auto"/>
        <w:tabs>
          <w:tab w:leader="none" w:pos="114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7"/>
          <w:szCs w:val="17"/>
          <w:color w:val="auto"/>
        </w:rPr>
        <w:t>CERTAIN RELATIONSHIPS AND RELATED TRANSACTIONS, AND DIRECTOR INDEPENDENCE . . . . . . . . . . . . . . . . . . . . . . . . . . . . . . . . . . . . . . . . . . . . . . . . . . . . . . . . . . . . . . . . . . .</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7"/>
          <w:szCs w:val="17"/>
          <w:color w:val="auto"/>
        </w:rPr>
        <w:t>PRINCIPAL ACCOUNTING FEES AND SERVICES . . . . . . . . . . . . . . . . . . . . . . . . . . . . . . . . . . . . . . .</w:t>
      </w:r>
    </w:p>
    <w:p>
      <w:pPr>
        <w:spacing w:after="0" w:line="3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PART IV</w:t>
      </w:r>
    </w:p>
    <w:p>
      <w:pPr>
        <w:spacing w:after="0" w:line="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15.</w:t>
      </w:r>
      <w:r>
        <w:rPr>
          <w:sz w:val="20"/>
          <w:szCs w:val="20"/>
          <w:color w:val="auto"/>
        </w:rPr>
        <w:tab/>
      </w:r>
      <w:r>
        <w:rPr>
          <w:rFonts w:ascii="Arial" w:cs="Arial" w:eastAsia="Arial" w:hAnsi="Arial"/>
          <w:sz w:val="17"/>
          <w:szCs w:val="17"/>
          <w:color w:val="auto"/>
        </w:rPr>
        <w:t>EXHIBIT AND FINANCIAL STATEMENT SCHEDULES . . . . . . . . . . . . . . . . . . . . . . . . . . . . . . . . . . . .</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EXHIBIT INDEX . . . . . . . . . . . . . . . . . . . . . . . . . . . . . . . . . . . . . . . . . . . . . . . . . . . . . . . . . . . . . . . . . . . . . . . . . . . . . . . .</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SIGNATURES . . . . . . . . . . . . . . . . . . . . . . . . . . . . . . . . . . . . . . . . . . . . . . . . . . . . . . . . . . . . . . . . . . . . . . . . . . . . . . . . . .</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w:t>
      </w:r>
    </w:p>
    <w:p>
      <w:pPr>
        <w:spacing w:after="0" w:line="3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47</w:t>
      </w:r>
    </w:p>
    <w:p>
      <w:pPr>
        <w:spacing w:after="0" w:line="3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113</w:t>
      </w:r>
    </w:p>
    <w:p>
      <w:pPr>
        <w:spacing w:after="0" w:line="4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113</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113</w:t>
      </w:r>
    </w:p>
    <w:p>
      <w:pPr>
        <w:spacing w:after="0" w:line="4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114</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114</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115</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115</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116</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131</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131</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165</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165</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166</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166</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167</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167</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167</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167</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167</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168</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168</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172</w:t>
      </w:r>
    </w:p>
    <w:p>
      <w:pPr>
        <w:spacing w:after="0" w:line="200" w:lineRule="exact"/>
        <w:rPr>
          <w:sz w:val="20"/>
          <w:szCs w:val="20"/>
          <w:color w:val="auto"/>
        </w:rPr>
      </w:pPr>
    </w:p>
    <w:p>
      <w:pPr>
        <w:sectPr>
          <w:pgSz w:w="11880" w:h="15480" w:orient="portrait"/>
          <w:cols w:equalWidth="0" w:num="2">
            <w:col w:w="9040" w:space="340"/>
            <w:col w:w="320"/>
          </w:cols>
          <w:pgMar w:left="1100" w:top="1064" w:right="1080" w:bottom="54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ectPr>
          <w:pgSz w:w="11880" w:h="15480" w:orient="portrait"/>
          <w:cols w:equalWidth="0" w:num="1">
            <w:col w:w="9700"/>
          </w:cols>
          <w:pgMar w:left="1100" w:top="1064" w:right="1080" w:bottom="542"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43"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This Annual Report on Form 10 -K and the documents incorporated by reference herein contain forward-looking statements that involve substantial risks and uncertainties. All statements, other than statements of historical facts, included in this Annual Report on Form 10-K or the documents incorporated by reference herein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95" w:lineRule="exact"/>
        <w:rPr>
          <w:sz w:val="20"/>
          <w:szCs w:val="20"/>
          <w:color w:val="auto"/>
        </w:rPr>
      </w:pPr>
    </w:p>
    <w:p>
      <w:pPr>
        <w:ind w:right="160"/>
        <w:spacing w:after="0" w:line="283" w:lineRule="auto"/>
        <w:rPr>
          <w:sz w:val="20"/>
          <w:szCs w:val="20"/>
          <w:color w:val="auto"/>
        </w:rPr>
      </w:pPr>
      <w:r>
        <w:rPr>
          <w:rFonts w:ascii="Arial" w:cs="Arial" w:eastAsia="Arial" w:hAnsi="Arial"/>
          <w:sz w:val="20"/>
          <w:szCs w:val="20"/>
          <w:color w:val="auto"/>
        </w:rPr>
        <w:t>The forward- looking statements in this Annual Report on Form 10-K and the documents incorporated herein by reference include, among other things, statements about:</w:t>
      </w:r>
    </w:p>
    <w:p>
      <w:pPr>
        <w:spacing w:after="0" w:line="161" w:lineRule="exact"/>
        <w:rPr>
          <w:sz w:val="20"/>
          <w:szCs w:val="20"/>
          <w:color w:val="auto"/>
        </w:rPr>
      </w:pPr>
    </w:p>
    <w:p>
      <w:pPr>
        <w:ind w:left="720" w:right="560" w:hanging="353"/>
        <w:spacing w:after="0" w:line="283"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raise additional capital to fund our operations and continue the development of our current and future product candidates;</w:t>
      </w:r>
    </w:p>
    <w:p>
      <w:pPr>
        <w:spacing w:after="0" w:line="171" w:lineRule="exact"/>
        <w:rPr>
          <w:rFonts w:ascii="Arial" w:cs="Arial" w:eastAsia="Arial" w:hAnsi="Arial"/>
          <w:sz w:val="20"/>
          <w:szCs w:val="20"/>
          <w:color w:val="auto"/>
        </w:rPr>
      </w:pPr>
    </w:p>
    <w:p>
      <w:pPr>
        <w:ind w:left="720" w:right="60" w:hanging="353"/>
        <w:spacing w:after="0" w:line="283"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early clinical nature of our business and our ability to successfully advance our current and future product candidates, through development activities, preclinical studies, and clinical trials;</w:t>
      </w:r>
    </w:p>
    <w:p>
      <w:pPr>
        <w:spacing w:after="0" w:line="170" w:lineRule="exact"/>
        <w:rPr>
          <w:rFonts w:ascii="Arial" w:cs="Arial" w:eastAsia="Arial" w:hAnsi="Arial"/>
          <w:sz w:val="20"/>
          <w:szCs w:val="20"/>
          <w:color w:val="auto"/>
        </w:rPr>
      </w:pPr>
    </w:p>
    <w:p>
      <w:pPr>
        <w:ind w:left="720" w:right="540" w:hanging="353"/>
        <w:spacing w:after="0" w:line="283"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generate revenue from future product sales and our ability to achieve and maintain profitability;</w:t>
      </w:r>
    </w:p>
    <w:p>
      <w:pPr>
        <w:spacing w:after="0" w:line="171" w:lineRule="exact"/>
        <w:rPr>
          <w:rFonts w:ascii="Arial" w:cs="Arial" w:eastAsia="Arial" w:hAnsi="Arial"/>
          <w:sz w:val="20"/>
          <w:szCs w:val="20"/>
          <w:color w:val="auto"/>
        </w:rPr>
      </w:pPr>
    </w:p>
    <w:p>
      <w:pPr>
        <w:ind w:left="720" w:right="340" w:hanging="353"/>
        <w:spacing w:after="0" w:line="283"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accuracy of our projections and estimates regarding our expenses, capital requirements, cash utilization, and need for additional financing;</w:t>
      </w:r>
    </w:p>
    <w:p>
      <w:pPr>
        <w:spacing w:after="0" w:line="170" w:lineRule="exact"/>
        <w:rPr>
          <w:rFonts w:ascii="Arial" w:cs="Arial" w:eastAsia="Arial" w:hAnsi="Arial"/>
          <w:sz w:val="20"/>
          <w:szCs w:val="20"/>
          <w:color w:val="auto"/>
        </w:rPr>
      </w:pPr>
    </w:p>
    <w:p>
      <w:pPr>
        <w:ind w:left="720" w:right="20" w:hanging="353"/>
        <w:spacing w:after="0" w:line="283"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dependence on the success of our lead product candidate, CNTY-101, and our ability to progress CNTY-101 through clinical development;</w:t>
      </w:r>
    </w:p>
    <w:p>
      <w:pPr>
        <w:spacing w:after="0" w:line="171" w:lineRule="exact"/>
        <w:rPr>
          <w:rFonts w:ascii="Arial" w:cs="Arial" w:eastAsia="Arial" w:hAnsi="Arial"/>
          <w:sz w:val="20"/>
          <w:szCs w:val="20"/>
          <w:color w:val="auto"/>
        </w:rPr>
      </w:pPr>
    </w:p>
    <w:p>
      <w:pPr>
        <w:ind w:left="720" w:right="300" w:hanging="353"/>
        <w:spacing w:after="0" w:line="261"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novelty of our approach to immuno-oncology and autoimmune and inflammatory treatments, utilizing iPSC-derived natural killer cells, or iNK cells, and iPSC-derived T cells, or iT cells, and the challenges we will face due to the novel nature of such technology;</w:t>
      </w:r>
    </w:p>
    <w:p>
      <w:pPr>
        <w:spacing w:after="0" w:line="192" w:lineRule="exact"/>
        <w:rPr>
          <w:rFonts w:ascii="Arial" w:cs="Arial" w:eastAsia="Arial" w:hAnsi="Arial"/>
          <w:sz w:val="20"/>
          <w:szCs w:val="20"/>
          <w:color w:val="auto"/>
        </w:rPr>
      </w:pPr>
    </w:p>
    <w:p>
      <w:pPr>
        <w:ind w:left="720" w:hanging="353"/>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success of competing therapies that are or may become available;</w:t>
      </w:r>
    </w:p>
    <w:p>
      <w:pPr>
        <w:spacing w:after="0" w:line="253" w:lineRule="exact"/>
        <w:rPr>
          <w:rFonts w:ascii="Arial" w:cs="Arial" w:eastAsia="Arial" w:hAnsi="Arial"/>
          <w:sz w:val="20"/>
          <w:szCs w:val="20"/>
          <w:color w:val="auto"/>
        </w:rPr>
      </w:pPr>
    </w:p>
    <w:p>
      <w:pPr>
        <w:ind w:left="720" w:right="200" w:hanging="353"/>
        <w:spacing w:after="0" w:line="261"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192" w:lineRule="exact"/>
        <w:rPr>
          <w:rFonts w:ascii="Arial" w:cs="Arial" w:eastAsia="Arial" w:hAnsi="Arial"/>
          <w:sz w:val="20"/>
          <w:szCs w:val="20"/>
          <w:color w:val="auto"/>
        </w:rPr>
      </w:pPr>
    </w:p>
    <w:p>
      <w:pPr>
        <w:ind w:left="720" w:hanging="353"/>
        <w:spacing w:after="0" w:line="283"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initiation, progress, success, cost, and timing of our development activities, preclinical studies and clinical trials;</w:t>
      </w:r>
    </w:p>
    <w:p>
      <w:pPr>
        <w:spacing w:after="0" w:line="171" w:lineRule="exact"/>
        <w:rPr>
          <w:rFonts w:ascii="Arial" w:cs="Arial" w:eastAsia="Arial" w:hAnsi="Arial"/>
          <w:sz w:val="20"/>
          <w:szCs w:val="20"/>
          <w:color w:val="auto"/>
        </w:rPr>
      </w:pPr>
    </w:p>
    <w:p>
      <w:pPr>
        <w:ind w:left="720" w:right="60" w:hanging="353"/>
        <w:spacing w:after="0" w:line="283"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timing of future investigational new drug, or IND, applications and the likelihood of, and our ability to obtain and maintain, regulatory clearance of IND applications for our product candidates;</w:t>
      </w:r>
    </w:p>
    <w:p>
      <w:pPr>
        <w:spacing w:after="0" w:line="170" w:lineRule="exact"/>
        <w:rPr>
          <w:rFonts w:ascii="Arial" w:cs="Arial" w:eastAsia="Arial" w:hAnsi="Arial"/>
          <w:sz w:val="20"/>
          <w:szCs w:val="20"/>
          <w:color w:val="auto"/>
        </w:rPr>
      </w:pPr>
    </w:p>
    <w:p>
      <w:pPr>
        <w:ind w:left="720" w:right="40" w:hanging="353"/>
        <w:spacing w:after="0" w:line="283"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timing, scope and likelihood of regulatory filings and approvals, including final regulatory approval of our product candidates;</w:t>
      </w:r>
    </w:p>
    <w:p>
      <w:pPr>
        <w:sectPr>
          <w:pgSz w:w="11880" w:h="15480" w:orient="portrait"/>
          <w:cols w:equalWidth="0" w:num="1">
            <w:col w:w="9700"/>
          </w:cols>
          <w:pgMar w:left="1080" w:top="1064"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880" w:h="15480" w:orient="portrait"/>
          <w:cols w:equalWidth="0" w:num="1">
            <w:col w:w="9700"/>
          </w:cols>
          <w:pgMar w:left="1080" w:top="1064" w:right="1100" w:bottom="542" w:gutter="0" w:footer="0" w:header="0"/>
          <w:type w:val="continuous"/>
        </w:sectPr>
      </w:pPr>
    </w:p>
    <w:bookmarkStart w:id="3" w:name="page4"/>
    <w:bookmarkEnd w:id="3"/>
    <w:p>
      <w:pPr>
        <w:ind w:left="720" w:right="220" w:hanging="353"/>
        <w:spacing w:after="0" w:line="261"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reliance on FCDI to be the exclusive manufacturer of certain product candidates, and our ability to manufacture our own product candidates in the future, and the timing and costs of such manufacturing activities;</w:t>
      </w:r>
    </w:p>
    <w:p>
      <w:pPr>
        <w:spacing w:after="0" w:line="192" w:lineRule="exact"/>
        <w:rPr>
          <w:rFonts w:ascii="Arial" w:cs="Arial" w:eastAsia="Arial" w:hAnsi="Arial"/>
          <w:sz w:val="20"/>
          <w:szCs w:val="20"/>
          <w:color w:val="auto"/>
        </w:rPr>
      </w:pPr>
    </w:p>
    <w:p>
      <w:pPr>
        <w:ind w:left="720" w:right="220" w:hanging="353"/>
        <w:spacing w:after="0" w:line="262"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performance of third parties in connection with the development of our product candidates, including third parties conducting our current and future clinical trials as well as third-party suppliers and manufacturers;</w:t>
      </w:r>
    </w:p>
    <w:p>
      <w:pPr>
        <w:spacing w:after="0" w:line="190" w:lineRule="exact"/>
        <w:rPr>
          <w:rFonts w:ascii="Arial" w:cs="Arial" w:eastAsia="Arial" w:hAnsi="Arial"/>
          <w:sz w:val="20"/>
          <w:szCs w:val="20"/>
          <w:color w:val="auto"/>
        </w:rPr>
      </w:pPr>
    </w:p>
    <w:p>
      <w:pPr>
        <w:ind w:left="720" w:right="1280" w:hanging="353"/>
        <w:spacing w:after="0" w:line="283"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attract and retain strategic collaborators with development, regulatory, and commercialization expertise;</w:t>
      </w:r>
    </w:p>
    <w:p>
      <w:pPr>
        <w:spacing w:after="0" w:line="171" w:lineRule="exact"/>
        <w:rPr>
          <w:rFonts w:ascii="Arial" w:cs="Arial" w:eastAsia="Arial" w:hAnsi="Arial"/>
          <w:sz w:val="20"/>
          <w:szCs w:val="20"/>
          <w:color w:val="auto"/>
        </w:rPr>
      </w:pPr>
    </w:p>
    <w:p>
      <w:pPr>
        <w:ind w:left="720" w:right="340" w:hanging="353"/>
        <w:spacing w:after="0" w:line="283"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public opinion and scrutiny of cell-based immuno-oncology and autoimmune and inflammatory therapies and its potential impact on public perception of our company and product candidates;</w:t>
      </w:r>
    </w:p>
    <w:p>
      <w:pPr>
        <w:spacing w:after="0" w:line="170" w:lineRule="exact"/>
        <w:rPr>
          <w:rFonts w:ascii="Arial" w:cs="Arial" w:eastAsia="Arial" w:hAnsi="Arial"/>
          <w:sz w:val="20"/>
          <w:szCs w:val="20"/>
          <w:color w:val="auto"/>
        </w:rPr>
      </w:pPr>
    </w:p>
    <w:p>
      <w:pPr>
        <w:ind w:left="720" w:right="360" w:hanging="353"/>
        <w:spacing w:after="0" w:line="283"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successfully commercialize our product candidates and develop sales and marketing capabilities, if our product candidates are approved;</w:t>
      </w:r>
    </w:p>
    <w:p>
      <w:pPr>
        <w:spacing w:after="0" w:line="171" w:lineRule="exact"/>
        <w:rPr>
          <w:rFonts w:ascii="Arial" w:cs="Arial" w:eastAsia="Arial" w:hAnsi="Arial"/>
          <w:sz w:val="20"/>
          <w:szCs w:val="20"/>
          <w:color w:val="auto"/>
        </w:rPr>
      </w:pPr>
    </w:p>
    <w:p>
      <w:pPr>
        <w:ind w:left="720" w:right="120" w:hanging="353"/>
        <w:spacing w:after="0" w:line="283"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size and growth of the potential markets for our product candidates and our ability to serve those markets;</w:t>
      </w:r>
    </w:p>
    <w:p>
      <w:pPr>
        <w:spacing w:after="0" w:line="170" w:lineRule="exact"/>
        <w:rPr>
          <w:rFonts w:ascii="Arial" w:cs="Arial" w:eastAsia="Arial" w:hAnsi="Arial"/>
          <w:sz w:val="20"/>
          <w:szCs w:val="20"/>
          <w:color w:val="auto"/>
        </w:rPr>
      </w:pPr>
    </w:p>
    <w:p>
      <w:pPr>
        <w:ind w:left="720" w:right="320" w:hanging="353"/>
        <w:spacing w:after="0" w:line="283"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regulatory developments and approval pathways in the United States and foreign countries for our product candidates;</w:t>
      </w:r>
    </w:p>
    <w:p>
      <w:pPr>
        <w:spacing w:after="0" w:line="171" w:lineRule="exact"/>
        <w:rPr>
          <w:rFonts w:ascii="Arial" w:cs="Arial" w:eastAsia="Arial" w:hAnsi="Arial"/>
          <w:sz w:val="20"/>
          <w:szCs w:val="20"/>
          <w:color w:val="auto"/>
        </w:rPr>
      </w:pPr>
    </w:p>
    <w:p>
      <w:pPr>
        <w:ind w:left="720" w:hanging="353"/>
        <w:spacing w:after="0"/>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potential scope and value of our intellectual property and proprietary rights;</w:t>
      </w:r>
    </w:p>
    <w:p>
      <w:pPr>
        <w:spacing w:after="0" w:line="253" w:lineRule="exact"/>
        <w:rPr>
          <w:rFonts w:ascii="Arial" w:cs="Arial" w:eastAsia="Arial" w:hAnsi="Arial"/>
          <w:sz w:val="20"/>
          <w:szCs w:val="20"/>
          <w:color w:val="auto"/>
        </w:rPr>
      </w:pPr>
    </w:p>
    <w:p>
      <w:pPr>
        <w:ind w:left="720" w:right="160" w:hanging="353"/>
        <w:spacing w:after="0" w:line="254"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98" w:lineRule="exact"/>
        <w:rPr>
          <w:rFonts w:ascii="Arial" w:cs="Arial" w:eastAsia="Arial" w:hAnsi="Arial"/>
          <w:sz w:val="20"/>
          <w:szCs w:val="20"/>
          <w:color w:val="auto"/>
        </w:rPr>
      </w:pPr>
    </w:p>
    <w:p>
      <w:pPr>
        <w:ind w:left="720" w:right="880" w:hanging="353"/>
        <w:spacing w:after="0" w:line="283"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recruit and retain key members of management and other clinical and scientific personnel;</w:t>
      </w:r>
    </w:p>
    <w:p>
      <w:pPr>
        <w:spacing w:after="0" w:line="171" w:lineRule="exact"/>
        <w:rPr>
          <w:rFonts w:ascii="Arial" w:cs="Arial" w:eastAsia="Arial" w:hAnsi="Arial"/>
          <w:sz w:val="20"/>
          <w:szCs w:val="20"/>
          <w:color w:val="auto"/>
        </w:rPr>
      </w:pPr>
    </w:p>
    <w:p>
      <w:pPr>
        <w:ind w:left="720" w:right="180" w:hanging="353"/>
        <w:spacing w:after="0" w:line="262"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volatility of capital markets and other macroeconomic factors, including due to inflationary pressures, banking instability, global health crises, geopolitical tensions or the outbreak of hostilities or war;</w:t>
      </w:r>
    </w:p>
    <w:p>
      <w:pPr>
        <w:spacing w:after="0" w:line="190" w:lineRule="exact"/>
        <w:rPr>
          <w:rFonts w:ascii="Arial" w:cs="Arial" w:eastAsia="Arial" w:hAnsi="Arial"/>
          <w:sz w:val="20"/>
          <w:szCs w:val="20"/>
          <w:color w:val="auto"/>
        </w:rPr>
      </w:pPr>
    </w:p>
    <w:p>
      <w:pPr>
        <w:ind w:left="720" w:hanging="353"/>
        <w:spacing w:after="0"/>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developments relating to our competitors and our industry; and</w:t>
      </w:r>
    </w:p>
    <w:p>
      <w:pPr>
        <w:spacing w:after="0" w:line="253" w:lineRule="exact"/>
        <w:rPr>
          <w:rFonts w:ascii="Arial" w:cs="Arial" w:eastAsia="Arial" w:hAnsi="Arial"/>
          <w:sz w:val="20"/>
          <w:szCs w:val="20"/>
          <w:color w:val="auto"/>
        </w:rPr>
      </w:pPr>
    </w:p>
    <w:p>
      <w:pPr>
        <w:ind w:left="720" w:right="660" w:hanging="353"/>
        <w:spacing w:after="0" w:line="283"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other risks and uncertainties, including those described or incorporated by reference under the caption “Risk factors” in this Annual Report on Form 10-K.</w:t>
      </w:r>
    </w:p>
    <w:p>
      <w:pPr>
        <w:spacing w:after="0" w:line="157" w:lineRule="exact"/>
        <w:rPr>
          <w:sz w:val="20"/>
          <w:szCs w:val="20"/>
          <w:color w:val="auto"/>
        </w:rPr>
      </w:pPr>
    </w:p>
    <w:p>
      <w:pPr>
        <w:ind w:firstLine="1"/>
        <w:spacing w:after="0" w:line="259" w:lineRule="auto"/>
        <w:rPr>
          <w:sz w:val="20"/>
          <w:szCs w:val="20"/>
          <w:color w:val="auto"/>
        </w:rPr>
      </w:pPr>
      <w:r>
        <w:rPr>
          <w:rFonts w:ascii="Arial" w:cs="Arial" w:eastAsia="Arial" w:hAnsi="Arial"/>
          <w:sz w:val="19"/>
          <w:szCs w:val="19"/>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 -looking statement contained in this Annual Report on Form 10-K,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w:t>
      </w:r>
    </w:p>
    <w:p>
      <w:pPr>
        <w:sectPr>
          <w:pgSz w:w="11880" w:h="15480" w:orient="portrait"/>
          <w:cols w:equalWidth="0" w:num="1">
            <w:col w:w="9720"/>
          </w:cols>
          <w:pgMar w:left="1080" w:top="1081"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880" w:h="15480" w:orient="portrait"/>
          <w:cols w:equalWidth="0" w:num="1">
            <w:col w:w="9720"/>
          </w:cols>
          <w:pgMar w:left="1080" w:top="1081" w:right="1080" w:bottom="542" w:gutter="0" w:footer="0" w:header="0"/>
          <w:type w:val="continuous"/>
        </w:sectPr>
      </w:pPr>
    </w:p>
    <w:bookmarkStart w:id="4" w:name="page5"/>
    <w:bookmarkEnd w:id="4"/>
    <w:p>
      <w:pPr>
        <w:spacing w:after="0" w:line="283" w:lineRule="auto"/>
        <w:rPr>
          <w:sz w:val="20"/>
          <w:szCs w:val="20"/>
          <w:color w:val="auto"/>
        </w:rPr>
      </w:pPr>
      <w:r>
        <w:rPr>
          <w:rFonts w:ascii="Arial" w:cs="Arial" w:eastAsia="Arial" w:hAnsi="Arial"/>
          <w:sz w:val="20"/>
          <w:szCs w:val="20"/>
          <w:color w:val="auto"/>
        </w:rPr>
        <w:t>law, we undertake no obligation to publicly update any forward-looking statements, whether as a result of new information, future events or otherwise.</w:t>
      </w:r>
    </w:p>
    <w:p>
      <w:pPr>
        <w:spacing w:after="0" w:line="158" w:lineRule="exact"/>
        <w:rPr>
          <w:sz w:val="20"/>
          <w:szCs w:val="20"/>
          <w:color w:val="auto"/>
        </w:rPr>
      </w:pPr>
    </w:p>
    <w:p>
      <w:pPr>
        <w:ind w:right="280"/>
        <w:spacing w:after="0" w:line="261" w:lineRule="auto"/>
        <w:rPr>
          <w:sz w:val="20"/>
          <w:szCs w:val="20"/>
          <w:color w:val="auto"/>
        </w:rPr>
      </w:pPr>
      <w:r>
        <w:rPr>
          <w:rFonts w:ascii="Arial" w:cs="Arial" w:eastAsia="Arial" w:hAnsi="Arial"/>
          <w:sz w:val="20"/>
          <w:szCs w:val="20"/>
          <w:color w:val="auto"/>
        </w:rPr>
        <w:t>You should read this Annual Report on Form 10-K and the documents that we incorporate by reference herein completely and with the understanding that our actual future results may be materially different from what we expect. We do not assume any obligation to update any forward-looking statements.</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880" w:h="15480" w:orient="portrait"/>
          <w:cols w:equalWidth="0" w:num="1">
            <w:col w:w="9700"/>
          </w:cols>
          <w:pgMar w:left="1080" w:top="1067" w:right="1100" w:bottom="542"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are a clinical-stage biotechnology company harnessing the power of allogeneic pluripotent stem cell therapies to develop potentially curative cell therapy products for autoimmune diseases and cancer. Our natural killer, or NK, and T cell programs are allogeneic, meaning they are derived from healthy donors for use in any patient, rather than being sourced from an individual for their own specific use, as is the case with autologous T cells. As a result, we believe such “off-the -shelf" therapies have the potential to overcome the limitations of first-generation cell therapies by providing readily available treatments more quickly, reliably, at greater scale, and to a broader patient population. What we believe further sets us apart from other allogeneic approaches is our focus on induced pluripotent stem cells, or iPSCs, which possess the unique ability to self-renew indefinitely and differentiate into any cell type, enabling virtually unlimited genetic editing, consistent reproducibility, and scalable manufacturing. We have created a comprehensive, genetically engineered allogeneic cell therapy platform that includes:</w:t>
      </w:r>
    </w:p>
    <w:p>
      <w:pPr>
        <w:spacing w:after="0" w:line="213" w:lineRule="exact"/>
        <w:rPr>
          <w:sz w:val="20"/>
          <w:szCs w:val="20"/>
          <w:color w:val="auto"/>
        </w:rPr>
      </w:pPr>
    </w:p>
    <w:p>
      <w:pPr>
        <w:ind w:left="720" w:right="200" w:hanging="353"/>
        <w:spacing w:after="0" w:line="283"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Industry-leading iPSCs and differentiation know-how to generate immune effector cells from iPSCs, or iPSC-derived cells;</w:t>
      </w:r>
    </w:p>
    <w:p>
      <w:pPr>
        <w:spacing w:after="0" w:line="170" w:lineRule="exact"/>
        <w:rPr>
          <w:rFonts w:ascii="Arial" w:cs="Arial" w:eastAsia="Arial" w:hAnsi="Arial"/>
          <w:sz w:val="20"/>
          <w:szCs w:val="20"/>
          <w:color w:val="auto"/>
        </w:rPr>
      </w:pPr>
    </w:p>
    <w:p>
      <w:pPr>
        <w:ind w:left="720" w:hanging="353"/>
        <w:spacing w:after="0" w:line="262"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Clustered regularly interspaced short palindromic repeats, or CRISPR mediated precision gene editing that allows us to incorporate multiple transgenes and disrupt target genes intended to optimize cell product performance;</w:t>
      </w:r>
    </w:p>
    <w:p>
      <w:pPr>
        <w:spacing w:after="0" w:line="191" w:lineRule="exact"/>
        <w:rPr>
          <w:rFonts w:ascii="Arial" w:cs="Arial" w:eastAsia="Arial" w:hAnsi="Arial"/>
          <w:sz w:val="20"/>
          <w:szCs w:val="20"/>
          <w:color w:val="auto"/>
        </w:rPr>
      </w:pPr>
    </w:p>
    <w:p>
      <w:pPr>
        <w:ind w:left="720" w:right="20" w:hanging="353"/>
        <w:spacing w:after="0" w:line="283"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Sophisticated protein engineering capabilities to develop proprietary next generation chimeric antigen receptors, or CARs;</w:t>
      </w:r>
    </w:p>
    <w:p>
      <w:pPr>
        <w:spacing w:after="0" w:line="170" w:lineRule="exact"/>
        <w:rPr>
          <w:rFonts w:ascii="Arial" w:cs="Arial" w:eastAsia="Arial" w:hAnsi="Arial"/>
          <w:sz w:val="20"/>
          <w:szCs w:val="20"/>
          <w:color w:val="auto"/>
        </w:rPr>
      </w:pPr>
    </w:p>
    <w:p>
      <w:pPr>
        <w:ind w:left="720" w:right="320" w:hanging="353"/>
        <w:spacing w:after="0" w:line="283"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proprietary Allo-Evasion™ technology intended to prevent rejection of our cell products by the host immune system, enabling the potential for persistence and re-dosing of therapy; and</w:t>
      </w:r>
    </w:p>
    <w:p>
      <w:pPr>
        <w:spacing w:after="0" w:line="171" w:lineRule="exact"/>
        <w:rPr>
          <w:rFonts w:ascii="Arial" w:cs="Arial" w:eastAsia="Arial" w:hAnsi="Arial"/>
          <w:sz w:val="20"/>
          <w:szCs w:val="20"/>
          <w:color w:val="auto"/>
        </w:rPr>
      </w:pPr>
    </w:p>
    <w:p>
      <w:pPr>
        <w:ind w:left="720" w:right="20" w:hanging="353"/>
        <w:spacing w:after="0" w:line="283"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Cutting-edge manufacturing capabilities intended to drive scale advantages and reduce cost of goods sold, or COGs, while minimizing product development and supply risk.</w:t>
      </w:r>
    </w:p>
    <w:p>
      <w:pPr>
        <w:spacing w:after="0" w:line="157" w:lineRule="exact"/>
        <w:rPr>
          <w:sz w:val="20"/>
          <w:szCs w:val="20"/>
          <w:color w:val="auto"/>
        </w:rPr>
      </w:pPr>
    </w:p>
    <w:p>
      <w:pPr>
        <w:ind w:firstLine="1"/>
        <w:spacing w:after="0" w:line="247" w:lineRule="auto"/>
        <w:rPr>
          <w:sz w:val="20"/>
          <w:szCs w:val="20"/>
          <w:color w:val="auto"/>
        </w:rPr>
      </w:pPr>
      <w:r>
        <w:rPr>
          <w:rFonts w:ascii="Arial" w:cs="Arial" w:eastAsia="Arial" w:hAnsi="Arial"/>
          <w:sz w:val="20"/>
          <w:szCs w:val="20"/>
          <w:color w:val="auto"/>
        </w:rPr>
        <w:t xml:space="preserve">We are leveraging our expertise in cellular reprogramming, differentiation, genetic engineering, and manufacturing to develop therapies with the potential to provide enhanced clinical outcomes compared to existing cell therapy technologies and available therapeutic options. We are unique in the breadth of immune effector cell types we can generate from iPSCs, including iPSC-derived natural killer cells, or iNK cells, iPSC-derived </w:t>
      </w:r>
      <w:r>
        <w:rPr>
          <w:rFonts w:ascii="Arial" w:cs="Arial" w:eastAsia="Arial" w:hAnsi="Arial"/>
          <w:sz w:val="20"/>
          <w:szCs w:val="20"/>
          <w:color w:val="auto"/>
        </w:rPr>
        <w:t>γδ</w:t>
      </w:r>
      <w:r>
        <w:rPr>
          <w:rFonts w:ascii="Arial" w:cs="Arial" w:eastAsia="Arial" w:hAnsi="Arial"/>
          <w:sz w:val="20"/>
          <w:szCs w:val="20"/>
          <w:color w:val="auto"/>
        </w:rPr>
        <w:t xml:space="preserve"> T cells, or </w:t>
      </w:r>
      <w:r>
        <w:rPr>
          <w:rFonts w:ascii="Arial" w:cs="Arial" w:eastAsia="Arial" w:hAnsi="Arial"/>
          <w:sz w:val="20"/>
          <w:szCs w:val="20"/>
          <w:color w:val="auto"/>
        </w:rPr>
        <w:t>γδ</w:t>
      </w:r>
      <w:r>
        <w:rPr>
          <w:rFonts w:ascii="Arial" w:cs="Arial" w:eastAsia="Arial" w:hAnsi="Arial"/>
          <w:sz w:val="20"/>
          <w:szCs w:val="20"/>
          <w:color w:val="auto"/>
        </w:rPr>
        <w:t xml:space="preserve"> IT cells and iPSC-derived CD4+ and CD8+ </w:t>
      </w:r>
      <w:r>
        <w:rPr>
          <w:rFonts w:ascii="Arial" w:cs="Arial" w:eastAsia="Arial" w:hAnsi="Arial"/>
          <w:sz w:val="20"/>
          <w:szCs w:val="20"/>
          <w:color w:val="auto"/>
        </w:rPr>
        <w:t>αβ</w:t>
      </w:r>
      <w:r>
        <w:rPr>
          <w:rFonts w:ascii="Arial" w:cs="Arial" w:eastAsia="Arial" w:hAnsi="Arial"/>
          <w:sz w:val="20"/>
          <w:szCs w:val="20"/>
          <w:color w:val="auto"/>
        </w:rPr>
        <w:t xml:space="preserve"> T cells, or </w:t>
      </w:r>
      <w:r>
        <w:rPr>
          <w:rFonts w:ascii="Arial" w:cs="Arial" w:eastAsia="Arial" w:hAnsi="Arial"/>
          <w:sz w:val="20"/>
          <w:szCs w:val="20"/>
          <w:color w:val="auto"/>
        </w:rPr>
        <w:t>αβ</w:t>
      </w:r>
      <w:r>
        <w:rPr>
          <w:rFonts w:ascii="Arial" w:cs="Arial" w:eastAsia="Arial" w:hAnsi="Arial"/>
          <w:sz w:val="20"/>
          <w:szCs w:val="20"/>
          <w:color w:val="auto"/>
        </w:rPr>
        <w:t xml:space="preserve"> iT cells. We believe this capability enables optimal matching of cell characteristics to indication, ensuring we target the right cell for the right indication. Further, we have developed a feeder-free, scalable process that recapitulates normal T cell development in a dish, allowing for what we believe to be the industry-first presentation of iPSC-derived CD4+ and CD8+ CAR-T cells that demonstrate </w:t>
      </w:r>
      <w:r>
        <w:rPr>
          <w:rFonts w:ascii="Arial" w:cs="Arial" w:eastAsia="Arial" w:hAnsi="Arial"/>
          <w:sz w:val="20"/>
          <w:szCs w:val="20"/>
          <w:color w:val="auto"/>
        </w:rPr>
        <w:t>αβ</w:t>
      </w:r>
      <w:r>
        <w:rPr>
          <w:rFonts w:ascii="Arial" w:cs="Arial" w:eastAsia="Arial" w:hAnsi="Arial"/>
          <w:sz w:val="20"/>
          <w:szCs w:val="20"/>
          <w:color w:val="auto"/>
        </w:rPr>
        <w:t>-like T cell function.</w:t>
      </w:r>
    </w:p>
    <w:p>
      <w:pPr>
        <w:spacing w:after="0" w:line="195"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Our lead clinical product candidate, CNTY- 101, is a CAR-iNK cell therapy with six precision gene edits currently being tested in a Phase 1 clinical trial for patients with B-cell mediated autoimmune diseases. In March 2025, we announced that we have discontinued our ELiPSE-1 Phase 1 clinical trial of CNTY-101 for patients with lymphoma for strategic reasons. While we remain encouraged by tolerability and clinical activity of CNTY-101 in late-stage R/R NHL, emerging data from ELiPSE-1 did not meet our threshold to be considered transformational in this</w:t>
      </w:r>
      <w:r>
        <w:rPr>
          <w:rFonts w:ascii="Arial" w:cs="Arial" w:eastAsia="Arial" w:hAnsi="Arial"/>
          <w:sz w:val="20"/>
          <w:szCs w:val="20"/>
          <w:color w:val="auto"/>
        </w:rPr>
        <w:t> </w:t>
      </w:r>
      <w:r>
        <w:rPr>
          <w:rFonts w:ascii="Arial" w:cs="Arial" w:eastAsia="Arial" w:hAnsi="Arial"/>
          <w:sz w:val="20"/>
          <w:szCs w:val="20"/>
          <w:color w:val="auto"/>
        </w:rPr>
        <w:t>patient population.</w:t>
      </w:r>
    </w:p>
    <w:p>
      <w:pPr>
        <w:spacing w:after="0" w:line="194"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In March 2025, we also announced a re-prioritized pre-clinical pipeline intended to further leverage the unique capabilities and technologies we have towards transformative treatments holding strong commercial potential</w:t>
      </w:r>
    </w:p>
    <w:p>
      <w:pPr>
        <w:sectPr>
          <w:pgSz w:w="11880" w:h="15480" w:orient="portrait"/>
          <w:cols w:equalWidth="0" w:num="1">
            <w:col w:w="9700"/>
          </w:cols>
          <w:pgMar w:left="1080" w:top="1064"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880" w:h="15480" w:orient="portrait"/>
          <w:cols w:equalWidth="0" w:num="1">
            <w:col w:w="9700"/>
          </w:cols>
          <w:pgMar w:left="1080" w:top="1064" w:right="1100" w:bottom="542" w:gutter="0" w:footer="0" w:header="0"/>
          <w:type w:val="continuous"/>
        </w:sectPr>
      </w:pPr>
    </w:p>
    <w:bookmarkStart w:id="6" w:name="page7"/>
    <w:bookmarkEnd w:id="6"/>
    <w:p>
      <w:pPr>
        <w:jc w:val="both"/>
        <w:ind w:right="20"/>
        <w:spacing w:after="0" w:line="262" w:lineRule="auto"/>
        <w:rPr>
          <w:sz w:val="20"/>
          <w:szCs w:val="20"/>
          <w:color w:val="auto"/>
        </w:rPr>
      </w:pPr>
      <w:r>
        <w:rPr>
          <w:rFonts w:ascii="Arial" w:cs="Arial" w:eastAsia="Arial" w:hAnsi="Arial"/>
          <w:sz w:val="20"/>
          <w:szCs w:val="20"/>
          <w:color w:val="auto"/>
        </w:rPr>
        <w:t>to treat serious diseases with high unmet need. Accordingly, in addition to our clinical stage programs, we will be focusing on three core pre-clinical programs built on our industry leading iT cell platform. We believe these programs have significant potential for differentiation in their respective categories.</w:t>
      </w:r>
    </w:p>
    <w:p>
      <w:pPr>
        <w:spacing w:after="0" w:line="191" w:lineRule="exact"/>
        <w:rPr>
          <w:sz w:val="20"/>
          <w:szCs w:val="20"/>
          <w:color w:val="auto"/>
        </w:rPr>
      </w:pPr>
    </w:p>
    <w:p>
      <w:pPr>
        <w:ind w:left="720" w:right="140" w:hanging="353"/>
        <w:spacing w:after="0" w:line="261"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CNTY-308: A CD19-targeted CAR-iT cell therapy engineered with Allo-Evasion™ 5.0 demonstrating preclinical efficacy comparable to autologous CD19 CAR-T cells. It is being developed primarily for B- cell mediated autoimmune diseases and malignancies.</w:t>
      </w:r>
    </w:p>
    <w:p>
      <w:pPr>
        <w:spacing w:after="0" w:line="192" w:lineRule="exact"/>
        <w:rPr>
          <w:rFonts w:ascii="Arial" w:cs="Arial" w:eastAsia="Arial" w:hAnsi="Arial"/>
          <w:sz w:val="20"/>
          <w:szCs w:val="20"/>
          <w:color w:val="auto"/>
        </w:rPr>
      </w:pPr>
    </w:p>
    <w:p>
      <w:pPr>
        <w:ind w:left="720" w:right="380" w:hanging="353"/>
        <w:spacing w:after="0" w:line="261"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CNTY-341: A CD19/CD22 dual-targeted CAR-iT cell therapy engineered with Allo-Evasion™ 5.0 which pairs dual targeting and primary T-cell-like functionality in an allogeneic cell with the goal of providing a differentiated therapy for B cell malignancies.</w:t>
      </w:r>
    </w:p>
    <w:p>
      <w:pPr>
        <w:spacing w:after="0" w:line="192" w:lineRule="exact"/>
        <w:rPr>
          <w:rFonts w:ascii="Arial" w:cs="Arial" w:eastAsia="Arial" w:hAnsi="Arial"/>
          <w:sz w:val="20"/>
          <w:szCs w:val="20"/>
          <w:color w:val="auto"/>
        </w:rPr>
      </w:pPr>
    </w:p>
    <w:p>
      <w:pPr>
        <w:ind w:left="720" w:right="20" w:hanging="353"/>
        <w:spacing w:after="0" w:line="262"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first solid tumor CAR iT program exploiting Nectin-4 CAR and other validated targets, engineered with Allo-Evasion™ 5.0 and additional engineering aimed at overcoming the key barriers to success in solid tumors.</w:t>
      </w:r>
    </w:p>
    <w:p>
      <w:pPr>
        <w:spacing w:after="0" w:line="190" w:lineRule="exact"/>
        <w:rPr>
          <w:rFonts w:ascii="Arial" w:cs="Arial" w:eastAsia="Arial" w:hAnsi="Arial"/>
          <w:sz w:val="20"/>
          <w:szCs w:val="20"/>
          <w:color w:val="auto"/>
        </w:rPr>
      </w:pPr>
    </w:p>
    <w:p>
      <w:pPr>
        <w:ind w:left="720" w:right="360" w:hanging="353"/>
        <w:spacing w:after="0" w:line="262"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are also selectively expanding to non-immune effector cells with opportunities to potentially accelerate in high-impact therapeutic areas where we believe our technology and capabilities can provide meaningful differentiation.</w:t>
      </w:r>
    </w:p>
    <w:p>
      <w:pPr>
        <w:spacing w:after="0" w:line="177"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Our vision is to become a premier, fully integrated biotechnology company by developing and ultimately commercializing off-the-shelf allogeneic cell therapies that dramatically and positively transform the lives of patients suffering from life-threatening autoimmune diseases and cancers. To achieve our vision, we have assembled a world- class team with decades of collective experience in cell therapy and drug development, manufacturing, and commercialization.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Approach:</w:t>
      </w:r>
    </w:p>
    <w:p>
      <w:pPr>
        <w:spacing w:after="0" w:line="256" w:lineRule="exact"/>
        <w:rPr>
          <w:sz w:val="20"/>
          <w:szCs w:val="20"/>
          <w:color w:val="auto"/>
        </w:rPr>
      </w:pPr>
    </w:p>
    <w:p>
      <w:pPr>
        <w:ind w:left="720" w:hanging="353"/>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Off-the-shelf therapies</w:t>
      </w:r>
    </w:p>
    <w:p>
      <w:pPr>
        <w:spacing w:after="0" w:line="240" w:lineRule="exact"/>
        <w:rPr>
          <w:sz w:val="20"/>
          <w:szCs w:val="20"/>
          <w:color w:val="auto"/>
        </w:rPr>
      </w:pPr>
    </w:p>
    <w:p>
      <w:pPr>
        <w:ind w:left="1440" w:hanging="353"/>
        <w:spacing w:after="0" w:line="242" w:lineRule="auto"/>
        <w:tabs>
          <w:tab w:leader="none" w:pos="1440" w:val="left"/>
        </w:tabs>
        <w:numPr>
          <w:ilvl w:val="1"/>
          <w:numId w:val="8"/>
        </w:numPr>
        <w:rPr>
          <w:rFonts w:ascii="Courier New" w:cs="Courier New" w:eastAsia="Courier New" w:hAnsi="Courier New"/>
          <w:sz w:val="20"/>
          <w:szCs w:val="20"/>
          <w:color w:val="auto"/>
        </w:rPr>
      </w:pPr>
      <w:r>
        <w:rPr>
          <w:rFonts w:ascii="Arial" w:cs="Arial" w:eastAsia="Arial" w:hAnsi="Arial"/>
          <w:sz w:val="20"/>
          <w:szCs w:val="20"/>
          <w:color w:val="auto"/>
        </w:rPr>
        <w:t>We are focused on developing “off-the-shelf" cell therapies, which are derived from donor cells or engineered cell lines, are manufactured in advance and stored for immediate use, removing the need for patient-specific cell collection. We believe the advantage of this approach is scalability and availability, allowing for treatment without the delays and complications to access associated with the manufacture of personalized therapies. Unlike autologous therapies which rely on a patient’s own cells and can be limited by cell quality, off-the-shelf therapies are sourced from healthy donors or optimized cell lines, designed to ensure consistency and potency, and are modified to potentially overcome immune rejection. By addressing manufacturing challenges, reducing costs, and increasing accessibility, off-the-shelf cell therapies have the potential to transform immunotherapy, making treatments available to more patients.</w:t>
      </w:r>
    </w:p>
    <w:p>
      <w:pPr>
        <w:spacing w:after="0" w:line="214" w:lineRule="exact"/>
        <w:rPr>
          <w:rFonts w:ascii="Courier New" w:cs="Courier New" w:eastAsia="Courier New" w:hAnsi="Courier New"/>
          <w:sz w:val="20"/>
          <w:szCs w:val="20"/>
          <w:color w:val="auto"/>
        </w:rPr>
      </w:pPr>
    </w:p>
    <w:p>
      <w:pPr>
        <w:ind w:left="720" w:hanging="353"/>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iPSCs</w:t>
      </w:r>
    </w:p>
    <w:p>
      <w:pPr>
        <w:spacing w:after="0" w:line="240" w:lineRule="exact"/>
        <w:rPr>
          <w:rFonts w:ascii="Arial" w:cs="Arial" w:eastAsia="Arial" w:hAnsi="Arial"/>
          <w:sz w:val="20"/>
          <w:szCs w:val="20"/>
          <w:color w:val="auto"/>
        </w:rPr>
      </w:pPr>
    </w:p>
    <w:p>
      <w:pPr>
        <w:ind w:left="1440" w:hanging="353"/>
        <w:spacing w:after="0"/>
        <w:tabs>
          <w:tab w:leader="none" w:pos="1440" w:val="left"/>
        </w:tabs>
        <w:numPr>
          <w:ilvl w:val="1"/>
          <w:numId w:val="8"/>
        </w:numPr>
        <w:rPr>
          <w:rFonts w:ascii="Courier New" w:cs="Courier New" w:eastAsia="Courier New" w:hAnsi="Courier New"/>
          <w:sz w:val="20"/>
          <w:szCs w:val="20"/>
          <w:color w:val="auto"/>
        </w:rPr>
      </w:pPr>
      <w:r>
        <w:rPr>
          <w:rFonts w:ascii="Arial" w:cs="Arial" w:eastAsia="Arial" w:hAnsi="Arial"/>
          <w:sz w:val="20"/>
          <w:szCs w:val="20"/>
          <w:color w:val="auto"/>
        </w:rPr>
        <w:t>Engineerability</w:t>
      </w:r>
    </w:p>
    <w:p>
      <w:pPr>
        <w:spacing w:after="0" w:line="223" w:lineRule="exact"/>
        <w:rPr>
          <w:sz w:val="20"/>
          <w:szCs w:val="20"/>
          <w:color w:val="auto"/>
        </w:rPr>
      </w:pPr>
    </w:p>
    <w:p>
      <w:pPr>
        <w:ind w:left="2160" w:right="140"/>
        <w:spacing w:after="0" w:line="261" w:lineRule="auto"/>
        <w:rPr>
          <w:sz w:val="20"/>
          <w:szCs w:val="20"/>
          <w:color w:val="auto"/>
        </w:rPr>
      </w:pPr>
      <w:r>
        <w:rPr>
          <w:rFonts w:ascii="Arial" w:cs="Arial" w:eastAsia="Arial" w:hAnsi="Arial"/>
          <w:sz w:val="20"/>
          <w:szCs w:val="20"/>
          <w:color w:val="auto"/>
        </w:rPr>
        <w:t>The unlimited replication capacity of iPSCs allows us to incorporate multiple genetic modifications at precise sites, or loci, in the genome of iPSCs that are designed to improve cell function using CRISPR-mediated gene editing.</w:t>
      </w:r>
    </w:p>
    <w:p>
      <w:pPr>
        <w:spacing w:after="0" w:line="180" w:lineRule="exact"/>
        <w:rPr>
          <w:sz w:val="20"/>
          <w:szCs w:val="20"/>
          <w:color w:val="auto"/>
        </w:rPr>
      </w:pPr>
    </w:p>
    <w:p>
      <w:pPr>
        <w:ind w:left="1440" w:hanging="353"/>
        <w:spacing w:after="0"/>
        <w:tabs>
          <w:tab w:leader="none" w:pos="1440" w:val="left"/>
        </w:tabs>
        <w:numPr>
          <w:ilvl w:val="0"/>
          <w:numId w:val="10"/>
        </w:numPr>
        <w:rPr>
          <w:rFonts w:ascii="Courier New" w:cs="Courier New" w:eastAsia="Courier New" w:hAnsi="Courier New"/>
          <w:sz w:val="20"/>
          <w:szCs w:val="20"/>
          <w:color w:val="auto"/>
        </w:rPr>
      </w:pPr>
      <w:r>
        <w:rPr>
          <w:rFonts w:ascii="Arial" w:cs="Arial" w:eastAsia="Arial" w:hAnsi="Arial"/>
          <w:sz w:val="20"/>
          <w:szCs w:val="20"/>
          <w:color w:val="auto"/>
        </w:rPr>
        <w:t>Reproducibility</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880" w:h="15480" w:orient="portrait"/>
          <w:cols w:equalWidth="0" w:num="1">
            <w:col w:w="9700"/>
          </w:cols>
          <w:pgMar w:left="1080" w:top="1067" w:right="1100" w:bottom="542" w:gutter="0" w:footer="0" w:header="0"/>
          <w:type w:val="continuous"/>
        </w:sectPr>
      </w:pPr>
    </w:p>
    <w:bookmarkStart w:id="7" w:name="page8"/>
    <w:bookmarkEnd w:id="7"/>
    <w:p>
      <w:pPr>
        <w:ind w:left="2160" w:right="20"/>
        <w:spacing w:after="0" w:line="245" w:lineRule="auto"/>
        <w:rPr>
          <w:sz w:val="20"/>
          <w:szCs w:val="20"/>
          <w:color w:val="auto"/>
        </w:rPr>
      </w:pPr>
      <w:r>
        <w:rPr>
          <w:rFonts w:ascii="Arial" w:cs="Arial" w:eastAsia="Arial" w:hAnsi="Arial"/>
          <w:sz w:val="20"/>
          <w:szCs w:val="20"/>
          <w:color w:val="auto"/>
        </w:rPr>
        <w:t>We have developed optimized cell-editing protocols that enable the generation of multiple gene deletions and bi-allelic gene insertions in a single iPSC clone derived from one healthy donor with relative ease and consistency, while maintaining genomic stability throughout the process. These cells can be extensively and fully characterized to ensure a consistent reproducible product. After editing, iPSCs can be cloned from a single cell and expanded to form a master cell bank, or MCB, that contains only cells that have the desired precision edits and no “off-target” edits. This MCB is the basis of all cells used to produce therapeutics and is capable of providing a sufficient number of doses for the life of a product due to the unlimited replicative capacity of iPSCs.</w:t>
      </w:r>
    </w:p>
    <w:p>
      <w:pPr>
        <w:spacing w:after="0" w:line="193" w:lineRule="exact"/>
        <w:rPr>
          <w:sz w:val="20"/>
          <w:szCs w:val="20"/>
          <w:color w:val="auto"/>
        </w:rPr>
      </w:pPr>
    </w:p>
    <w:p>
      <w:pPr>
        <w:ind w:left="1440" w:hanging="353"/>
        <w:spacing w:after="0"/>
        <w:tabs>
          <w:tab w:leader="none" w:pos="1440" w:val="left"/>
        </w:tabs>
        <w:numPr>
          <w:ilvl w:val="1"/>
          <w:numId w:val="12"/>
        </w:numPr>
        <w:rPr>
          <w:rFonts w:ascii="Courier New" w:cs="Courier New" w:eastAsia="Courier New" w:hAnsi="Courier New"/>
          <w:sz w:val="20"/>
          <w:szCs w:val="20"/>
          <w:color w:val="auto"/>
        </w:rPr>
      </w:pPr>
      <w:r>
        <w:rPr>
          <w:rFonts w:ascii="Arial" w:cs="Arial" w:eastAsia="Arial" w:hAnsi="Arial"/>
          <w:sz w:val="20"/>
          <w:szCs w:val="20"/>
          <w:color w:val="auto"/>
        </w:rPr>
        <w:t>Profitable Scalability</w:t>
      </w:r>
    </w:p>
    <w:p>
      <w:pPr>
        <w:spacing w:after="0" w:line="222" w:lineRule="exact"/>
        <w:rPr>
          <w:rFonts w:ascii="Courier New" w:cs="Courier New" w:eastAsia="Courier New" w:hAnsi="Courier New"/>
          <w:sz w:val="20"/>
          <w:szCs w:val="20"/>
          <w:color w:val="auto"/>
        </w:rPr>
      </w:pPr>
    </w:p>
    <w:p>
      <w:pPr>
        <w:ind w:left="2160" w:right="20"/>
        <w:spacing w:after="0" w:line="247" w:lineRule="auto"/>
        <w:rPr>
          <w:rFonts w:ascii="Courier New" w:cs="Courier New" w:eastAsia="Courier New" w:hAnsi="Courier New"/>
          <w:sz w:val="20"/>
          <w:szCs w:val="20"/>
          <w:color w:val="auto"/>
        </w:rPr>
      </w:pPr>
      <w:r>
        <w:rPr>
          <w:rFonts w:ascii="Arial" w:cs="Arial" w:eastAsia="Arial" w:hAnsi="Arial"/>
          <w:sz w:val="20"/>
          <w:szCs w:val="20"/>
          <w:color w:val="auto"/>
        </w:rPr>
        <w:t>We believe our iPSC-derived platform affords us a significant opportunity to advance multiplex gene-edited cell therapies that can be produced at a substantially lower cost and accessible by a much larger patient population as compared to other donor-derived and autologous cell therapy approaches. We are developing a significant depth of expertise related to scalable manufacturing and quality assurance in a dedicated facility to rapidly iterate and improve conditions for cell expansion, harvest, final container filling, and cryopreservation at a significantly reduced cost per dose.</w:t>
      </w:r>
    </w:p>
    <w:p>
      <w:pPr>
        <w:spacing w:after="0" w:line="207" w:lineRule="exact"/>
        <w:rPr>
          <w:rFonts w:ascii="Courier New" w:cs="Courier New" w:eastAsia="Courier New" w:hAnsi="Courier New"/>
          <w:sz w:val="20"/>
          <w:szCs w:val="20"/>
          <w:color w:val="auto"/>
        </w:rPr>
      </w:pPr>
    </w:p>
    <w:p>
      <w:pPr>
        <w:ind w:left="720" w:hanging="352"/>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Allo-EvasionTM technology</w:t>
      </w:r>
    </w:p>
    <w:p>
      <w:pPr>
        <w:spacing w:after="0" w:line="239" w:lineRule="exact"/>
        <w:rPr>
          <w:rFonts w:ascii="Arial" w:cs="Arial" w:eastAsia="Arial" w:hAnsi="Arial"/>
          <w:sz w:val="20"/>
          <w:szCs w:val="20"/>
          <w:color w:val="auto"/>
        </w:rPr>
      </w:pPr>
    </w:p>
    <w:p>
      <w:pPr>
        <w:ind w:left="1440" w:right="20" w:hanging="352"/>
        <w:spacing w:after="0" w:line="243" w:lineRule="auto"/>
        <w:tabs>
          <w:tab w:leader="none" w:pos="1440" w:val="left"/>
        </w:tabs>
        <w:numPr>
          <w:ilvl w:val="1"/>
          <w:numId w:val="12"/>
        </w:numPr>
        <w:rPr>
          <w:rFonts w:ascii="Courier New" w:cs="Courier New" w:eastAsia="Courier New" w:hAnsi="Courier New"/>
          <w:sz w:val="20"/>
          <w:szCs w:val="20"/>
          <w:color w:val="auto"/>
        </w:rPr>
      </w:pPr>
      <w:r>
        <w:rPr>
          <w:rFonts w:ascii="Arial" w:cs="Arial" w:eastAsia="Arial" w:hAnsi="Arial"/>
          <w:sz w:val="20"/>
          <w:szCs w:val="20"/>
          <w:color w:val="auto"/>
        </w:rPr>
        <w:t>Our proprietary Allo-EvasionTM engineering technology is designed to enable our cell product candidates to escape recognition and destruction and thus coexist with the host immune system. This innovative technology also [allows us] to perform repeat dosing of our cell therapies where needed to improve their therapeutic potential by more precisely controlling drug exposure. Thus, we can utilize repeat dosing as needed to both maximize durability of response and improve efficacy for the disease or setting. Additionally, we believe this technology may permit dosing in patients with limited or no immune preconditioning regimens, or without the use of ongoing immune suppression.</w:t>
      </w:r>
    </w:p>
    <w:p>
      <w:pPr>
        <w:spacing w:after="0" w:line="213" w:lineRule="exact"/>
        <w:rPr>
          <w:rFonts w:ascii="Courier New" w:cs="Courier New" w:eastAsia="Courier New" w:hAnsi="Courier New"/>
          <w:sz w:val="20"/>
          <w:szCs w:val="20"/>
          <w:color w:val="auto"/>
        </w:rPr>
      </w:pPr>
    </w:p>
    <w:p>
      <w:pPr>
        <w:ind w:left="720" w:hanging="352"/>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Immune cell differentiation: </w:t>
      </w:r>
      <w:r>
        <w:rPr>
          <w:rFonts w:ascii="Arial" w:cs="Arial" w:eastAsia="Arial" w:hAnsi="Arial"/>
          <w:sz w:val="20"/>
          <w:szCs w:val="20"/>
          <w:color w:val="auto"/>
        </w:rPr>
        <w:t>αβ</w:t>
      </w:r>
      <w:r>
        <w:rPr>
          <w:rFonts w:ascii="Arial" w:cs="Arial" w:eastAsia="Arial" w:hAnsi="Arial"/>
          <w:sz w:val="20"/>
          <w:szCs w:val="20"/>
          <w:color w:val="auto"/>
        </w:rPr>
        <w:t xml:space="preserve"> iT cells, </w:t>
      </w:r>
      <w:r>
        <w:rPr>
          <w:rFonts w:ascii="Arial" w:cs="Arial" w:eastAsia="Arial" w:hAnsi="Arial"/>
          <w:sz w:val="20"/>
          <w:szCs w:val="20"/>
          <w:color w:val="auto"/>
        </w:rPr>
        <w:t>γδ</w:t>
      </w:r>
      <w:r>
        <w:rPr>
          <w:rFonts w:ascii="Arial" w:cs="Arial" w:eastAsia="Arial" w:hAnsi="Arial"/>
          <w:sz w:val="20"/>
          <w:szCs w:val="20"/>
          <w:color w:val="auto"/>
        </w:rPr>
        <w:t xml:space="preserve"> IT cells, iNK cells</w:t>
      </w:r>
    </w:p>
    <w:p>
      <w:pPr>
        <w:spacing w:after="0" w:line="253" w:lineRule="exact"/>
        <w:rPr>
          <w:rFonts w:ascii="Arial" w:cs="Arial" w:eastAsia="Arial" w:hAnsi="Arial"/>
          <w:sz w:val="20"/>
          <w:szCs w:val="20"/>
          <w:color w:val="auto"/>
        </w:rPr>
      </w:pPr>
    </w:p>
    <w:p>
      <w:pPr>
        <w:ind w:left="1440" w:hanging="351"/>
        <w:spacing w:after="0" w:line="247" w:lineRule="auto"/>
        <w:tabs>
          <w:tab w:leader="none" w:pos="1440" w:val="left"/>
        </w:tabs>
        <w:numPr>
          <w:ilvl w:val="1"/>
          <w:numId w:val="12"/>
        </w:numPr>
        <w:rPr>
          <w:rFonts w:ascii="Courier New" w:cs="Courier New" w:eastAsia="Courier New" w:hAnsi="Courier New"/>
          <w:sz w:val="20"/>
          <w:szCs w:val="20"/>
          <w:color w:val="auto"/>
        </w:rPr>
      </w:pPr>
      <w:r>
        <w:rPr>
          <w:rFonts w:ascii="Arial" w:cs="Arial" w:eastAsia="Arial" w:hAnsi="Arial"/>
          <w:sz w:val="20"/>
          <w:szCs w:val="20"/>
          <w:color w:val="auto"/>
        </w:rPr>
        <w:t xml:space="preserve">Our ability to generate multiple mature functional immune effector cells including iNK cells, </w:t>
      </w:r>
      <w:r>
        <w:rPr>
          <w:rFonts w:ascii="Arial" w:cs="Arial" w:eastAsia="Arial" w:hAnsi="Arial"/>
          <w:sz w:val="20"/>
          <w:szCs w:val="20"/>
          <w:color w:val="auto"/>
        </w:rPr>
        <w:t>γδ</w:t>
      </w:r>
      <w:r>
        <w:rPr>
          <w:rFonts w:ascii="Arial" w:cs="Arial" w:eastAsia="Arial" w:hAnsi="Arial"/>
          <w:sz w:val="20"/>
          <w:szCs w:val="20"/>
          <w:color w:val="auto"/>
        </w:rPr>
        <w:t xml:space="preserve"> iT cells, CD4+ and CD8+ </w:t>
      </w:r>
      <w:r>
        <w:rPr>
          <w:rFonts w:ascii="Arial" w:cs="Arial" w:eastAsia="Arial" w:hAnsi="Arial"/>
          <w:sz w:val="20"/>
          <w:szCs w:val="20"/>
          <w:color w:val="auto"/>
        </w:rPr>
        <w:t>αβ</w:t>
      </w:r>
      <w:r>
        <w:rPr>
          <w:rFonts w:ascii="Arial" w:cs="Arial" w:eastAsia="Arial" w:hAnsi="Arial"/>
          <w:sz w:val="20"/>
          <w:szCs w:val="20"/>
          <w:color w:val="auto"/>
        </w:rPr>
        <w:t xml:space="preserve"> iT cells using scalable feeder-free processes allows us to choose the “right cell” for the “right indication”. Differentiation of iPSCs to functional immune cells involves a series of developmental steps that we recapitulate under strictly controlled conditions, with different growth factors, cytokines, and small molecule mixtures introduced at different stages. By successfully guiding iPSCs through the natural stages of development, we generate mature immune effector cells.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Strategy:</w:t>
      </w:r>
    </w:p>
    <w:p>
      <w:pPr>
        <w:spacing w:after="0" w:line="240" w:lineRule="exact"/>
        <w:rPr>
          <w:sz w:val="20"/>
          <w:szCs w:val="20"/>
          <w:color w:val="auto"/>
        </w:rPr>
      </w:pPr>
    </w:p>
    <w:p>
      <w:pPr>
        <w:ind w:left="720" w:right="320" w:hanging="351"/>
        <w:spacing w:after="0" w:line="298" w:lineRule="auto"/>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Leverage our iPSC-derived allogeneic cell platforms to overcome the limitations of existing therapeutic approaches and provide improved treatment options to more patients</w:t>
      </w:r>
    </w:p>
    <w:p>
      <w:pPr>
        <w:spacing w:after="0" w:line="132" w:lineRule="exact"/>
        <w:rPr>
          <w:rFonts w:ascii="Arial" w:cs="Arial" w:eastAsia="Arial" w:hAnsi="Arial"/>
          <w:sz w:val="20"/>
          <w:szCs w:val="20"/>
          <w:b w:val="1"/>
          <w:bCs w:val="1"/>
          <w:color w:val="auto"/>
        </w:rPr>
      </w:pPr>
    </w:p>
    <w:p>
      <w:pPr>
        <w:ind w:left="720" w:right="280" w:firstLine="2"/>
        <w:spacing w:after="0" w:line="248" w:lineRule="auto"/>
        <w:rPr>
          <w:rFonts w:ascii="Arial" w:cs="Arial" w:eastAsia="Arial" w:hAnsi="Arial"/>
          <w:sz w:val="20"/>
          <w:szCs w:val="20"/>
          <w:b w:val="1"/>
          <w:bCs w:val="1"/>
          <w:color w:val="auto"/>
        </w:rPr>
      </w:pPr>
      <w:r>
        <w:rPr>
          <w:rFonts w:ascii="Arial" w:cs="Arial" w:eastAsia="Arial" w:hAnsi="Arial"/>
          <w:sz w:val="20"/>
          <w:szCs w:val="20"/>
          <w:color w:val="auto"/>
        </w:rPr>
        <w:t>We believe our iPSC-derived allogeneic cell therapy platforms have the potential to overcome the limitations of autologous and donor-derived cell therapies by providing readily available treatments more quickly, reliably, at greater scale, and to a broader patient population. Incorporating industry- leading iPSC differentiation know-how, CRISPR-mediated precision gene editing, sophisticated protein engineering, proprietary Allo-Evasion™ technology, and cutting-edge manufacturing, we seek to provide patients with improved treatment options.</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880" w:h="15480" w:orient="portrait"/>
          <w:cols w:equalWidth="0" w:num="1">
            <w:col w:w="9700"/>
          </w:cols>
          <w:pgMar w:left="1080" w:top="1067" w:right="1100" w:bottom="542" w:gutter="0" w:footer="0" w:header="0"/>
          <w:type w:val="continuous"/>
        </w:sectPr>
      </w:pPr>
    </w:p>
    <w:bookmarkStart w:id="8" w:name="page9"/>
    <w:bookmarkEnd w:id="8"/>
    <w:p>
      <w:pPr>
        <w:ind w:left="360" w:right="60"/>
        <w:spacing w:after="0" w:line="250" w:lineRule="auto"/>
        <w:rPr>
          <w:sz w:val="20"/>
          <w:szCs w:val="20"/>
          <w:color w:val="auto"/>
        </w:rPr>
      </w:pPr>
      <w:r>
        <w:rPr>
          <w:rFonts w:ascii="Arial" w:cs="Arial" w:eastAsia="Arial" w:hAnsi="Arial"/>
          <w:sz w:val="20"/>
          <w:szCs w:val="20"/>
          <w:color w:val="auto"/>
        </w:rPr>
        <w:t>Central to the potential clinical performance of our iPSC- derived cell therapies is our novel and proprietary Allo-Evasion™ technology, which is intended to avoid host recognition and rejection, enable repeat dosing, and increase cell durability and persistence. This may reduce or possibly eliminate the need for immune preconditioning regimens, such as lymphodepleting chemotherapy, or LDC.</w:t>
      </w:r>
    </w:p>
    <w:p>
      <w:pPr>
        <w:spacing w:after="0" w:line="193" w:lineRule="exact"/>
        <w:rPr>
          <w:sz w:val="20"/>
          <w:szCs w:val="20"/>
          <w:color w:val="auto"/>
        </w:rPr>
      </w:pPr>
    </w:p>
    <w:p>
      <w:pPr>
        <w:ind w:left="360"/>
        <w:spacing w:after="0" w:line="245" w:lineRule="auto"/>
        <w:rPr>
          <w:sz w:val="20"/>
          <w:szCs w:val="20"/>
          <w:color w:val="auto"/>
        </w:rPr>
      </w:pPr>
      <w:r>
        <w:rPr>
          <w:rFonts w:ascii="Arial" w:cs="Arial" w:eastAsia="Arial" w:hAnsi="Arial"/>
          <w:sz w:val="20"/>
          <w:szCs w:val="20"/>
          <w:color w:val="auto"/>
        </w:rPr>
        <w:t>LDC is used prior to all approved CAR -T cell therapies, due to its ability to ensure cytokine support for the CAR-T cells and eliminate host cells that can kill the cell therapy. However, the chemotherapeutic agents used for lymphodepletion can cause a variety of toxicities including prolonged cytopenias, severe neurotoxicities, and fertility issues. These can result in patient and provider hesitation and can limit the use of cell therapies in the outpatient setting. The requirement for LDC also limits the number of doses of cell therapy a patient can receive. In particular, avoiding LDC entirely or keeping LDC regimens to a minimum is desirable (to reduce toxicity and increase tolerability as much as possible), and introduces the possibility of treating a broader range of diseases and patients.</w:t>
      </w:r>
    </w:p>
    <w:p>
      <w:pPr>
        <w:spacing w:after="0" w:line="197" w:lineRule="exact"/>
        <w:rPr>
          <w:sz w:val="20"/>
          <w:szCs w:val="20"/>
          <w:color w:val="auto"/>
        </w:rPr>
      </w:pPr>
    </w:p>
    <w:p>
      <w:pPr>
        <w:ind w:left="360"/>
        <w:spacing w:after="0" w:line="243" w:lineRule="auto"/>
        <w:rPr>
          <w:sz w:val="20"/>
          <w:szCs w:val="20"/>
          <w:color w:val="auto"/>
        </w:rPr>
      </w:pPr>
      <w:r>
        <w:rPr>
          <w:rFonts w:ascii="Arial" w:cs="Arial" w:eastAsia="Arial" w:hAnsi="Arial"/>
          <w:sz w:val="20"/>
          <w:szCs w:val="20"/>
          <w:color w:val="auto"/>
        </w:rPr>
        <w:t>Our cells are designed to have the potential to be effective treatments with reduced LDC and ultimately aim to eliminate LDC through the use of engineering steps to provide cytokine support and Allo- Evasion™. Edits that provide cytokine support include secreted IL15 (used in CNTY-101), as well as next-generation cytokine engineering to improve cell proliferation and persistence. With respect to Allo-Evasion™, we continue to evolve our platform and, at present, utilize two versions designed to evade the patient’s immune system and allow for repeat dosing, potentially enabling durable responses, Allo-Evasion™ 1.0, and 5.0. Allo- Evasion™ 1.0 is used in CNTY-101, while Allo- Evasion™ 5.0 (which is also designed to protect against humoral immunity) is included in our pre-clinical pipeline programs. Preliminary data from ELiPSE-1 demonstrated similar exposure to CNTY-101 in the presence or absence of host lymphocytes – evidence of persistence in the presence of a restored immune system. We believe the inclusion of Allo-Evasion™ 5.0 promises to build on the learnings from CNTY-101 and provide an even more comprehensive approach to evading elimination by the patient’s immune system.</w:t>
      </w:r>
    </w:p>
    <w:p>
      <w:pPr>
        <w:spacing w:after="0" w:line="202" w:lineRule="exact"/>
        <w:rPr>
          <w:sz w:val="20"/>
          <w:szCs w:val="20"/>
          <w:color w:val="auto"/>
        </w:rPr>
      </w:pPr>
    </w:p>
    <w:p>
      <w:pPr>
        <w:ind w:left="360" w:right="460"/>
        <w:spacing w:after="0" w:line="254" w:lineRule="auto"/>
        <w:rPr>
          <w:sz w:val="20"/>
          <w:szCs w:val="20"/>
          <w:color w:val="auto"/>
        </w:rPr>
      </w:pPr>
      <w:r>
        <w:rPr>
          <w:rFonts w:ascii="Arial" w:cs="Arial" w:eastAsia="Arial" w:hAnsi="Arial"/>
          <w:sz w:val="20"/>
          <w:szCs w:val="20"/>
          <w:color w:val="auto"/>
        </w:rPr>
        <w:t>The ability of Allo-Evasion™ and engineerability of the iPSC platform to reduce or eliminate LDC could allow treatment of more fragile or less severely affected patient populations, alongside implementation of more flexible and effective dosing protocols that may increase physician and patient access.</w:t>
      </w:r>
    </w:p>
    <w:p>
      <w:pPr>
        <w:spacing w:after="0" w:line="187" w:lineRule="exact"/>
        <w:rPr>
          <w:sz w:val="20"/>
          <w:szCs w:val="20"/>
          <w:color w:val="auto"/>
        </w:rPr>
      </w:pPr>
    </w:p>
    <w:p>
      <w:pPr>
        <w:ind w:left="360"/>
        <w:spacing w:after="0" w:line="251" w:lineRule="auto"/>
        <w:rPr>
          <w:sz w:val="20"/>
          <w:szCs w:val="20"/>
          <w:color w:val="auto"/>
        </w:rPr>
      </w:pPr>
      <w:r>
        <w:rPr>
          <w:rFonts w:ascii="Arial" w:cs="Arial" w:eastAsia="Arial" w:hAnsi="Arial"/>
          <w:sz w:val="20"/>
          <w:szCs w:val="20"/>
          <w:color w:val="auto"/>
        </w:rPr>
        <w:t xml:space="preserve">A further source of differentiation is our ability to generate multiple immune effector cells including iNK cells, </w:t>
      </w:r>
      <w:r>
        <w:rPr>
          <w:rFonts w:ascii="Arial" w:cs="Arial" w:eastAsia="Arial" w:hAnsi="Arial"/>
          <w:sz w:val="20"/>
          <w:szCs w:val="20"/>
          <w:color w:val="auto"/>
        </w:rPr>
        <w:t>γδ</w:t>
      </w:r>
      <w:r>
        <w:rPr>
          <w:rFonts w:ascii="Arial" w:cs="Arial" w:eastAsia="Arial" w:hAnsi="Arial"/>
          <w:sz w:val="20"/>
          <w:szCs w:val="20"/>
          <w:color w:val="auto"/>
        </w:rPr>
        <w:t xml:space="preserve"> iT cells, CD4+ and CD8+ </w:t>
      </w:r>
      <w:r>
        <w:rPr>
          <w:rFonts w:ascii="Arial" w:cs="Arial" w:eastAsia="Arial" w:hAnsi="Arial"/>
          <w:sz w:val="20"/>
          <w:szCs w:val="20"/>
          <w:color w:val="auto"/>
        </w:rPr>
        <w:t>αβ</w:t>
      </w:r>
      <w:r>
        <w:rPr>
          <w:rFonts w:ascii="Arial" w:cs="Arial" w:eastAsia="Arial" w:hAnsi="Arial"/>
          <w:sz w:val="20"/>
          <w:szCs w:val="20"/>
          <w:color w:val="auto"/>
        </w:rPr>
        <w:t xml:space="preserve"> iT cells, allowing us to match the “right cell” for the “right indication” based on clinical need. For example, in autoimmune diseases such as systemic lupus erythematosus, or SLE, where the rapid removal of pathogenic B cells is desirable, iNK cells that are highly cytotoxic but short -lived may be well suited to achieve B cell depletion and reset without prolonged B cell aplasia. In diseases such as cancer, where uncontrolled growth of tumor cells is a pathological feature, the rapid target-induced expansion of </w:t>
      </w:r>
      <w:r>
        <w:rPr>
          <w:rFonts w:ascii="Arial" w:cs="Arial" w:eastAsia="Arial" w:hAnsi="Arial"/>
          <w:sz w:val="20"/>
          <w:szCs w:val="20"/>
          <w:color w:val="auto"/>
        </w:rPr>
        <w:t>αβ</w:t>
      </w:r>
      <w:r>
        <w:rPr>
          <w:rFonts w:ascii="Arial" w:cs="Arial" w:eastAsia="Arial" w:hAnsi="Arial"/>
          <w:sz w:val="20"/>
          <w:szCs w:val="20"/>
          <w:color w:val="auto"/>
        </w:rPr>
        <w:t xml:space="preserve"> iT cells with prolonged persistence may be advantageous. Similarly, </w:t>
      </w:r>
      <w:r>
        <w:rPr>
          <w:rFonts w:ascii="Arial" w:cs="Arial" w:eastAsia="Arial" w:hAnsi="Arial"/>
          <w:sz w:val="20"/>
          <w:szCs w:val="20"/>
          <w:color w:val="auto"/>
        </w:rPr>
        <w:t>αβ</w:t>
      </w:r>
      <w:r>
        <w:rPr>
          <w:rFonts w:ascii="Arial" w:cs="Arial" w:eastAsia="Arial" w:hAnsi="Arial"/>
          <w:sz w:val="20"/>
          <w:szCs w:val="20"/>
          <w:color w:val="auto"/>
        </w:rPr>
        <w:t xml:space="preserve"> iT cells may be uniquely suited to solid tumor indications wherein homing and tissue residency could improve efficacy.</w:t>
      </w:r>
    </w:p>
    <w:p>
      <w:pPr>
        <w:spacing w:after="0" w:line="186" w:lineRule="exact"/>
        <w:rPr>
          <w:sz w:val="20"/>
          <w:szCs w:val="20"/>
          <w:color w:val="auto"/>
        </w:rPr>
      </w:pPr>
    </w:p>
    <w:p>
      <w:pPr>
        <w:ind w:left="360" w:right="220" w:hanging="352"/>
        <w:spacing w:after="0" w:line="298" w:lineRule="auto"/>
        <w:tabs>
          <w:tab w:leader="none" w:pos="36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Advance CNTY-101 clinical development and understand the value of CD19 CAR NK therapy in autoimmunity, and evaluate initial POC in oncology</w:t>
      </w:r>
    </w:p>
    <w:p>
      <w:pPr>
        <w:spacing w:after="0" w:line="132" w:lineRule="exact"/>
        <w:rPr>
          <w:rFonts w:ascii="Arial" w:cs="Arial" w:eastAsia="Arial" w:hAnsi="Arial"/>
          <w:sz w:val="20"/>
          <w:szCs w:val="20"/>
          <w:b w:val="1"/>
          <w:bCs w:val="1"/>
          <w:color w:val="auto"/>
        </w:rPr>
      </w:pPr>
    </w:p>
    <w:p>
      <w:pPr>
        <w:ind w:left="360" w:right="2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CNTY-101 is our first therapeutic development candidate, and incorporates a CD19 CAR, sIL15, EGFR safety switch, and Allo-Evasion™ 1.0 precision edits. CNTY-101 is a consistent, frozen, off the shelf product candidate. As a natural killer cell therapy, in addition to having an expected favorable clinical tolerability profile, it is expected that drug exposure will be more dependent on administered dose than expansion in response to (variable) target antigen levels, allowing repeat dosing to</w:t>
      </w:r>
    </w:p>
    <w:p>
      <w:pPr>
        <w:sectPr>
          <w:pgSz w:w="11880" w:h="15480" w:orient="portrait"/>
          <w:cols w:equalWidth="0" w:num="1">
            <w:col w:w="9340"/>
          </w:cols>
          <w:pgMar w:left="1440" w:top="1067"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9</w:t>
      </w:r>
    </w:p>
    <w:p>
      <w:pPr>
        <w:sectPr>
          <w:pgSz w:w="11880" w:h="15480" w:orient="portrait"/>
          <w:cols w:equalWidth="0" w:num="1">
            <w:col w:w="9340"/>
          </w:cols>
          <w:pgMar w:left="1440" w:top="1067" w:right="1100" w:bottom="542" w:gutter="0" w:footer="0" w:header="0"/>
          <w:type w:val="continuous"/>
        </w:sectPr>
      </w:pPr>
    </w:p>
    <w:bookmarkStart w:id="9" w:name="page10"/>
    <w:bookmarkEnd w:id="9"/>
    <w:p>
      <w:pPr>
        <w:ind w:left="360" w:right="260"/>
        <w:spacing w:after="0" w:line="283" w:lineRule="auto"/>
        <w:rPr>
          <w:sz w:val="20"/>
          <w:szCs w:val="20"/>
          <w:color w:val="auto"/>
        </w:rPr>
      </w:pPr>
      <w:r>
        <w:rPr>
          <w:rFonts w:ascii="Arial" w:cs="Arial" w:eastAsia="Arial" w:hAnsi="Arial"/>
          <w:sz w:val="20"/>
          <w:szCs w:val="20"/>
          <w:color w:val="auto"/>
        </w:rPr>
        <w:t>precisely control drug exposure and increase durability of response. Host rejection is addressed by Allo-Evasion™.</w:t>
      </w:r>
    </w:p>
    <w:p>
      <w:pPr>
        <w:spacing w:after="0" w:line="158" w:lineRule="exact"/>
        <w:rPr>
          <w:sz w:val="20"/>
          <w:szCs w:val="20"/>
          <w:color w:val="auto"/>
        </w:rPr>
      </w:pPr>
    </w:p>
    <w:p>
      <w:pPr>
        <w:ind w:left="360" w:right="40"/>
        <w:spacing w:after="0" w:line="250" w:lineRule="auto"/>
        <w:rPr>
          <w:sz w:val="20"/>
          <w:szCs w:val="20"/>
          <w:color w:val="auto"/>
        </w:rPr>
      </w:pPr>
      <w:r>
        <w:rPr>
          <w:rFonts w:ascii="Arial" w:cs="Arial" w:eastAsia="Arial" w:hAnsi="Arial"/>
          <w:sz w:val="20"/>
          <w:szCs w:val="20"/>
          <w:color w:val="auto"/>
        </w:rPr>
        <w:t>ELiPSE- 1, a Phase 1 trial of CNTY-101 in CD19-positive lymphoma patients, evaluated initial safety, efficacy, dose, and regimen, and preliminary proof of concept for our iPSC and Allo -Evasion™ 1.0 platform, including feasibility of multiple dosing. Cell therapies have been approved for use in CD19-positive B-cell malignancies, so we believed this setting was ideal for assessing the initial proof of concept for CNTY-101.</w:t>
      </w:r>
    </w:p>
    <w:p>
      <w:pPr>
        <w:spacing w:after="0" w:line="192" w:lineRule="exact"/>
        <w:rPr>
          <w:sz w:val="20"/>
          <w:szCs w:val="20"/>
          <w:color w:val="auto"/>
        </w:rPr>
      </w:pPr>
    </w:p>
    <w:p>
      <w:pPr>
        <w:ind w:left="360" w:right="260"/>
        <w:spacing w:after="0" w:line="246" w:lineRule="auto"/>
        <w:rPr>
          <w:sz w:val="20"/>
          <w:szCs w:val="20"/>
          <w:color w:val="auto"/>
        </w:rPr>
      </w:pPr>
      <w:r>
        <w:rPr>
          <w:rFonts w:ascii="Arial" w:cs="Arial" w:eastAsia="Arial" w:hAnsi="Arial"/>
          <w:sz w:val="20"/>
          <w:szCs w:val="20"/>
          <w:color w:val="auto"/>
        </w:rPr>
        <w:t>23 patients were treated in the ELiPSE-1 trial. Results demonstrated encouraging clinical activity in the heavily pre-treated R/R NHL patients, with a manageable tolerability profile enabling outpatient dosing. For the highest dose levels DL3B and DL4B we observed encouraging efficacy, with ORR 77% and CRR 22%. Deep B cell depletion was observed through the initial treatment cycle, and CNTY-101 demonstrated trafficking to lymph nodes, while repeat-dosing cycles led to persistent exposure in the presence of an intact endogenous immune system, supportive of the aims of Allo-Evasion™ engineering. In March 2025, we announced the discontinuation of the ELiPSE-1 clinical trial for strategic reasons.</w:t>
      </w:r>
    </w:p>
    <w:p>
      <w:pPr>
        <w:spacing w:after="0" w:line="194" w:lineRule="exact"/>
        <w:rPr>
          <w:sz w:val="20"/>
          <w:szCs w:val="20"/>
          <w:color w:val="auto"/>
        </w:rPr>
      </w:pPr>
    </w:p>
    <w:p>
      <w:pPr>
        <w:ind w:left="360" w:right="60"/>
        <w:spacing w:after="0" w:line="245" w:lineRule="auto"/>
        <w:rPr>
          <w:sz w:val="20"/>
          <w:szCs w:val="20"/>
          <w:color w:val="auto"/>
        </w:rPr>
      </w:pPr>
      <w:r>
        <w:rPr>
          <w:rFonts w:ascii="Arial" w:cs="Arial" w:eastAsia="Arial" w:hAnsi="Arial"/>
          <w:sz w:val="20"/>
          <w:szCs w:val="20"/>
          <w:color w:val="auto"/>
        </w:rPr>
        <w:t>Based on the compelling preliminary efficacy of autologous CD19 CAR T cell therapies in autoimmune disease populations, as an immediately available off the shelf allogeneic NK product candidate, we believe CNTY-101 is well-suited for use in autoimmune disease treatment, where precise control of B-cell targeting and depletion is desirable, and may avoid extended B-cell aplasia that may occur with T cell treatments. We have initiated a Phase 1 trial, CALiPSO-1, in B-cell driven autoimmune diseases SLE, lupus nephritis, or LN, idiopathic inflammatory myopathy, or IIM, and diffuse cutaneous systemic sclerosis, or DcSSc. The CALiPSO-1 trial is evaluating safety, tolerability, disease activity measures, PK, B cell depletion, and autoantibody effects, serving as a POC for autoimmune efficacy.</w:t>
      </w:r>
    </w:p>
    <w:p>
      <w:pPr>
        <w:spacing w:after="0" w:line="193" w:lineRule="exact"/>
        <w:rPr>
          <w:sz w:val="20"/>
          <w:szCs w:val="20"/>
          <w:color w:val="auto"/>
        </w:rPr>
      </w:pPr>
    </w:p>
    <w:p>
      <w:pPr>
        <w:ind w:left="360" w:right="360" w:hanging="353"/>
        <w:spacing w:after="0" w:line="298" w:lineRule="auto"/>
        <w:tabs>
          <w:tab w:leader="none" w:pos="36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Develop transformative next generation allogeneic therapies for autoimmune diseases and oncology using our industry leading iT cell platform</w:t>
      </w:r>
    </w:p>
    <w:p>
      <w:pPr>
        <w:spacing w:after="0" w:line="132" w:lineRule="exact"/>
        <w:rPr>
          <w:rFonts w:ascii="Arial" w:cs="Arial" w:eastAsia="Arial" w:hAnsi="Arial"/>
          <w:sz w:val="20"/>
          <w:szCs w:val="20"/>
          <w:b w:val="1"/>
          <w:bCs w:val="1"/>
          <w:color w:val="auto"/>
        </w:rPr>
      </w:pPr>
    </w:p>
    <w:p>
      <w:pPr>
        <w:ind w:left="360" w:right="10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 xml:space="preserve">CNTY-308 is an investigational CD19-targeted, iPSC-derived CAR T cell therapy candidate engineered with Allo-Evasion™ 5.0 being developed for B cell-mediated autoimmune diseases and malignancies. CNTY-308 is built on our industry-leading iPSC derived CD4+ and CD8+ </w:t>
      </w:r>
      <w:r>
        <w:rPr>
          <w:rFonts w:ascii="Arial" w:cs="Arial" w:eastAsia="Arial" w:hAnsi="Arial"/>
          <w:sz w:val="20"/>
          <w:szCs w:val="20"/>
          <w:color w:val="auto"/>
        </w:rPr>
        <w:t>αβ</w:t>
      </w:r>
      <w:r>
        <w:rPr>
          <w:rFonts w:ascii="Arial" w:cs="Arial" w:eastAsia="Arial" w:hAnsi="Arial"/>
          <w:sz w:val="20"/>
          <w:szCs w:val="20"/>
          <w:color w:val="auto"/>
        </w:rPr>
        <w:t xml:space="preserve"> iT cell platform. Our </w:t>
      </w:r>
      <w:r>
        <w:rPr>
          <w:rFonts w:ascii="Arial" w:cs="Arial" w:eastAsia="Arial" w:hAnsi="Arial"/>
          <w:sz w:val="20"/>
          <w:szCs w:val="20"/>
          <w:color w:val="auto"/>
        </w:rPr>
        <w:t>αβ</w:t>
      </w:r>
      <w:r>
        <w:rPr>
          <w:rFonts w:ascii="Arial" w:cs="Arial" w:eastAsia="Arial" w:hAnsi="Arial"/>
          <w:sz w:val="20"/>
          <w:szCs w:val="20"/>
          <w:color w:val="auto"/>
        </w:rPr>
        <w:t xml:space="preserve"> iT cells display potent cytotoxicity, cytokine secretion, target-driven proliferation and cell persistence comparable to primary CAR-T cells. Given the initial success of autologous CAR T cell therapies in indications such as autoimmune disease and commercial autologous CAR T cell therapies in B cell malignancies, we believe this program has the potential to show similar benefits with the benefits of an “off-the-shelf” cell therapy.</w:t>
      </w:r>
    </w:p>
    <w:p>
      <w:pPr>
        <w:spacing w:after="0" w:line="206" w:lineRule="exact"/>
        <w:rPr>
          <w:rFonts w:ascii="Arial" w:cs="Arial" w:eastAsia="Arial" w:hAnsi="Arial"/>
          <w:sz w:val="20"/>
          <w:szCs w:val="20"/>
          <w:b w:val="1"/>
          <w:bCs w:val="1"/>
          <w:color w:val="auto"/>
        </w:rPr>
      </w:pPr>
    </w:p>
    <w:p>
      <w:pPr>
        <w:ind w:left="360" w:right="160"/>
        <w:spacing w:after="0" w:line="267" w:lineRule="auto"/>
        <w:rPr>
          <w:rFonts w:ascii="Arial" w:cs="Arial" w:eastAsia="Arial" w:hAnsi="Arial"/>
          <w:sz w:val="20"/>
          <w:szCs w:val="20"/>
          <w:b w:val="1"/>
          <w:bCs w:val="1"/>
          <w:color w:val="auto"/>
        </w:rPr>
      </w:pPr>
      <w:r>
        <w:rPr>
          <w:rFonts w:ascii="Arial" w:cs="Arial" w:eastAsia="Arial" w:hAnsi="Arial"/>
          <w:sz w:val="20"/>
          <w:szCs w:val="20"/>
          <w:color w:val="auto"/>
        </w:rPr>
        <w:t xml:space="preserve">CNTY-341 is built on our industry leading iPSC-derived CD4+ and CD8+ </w:t>
      </w:r>
      <w:r>
        <w:rPr>
          <w:rFonts w:ascii="Arial" w:cs="Arial" w:eastAsia="Arial" w:hAnsi="Arial"/>
          <w:sz w:val="20"/>
          <w:szCs w:val="20"/>
          <w:color w:val="auto"/>
        </w:rPr>
        <w:t>αβ</w:t>
      </w:r>
      <w:r>
        <w:rPr>
          <w:rFonts w:ascii="Arial" w:cs="Arial" w:eastAsia="Arial" w:hAnsi="Arial"/>
          <w:sz w:val="20"/>
          <w:szCs w:val="20"/>
          <w:color w:val="auto"/>
        </w:rPr>
        <w:t xml:space="preserve"> iT cell platform with the intent to develop a differentiated therapy in B cell malignancies. These iPSC-derived </w:t>
      </w:r>
      <w:r>
        <w:rPr>
          <w:rFonts w:ascii="Arial" w:cs="Arial" w:eastAsia="Arial" w:hAnsi="Arial"/>
          <w:sz w:val="20"/>
          <w:szCs w:val="20"/>
          <w:color w:val="auto"/>
        </w:rPr>
        <w:t>αβ</w:t>
      </w:r>
      <w:r>
        <w:rPr>
          <w:rFonts w:ascii="Arial" w:cs="Arial" w:eastAsia="Arial" w:hAnsi="Arial"/>
          <w:sz w:val="20"/>
          <w:szCs w:val="20"/>
          <w:color w:val="auto"/>
        </w:rPr>
        <w:t xml:space="preserve"> iT cells are engineered with a proprietary CD19/CD22 dual targeting CAR and are engineered with Allo-Evasion 5.0</w:t>
      </w:r>
      <w:r>
        <w:rPr>
          <w:rFonts w:ascii="Arial" w:cs="Arial" w:eastAsia="Arial" w:hAnsi="Arial"/>
          <w:sz w:val="25"/>
          <w:szCs w:val="25"/>
          <w:color w:val="auto"/>
          <w:vertAlign w:val="superscript"/>
        </w:rPr>
        <w:t>TM</w:t>
      </w:r>
      <w:r>
        <w:rPr>
          <w:rFonts w:ascii="Arial" w:cs="Arial" w:eastAsia="Arial" w:hAnsi="Arial"/>
          <w:sz w:val="20"/>
          <w:szCs w:val="20"/>
          <w:color w:val="auto"/>
        </w:rPr>
        <w:t>.</w:t>
      </w:r>
    </w:p>
    <w:p>
      <w:pPr>
        <w:spacing w:after="0" w:line="88" w:lineRule="exact"/>
        <w:rPr>
          <w:rFonts w:ascii="Arial" w:cs="Arial" w:eastAsia="Arial" w:hAnsi="Arial"/>
          <w:sz w:val="20"/>
          <w:szCs w:val="20"/>
          <w:b w:val="1"/>
          <w:bCs w:val="1"/>
          <w:color w:val="auto"/>
        </w:rPr>
      </w:pPr>
    </w:p>
    <w:p>
      <w:pPr>
        <w:ind w:left="360"/>
        <w:spacing w:after="0" w:line="262" w:lineRule="auto"/>
        <w:rPr>
          <w:rFonts w:ascii="Arial" w:cs="Arial" w:eastAsia="Arial" w:hAnsi="Arial"/>
          <w:sz w:val="20"/>
          <w:szCs w:val="20"/>
          <w:b w:val="1"/>
          <w:bCs w:val="1"/>
          <w:color w:val="auto"/>
        </w:rPr>
      </w:pPr>
      <w:r>
        <w:rPr>
          <w:rFonts w:ascii="Arial" w:cs="Arial" w:eastAsia="Arial" w:hAnsi="Arial"/>
          <w:sz w:val="20"/>
          <w:szCs w:val="20"/>
          <w:color w:val="auto"/>
        </w:rPr>
        <w:t>Our first foray into solid tumors will aim to combine superior iT cell performance with additional engineering aimed at enhancing cell performance functionality beyond what is currently demonstrated with autologous T cell therapies.</w:t>
      </w:r>
    </w:p>
    <w:p>
      <w:pPr>
        <w:spacing w:after="0" w:line="172" w:lineRule="exact"/>
        <w:rPr>
          <w:rFonts w:ascii="Arial" w:cs="Arial" w:eastAsia="Arial" w:hAnsi="Arial"/>
          <w:sz w:val="20"/>
          <w:szCs w:val="20"/>
          <w:b w:val="1"/>
          <w:bCs w:val="1"/>
          <w:color w:val="auto"/>
        </w:rPr>
      </w:pPr>
    </w:p>
    <w:p>
      <w:pPr>
        <w:ind w:left="360" w:right="480" w:hanging="353"/>
        <w:spacing w:after="0" w:line="298" w:lineRule="auto"/>
        <w:tabs>
          <w:tab w:leader="none" w:pos="36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Leverage our own manufacturing infrastructure, product, and process understanding and scale-up technologies to minimize manufacturing risk</w:t>
      </w:r>
    </w:p>
    <w:p>
      <w:pPr>
        <w:spacing w:after="0" w:line="133" w:lineRule="exact"/>
        <w:rPr>
          <w:rFonts w:ascii="Arial" w:cs="Arial" w:eastAsia="Arial" w:hAnsi="Arial"/>
          <w:sz w:val="20"/>
          <w:szCs w:val="20"/>
          <w:b w:val="1"/>
          <w:bCs w:val="1"/>
          <w:color w:val="auto"/>
        </w:rPr>
      </w:pPr>
    </w:p>
    <w:p>
      <w:pPr>
        <w:ind w:left="360" w:right="440"/>
        <w:spacing w:after="0" w:line="282" w:lineRule="auto"/>
        <w:rPr>
          <w:rFonts w:ascii="Arial" w:cs="Arial" w:eastAsia="Arial" w:hAnsi="Arial"/>
          <w:sz w:val="20"/>
          <w:szCs w:val="20"/>
          <w:b w:val="1"/>
          <w:bCs w:val="1"/>
          <w:color w:val="auto"/>
        </w:rPr>
      </w:pPr>
      <w:r>
        <w:rPr>
          <w:rFonts w:ascii="Arial" w:cs="Arial" w:eastAsia="Arial" w:hAnsi="Arial"/>
          <w:sz w:val="20"/>
          <w:szCs w:val="20"/>
          <w:color w:val="auto"/>
        </w:rPr>
        <w:t>Our iPSC platform is designed to enable us to produce NK cells and T cells at substantially lower cost, accessible to a much larger patient population, and with a higher degree of batch-to-batch</w:t>
      </w:r>
    </w:p>
    <w:p>
      <w:pPr>
        <w:sectPr>
          <w:pgSz w:w="11880" w:h="15480" w:orient="portrait"/>
          <w:cols w:equalWidth="0" w:num="1">
            <w:col w:w="9360"/>
          </w:cols>
          <w:pgMar w:left="1440" w:top="1067" w:right="1080" w:bottom="542"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10</w:t>
      </w:r>
    </w:p>
    <w:p>
      <w:pPr>
        <w:sectPr>
          <w:pgSz w:w="11880" w:h="15480" w:orient="portrait"/>
          <w:cols w:equalWidth="0" w:num="1">
            <w:col w:w="9360"/>
          </w:cols>
          <w:pgMar w:left="1440" w:top="1067" w:right="1080" w:bottom="542" w:gutter="0" w:footer="0" w:header="0"/>
          <w:type w:val="continuous"/>
        </w:sectPr>
      </w:pPr>
    </w:p>
    <w:bookmarkStart w:id="10" w:name="page11"/>
    <w:bookmarkEnd w:id="10"/>
    <w:p>
      <w:pPr>
        <w:ind w:left="720" w:right="20"/>
        <w:spacing w:after="0" w:line="244" w:lineRule="auto"/>
        <w:rPr>
          <w:sz w:val="20"/>
          <w:szCs w:val="20"/>
          <w:color w:val="auto"/>
        </w:rPr>
      </w:pPr>
      <w:r>
        <w:rPr>
          <w:rFonts w:ascii="Arial" w:cs="Arial" w:eastAsia="Arial" w:hAnsi="Arial"/>
          <w:sz w:val="20"/>
          <w:szCs w:val="20"/>
          <w:color w:val="auto"/>
        </w:rPr>
        <w:t>consistency and product quality, as compared to other donor-derived and autologous cell therapy approaches. In order to realize the advantages of our iPSC-platform, we believe that developing an intimate understanding of the relevant cell types, the processes used to manufacture these cells, and the analytical methods required to accurately and reliably measure critical product attributes is critical to our success. We believe this understanding will enable us to produce safe and efficacious products, implement process and product changes with greater efficiency and support the clinical development of commercial products. We believe that the only way to realize the full cost and capacity advantages of our platform is to develop a significant depth of expertise related to scale manufacturing. And, we believe our investment in in-house manufacturing will enable us to analyze, learn and adapt more rapidly, and increase control of development and manufacturing timelines for efficient clinical development of our product candidates.</w:t>
      </w:r>
    </w:p>
    <w:p>
      <w:pPr>
        <w:spacing w:after="0" w:line="195" w:lineRule="exact"/>
        <w:rPr>
          <w:sz w:val="20"/>
          <w:szCs w:val="20"/>
          <w:color w:val="auto"/>
        </w:rPr>
      </w:pPr>
    </w:p>
    <w:p>
      <w:pPr>
        <w:ind w:left="720" w:hanging="353"/>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Selectively evaluate strategic partnerships to enable greater patient access.</w:t>
      </w:r>
    </w:p>
    <w:p>
      <w:pPr>
        <w:spacing w:after="0" w:line="243" w:lineRule="exact"/>
        <w:rPr>
          <w:rFonts w:ascii="Arial" w:cs="Arial" w:eastAsia="Arial" w:hAnsi="Arial"/>
          <w:sz w:val="20"/>
          <w:szCs w:val="20"/>
          <w:b w:val="1"/>
          <w:bCs w:val="1"/>
          <w:color w:val="auto"/>
        </w:rPr>
      </w:pPr>
    </w:p>
    <w:p>
      <w:pPr>
        <w:ind w:left="720"/>
        <w:spacing w:after="0" w:line="245" w:lineRule="auto"/>
        <w:rPr>
          <w:rFonts w:ascii="Arial" w:cs="Arial" w:eastAsia="Arial" w:hAnsi="Arial"/>
          <w:sz w:val="20"/>
          <w:szCs w:val="20"/>
          <w:b w:val="1"/>
          <w:bCs w:val="1"/>
          <w:color w:val="auto"/>
        </w:rPr>
      </w:pPr>
      <w:r>
        <w:rPr>
          <w:rFonts w:ascii="Arial" w:cs="Arial" w:eastAsia="Arial" w:hAnsi="Arial"/>
          <w:sz w:val="20"/>
          <w:szCs w:val="20"/>
          <w:color w:val="auto"/>
        </w:rPr>
        <w:t>The research, development, and clinical investigation of cell therapies for treating human diseases are advancing rapidly. We believe we are well positioned to establish strategic partnerships with third parties seeking to develop iPSC-derived cellular immunotherapies for autoimmune, cancer, and other diseases. To maximize the potential of our innovations and expand patient access, we may pursue additional strategic alliances, joint ventures, collaborations, or licensing agreements that align with our development and commercialization efforts. This approach is particularly relevant for product candidates that we are not actively advancing following the March 2025 pipeline prioritization. By working with partners who share our vision, we aim to accelerate the development and delivery of transformative therapies to patients in need.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163830</wp:posOffset>
            </wp:positionV>
            <wp:extent cx="6169025" cy="2822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extLst>
                    </a:blip>
                    <a:srcRect/>
                    <a:stretch>
                      <a:fillRect/>
                    </a:stretch>
                  </pic:blipFill>
                  <pic:spPr bwMode="auto">
                    <a:xfrm>
                      <a:off x="0" y="0"/>
                      <a:ext cx="6169025" cy="282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CNTY-101: Our CAR-iNK product candidate targeting CD19 for B-cell mediated autoimmune diseases results of evaluation in relapsed, refractory B-cell non-Hodgkin’s lymphoma (R/R NHL).</w:t>
      </w:r>
    </w:p>
    <w:p>
      <w:pPr>
        <w:spacing w:after="0" w:line="157" w:lineRule="exact"/>
        <w:rPr>
          <w:sz w:val="20"/>
          <w:szCs w:val="20"/>
          <w:color w:val="auto"/>
        </w:rPr>
      </w:pPr>
    </w:p>
    <w:p>
      <w:pPr>
        <w:ind w:right="300"/>
        <w:spacing w:after="0" w:line="267" w:lineRule="auto"/>
        <w:rPr>
          <w:sz w:val="20"/>
          <w:szCs w:val="20"/>
          <w:color w:val="auto"/>
        </w:rPr>
      </w:pPr>
      <w:r>
        <w:rPr>
          <w:rFonts w:ascii="Arial" w:cs="Arial" w:eastAsia="Arial" w:hAnsi="Arial"/>
          <w:sz w:val="19"/>
          <w:szCs w:val="19"/>
          <w:color w:val="auto"/>
        </w:rPr>
        <w:t>Our lead product candidate, CNTY -101, is an allogeneic, iPSC-derived CAR-iNK cell therapy with six precision gene edits. CNTY-101 is engineered to express CD19 CAR, with Allo -EvasionTM 1.0 edits designed to overcome the three major pathways of host vs graft rejection, IL15 to support cell persistence, and a safety switch (EGFR sequence) that enables the elimination of the cells by an EGFR inhibitor if needed. CALiPSO-1, a Phase 1 clinical trial to assess CNTY-101 in patients with B cell-mediated</w:t>
      </w:r>
    </w:p>
    <w:p>
      <w:pPr>
        <w:sectPr>
          <w:pgSz w:w="11880" w:h="15480" w:orient="portrait"/>
          <w:cols w:equalWidth="0" w:num="1">
            <w:col w:w="9680"/>
          </w:cols>
          <w:pgMar w:left="1080" w:top="1067" w:right="1120" w:bottom="542"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w:t>
      </w:r>
    </w:p>
    <w:p>
      <w:pPr>
        <w:sectPr>
          <w:pgSz w:w="11880" w:h="15480" w:orient="portrait"/>
          <w:cols w:equalWidth="0" w:num="1">
            <w:col w:w="9680"/>
          </w:cols>
          <w:pgMar w:left="1080" w:top="1067" w:right="1120" w:bottom="542" w:gutter="0" w:footer="0" w:header="0"/>
          <w:type w:val="continuous"/>
        </w:sectPr>
      </w:pPr>
    </w:p>
    <w:bookmarkStart w:id="11" w:name="page12"/>
    <w:bookmarkEnd w:id="11"/>
    <w:p>
      <w:pPr>
        <w:spacing w:after="0" w:line="261" w:lineRule="auto"/>
        <w:rPr>
          <w:sz w:val="20"/>
          <w:szCs w:val="20"/>
          <w:color w:val="auto"/>
        </w:rPr>
      </w:pPr>
      <w:r>
        <w:rPr>
          <w:rFonts w:ascii="Arial" w:cs="Arial" w:eastAsia="Arial" w:hAnsi="Arial"/>
          <w:sz w:val="20"/>
          <w:szCs w:val="20"/>
          <w:color w:val="auto"/>
        </w:rPr>
        <w:t>autoimmune disease) is underway, and an investigator-initiated clinical trial (CARAMEL) to evaluate safety, efficacy, and key translational data of CNTY-101 in SLE, LN, IIM, and DcSSc patients is expected to initiate in mid-2025.</w:t>
      </w:r>
    </w:p>
    <w:p>
      <w:pPr>
        <w:spacing w:after="0" w:line="140"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ELiPSE-1, a Phase 1 dose-finding clinical trial of CNTY-101 in patients with B cell malignancies, has been discontinued for strategic reasons. While we remain encouraged by tolerability and clinical activity of CNTY-101 in late-stage R/R NHL, emerging data from ELiPSE-1 did not meet our threshold to be considered transformational in this patient population. We continue to believe the clinical data from CNTY-101 in ELiPSE-1 provides further evidence for the potential of CNTY-101 in autoimmune diseases based on its favorable clinical activity and favorable tolerability profile, demonstrated deep B cell depletion, ability to traffic to lymph nodes, and, supportive of the aims of Allo-Evasion™ engineering, sustained CNTY-101 exposure at planned dose levels</w:t>
      </w:r>
      <w:r>
        <w:rPr>
          <w:rFonts w:ascii="Arial" w:cs="Arial" w:eastAsia="Arial" w:hAnsi="Arial"/>
          <w:sz w:val="20"/>
          <w:szCs w:val="20"/>
          <w:color w:val="4C4C4C"/>
        </w:rPr>
        <w: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 T cells and B-cell Malignancies</w:t>
      </w:r>
    </w:p>
    <w:p>
      <w:pPr>
        <w:spacing w:after="0" w:line="193"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B-cell lymphoma is a cancer that affects B lymphocytes that make up part of the immune system. It generally originates in the lymph nodes. B-cell lymphoma includes both Hodgkin’s disease and approximately 80% to 85% of patients diagnosed with non-Hodgkin’s lymphoma, or NHL, a disease classification that includes more than 50 different hematological malignancies. In the United States, approximately 70,000 cases of NHL are diagnosed each year and the number of new diagnoses is increasing each year as the median age in the United States increases. 30-40% of these patients will relapse or have disease refractory to current treatments.</w:t>
      </w:r>
    </w:p>
    <w:p>
      <w:pPr>
        <w:spacing w:after="0" w:line="154" w:lineRule="exact"/>
        <w:rPr>
          <w:sz w:val="20"/>
          <w:szCs w:val="20"/>
          <w:color w:val="auto"/>
        </w:rPr>
      </w:pPr>
    </w:p>
    <w:p>
      <w:pPr>
        <w:jc w:val="both"/>
        <w:ind w:right="80"/>
        <w:spacing w:after="0" w:line="248" w:lineRule="auto"/>
        <w:rPr>
          <w:sz w:val="20"/>
          <w:szCs w:val="20"/>
          <w:color w:val="auto"/>
        </w:rPr>
      </w:pPr>
      <w:r>
        <w:rPr>
          <w:rFonts w:ascii="Arial" w:cs="Arial" w:eastAsia="Arial" w:hAnsi="Arial"/>
          <w:sz w:val="20"/>
          <w:szCs w:val="20"/>
          <w:color w:val="auto"/>
        </w:rPr>
        <w:t>Comprehensive data is available from the use of cellular therapy in R/R B cell lymphoma. In patients treated with FDA-approved CD19 CAR T therapies with ≥24 months of follow-up data, overall response rates ranged from 53-83% and complete response rates from 39-65%. Long-term event-free survival, or EFS, rates of</w:t>
      </w:r>
    </w:p>
    <w:p>
      <w:pPr>
        <w:spacing w:after="0" w:line="2"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38-43% indicate an approximate ‘curative’ rate of approximately 40%. Two CD19 CAR- T cell products have also been approved in the second -line setting (patients who were refractory to first-line therapy or relapsed within 12 months) due to a longer EFS compared to autologous stem cell transplant in randomized trials. This background, as well as data from products currently under development, provides benchmarks for assessment of newer cell therapies such as CNTY-101, CNTY-308, and CNTY-341.</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ELiPSE-1 Clinical Trial</w:t>
      </w:r>
    </w:p>
    <w:p>
      <w:pPr>
        <w:spacing w:after="0" w:line="193"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We conducted a first-in- human Phase 1 clinical trial of CNTY-101 in the United States (NCT05336409) in relapsed and refractory CD19 positive large B-cell lymphoma, or RR NHL, patients. The primary objective of the Phase 1 clinical trial was to evaluate incidence and nature of dose-limiting toxicities within each dose level cohort and establish the recommended Phase 2 dose, using an adaptive Bayesian Optimum Interval, or BOIN, design. The secondary objectives of the trial included cell pharmacokinetics and persistence, incidence, nature, and severity of adverse events, overall response rate, complete and partial response rates, and duration of response, among other measures. Exploratory measures included evaluation of immunogenicity, correlation of antigen expression with response, and evaluation of cytokine profiles to provide insight into patient safety.</w:t>
      </w:r>
    </w:p>
    <w:p>
      <w:pPr>
        <w:spacing w:after="0" w:line="157" w:lineRule="exact"/>
        <w:rPr>
          <w:sz w:val="20"/>
          <w:szCs w:val="20"/>
          <w:color w:val="auto"/>
        </w:rPr>
      </w:pPr>
    </w:p>
    <w:p>
      <w:pPr>
        <w:ind w:right="300"/>
        <w:spacing w:after="0" w:line="247" w:lineRule="auto"/>
        <w:rPr>
          <w:sz w:val="20"/>
          <w:szCs w:val="20"/>
          <w:color w:val="auto"/>
        </w:rPr>
      </w:pPr>
      <w:r>
        <w:rPr>
          <w:rFonts w:ascii="Arial" w:cs="Arial" w:eastAsia="Arial" w:hAnsi="Arial"/>
          <w:sz w:val="20"/>
          <w:szCs w:val="20"/>
          <w:color w:val="auto"/>
        </w:rPr>
        <w:t>The trial enrolled patients who had relapsed following at least two prior lines of therapy, including prior CD19-CAR-T cell treatment. We evaluated two dosing schedules, a single CNTY-101 infusion per cycle in Schedule A, and three weekly infusions of CNTY-101 per cycle in Schedule B. Patients received lymphodepletion prior to the first cycle of CNTY-101, and prior to the second cycle, if LDC was tolerated. Patients could then receive additional cycles of CNTY- 101 treatment without subsequent lymphodepletion. The study was planned to include dose escalation and dose expansion but was discontinued during dose escalation.</w:t>
      </w:r>
    </w:p>
    <w:p>
      <w:pPr>
        <w:spacing w:after="0" w:line="153" w:lineRule="exact"/>
        <w:rPr>
          <w:sz w:val="20"/>
          <w:szCs w:val="20"/>
          <w:color w:val="auto"/>
        </w:rPr>
      </w:pPr>
    </w:p>
    <w:p>
      <w:pPr>
        <w:ind w:right="120"/>
        <w:spacing w:after="0" w:line="277" w:lineRule="auto"/>
        <w:rPr>
          <w:sz w:val="20"/>
          <w:szCs w:val="20"/>
          <w:color w:val="auto"/>
        </w:rPr>
      </w:pPr>
      <w:r>
        <w:rPr>
          <w:rFonts w:ascii="Arial" w:cs="Arial" w:eastAsia="Arial" w:hAnsi="Arial"/>
          <w:sz w:val="20"/>
          <w:szCs w:val="20"/>
          <w:color w:val="auto"/>
        </w:rPr>
        <w:t>As of March 1, 2025, a total of 23 subjects were treated with CNTY-101 with all 23 evaluable for safety and 22 evaluable for preliminary efficacy. Treatment with CNTY-101 continued to be generally well-tolerated with no dose-limiting toxicities reported, a total of n=1 case of Gr 1 immune effector cell-associated neurotoxicity</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880" w:h="15480" w:orient="portrait"/>
          <w:cols w:equalWidth="0" w:num="1">
            <w:col w:w="9700"/>
          </w:cols>
          <w:pgMar w:left="1080" w:top="1067" w:right="1100" w:bottom="542" w:gutter="0" w:footer="0" w:header="0"/>
          <w:type w:val="continuous"/>
        </w:sectPr>
      </w:pPr>
    </w:p>
    <w:bookmarkStart w:id="12" w:name="page13"/>
    <w:bookmarkEnd w:id="12"/>
    <w:p>
      <w:pPr>
        <w:ind w:right="40"/>
        <w:spacing w:after="0" w:line="277" w:lineRule="auto"/>
        <w:rPr>
          <w:sz w:val="20"/>
          <w:szCs w:val="20"/>
          <w:color w:val="auto"/>
        </w:rPr>
      </w:pPr>
      <w:r>
        <w:rPr>
          <w:rFonts w:ascii="Arial" w:cs="Arial" w:eastAsia="Arial" w:hAnsi="Arial"/>
          <w:sz w:val="20"/>
          <w:szCs w:val="20"/>
          <w:color w:val="auto"/>
        </w:rPr>
        <w:t>syndrome, or ICANS, and no Grade 3 or higher cytokine release syndrome, or CRS. Consistent with the manageable tolerability profile observed to date, a majority of participants received CNTY-101 infusions in an outpatient setting.</w:t>
      </w:r>
    </w:p>
    <w:p>
      <w:pPr>
        <w:spacing w:after="0" w:line="180"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Dose level DL3B (1 billion cells in each of three weekly doses per cycle), which represented the largest single trial cohort (n=6), showed an overall response rate, or ORR of 83% and a complete response rate, or CRR of 33%, with all participants receiving additional cycles of treatment. Overall response rate for Dose Levels 3B and 4B (1 billion cells in each of three weekly doses per cycle and 3 billion cells in each of three weekly doses) is 77% (7/9) and complete response rate was 22% (2/9). For DL3B and DL4B (n=9), 2 patients (22%) had G2 cytokine release syndrome and 1 patient (11%) had G2 cytokine release syndrome. No ICANS or events of GR3+ CRS were observed.</w:t>
      </w:r>
    </w:p>
    <w:p>
      <w:pPr>
        <w:spacing w:after="0" w:line="193" w:lineRule="exact"/>
        <w:rPr>
          <w:sz w:val="20"/>
          <w:szCs w:val="20"/>
          <w:color w:val="auto"/>
        </w:rPr>
      </w:pPr>
    </w:p>
    <w:p>
      <w:pPr>
        <w:jc w:val="both"/>
        <w:ind w:right="120"/>
        <w:spacing w:after="0" w:line="262" w:lineRule="auto"/>
        <w:rPr>
          <w:sz w:val="20"/>
          <w:szCs w:val="20"/>
          <w:color w:val="auto"/>
        </w:rPr>
      </w:pPr>
      <w:r>
        <w:rPr>
          <w:rFonts w:ascii="Arial" w:cs="Arial" w:eastAsia="Arial" w:hAnsi="Arial"/>
          <w:sz w:val="20"/>
          <w:szCs w:val="20"/>
          <w:color w:val="auto"/>
        </w:rPr>
        <w:t>Assessment of CNTY-101 pharmacokinetics showed increasing exposure with dose, including extended cell persistence throughout the dosing cycle in Schedule B as dose levels increased to 3B (1 billion cells in each of three weekly doses per cycle) and 4B (3 billion cells in each of three weekly doses per cycle).</w:t>
      </w:r>
    </w:p>
    <w:p>
      <w:pPr>
        <w:spacing w:after="0" w:line="173" w:lineRule="exact"/>
        <w:rPr>
          <w:sz w:val="20"/>
          <w:szCs w:val="20"/>
          <w:color w:val="auto"/>
        </w:rPr>
      </w:pPr>
    </w:p>
    <w:p>
      <w:pPr>
        <w:jc w:val="center"/>
        <w:ind w:left="1120" w:right="240"/>
        <w:spacing w:after="0" w:line="298" w:lineRule="auto"/>
        <w:rPr>
          <w:sz w:val="20"/>
          <w:szCs w:val="20"/>
          <w:color w:val="auto"/>
        </w:rPr>
      </w:pPr>
      <w:r>
        <w:rPr>
          <w:rFonts w:ascii="Arial" w:cs="Arial" w:eastAsia="Arial" w:hAnsi="Arial"/>
          <w:sz w:val="20"/>
          <w:szCs w:val="20"/>
          <w:b w:val="1"/>
          <w:bCs w:val="1"/>
          <w:color w:val="auto"/>
        </w:rPr>
        <w:t>CNTY-101 Exposure Increases with Dose, Sustained Exposure at Doses Intended for CALiPSO-1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6163310" cy="25336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extLst>
                    </a:blip>
                    <a:srcRect/>
                    <a:stretch>
                      <a:fillRect/>
                    </a:stretch>
                  </pic:blipFill>
                  <pic:spPr bwMode="auto">
                    <a:xfrm>
                      <a:off x="0" y="0"/>
                      <a:ext cx="6163310" cy="2533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Error bars show mean ± SD on original scale, subsequently log10 transformed. Due to log scale, low values are truncated at 1. All schedule B LDC+ cycles are included. S: Screen, LOB: Limit of Blank.</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Source: Company data available as of March 7, 2025</w:t>
      </w:r>
    </w:p>
    <w:p>
      <w:pPr>
        <w:spacing w:after="0" w:line="235"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Allo-Evasion</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technology is designed to allow CNTY-101 cells to evade a patient’s immune system and enable repeat dosing of the product. To assess this, we evaluated CNTY- 101 persistence when infused once weekly for 3 weeks following LDC. CNTY-101 persistence was consistent with each infusion in the absence and upon restoration of the patient’s NK and T cells (restored immune system).</w:t>
      </w:r>
    </w:p>
    <w:p>
      <w:pPr>
        <w:sectPr>
          <w:pgSz w:w="11880" w:h="15480" w:orient="portrait"/>
          <w:cols w:equalWidth="0" w:num="1">
            <w:col w:w="9680"/>
          </w:cols>
          <w:pgMar w:left="1080" w:top="1067"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w:t>
      </w:r>
    </w:p>
    <w:p>
      <w:pPr>
        <w:sectPr>
          <w:pgSz w:w="11880" w:h="15480" w:orient="portrait"/>
          <w:cols w:equalWidth="0" w:num="1">
            <w:col w:w="9680"/>
          </w:cols>
          <w:pgMar w:left="1080" w:top="1067" w:right="1120" w:bottom="542" w:gutter="0" w:footer="0" w:header="0"/>
          <w:type w:val="continuous"/>
        </w:sectPr>
      </w:pPr>
    </w:p>
    <w:bookmarkStart w:id="13" w:name="page14"/>
    <w:bookmarkEnd w:id="13"/>
    <w:p>
      <w:pPr>
        <w:jc w:val="center"/>
        <w:spacing w:after="0" w:line="298" w:lineRule="auto"/>
        <w:rPr>
          <w:sz w:val="20"/>
          <w:szCs w:val="20"/>
          <w:color w:val="auto"/>
        </w:rPr>
      </w:pPr>
      <w:r>
        <w:rPr>
          <w:rFonts w:ascii="Arial" w:cs="Arial" w:eastAsia="Arial" w:hAnsi="Arial"/>
          <w:sz w:val="20"/>
          <w:szCs w:val="20"/>
          <w:b w:val="1"/>
          <w:bCs w:val="1"/>
          <w:color w:val="auto"/>
        </w:rPr>
        <w:t>Enabled with Allo-Evasion™, CNTY-101 infusions in dose level 3B showed similar exposure in the presence or absence of endogenous lymphocytes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6163945" cy="257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extLst>
                    </a:blip>
                    <a:srcRect/>
                    <a:stretch>
                      <a:fillRect/>
                    </a:stretch>
                  </pic:blipFill>
                  <pic:spPr bwMode="auto">
                    <a:xfrm>
                      <a:off x="0" y="0"/>
                      <a:ext cx="6163945" cy="257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color w:val="auto"/>
        </w:rPr>
        <w:t>Graphs show data from 3B cohort (N=6). Lines in the top panel represent mean and shaded area represents 1*SEM. Triangles mark CNTY-101 infusions within a Schedule B cycle, grey arrow indicates LDC. Dotted blue curve is a LOESS fit to medians in bottom panel. S: Screen</w:t>
      </w:r>
    </w:p>
    <w:p>
      <w:pPr>
        <w:spacing w:after="0"/>
        <w:rPr>
          <w:sz w:val="20"/>
          <w:szCs w:val="20"/>
          <w:color w:val="auto"/>
        </w:rPr>
      </w:pPr>
      <w:r>
        <w:rPr>
          <w:rFonts w:ascii="Arial" w:cs="Arial" w:eastAsia="Arial" w:hAnsi="Arial"/>
          <w:sz w:val="14"/>
          <w:szCs w:val="14"/>
          <w:color w:val="auto"/>
        </w:rPr>
        <w:t>*cfDNA concentrations two-days post infusion not significantly different according to Mann-Whitney U test</w:t>
      </w:r>
    </w:p>
    <w:p>
      <w:pPr>
        <w:spacing w:after="0" w:line="186" w:lineRule="auto"/>
        <w:rPr>
          <w:sz w:val="20"/>
          <w:szCs w:val="20"/>
          <w:color w:val="auto"/>
        </w:rPr>
      </w:pPr>
      <w:r>
        <w:rPr>
          <w:rFonts w:ascii="Arial" w:cs="Arial" w:eastAsia="Arial" w:hAnsi="Arial"/>
          <w:sz w:val="14"/>
          <w:szCs w:val="14"/>
          <w:color w:val="auto"/>
        </w:rPr>
        <w:t>Translational data available as of March 7</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2025</w:t>
      </w:r>
    </w:p>
    <w:p>
      <w:pPr>
        <w:spacing w:after="0"/>
        <w:rPr>
          <w:sz w:val="20"/>
          <w:szCs w:val="20"/>
          <w:color w:val="auto"/>
        </w:rPr>
      </w:pPr>
      <w:r>
        <w:rPr>
          <w:rFonts w:ascii="Arial" w:cs="Arial" w:eastAsia="Arial" w:hAnsi="Arial"/>
          <w:sz w:val="14"/>
          <w:szCs w:val="14"/>
          <w:color w:val="auto"/>
        </w:rPr>
        <w:t>Translational data available as of March 7</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2025</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B cell depletion was observed in all patients following the initial cycle of CNTY-101 treatment.</w:t>
      </w:r>
    </w:p>
    <w:p>
      <w:pPr>
        <w:spacing w:after="0" w:line="235" w:lineRule="exact"/>
        <w:rPr>
          <w:sz w:val="20"/>
          <w:szCs w:val="20"/>
          <w:color w:val="auto"/>
        </w:rPr>
      </w:pPr>
    </w:p>
    <w:p>
      <w:pPr>
        <w:ind w:right="40"/>
        <w:spacing w:after="0" w:line="269" w:lineRule="auto"/>
        <w:rPr>
          <w:sz w:val="20"/>
          <w:szCs w:val="20"/>
          <w:color w:val="auto"/>
        </w:rPr>
      </w:pPr>
      <w:r>
        <w:rPr>
          <w:rFonts w:ascii="Arial" w:cs="Arial" w:eastAsia="Arial" w:hAnsi="Arial"/>
          <w:sz w:val="20"/>
          <w:szCs w:val="20"/>
          <w:b w:val="1"/>
          <w:bCs w:val="1"/>
          <w:color w:val="auto"/>
        </w:rPr>
        <w:t xml:space="preserve">CNTY-101 Treatment Demonstrates Deep B-Cell depletion and was associated with naive non-class switched profile of re-emergent B-cells; </w:t>
      </w:r>
      <w:r>
        <w:rPr>
          <w:rFonts w:ascii="Arial" w:cs="Arial" w:eastAsia="Arial" w:hAnsi="Arial"/>
          <w:sz w:val="20"/>
          <w:szCs w:val="20"/>
          <w:b w:val="1"/>
          <w:bCs w:val="1"/>
          <w:i w:val="1"/>
          <w:iCs w:val="1"/>
          <w:color w:val="auto"/>
        </w:rPr>
        <w:t>Data in r/r NHL patients supports the application of CNTY-101</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in autoimmune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6163945" cy="1875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extLst>
                    </a:blip>
                    <a:srcRect/>
                    <a:stretch>
                      <a:fillRect/>
                    </a:stretch>
                  </pic:blipFill>
                  <pic:spPr bwMode="auto">
                    <a:xfrm>
                      <a:off x="0" y="0"/>
                      <a:ext cx="6163945" cy="187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380"/>
        <w:spacing w:after="0" w:line="254" w:lineRule="auto"/>
        <w:rPr>
          <w:sz w:val="20"/>
          <w:szCs w:val="20"/>
          <w:color w:val="auto"/>
        </w:rPr>
      </w:pPr>
      <w:r>
        <w:rPr>
          <w:rFonts w:ascii="Arial" w:cs="Arial" w:eastAsia="Arial" w:hAnsi="Arial"/>
          <w:sz w:val="14"/>
          <w:szCs w:val="14"/>
          <w:color w:val="auto"/>
        </w:rPr>
        <w:t>Left figure: Graphs show data from the initial cycle of all subjects in 3B and 4B who had baseline B cell counts of 1 cell/ mL or greater (N=7). Each line represents an individual subject.</w:t>
      </w:r>
    </w:p>
    <w:p>
      <w:pPr>
        <w:ind w:right="40"/>
        <w:spacing w:after="0" w:line="252" w:lineRule="auto"/>
        <w:rPr>
          <w:sz w:val="20"/>
          <w:szCs w:val="20"/>
          <w:color w:val="auto"/>
        </w:rPr>
      </w:pPr>
      <w:r>
        <w:rPr>
          <w:rFonts w:ascii="Arial" w:cs="Arial" w:eastAsia="Arial" w:hAnsi="Arial"/>
          <w:sz w:val="14"/>
          <w:szCs w:val="14"/>
          <w:color w:val="auto"/>
        </w:rPr>
        <w:t>Right figure: Data shows proportion of non-class switched (IgD+, IgM+ or IgD+IgM+) or switched (IgD -IgM-) circulating B cells (CD19+ CD20+) in healthy donors (N=4) or within earliest evaluable re-emergent B cells in patients (N=4). Majority of the B cells exhibited a naïve profile (IgD+ CD27-, data not shown) Source: Company data, available as of March 7</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2024</w:t>
      </w:r>
    </w:p>
    <w:p>
      <w:pPr>
        <w:spacing w:after="0" w:line="65"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Lastly, CNTY-101 cells traffic to lymph nodes, as evaluated by detection in tumor biopsies after treatment with dose levels DL3B and 4B.</w:t>
      </w:r>
    </w:p>
    <w:p>
      <w:pPr>
        <w:sectPr>
          <w:pgSz w:w="11880" w:h="15480" w:orient="portrait"/>
          <w:cols w:equalWidth="0" w:num="1">
            <w:col w:w="9700"/>
          </w:cols>
          <w:pgMar w:left="1080" w:top="1063"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ectPr>
          <w:pgSz w:w="11880" w:h="15480" w:orient="portrait"/>
          <w:cols w:equalWidth="0" w:num="1">
            <w:col w:w="9700"/>
          </w:cols>
          <w:pgMar w:left="1080" w:top="1063" w:right="1100" w:bottom="542" w:gutter="0" w:footer="0" w:header="0"/>
          <w:type w:val="continuous"/>
        </w:sectPr>
      </w:pPr>
    </w:p>
    <w:bookmarkStart w:id="14" w:name="page15"/>
    <w:bookmarkEnd w:id="14"/>
    <w:p>
      <w:pPr>
        <w:ind w:right="40"/>
        <w:spacing w:after="0" w:line="249" w:lineRule="auto"/>
        <w:rPr>
          <w:sz w:val="20"/>
          <w:szCs w:val="20"/>
          <w:color w:val="auto"/>
        </w:rPr>
      </w:pPr>
      <w:r>
        <w:rPr>
          <w:rFonts w:ascii="Arial" w:cs="Arial" w:eastAsia="Arial" w:hAnsi="Arial"/>
          <w:sz w:val="20"/>
          <w:szCs w:val="20"/>
          <w:color w:val="auto"/>
        </w:rPr>
        <w:t>Overall, we believe the initial clinical and translational results from the ELiPSE-1 clinical trial provide strong support for use of CNTY-101 DL3B and DL4B in B-cell driven autoimmune diseases in CALiPSO-1 and CARAMEL due to: a favorable initial tolerability profile; ability to be delivered in an outpatient setting; clinical responses in heavily pre- treated R/R NHL patients - for DL3B and DL4B, ORR 77% and CRR 22%, including a majority of post CAR T treated patients; deep B cell depletion observed through the initial CNTY-101 treatment cycle; demonstrated trafficking to lymph nodes; and, repeat-dosing cycles leading to exposure in the presence of an intact endogenous immune system, which we believe supports proof of concept of Allo-Evasion</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engineering.</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B-Cell Mediated Autoimmune Diseases</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 number of autoimmune diseases, including SLE and LN, SSc, and IIM, share the characteristic of pathogenic auto-reactive antibodies, which are produced by B -cells that express CD19. SLE/LN is a complex multi-system autoimmune disease. Renal and central nervous system involvement as well as accelerated cardiovascular aging are major causes of morbidity and mortality in SLE. IIM comprise a heterogenous group of rare immune-mediated disorders involving muscle, frequently involve the lung and skin, and may involve other tissues. Patients with associated interstitial lung disease have a significantly increased incidence of mortality compared to those without lung involvement. DcSSc is a rare life-threatening systemic disease characterized by skin thickening of distal and proximal limbs, face and trunk, interstitial lung disease, and progressive dysfunction of multiple other organ systems, commonly including gastrointestinal, cardiovascular, and renal manifestations. The current treatment options for each of these disorders leave many patients without adequate disease control.</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Current Treatments and Shortcomings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As described in the figure below, there is significant unmet need for patients with severe disease who have not responded to other therapies. For example, the most recently FDA-approved therapy for SLE, anifrolumab, was approved in 2021 based on results from two randomized clinical trials, TULIP-1 and TULIP-2, which enrolled patients who had moderate to severe SLE despite standard therapy. Anifrolumab was administered to the active patient arm, and all patients were allowed to remain on their standard therapies (except for protocol-mandated attempts to taper corticosteroids) during the trial. TULIP-2 showed response (measured per British Isles Lupus Assessment Group-based Composite Lupus Assessment) in 47.8% of anifrolumab (300 mg)-treated patients compared to 31.5% of placebo-treated patients (Morand 2020). While TULIP-1 did not meet its primary endpoint (SLE responder index of 4 met in 36% of anifrolumab (300 mg)-treated patients compared to 40% of placebo-treated patients), data from the trial was used to support the results from TULIP-2 (Furie 2019). A post-hoc analysis of the combined data from these trials using the more stringent endpoint of Lupus Low Disease Activity State demonstrated that 30% of anifrolumab (300 mg)-treated patients demonstrated low disease activity at Week 52, compared with 19.6% of placebo-treated patients (Morand 2023). Together these results indicate at most half of treated patients meeting efficacy endpoints, and fewer meeting more stringent endpoints, leaving many patients without adequate disease control even while on standard therapies. Treatments for other autoimmune diseases show similarly inadequate responses in many patients.</w:t>
      </w:r>
    </w:p>
    <w:p>
      <w:pPr>
        <w:spacing w:after="0" w:line="208"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While patients with these diseases can respond to B-cell depleting agents such as rituximab, suggesting that targeting B-cells is a viable therapeutic approach, many patients experience suboptimal or impermanent efficacy with currently available agents. Our CNTY- 101 clinical development program in B-cell mediated autoimmune diseases thus represents potential for benefit in an area of significant medical need.</w:t>
      </w:r>
    </w:p>
    <w:p>
      <w:pPr>
        <w:sectPr>
          <w:pgSz w:w="11880" w:h="15480" w:orient="portrait"/>
          <w:cols w:equalWidth="0" w:num="1">
            <w:col w:w="9660"/>
          </w:cols>
          <w:pgMar w:left="1080" w:top="1067" w:right="114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15</w:t>
      </w:r>
    </w:p>
    <w:p>
      <w:pPr>
        <w:sectPr>
          <w:pgSz w:w="11880" w:h="15480" w:orient="portrait"/>
          <w:cols w:equalWidth="0" w:num="1">
            <w:col w:w="9660"/>
          </w:cols>
          <w:pgMar w:left="1080" w:top="1067" w:right="1140" w:bottom="542"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687070</wp:posOffset>
            </wp:positionH>
            <wp:positionV relativeFrom="page">
              <wp:posOffset>687070</wp:posOffset>
            </wp:positionV>
            <wp:extent cx="6169025" cy="3432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6169025" cy="343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B-cell-directed autologous CAR T cell therapies have provided new hope for durable remissions through an “immune reset”. However, some of the challenges encountered with auto -CAR-T in oncology related to product availability, toxicities, and potential long-term risks could hamper their widespread adoption in non-oncology indications.</w:t>
      </w:r>
    </w:p>
    <w:p>
      <w:pPr>
        <w:spacing w:after="0" w:line="187"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CNTY-101 has been designed with uniquely engineered features which we believe may provide multiple potential treatment advantages in the B-cell-driven autoimmune disease setting. These potential advantages include availability of a consistent off-the-shelf frozen product, an improved tolerability profile, ability to be re-dosed without lymphodepletion while avoiding allo- rejection of the product, and a product design that may enable the elimination of B-cells to effect a decline in auto-antibodies without prolonged B cell aplasia.</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CALiPSO-1 Clinical Trial</w:t>
      </w:r>
    </w:p>
    <w:p>
      <w:pPr>
        <w:spacing w:after="0" w:line="23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CNTY-101 Phase 1 clinical trial (CALiPSO-1; NCT05336409) is a multi-center Phase 1 clinical trial designed to assess the safety, tolerability, pharmacokinetics, and clinical response of CNTY-101 in patients with refractory autoimmune diseases, including SLE/LN, IIM, and DcSSc. Key endpoints include safety, efficacy assessments appropriate for each disease, and translational endpoints including B-cell depletion and auto-antibody decline. The trial will evaluate one to two cycles of 3 weekly doses of CNTY-101 at doses up to 1 billion cells per dose, with lymphodepletion only included prior to the first CNTY-101 infusion. The CALiPSO-1 clinical trial is being run in US sites with EU sites initiating in 2025.</w:t>
      </w:r>
    </w:p>
    <w:p>
      <w:pPr>
        <w:spacing w:after="0" w:line="202" w:lineRule="exact"/>
        <w:rPr>
          <w:sz w:val="20"/>
          <w:szCs w:val="20"/>
          <w:color w:val="auto"/>
        </w:rPr>
      </w:pPr>
    </w:p>
    <w:p>
      <w:pPr>
        <w:ind w:right="460"/>
        <w:spacing w:after="0" w:line="275" w:lineRule="auto"/>
        <w:rPr>
          <w:sz w:val="20"/>
          <w:szCs w:val="20"/>
          <w:color w:val="auto"/>
        </w:rPr>
      </w:pPr>
      <w:r>
        <w:rPr>
          <w:rFonts w:ascii="Arial" w:cs="Arial" w:eastAsia="Arial" w:hAnsi="Arial"/>
          <w:sz w:val="20"/>
          <w:szCs w:val="20"/>
          <w:i w:val="1"/>
          <w:iCs w:val="1"/>
          <w:color w:val="auto"/>
        </w:rPr>
        <w:t>CARAMEL Phase 1/2 Clinical Trial in B-cell Mediated Autoimmune Diseases: Single center Investigator Initiated Trial</w:t>
      </w:r>
    </w:p>
    <w:p>
      <w:pPr>
        <w:spacing w:after="0" w:line="165"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auto"/>
        </w:rPr>
        <w:t>We have entered into an agreement for an investigator-initiated Phase 1/2 clinical trial sponsored by Professors Dr. Georg Schett and Dr. Andreas Mackensen of its CD19 CAR-iNK investigational cell therapy candidate CNTY-101 in patients with B-cell mediated autoimmune diseases. The IIT, which is sponsored by the Friedrich-Alexander University Erlangen-Nürnberg, represents the first evaluation by the internationally recognized Schett/Mackensen group of an allogeneic iPSC-derived CD19-directed NK cell therapy for the treatment of autoimmune diseases. Consistent with our ongoing Phase 1 CALiPSO-1 trial (NCT06255028),</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16</w:t>
      </w:r>
    </w:p>
    <w:p>
      <w:pPr>
        <w:sectPr>
          <w:pgSz w:w="11880" w:h="15480" w:orient="portrait"/>
          <w:cols w:equalWidth="0" w:num="1">
            <w:col w:w="9660"/>
          </w:cols>
          <w:pgMar w:left="1080" w:top="1440" w:right="1140" w:bottom="542" w:gutter="0" w:footer="0" w:header="0"/>
        </w:sectPr>
      </w:pPr>
    </w:p>
    <w:bookmarkStart w:id="16" w:name="page17"/>
    <w:bookmarkEnd w:id="16"/>
    <w:p>
      <w:pPr>
        <w:spacing w:after="0" w:line="283" w:lineRule="auto"/>
        <w:rPr>
          <w:sz w:val="20"/>
          <w:szCs w:val="20"/>
          <w:color w:val="auto"/>
        </w:rPr>
      </w:pPr>
      <w:r>
        <w:rPr>
          <w:rFonts w:ascii="Arial" w:cs="Arial" w:eastAsia="Arial" w:hAnsi="Arial"/>
          <w:sz w:val="20"/>
          <w:szCs w:val="20"/>
          <w:color w:val="auto"/>
        </w:rPr>
        <w:t>the IIT (known as the CARAMEL trial) will evaluate safety, efficacy, and key translational data of CNTY-101 in SLE, LN, IIM, and DcSSc patients. The CARAMEL trial is expected to initiate in mid-2025.</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Pre-clinical Pipeline Prioritization</w:t>
      </w:r>
    </w:p>
    <w:p>
      <w:pPr>
        <w:spacing w:after="0" w:line="243"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auto"/>
        </w:rPr>
        <w:t>In March 2025, we announced a re-prioritized pre-clinical pipeline intended to further leverage the unique capabilities and technologies we have towards transformative treatments holding strong commercial potential to treat serious diseases with high unmet need. Accordingly, in addition to our clinical stage programs, we will be focusing on three core pre-clinical programs that are all built on our industry leading iT cell platform, which is producing iPSC-derived CAR-T cells with function comparable to primary CAR-T cells. All three programs will incorporate Allo-Evasion 5.0</w:t>
      </w:r>
      <w:r>
        <w:rPr>
          <w:rFonts w:ascii="Arial" w:cs="Arial" w:eastAsia="Arial" w:hAnsi="Arial"/>
          <w:sz w:val="25"/>
          <w:szCs w:val="25"/>
          <w:color w:val="auto"/>
          <w:vertAlign w:val="superscript"/>
        </w:rPr>
        <w:t>TM</w:t>
      </w:r>
      <w:r>
        <w:rPr>
          <w:rFonts w:ascii="Arial" w:cs="Arial" w:eastAsia="Arial" w:hAnsi="Arial"/>
          <w:sz w:val="20"/>
          <w:szCs w:val="20"/>
          <w:color w:val="auto"/>
        </w:rPr>
        <w:t>. We believe these three programs have the potential to be differentiated in their category. All other pre-clinical programs will not be progressing internally at this time and may present out-licensing opportunities or be re-evaluated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CNTY-308: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159385</wp:posOffset>
            </wp:positionV>
            <wp:extent cx="5943600" cy="312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extLst>
                    </a:blip>
                    <a:srcRect/>
                    <a:stretch>
                      <a:fillRect/>
                    </a:stretch>
                  </pic:blipFill>
                  <pic:spPr bwMode="auto">
                    <a:xfrm>
                      <a:off x="0" y="0"/>
                      <a:ext cx="5943600" cy="312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400"/>
        <w:spacing w:after="0" w:line="255" w:lineRule="auto"/>
        <w:rPr>
          <w:sz w:val="20"/>
          <w:szCs w:val="20"/>
          <w:color w:val="auto"/>
        </w:rPr>
      </w:pPr>
      <w:r>
        <w:rPr>
          <w:rFonts w:ascii="Arial" w:cs="Arial" w:eastAsia="Arial" w:hAnsi="Arial"/>
          <w:sz w:val="20"/>
          <w:szCs w:val="20"/>
          <w:color w:val="auto"/>
        </w:rPr>
        <w:t xml:space="preserve">CNTY-308 is a CD19-targeted, iPSC derived CAR T cell therapy engineered with Allo-Evasion™ 5.0. It is being developed for B-cell mediated autoimmune diseases and malignancies. CNTY-308 is built on our industry leading iPSC-derived </w:t>
      </w:r>
      <w:r>
        <w:rPr>
          <w:rFonts w:ascii="Arial" w:cs="Arial" w:eastAsia="Arial" w:hAnsi="Arial"/>
          <w:sz w:val="20"/>
          <w:szCs w:val="20"/>
          <w:color w:val="auto"/>
        </w:rPr>
        <w:t>αβ</w:t>
      </w:r>
      <w:r>
        <w:rPr>
          <w:rFonts w:ascii="Arial" w:cs="Arial" w:eastAsia="Arial" w:hAnsi="Arial"/>
          <w:sz w:val="20"/>
          <w:szCs w:val="20"/>
          <w:color w:val="auto"/>
        </w:rPr>
        <w:t xml:space="preserve"> T cell platform. In preclinical studies, CNTY-308 demonstrated potent activity and cell persistence that was comparable to primary CAR- T cell controls. Specifically, these cells have demonstrated three key characteristics of successful CAR T cell therapies:</w:t>
      </w:r>
    </w:p>
    <w:p>
      <w:pPr>
        <w:spacing w:after="0" w:line="184" w:lineRule="exact"/>
        <w:rPr>
          <w:sz w:val="20"/>
          <w:szCs w:val="20"/>
          <w:color w:val="auto"/>
        </w:rPr>
      </w:pPr>
    </w:p>
    <w:p>
      <w:pPr>
        <w:ind w:left="720" w:hanging="352"/>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Anti-tumor cytotoxicity</w:t>
      </w:r>
    </w:p>
    <w:p>
      <w:pPr>
        <w:spacing w:after="0" w:line="253" w:lineRule="exact"/>
        <w:rPr>
          <w:rFonts w:ascii="Arial" w:cs="Arial" w:eastAsia="Arial" w:hAnsi="Arial"/>
          <w:sz w:val="20"/>
          <w:szCs w:val="20"/>
          <w:color w:val="auto"/>
        </w:rPr>
      </w:pPr>
    </w:p>
    <w:p>
      <w:pPr>
        <w:ind w:left="720" w:hanging="352"/>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The capacity to produce </w:t>
      </w:r>
      <w:r>
        <w:rPr>
          <w:rFonts w:ascii="Arial" w:cs="Arial" w:eastAsia="Arial" w:hAnsi="Arial"/>
          <w:sz w:val="20"/>
          <w:szCs w:val="20"/>
          <w:color w:val="auto"/>
        </w:rPr>
        <w:t>αβ</w:t>
      </w:r>
      <w:r>
        <w:rPr>
          <w:rFonts w:ascii="Arial" w:cs="Arial" w:eastAsia="Arial" w:hAnsi="Arial"/>
          <w:sz w:val="20"/>
          <w:szCs w:val="20"/>
          <w:color w:val="auto"/>
        </w:rPr>
        <w:t xml:space="preserve"> T cell cytokines including IL-2</w:t>
      </w:r>
    </w:p>
    <w:p>
      <w:pPr>
        <w:sectPr>
          <w:pgSz w:w="11880" w:h="15480" w:orient="portrait"/>
          <w:cols w:equalWidth="0" w:num="1">
            <w:col w:w="9680"/>
          </w:cols>
          <w:pgMar w:left="1080" w:top="1067"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w:t>
      </w:r>
    </w:p>
    <w:p>
      <w:pPr>
        <w:sectPr>
          <w:pgSz w:w="11880" w:h="15480" w:orient="portrait"/>
          <w:cols w:equalWidth="0" w:num="1">
            <w:col w:w="9680"/>
          </w:cols>
          <w:pgMar w:left="1080" w:top="1067" w:right="1120" w:bottom="542"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800100</wp:posOffset>
            </wp:positionH>
            <wp:positionV relativeFrom="page">
              <wp:posOffset>690245</wp:posOffset>
            </wp:positionV>
            <wp:extent cx="5943600" cy="3142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943600" cy="3142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20"/>
          <w:szCs w:val="20"/>
          <w:color w:val="auto"/>
        </w:rPr>
        <w:t>3.</w:t>
        <w:tab/>
        <w:t>Proliferation in response to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164465</wp:posOffset>
            </wp:positionV>
            <wp:extent cx="5943600" cy="3091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5943600" cy="309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When tested in an established NALM6 tumor model in rodents (CD19- expressing B cell malignancy model), CNTY-308 cells were shown to be capable of controlling tumor growth for the length of the study with a single dose of cells, comparable to primary CAR-T cell controls. Furthermore, CNTY-308 cells were detected in peripheral blood, spleen, and bone marrow for at least 21 days after cell infusion. Importantly, CNTY-308 cells not only persisted but responded to an additional tumor challenge (tumor rechallenge), controlling tumor similarly, if not better, than primary CAR-T cell controls. Taken together, we believe the evolving preclinical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18</w:t>
      </w:r>
    </w:p>
    <w:p>
      <w:pPr>
        <w:sectPr>
          <w:pgSz w:w="11880" w:h="15480" w:orient="portrait"/>
          <w:cols w:equalWidth="0" w:num="1">
            <w:col w:w="9660"/>
          </w:cols>
          <w:pgMar w:left="1080" w:top="1440" w:right="1140" w:bottom="542" w:gutter="0" w:footer="0" w:header="0"/>
        </w:sectPr>
      </w:pPr>
    </w:p>
    <w:bookmarkStart w:id="18" w:name="page19"/>
    <w:bookmarkEnd w:id="18"/>
    <w:p>
      <w:pPr>
        <w:ind w:right="840"/>
        <w:spacing w:after="0" w:line="283" w:lineRule="auto"/>
        <w:rPr>
          <w:sz w:val="20"/>
          <w:szCs w:val="20"/>
          <w:color w:val="auto"/>
        </w:rPr>
      </w:pPr>
      <w:r>
        <w:rPr>
          <w:rFonts w:ascii="Arial" w:cs="Arial" w:eastAsia="Arial" w:hAnsi="Arial"/>
          <w:sz w:val="20"/>
          <w:szCs w:val="20"/>
          <w:color w:val="auto"/>
        </w:rPr>
        <w:t>data package for CNTY-308 supports the continuing progression of this program for B-cell mediated autoimmune diseases and malignancies.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CNTY-341:</w:t>
      </w:r>
    </w:p>
    <w:p>
      <w:pPr>
        <w:spacing w:after="0" w:line="231"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CNTY-341 is an investigational dual-targeted CD19 and CD22 iPSC -derived CAR-T cell therapy product candidate engineered with Allo-Evasion™ 5.0. CNTY-341 is built on our iT cell platform, with the goal of pairing dual targeting with primary T-cell-like functionality to provide a differentiated cell therapy for B cell malignancies. We have developed our own dual CD19/CD22 CAR, which has displayed robust activity when transduced into primary T cells.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Solid tumors:</w:t>
      </w:r>
    </w:p>
    <w:p>
      <w:pPr>
        <w:spacing w:after="0" w:line="231" w:lineRule="exact"/>
        <w:rPr>
          <w:sz w:val="20"/>
          <w:szCs w:val="20"/>
          <w:color w:val="auto"/>
        </w:rPr>
      </w:pPr>
    </w:p>
    <w:p>
      <w:pPr>
        <w:ind w:right="280"/>
        <w:spacing w:after="0" w:line="248" w:lineRule="auto"/>
        <w:rPr>
          <w:sz w:val="20"/>
          <w:szCs w:val="20"/>
          <w:color w:val="auto"/>
        </w:rPr>
      </w:pPr>
      <w:r>
        <w:rPr>
          <w:rFonts w:ascii="Arial" w:cs="Arial" w:eastAsia="Arial" w:hAnsi="Arial"/>
          <w:sz w:val="20"/>
          <w:szCs w:val="20"/>
          <w:color w:val="auto"/>
        </w:rPr>
        <w:t>Our first investigational solid tumor CAR-T cell program is designed to target validated tumor antigens including Nectin-4 (present on several solid tumors including urothelial cancer, breast cancer and lung cancer) and others using our own developed CAR moieties. The program is being developed on our iT cell platform with Allo -Evasion™ 5.0 and will include additional engineering to overcome some of the key challenges faced by cell therapies in solid tumors. Enhancements may include cytokine support and strategies to overcome the tumor microenvironment.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w:t>
      </w:r>
    </w:p>
    <w:p>
      <w:pPr>
        <w:spacing w:after="0" w:line="24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believe our iPSC-derived NK and T cells afford us a significant opportunity to advance multiplex gene-edited cell therapies that can be produced at substantially lower cost and accessible by a much larger patient population as compared to other donor-derived and autologous cell therapy approaches. To capitalize on these advantages, we believe it is imperative to develop an intimate understanding of the relevant cell types, the processes used to manufacture these cells, and the analytical methods required to accurately and reliably measure critical product attributes. We believe this understanding will enable us to produce safe and efficacious products, implement process and product changes with greater efficiency and accelerate the clinical development of commercializable products. In addition, we are developing a significant depth of expertise related to scalable manufacturing, which we believe is essential to enable cell expansion, harvest, and final container filling, along with cryopreservation, at a significantly reduced cost per dose. We have constructed our manufacturing strategy with the intent of achieving these objectives.</w:t>
      </w:r>
    </w:p>
    <w:p>
      <w:pPr>
        <w:spacing w:after="0" w:line="198"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We believe our relationship with FUJIFILM Cellular Dynamics Inc., or FCDI and its role in the manufacture of our initial product candidates has provided valuable know-how that accelerated development of our proprietary methods to generate functional iPSC-derived iNK cells. We believe that our optimized iPSC differentiation methods are scalable and compatible with efficient manufacturing processes. Our process development group is responsible for overall management of process optimization efforts and coordinates contracted efforts with FCDI for certain product candidates.</w:t>
      </w:r>
    </w:p>
    <w:p>
      <w:pPr>
        <w:spacing w:after="0" w:line="194"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Cryopreservation of allogeneic cell therapies is essential for the ability to deliver these as off-the-shelf products. Therefore, we believe that addressing the key determinants of cryopreservation is of particular relevance to the success of our therapeutic programs. The ability of cells to withstand cryopreservation depends not only on the freezing step itself, but on multiple factors in the entire manufacturing process both preceding and following freezing, including the thawing process and post-thaw handling prior to patient administration. As such, all factors involved in the supply chain, from initial cell engineering to patient administration, are being addressed to characterize the impact of cryopreservation on our cell product candidates, especially its impact on yield, activity, stability, and consistency. We have invested significant resources to optimize our manufacturing processes and continue to iteratively invest in this area. We are also committing additional resources to ensure that adequate infrastructure and expertise is available at clinical sites regarding handling and treatment preparation</w:t>
      </w:r>
    </w:p>
    <w:p>
      <w:pPr>
        <w:sectPr>
          <w:pgSz w:w="11880" w:h="15480" w:orient="portrait"/>
          <w:cols w:equalWidth="0" w:num="1">
            <w:col w:w="9680"/>
          </w:cols>
          <w:pgMar w:left="1080" w:top="1067"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19</w:t>
      </w:r>
    </w:p>
    <w:p>
      <w:pPr>
        <w:sectPr>
          <w:pgSz w:w="11880" w:h="15480" w:orient="portrait"/>
          <w:cols w:equalWidth="0" w:num="1">
            <w:col w:w="9680"/>
          </w:cols>
          <w:pgMar w:left="1080" w:top="1067" w:right="1120" w:bottom="542"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Effective cryopreservation strategies must consider all elements of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161925</wp:posOffset>
            </wp:positionV>
            <wp:extent cx="5494655" cy="1447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5494655" cy="144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For our ELiPSE-1 clinical trial, FCDI produced the clinical supply of CNTY-101. FCDI currently maintains a cGMP-compliant manufacturing facility in Madison, Wisconsin and our audit of the facility confirmed its Phase 1 readiness. We may also source clinical trial supply for some of our other iNK product candidates, and we will have the option to source NK cell therapies to be sold commercially, if approved, from FCDI.</w:t>
      </w:r>
    </w:p>
    <w:p>
      <w:pPr>
        <w:spacing w:after="0" w:line="18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At the same time, we have constructed our own 53,000 square foot cell therapy manufacturing facility in Branchburg, New Jersey, which is now operational and from which we are sourcing clinical supply of CNTY- 101 for our CALiPSO-1 clinical trial. We also intend to use this facility as the primary manufacturing site for our CAR-iT cell therapies; however, we have designed the facility to be a flexible, multi-product facility, capable of producing any immune cell type.</w:t>
      </w:r>
    </w:p>
    <w:p>
      <w:pPr>
        <w:spacing w:after="0" w:line="193"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color w:val="auto"/>
        </w:rPr>
        <w:t>We believe the development of in-house manufacturing will enable us to analyze, learn, and adapt more rapidly and increase control of development and manufacturing timelines for efficient clinical development of our product candidates. Through this enhanced control and investment in our process and analytical development capabilities, we believe we are gaining a deeper understanding of our critical product attributes and the factors that affect product quality. We are also developing expertise in scale-up technologies to enable optimal manufacturing scale for our product candidates, which will reduce cost of goods and improve patient access.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Licensing, partnerships, and collaborations</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Fujifilm Cellular Dynamics, Inc.</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We are party to an exclusive license with FCDI, dated September 18, 2018, or, as amended, the Differentiation License, pursuant to which we have licensed from FCDI certain patents and know-how related to differentiation of iPSC cells into immune-effector cells in the field of cancer immunotherapeutics. We are also party to a non-exclusive license with FCDI, also dated September 18, 2018, or, as amended, the Reprogramming License, pursuant to which we have licensed from FCDI certain patents and know-how related to the reprogramming of human somatic cells to iPSCs in the field of cancer immunotherapeutics. On October 21, 2019, we entered into a Master Collaboration Agreement with FCDI pursuant to which we agreed to fund research and development work at FCDI pursuant to a research plan, or, as amended, the FCDI Collaboration Agreement. On March 23, 2021, we entered into a Manufacturing and Supply Agreement with FCDI, or the Manufacturing Agreement, pursuant to which FCDI will provide certain agreed upon technology transfer, process development, analytical testing and cGMP manufacturing services to us. On January 7, 2022, we entered into a letter agreement with FCDI, which amends each of the agreements in relation to our collaboration with Bristol- Myers Squibb. On September 22, 2023, we entered into a worldwide license agreement with FCDI, or the Autoimmune License, whereby FCDI will grant non-exclusive licenses to us for certain patent rights and know-how related to cell differentiation and reprogramming for the development and commercialization of iPSC-derived therapies for the treatment of inflammatory and autoimmune diseases.</w:t>
      </w:r>
    </w:p>
    <w:p>
      <w:pPr>
        <w:sectPr>
          <w:pgSz w:w="11880" w:h="15480" w:orient="portrait"/>
          <w:cols w:equalWidth="0" w:num="1">
            <w:col w:w="9720"/>
          </w:cols>
          <w:pgMar w:left="1080" w:top="1063"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880" w:h="15480" w:orient="portrait"/>
          <w:cols w:equalWidth="0" w:num="1">
            <w:col w:w="9720"/>
          </w:cols>
          <w:pgMar w:left="1080" w:top="1063" w:right="1080" w:bottom="542"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i w:val="1"/>
          <w:iCs w:val="1"/>
          <w:color w:val="auto"/>
        </w:rPr>
        <w:t>Reprogramming License Agreement</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Under the Reprogramming License, FCDI granted us a non-exclusive, worldwide license, excluding Japan, under certain patent rights and know-how related to cell reprogramming of human cells to iPSCs to exploit FCDI Licensed Products within the field of cancer immunotherapy products. Included within the rights granted to us under such license are rights sublicensed to us under certain patents owned by the Wisconsin Alumni Research Foundation, 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until the termination of the Reprogramming License.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p>
    <w:p>
      <w:pPr>
        <w:spacing w:after="0" w:line="204"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Under the Reprogramming License, we agreed to pay FCDI low single-digit percentage royalty payments on net sales of FCDI Licensed Products, as required by the WARF License, until the expiration of the last-to-expire patent licensed thereunder. We also agreed to pay certain milestone payments to FCDI as required by the WARF License upon the achievement of certain development and commercial milestones up to an aggregate of $6 million per FCDI Licensed Product.</w:t>
      </w:r>
    </w:p>
    <w:p>
      <w:pPr>
        <w:spacing w:after="0" w:line="19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The Reprogramming License expires upon the expiration of the last-to-expire patent licensed thereunder, which is currently expected to expire in 2034. Either party may terminate the Reprogramming License upon the other party’s breach of a material obligation, subject to a 60-day notice and cure period, or in the event of the other party’s bankruptcy, if not dispensed or otherwise disposed within 60 days. We may terminate the Reprogramming License for convenience upon 90 days’ notice in its entirety or on a product-by-product or country-by-country basis. FCDI may terminate the Reprogramming License if we fail to achieve certain development milestones within four years of successful completion of the first proof of concept clinical trial for an FCDI Licensed Product in the United States or European Union, subject to an additional extension of up to one year in limited circumstances. FCDI may also terminate the Reprogramming License upon written notice in the event of termination of the Differentiation License.</w:t>
      </w:r>
    </w:p>
    <w:p>
      <w:pPr>
        <w:spacing w:after="0" w:line="202" w:lineRule="exact"/>
        <w:rPr>
          <w:sz w:val="20"/>
          <w:szCs w:val="20"/>
          <w:color w:val="auto"/>
        </w:rPr>
      </w:pPr>
    </w:p>
    <w:p>
      <w:pPr>
        <w:ind w:right="760"/>
        <w:spacing w:after="0" w:line="283" w:lineRule="auto"/>
        <w:rPr>
          <w:sz w:val="20"/>
          <w:szCs w:val="20"/>
          <w:color w:val="auto"/>
        </w:rPr>
      </w:pPr>
      <w:r>
        <w:rPr>
          <w:rFonts w:ascii="Arial" w:cs="Arial" w:eastAsia="Arial" w:hAnsi="Arial"/>
          <w:sz w:val="20"/>
          <w:szCs w:val="20"/>
          <w:color w:val="auto"/>
        </w:rPr>
        <w:t>The Reprogramming License also contains customary representations and warranties, confidentiality, insurance and indemnification provisions.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Differentiation License Agreement</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Under the Differentiation License, FCDI granted us an exclusive, fully paid-up, sublicensable, worldwide license, excluding Japan, under certain patent rights and know-how related to human iPSC to exploit cancer immunotherapy products consisting of cells that are or are modifications of NK cells, T cells, dendritic cells and macrophages derived from human iPSC, or FCDI Licensed Products. In return, we granted FCDI an exclusive, fully paid-up, sublicensable license under certain patents and know -how controlled by us to exploit FCDI Licensed Products for any cancer immunotherapy use in Japan or, with respect to any abandoned indication, worldwide, and a non-exclusive license to manufacture the FCDI Licensed Products for any cancer immunotherapy use worldwide until the termination of the Differentiation License. We also granted to FCDI a non-exclusive, sublicensable, worldwide license under certain manufacturing know-how developed by us under the Differentiation License or FCDI Collaboration Agreement for manufacturing and process development activities outside of the field of cancer immunotherapy for cells other than NK cells, T cells, dendritic cells and macrophages derived from human iPSC until the termination of the Differentiation License.</w:t>
      </w:r>
    </w:p>
    <w:p>
      <w:pPr>
        <w:spacing w:after="0" w:line="195"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w:t>
      </w:r>
    </w:p>
    <w:p>
      <w:pPr>
        <w:sectPr>
          <w:pgSz w:w="11880" w:h="15480" w:orient="portrait"/>
          <w:cols w:equalWidth="0" w:num="1">
            <w:col w:w="9720"/>
          </w:cols>
          <w:pgMar w:left="1080" w:top="1076" w:right="1080" w:bottom="542"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880" w:h="15480" w:orient="portrait"/>
          <w:cols w:equalWidth="0" w:num="1">
            <w:col w:w="9720"/>
          </w:cols>
          <w:pgMar w:left="1080" w:top="1076" w:right="1080" w:bottom="542" w:gutter="0" w:footer="0" w:header="0"/>
          <w:type w:val="continuous"/>
        </w:sectPr>
      </w:pPr>
    </w:p>
    <w:bookmarkStart w:id="21" w:name="page22"/>
    <w:bookmarkEnd w:id="21"/>
    <w:p>
      <w:pPr>
        <w:jc w:val="both"/>
        <w:ind w:right="80"/>
        <w:spacing w:after="0" w:line="262" w:lineRule="auto"/>
        <w:rPr>
          <w:sz w:val="20"/>
          <w:szCs w:val="20"/>
          <w:color w:val="auto"/>
        </w:rPr>
      </w:pPr>
      <w:r>
        <w:rPr>
          <w:rFonts w:ascii="Arial" w:cs="Arial" w:eastAsia="Arial" w:hAnsi="Arial"/>
          <w:sz w:val="20"/>
          <w:szCs w:val="20"/>
          <w:color w:val="auto"/>
        </w:rPr>
        <w:t>Licensed Products in Japan, and we and FCDI will amend the Differentiation License as necessary to permit such exploitation. We also issued shares of common stock to FCDI as consideration under the Differentiation License.</w:t>
      </w:r>
    </w:p>
    <w:p>
      <w:pPr>
        <w:spacing w:after="0" w:line="177"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The Differentiation License expires upon the expiration of the last- to-expire patent licensed thereunder, which is currently expected to expire in 2036. Either party may terminate the Differentiation License upon the other party’s breach of any material obligation, subject to a 60-day notice and cure period, or in the event of the other party’s bankruptcy, if not dispensed or otherwise disposed within 60 days. We may terminate the Differentiation License in its entirety or on an indication-by-indication basis, a product-by- product basis or country-by-country basis, for convenience upon 90 days’ written notice. In addition, FCDI may terminate the Differentiation License if we fail to achieve certain development milestones within four years of successful completion of the first proof of concept clinical trial for an FCDI Licensed Product in the United States or European Union, subject to an additional extension of up to one year in limited circumstances. FCDI may also terminate the Differentiation License upon written notice in the event of termination of Reprogramming License. FCDI may also terminate the Differentiation License upon written notice if (i) the Reprogramming License Agreement expires or terminates for any reason or (ii) the WARF License expires or terminates for any reason.</w:t>
      </w:r>
    </w:p>
    <w:p>
      <w:pPr>
        <w:spacing w:after="0" w:line="204" w:lineRule="exact"/>
        <w:rPr>
          <w:sz w:val="20"/>
          <w:szCs w:val="20"/>
          <w:color w:val="auto"/>
        </w:rPr>
      </w:pPr>
    </w:p>
    <w:p>
      <w:pPr>
        <w:ind w:right="40"/>
        <w:spacing w:after="0" w:line="283" w:lineRule="auto"/>
        <w:rPr>
          <w:sz w:val="20"/>
          <w:szCs w:val="20"/>
          <w:color w:val="auto"/>
        </w:rPr>
      </w:pPr>
      <w:r>
        <w:rPr>
          <w:rFonts w:ascii="Arial" w:cs="Arial" w:eastAsia="Arial" w:hAnsi="Arial"/>
          <w:sz w:val="20"/>
          <w:szCs w:val="20"/>
          <w:color w:val="auto"/>
        </w:rPr>
        <w:t>The Differentiation License also contains customary representations and warranties, confidentiality, insurance and indemnification provisions.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FCDI Collaboration Agreement</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Under the FCDI Collaboration Agreement, we established a collaborative relationship under which FCDI agreed to render certain services to us for the development and manufacture iPSC-derived cells in accordance with a research plan and approved budget funded by us. For the first three years of the term of the FCDI Collaboration Agreement, we agreed to pay FCDI a minimum of $2.5 million per year. Under the FCDI Collaboration Agreement, with certain exceptions, we have ownership rights to the deliverables made under the collaboration, including any intellectual property rights therein. Such exceptions include, among other things, deliverables that are cells obtained or created by changing the state of a cell to a state of pluripotency using methods or materials covered by the licensed patents, or Reprogrammed iPS Cells, or any compositions or materials derived from the use of Reprogrammed iPS Cells, produced by the use of Reprogrammed iPS Cells or which incorporate wholly or partially Reprogrammed iPS Cells, which, in each case, will be owned by FCDI, unless directly or indirectly derived from or made from the cell lines selected by us pursuant to the terms of the FCDI Collaboration Agreement.</w:t>
      </w:r>
    </w:p>
    <w:p>
      <w:pPr>
        <w:spacing w:after="0" w:line="206"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The FCDI Collaboration Agreement expires upon the termination of the Reprogramming License. Either party may terminate the FCDI Collaboration Agreement upon the other party’s material breach, subject to a 30-day notice and cure period. We may terminate the FCDI Collaboration Agreement for convenience by providing FCDI 60-days’ written notice.</w:t>
      </w:r>
    </w:p>
    <w:p>
      <w:pPr>
        <w:spacing w:after="0" w:line="186" w:lineRule="exact"/>
        <w:rPr>
          <w:sz w:val="20"/>
          <w:szCs w:val="20"/>
          <w:color w:val="auto"/>
        </w:rPr>
      </w:pPr>
    </w:p>
    <w:p>
      <w:pPr>
        <w:ind w:right="260"/>
        <w:spacing w:after="0" w:line="283" w:lineRule="auto"/>
        <w:rPr>
          <w:sz w:val="20"/>
          <w:szCs w:val="20"/>
          <w:color w:val="auto"/>
        </w:rPr>
      </w:pPr>
      <w:r>
        <w:rPr>
          <w:rFonts w:ascii="Arial" w:cs="Arial" w:eastAsia="Arial" w:hAnsi="Arial"/>
          <w:sz w:val="20"/>
          <w:szCs w:val="20"/>
          <w:color w:val="auto"/>
        </w:rPr>
        <w:t>The FCDI Collaboration Agreement also contains customary representations and warranties, confidentiality and indemnification provisions.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Letter Agreement</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Under the letter agreement, which amends certain terms of each of the FCDI Agreements, including such amendments that (i) amend the definition of Territory under each of the FCDI Agreements, for purposes of the sublicenses under the FCDI Agreements pursuant to our Research Collaboration and License Agreement with Bristol-Myers Squibb dated January 7, 2022, or the Collaboration Agreement, includes Japan,</w:t>
      </w:r>
    </w:p>
    <w:p>
      <w:pPr>
        <w:spacing w:after="0" w:line="4" w:lineRule="exact"/>
        <w:rPr>
          <w:sz w:val="20"/>
          <w:szCs w:val="20"/>
          <w:color w:val="auto"/>
        </w:rPr>
      </w:pPr>
    </w:p>
    <w:p>
      <w:pPr>
        <w:ind w:right="220" w:firstLine="8"/>
        <w:spacing w:after="0" w:line="247" w:lineRule="auto"/>
        <w:tabs>
          <w:tab w:leader="none" w:pos="27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amends the licenses granted to us and our affiliates under the FCDI Agreements such that the rights are sublicensable to Bristol-Myers Squibb, including with respect to Japan and (iii) the intellectual property developed under the Bristol-Myers Squibb collaboration is not subject to grant-back and option provisions</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880" w:h="15480" w:orient="portrait"/>
          <w:cols w:equalWidth="0" w:num="1">
            <w:col w:w="9720"/>
          </w:cols>
          <w:pgMar w:left="1080" w:top="1067" w:right="1080" w:bottom="542" w:gutter="0" w:footer="0" w:header="0"/>
          <w:type w:val="continuous"/>
        </w:sectPr>
      </w:pPr>
    </w:p>
    <w:bookmarkStart w:id="22" w:name="page23"/>
    <w:bookmarkEnd w:id="22"/>
    <w:p>
      <w:pPr>
        <w:ind w:right="300"/>
        <w:spacing w:after="0" w:line="283" w:lineRule="auto"/>
        <w:rPr>
          <w:sz w:val="20"/>
          <w:szCs w:val="20"/>
          <w:color w:val="auto"/>
        </w:rPr>
      </w:pPr>
      <w:r>
        <w:rPr>
          <w:rFonts w:ascii="Arial" w:cs="Arial" w:eastAsia="Arial" w:hAnsi="Arial"/>
          <w:sz w:val="20"/>
          <w:szCs w:val="20"/>
          <w:color w:val="auto"/>
        </w:rPr>
        <w:t>under the Reprogramming License (iv) waives any right of FCDI to manufacture products developed under the Collaboration Agreement.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Pursuant to the Letter Agreement, and in consideration for amending the FCDI Agreements, we paid to FCDI</w:t>
      </w:r>
    </w:p>
    <w:p>
      <w:pPr>
        <w:spacing w:after="0" w:line="25" w:lineRule="exact"/>
        <w:rPr>
          <w:sz w:val="20"/>
          <w:szCs w:val="20"/>
          <w:color w:val="auto"/>
        </w:rPr>
      </w:pPr>
    </w:p>
    <w:p>
      <w:pPr>
        <w:ind w:right="80" w:firstLine="7"/>
        <w:spacing w:after="0" w:line="245" w:lineRule="auto"/>
        <w:tabs>
          <w:tab w:leader="none" w:pos="233"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 upfront payment of $10 million, and will pay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Manufacturing Agreement</w:t>
      </w:r>
    </w:p>
    <w:p>
      <w:pPr>
        <w:spacing w:after="0" w:line="23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Under the Manufacturing Agreement, FCDI has and will perform certain agreed upon technology transfer, process development, analytical testing, and cGMP manufacturing services for us with respect to clinical supply of certain of our product candidates as agreed to in current and future work orders. The Manufacturing Agreement contains certain exclusivity provisions, which remain effective until the fifth anniversary of the Manufacturing Agreement, including that FCDI will be our exclusive supplier of clinical grade CNTY -101 for use in B -cell malignancies during the exclusivity period and that FCDI will have the option to be our exclusive supplier during the remainder of the exclusivity period of clinical material for the next one or two NK cell products for which we file an IND, depending on the other INDs that we file during the remainder of the exclusivity period. Subject to certain conditions, FCDI may also have the right to be the exclusive clinical supplier for the first product candidate for which we submit an IND after the fifth anniversary of the Manufacturing Agreement and choose not to manufacture ourselves.</w:t>
      </w:r>
    </w:p>
    <w:p>
      <w:pPr>
        <w:spacing w:after="0" w:line="19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Either party may terminate the Manufacturing Agreement upon the other party’s material breach, subject to a 30-day notice and cure period, or in the event that the activities to be performed under the Manufacturing Agreement are unable to be performed for scientific or technical reasons and the parties are unable to resolve such issue within 60 days. We may terminate the Manufacturing Agreement for convenience after March 23, 2026 by providing FCDI 60-days’ written notice.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Worldwide License Agreement</w:t>
      </w:r>
    </w:p>
    <w:p>
      <w:pPr>
        <w:spacing w:after="0" w:line="232"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On September 22, 2023, we and FCDI entered into a worldwide license agreement, or the Autoimmune License, whereby FCDI will grant non-exclusive licenses to us for certain patent rights and know-how related to cell differentiation and reprogramming for the development and commercialization of iPSC-derived therapies for the treatment of inflammatory and autoimmune diseases. Under the terms of the Autoimmune License, FCDI will be eligible to receive certain development and regulatory milestone payments as well as low single-digit royalties related to products developed in connection with the Autoimmune License. In addition, on September 22, 2023, we and FCDI amended the Reprogramming License, Differentiation License and the Collaboration Agreement to expand our existing license related to the development and commercialization of iPSC-derived cancer immunotherapeutics to also include inflammatory and autoimmune diseases. In connection with the entry into the Autoimmune License and the amendments to the Reprogramming License and Differentiation License, we made an upfront payment in the amount of $4.0 million. In addition, we paid FCDI a $1.0 million milestone fee pursuant to the Autoimmune License for filing of the IND for SLE for CNTY-101, both of which are included as in -process research and development in the consolidated statements of operations and comprehensive loss for the year ended December 31, 2023.</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Bayer HealthCare LLC Option Agreement</w:t>
      </w:r>
    </w:p>
    <w:p>
      <w:pPr>
        <w:spacing w:after="0" w:line="232"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In June 2019, we entered into an option agreement with Bayer, or the Option Agreement, which was subsequently amended and restated in February 2021,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For clarity, T cell programs are excluded from the Bayer Option Agreement Research Products. Under the Option Agreement, Bayer was granted a right of first</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880" w:h="15480" w:orient="portrait"/>
          <w:cols w:equalWidth="0" w:num="1">
            <w:col w:w="9720"/>
          </w:cols>
          <w:pgMar w:left="1080" w:top="1067" w:right="1080" w:bottom="542" w:gutter="0" w:footer="0" w:header="0"/>
          <w:type w:val="continuous"/>
        </w:sectPr>
      </w:pPr>
    </w:p>
    <w:bookmarkStart w:id="23" w:name="page24"/>
    <w:bookmarkEnd w:id="23"/>
    <w:p>
      <w:pPr>
        <w:ind w:right="100"/>
        <w:spacing w:after="0" w:line="247" w:lineRule="auto"/>
        <w:rPr>
          <w:sz w:val="20"/>
          <w:szCs w:val="20"/>
          <w:color w:val="auto"/>
        </w:rPr>
      </w:pPr>
      <w:r>
        <w:rPr>
          <w:rFonts w:ascii="Arial" w:cs="Arial" w:eastAsia="Arial" w:hAnsi="Arial"/>
          <w:sz w:val="20"/>
          <w:szCs w:val="20"/>
          <w:color w:val="auto"/>
        </w:rPr>
        <w:t>refusal, or ROFR, to submit bids for the transfer or license of rights to research, develop and/or commercialize certain Research Products, which we refer to as the Research Product Rights. While CNTY-101 is no longer included in the Bayer option rights, any other wholly owned product candidate comprised of iNK cells that we develop in the future is subject to the terms of the Option Agreement. Bayer’s ROFR is only exercisable with respect to up to four Research Products and the right terminates upon our tenth IND submission. Subject to certain exceptions, Bayer may only exercise these option rights in a non-sequential and alternating manner, and such rights are subject to additional limitations.</w:t>
      </w:r>
    </w:p>
    <w:p>
      <w:pPr>
        <w:spacing w:after="0" w:line="19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 the event that Bayer exercises its ROFR right, we will provide Bayer with our current, minimum offer terms with respect to the relevant Research Product Rights, or the Minimum Offer Terms, as determined by our Board (excluding any director appointed by Bayer), which will include (i) the minimum upfront cash proceeds to be received by us for the Research Product Rights and (ii) any other applicable licensing and financial terms. If Bayer’s bid does not meet the Minimum Offer Terms, Bayer’s ROFR rights with respect to that Research Product terminate except that Bayer will retain topping rights for future third party bids for that Research Product. If Bayer’s bid meets the Minimum Offer Terms, we can accept the bid or seek a third party valuation to determine the fair market value of the Research Product Rights and Bayer will have the opportunity to match the third party valuation. If Bayer does not match the third party valuation, Bayer’s rights with respect to that Research Product terminate except that Bayer will retain topping rights for future third party bids for that Research Product that are less than the third party valuation. The Option Agreement also contains provisions regarding our receipt of an unsolicited bid for certain Research Product Rights prior to an IND submission for a Research Product under which Bayer will have the option to submit a competing bid or relinquish its rights with respect to the transfer of the applicable Research Product in connection with the unsolicited bid.</w:t>
      </w:r>
    </w:p>
    <w:p>
      <w:pPr>
        <w:spacing w:after="0" w:line="198" w:lineRule="exact"/>
        <w:rPr>
          <w:sz w:val="20"/>
          <w:szCs w:val="20"/>
          <w:color w:val="auto"/>
        </w:rPr>
      </w:pPr>
    </w:p>
    <w:p>
      <w:pPr>
        <w:ind w:right="380"/>
        <w:spacing w:after="0" w:line="261" w:lineRule="auto"/>
        <w:rPr>
          <w:sz w:val="20"/>
          <w:szCs w:val="20"/>
          <w:color w:val="auto"/>
        </w:rPr>
      </w:pPr>
      <w:r>
        <w:rPr>
          <w:rFonts w:ascii="Arial" w:cs="Arial" w:eastAsia="Arial" w:hAnsi="Arial"/>
          <w:sz w:val="20"/>
          <w:szCs w:val="20"/>
          <w:color w:val="auto"/>
        </w:rPr>
        <w:t>The Option Agreement terminates upon the earlier of (i) Bayer and its affiliates ceasing to hold any of our capital stock or (ii) a change of control of us, as defined therein. The Option Agreement also contains customary representations and warranties and confidentiality provisions.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Bristol-Myers Squibb</w:t>
      </w:r>
    </w:p>
    <w:p>
      <w:pPr>
        <w:spacing w:after="0" w:line="231"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On January 7, 2022, we entered into a Research, Collaboration and License Agreement with Bristol-Myers Squibb Company to collaborate on the research, development and commercialization of induced pluripotent stem cell derived, engineered natural killer cell and/or gamma delta T cell programs for hematologic malignancies, initially focused on acute myeloid leukemia, and multiple myeloma.</w:t>
      </w:r>
    </w:p>
    <w:p>
      <w:pPr>
        <w:spacing w:after="0" w:line="187" w:lineRule="exact"/>
        <w:rPr>
          <w:sz w:val="20"/>
          <w:szCs w:val="20"/>
          <w:color w:val="auto"/>
        </w:rPr>
      </w:pPr>
    </w:p>
    <w:p>
      <w:pPr>
        <w:ind w:right="400"/>
        <w:spacing w:after="0" w:line="283" w:lineRule="auto"/>
        <w:rPr>
          <w:sz w:val="20"/>
          <w:szCs w:val="20"/>
          <w:color w:val="auto"/>
        </w:rPr>
      </w:pPr>
      <w:r>
        <w:rPr>
          <w:rFonts w:ascii="Arial" w:cs="Arial" w:eastAsia="Arial" w:hAnsi="Arial"/>
          <w:sz w:val="20"/>
          <w:szCs w:val="20"/>
          <w:color w:val="auto"/>
        </w:rPr>
        <w:t>In connection with the Collaboration Agreement Bristol-Myers Squibb purchased 2,160,760 shares of our common stock at a price per share of $23.14, for an aggregate purchase price of $50 million.</w:t>
      </w:r>
    </w:p>
    <w:p>
      <w:pPr>
        <w:spacing w:after="0" w:line="157"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color w:val="auto"/>
        </w:rPr>
        <w:t>Following an internal corporate portfolio prioritization process, Bristol-Myers Squibb notified the Company on December 12, 2024 that it would be terminating the Collaboration Agreement in its entirety without cause. The termination was effective as of March 12, 2025.</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While we are encouraged by the scientific progress on programs for acute myeloid leukemia (CNTY-104) and multiple myeloma (CNTY-106) under the agreement and their commercial potential, consistent with the pre-clinical pipeline prioritization announced in March 2025, these programs will not be progressing internally at this time and may present out-licensing opportunities or be re-evaluated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iCELL Inc.</w:t>
      </w:r>
    </w:p>
    <w:p>
      <w:pPr>
        <w:spacing w:after="0" w:line="232"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color w:val="auto"/>
        </w:rPr>
        <w:t>On March 20, 2020, we entered into an exclusive sublicense, or the iCELL Sublicense, with iCELL Inc., or iCELL, for certain patents related to an immune function reconstruction method using multipotent stem cells and the method for producing antigen specific T- cells, in each case, to research, develop and commercialize products in the United States, France, Germany, Italy, Liechtenstein, the Netherlands, Switzerland and the UK and any other countries where valid claims exist. Additionally, we received a non-exclusive license to</w:t>
      </w:r>
    </w:p>
    <w:p>
      <w:pPr>
        <w:sectPr>
          <w:pgSz w:w="11880" w:h="15480" w:orient="portrait"/>
          <w:cols w:equalWidth="0" w:num="1">
            <w:col w:w="9660"/>
          </w:cols>
          <w:pgMar w:left="1080" w:top="1067" w:right="1140" w:bottom="542"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24</w:t>
      </w:r>
    </w:p>
    <w:p>
      <w:pPr>
        <w:sectPr>
          <w:pgSz w:w="11880" w:h="15480" w:orient="portrait"/>
          <w:cols w:equalWidth="0" w:num="1">
            <w:col w:w="9660"/>
          </w:cols>
          <w:pgMar w:left="1080" w:top="1067" w:right="1140" w:bottom="542" w:gutter="0" w:footer="0" w:header="0"/>
          <w:type w:val="continuous"/>
        </w:sectPr>
      </w:pPr>
    </w:p>
    <w:bookmarkStart w:id="24" w:name="page25"/>
    <w:bookmarkEnd w:id="24"/>
    <w:p>
      <w:pPr>
        <w:spacing w:after="0" w:line="242" w:lineRule="auto"/>
        <w:rPr>
          <w:sz w:val="20"/>
          <w:szCs w:val="20"/>
          <w:color w:val="auto"/>
        </w:rPr>
      </w:pPr>
      <w:r>
        <w:rPr>
          <w:rFonts w:ascii="Arial" w:cs="Arial" w:eastAsia="Arial" w:hAnsi="Arial"/>
          <w:sz w:val="20"/>
          <w:szCs w:val="20"/>
          <w:color w:val="auto"/>
        </w:rPr>
        <w:t>such rights in Japan. The rights sublicensed to us under the iCELL Sublicense were licensed to iCELL by the University of Tokyo, or UTokyo, pursuant to an exclusive license agreement, or the UTokyo License. iCELL reserved for itself and for UTokyo an irrevocable, nonexclusive, royalty-free license to make and use certain non-public information for their own internal educational and research activities.nThe initial term of the sublicense expires on the later of (i) March 31, 2027, or (ii) the expiration of the last-to-expire valid claim covering a licensed product, which is currently expected to expire in 2033. iCELL may terminate the agreement with 30 days’ notice if we have failed to make a payment within 60 days of such payment becoming due and we do not cure such breach within 30 days of written notice. We may terminate the agreement upon 90 days’ written notice if any third party brings a claim against us related to the licensed patents or technology and such claim is not settled within 90 days. Pursuant to the iCELL Sublicense, we paid an upfront license issue fee in the low six-figures and we agreed to make low single -digit percentage royalty payments until the last-to-expire valid claim under the licensed patents to iCELL on certain net sales amounts of the products developed under the iCELL Sublicense, as well as commercial milestone payments on a country-by- country basis based on certain net sales amounts related to products developed under the iCELL Sublicense in the aggregate of $ 70 million. We also agreed to make certain milestone payments to iCELL upon the achievement of certain developmental and regulatory milestones in the aggregate of $4.25 million. Upon the termination of the UTokyo License, iCELL will use good faith efforts to assist us in exercising any rights available to us under the UTokyo License to become a direct licensee of UTokyo. The iCELL Sublicense also contains customary representation and warranties, confidentiality, insurance, audit, indemnification and miscellaneous provisions.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Inscripta</w:t>
      </w:r>
    </w:p>
    <w:p>
      <w:pPr>
        <w:spacing w:after="0" w:line="231"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In January 2019, we entered into a non-exclusive license agreement with Inscripta, Inc. Under the license agreement, we obtained a non-exclusive, worldwide, royalty-free, irrevocable license to a patent portfolio covering the composition, production, and use of CRISPR -MAD7, a novel gene-editing CRISPR endonuclease from the Eubacterium rectale genome. The license agreement does not contain any payment terms; thus no payments have been made, or will be made, to Inscripta under the license agreement. The licensed intellectual property includes two issued U.S. patents and any pending applications claiming priority therefrom. Our license covers the use of CRISPR-MAD7 to perform research and development in both academic and commercial setting and use of MAD7 to perform commercial services, provided that such use may not include the (i) sale or resale of MAD7, including as part of a therapeutic product, (ii) continued use of MAD7 in a commercial manufacturing process or (iii) use of MAD7 in the editing of human embryos. Such license will expire upon the expiration of the last valid claim under the licensed patents, which is currently expected to expire in 2037. These licensed issued patents and any licensed patents that may issue from these pending patent applications will expire in 2037, without giving effect to any patent term adjustment or extension.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43"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Intellectual property is of vital importance in our field and in biotechnology generally. We seek to protect and enhance our intellectual property, proprietary technology, inventions, and improvements that are commercially important to the development of our business by seeking, maintaining, enforcing and defending patent rights, whether developed internally or licensed from third parties.</w:t>
      </w:r>
    </w:p>
    <w:p>
      <w:pPr>
        <w:spacing w:after="0" w:line="187"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We have sought patent protection in the United States and other countries throughout the world related to each of our pipeline programs, including our CNTY-101 product candidate, as well as other iPSC-derived engineered CAR cells comprising certain transgene insertions and deletions, including our proprietary Allo-Evasion™ technology. We have an issued US Patent No. 11,661,459 directed to the safety switch construct incorporated in our CNTY-101 product, and an allowed US Patent Application No. 18/193,030 directed to a composition that includes the iPSC or derivative cell thereof having safety switch construct incorporated in our CNTY-101 product. We have also filed patent applications related to our other product candidates, including CNTY-104, CNTY-107, CNTY-308, and CNTY-341. We have also filed patent applications relating to our T- cell platform related to compositions and methods for generating alpha-beta and gamma delta T-cells from</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880" w:h="15480" w:orient="portrait"/>
          <w:cols w:equalWidth="0" w:num="1">
            <w:col w:w="9720"/>
          </w:cols>
          <w:pgMar w:left="1080" w:top="1067" w:right="1080" w:bottom="542" w:gutter="0" w:footer="0" w:header="0"/>
          <w:type w:val="continuous"/>
        </w:sectPr>
      </w:pPr>
    </w:p>
    <w:bookmarkStart w:id="25" w:name="page26"/>
    <w:bookmarkEnd w:id="25"/>
    <w:p>
      <w:pPr>
        <w:ind w:right="200"/>
        <w:spacing w:after="0" w:line="246" w:lineRule="auto"/>
        <w:rPr>
          <w:sz w:val="20"/>
          <w:szCs w:val="20"/>
          <w:color w:val="auto"/>
        </w:rPr>
      </w:pPr>
      <w:r>
        <w:rPr>
          <w:rFonts w:ascii="Arial" w:cs="Arial" w:eastAsia="Arial" w:hAnsi="Arial"/>
          <w:sz w:val="20"/>
          <w:szCs w:val="20"/>
          <w:color w:val="auto"/>
        </w:rPr>
        <w:t>iPSCs. Additionally, we have filed a patent application on gene transfer vectors and methods of engineering iPSCs. We have also filed patent applications related to genetically engineered cells expressing CD16 variants and NKG2D and uses thereof as well as other technologies. This portfolio covers compositions of programmed cellular immunotherapies, our proprietary Allo-Evasion™ technology and our platform for industrial scale iPSC engineering and differentiation. The portfolio also includes technology for a universal CAR cell platform and a novel safety switch which includes an issued US Patent No.11,883,432. These issued patents and any patents that may be issued from allowed patent applications will expire on dates in 2041, without giving effect to any patent term adjustment or extension.</w:t>
      </w:r>
    </w:p>
    <w:p>
      <w:pPr>
        <w:spacing w:after="0" w:line="19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have also filed provisional and/or non-provisional patent applications related to iPSC-derived cells engineered to express CXCR4. Additionally, through our acquisition of Clade Therapeutics, Inc., we acquired patent applications related to (i) methods of making and using single positive T cells, and (ii) cells engineered with one or both of a CD300a and NKG2A binding domain to enhance cell cloaking.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Such applications may not result in issued patents and, even if patents do issue, such patents may not be in a form that will provide us with meaningful protection for our product candidates. We also rely on trade secrets that may be important to the development of our business, but which may be difficult to protect and provide us with only limited protection.</w:t>
      </w:r>
    </w:p>
    <w:p>
      <w:pPr>
        <w:spacing w:after="0" w:line="202"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We expect to file additional patent applications in support of current and new clinical candidates as well as new platform and core technologies. Our commercial success will depend in part on obtaining, maintaining, protecting, and enforcing patent protection and trade secret protection of our current and future product candidates and the methods used to develop and manufacture them, as well as successfully defending such patents against third-party challenges and operating without infringing, violating or misappropriating the intellectual property or proprietary rights of others. Our ability to stop unauthorized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factors—Risks related to our intellectual property.”</w:t>
      </w:r>
    </w:p>
    <w:p>
      <w:pPr>
        <w:spacing w:after="0" w:line="204"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The term of individual patents depends upon the legal term of the patents in the countries in which they are obtained. In most countries in which we file, including the United States, the patent term is generally 20 years from the earliest date of filing a non-provisional or Patent Cooperation Treaty, or PCT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In the United States, the patent term of a patent that covers an FDA-approved drug may also be eligible for patent term extension, which permits patent term restoration as compensation for the patent term lost during the FDA regulatory review process. The Drug Price Competition and Patent Term Restoration Act, or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 For more information</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880" w:h="15480" w:orient="portrait"/>
          <w:cols w:equalWidth="0" w:num="1">
            <w:col w:w="9720"/>
          </w:cols>
          <w:pgMar w:left="1080" w:top="1067" w:right="1080" w:bottom="542" w:gutter="0" w:footer="0" w:header="0"/>
          <w:type w:val="continuous"/>
        </w:sectPr>
      </w:pPr>
    </w:p>
    <w:bookmarkStart w:id="26" w:name="page27"/>
    <w:bookmarkEnd w:id="26"/>
    <w:p>
      <w:pPr>
        <w:ind w:right="500"/>
        <w:spacing w:after="0" w:line="283" w:lineRule="auto"/>
        <w:rPr>
          <w:sz w:val="20"/>
          <w:szCs w:val="20"/>
          <w:color w:val="auto"/>
        </w:rPr>
      </w:pPr>
      <w:r>
        <w:rPr>
          <w:rFonts w:ascii="Arial" w:cs="Arial" w:eastAsia="Arial" w:hAnsi="Arial"/>
          <w:sz w:val="20"/>
          <w:szCs w:val="20"/>
          <w:color w:val="auto"/>
        </w:rPr>
        <w:t>regarding the risks related to our intellectual property, see “Risk factors—Risks related to our intellectual property.”</w:t>
      </w:r>
    </w:p>
    <w:p>
      <w:pPr>
        <w:spacing w:after="0" w:line="158"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In some instances, we submit patent applications directly with the USPTO as provisional patent applications. Corresponding non-provisional patent applications must be filed not later than 12 months after the provisional application filing date to claim priority to the provisional application filing date.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 provisional patent applications relating to our provisional patent applications, we cannot predict whether any such patent applications will result in the issuance of patents that provide us with any competitive advantage.</w:t>
      </w:r>
    </w:p>
    <w:p>
      <w:pPr>
        <w:spacing w:after="0" w:line="19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will file U.S. non-provisional applications and PCT applications that claim the benefit of the priority date of earlier filed provisional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for some or all of the claims filed in the application,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 -phase applications. At the end of the period of two and a half years from the earliest priority date of the PCT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200"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For all patent applications, we determine claiming strategy on a case-by-case basis.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94"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product candidates, platform, or technology. We cannot predict whether the patent applications we are currently pursuing will issue as patents in any particular jurisdiction or whether the claims of any issued patents will provide sufficient proprietary protection from competitors. In addition, any patents that we hold may be challenged, circumvented or invalidated by third parties.</w:t>
      </w:r>
    </w:p>
    <w:p>
      <w:pPr>
        <w:spacing w:after="0" w:line="19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patent positions of biotechnology companies like ours are generally uncertain and involve complex legal, scientific, and factual questions. Our commercial success will also depend in part on not infringing, violating, or misappropriating the intellectual property or proprietary rights of third parties. Third-party patents could require us to alter our development or commercial strategies, or our product candidates or processes, obtain licenses, which may not be available on commercially reasonable terms, or at all, or cease certain activities. If third parties prepare and file patent applications in the United States that also claim technology to which we have rights, we may have to participate in interference or derivation proceedings in the USPTO to determine priority of invention. Further, our breach of any license agreements or our failure to obtain a license to</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ectPr>
          <w:pgSz w:w="11880" w:h="15480" w:orient="portrait"/>
          <w:cols w:equalWidth="0" w:num="1">
            <w:col w:w="9700"/>
          </w:cols>
          <w:pgMar w:left="1080" w:top="1067" w:right="1100" w:bottom="542" w:gutter="0" w:footer="0" w:header="0"/>
          <w:type w:val="continuous"/>
        </w:sectPr>
      </w:pPr>
    </w:p>
    <w:bookmarkStart w:id="27" w:name="page28"/>
    <w:bookmarkEnd w:id="27"/>
    <w:p>
      <w:pPr>
        <w:ind w:right="140"/>
        <w:spacing w:after="0" w:line="283" w:lineRule="auto"/>
        <w:rPr>
          <w:sz w:val="20"/>
          <w:szCs w:val="20"/>
          <w:color w:val="auto"/>
        </w:rPr>
      </w:pPr>
      <w:r>
        <w:rPr>
          <w:rFonts w:ascii="Arial" w:cs="Arial" w:eastAsia="Arial" w:hAnsi="Arial"/>
          <w:sz w:val="20"/>
          <w:szCs w:val="20"/>
          <w:color w:val="auto"/>
        </w:rPr>
        <w:t>proprietary rights required to develop or commercialize our product candidates may have a material adverse impact on us. For more information, see “Risk Factors—Risks related to intellectual property.”</w:t>
      </w:r>
    </w:p>
    <w:p>
      <w:pPr>
        <w:spacing w:after="0" w:line="158"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In addition to patent protection, we also rely on trade secrets, know-how, other proprietary information and/or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factors—Risks related to our intellectual property.”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Intellectual property relating to iPSC technology</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have licensed from FCDI a portfolio of six patent families including issued patents and pending applications broadly applicable to the reprogramming of somatic cells. Our license is non- exclusive within the field of cancer immunotherapeutics in the worldwide territory outside of Japan and for the treatment of inflammatory and autoimmune diseases worldwide. This portfolio covers various aspects of the generation of human iPSCs from somatic cells and, as of May 31, 2021, includes 12 issued U.S. patents claiming methods and compositions used in the reprogramming of human somatic cells to iPSCs. Specifically, the portfolio includes patents with claims for producing human iPSCs from hematopoietic progenitor cells using episomal genetic vectors and includes claims for doing the reprogramming under feeder free conditions. The portfolio also includes a composition of matter patent issued in the United States covering an Epstein-Barr Virus, or EBV, reprogramming vector containing genes for certain reprogramming factors. These issued patents and any patents that may be issued from these pending patent applications will expire on dates ranging from 2029 to 2034, without giving effect to any patent term adjustment or extension.</w:t>
      </w:r>
    </w:p>
    <w:p>
      <w:pPr>
        <w:spacing w:after="0" w:line="195"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Included within the license is a sublicense under certain patents, which are directed to compositions and methods of using and making iPSCs, owned by WARF relating to the so-called “Thompson Factors” for reprogramming human cells to iPSCs, the issued United States patents in this portfolio will expire on dates ranging from 2028 to 2029, without giving effect to any patent term adjustment or extension.</w:t>
      </w:r>
    </w:p>
    <w:p>
      <w:pPr>
        <w:spacing w:after="0" w:line="187"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Intellectual property relating to genetic engineering</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w:t>
      </w:r>
    </w:p>
    <w:p>
      <w:pPr>
        <w:sectPr>
          <w:pgSz w:w="11880" w:h="15480" w:orient="portrait"/>
          <w:cols w:equalWidth="0" w:num="1">
            <w:col w:w="9700"/>
          </w:cols>
          <w:pgMar w:left="1080" w:top="1067" w:right="1100" w:bottom="542" w:gutter="0" w:footer="0" w:header="0"/>
          <w:type w:val="continuous"/>
        </w:sectPr>
      </w:pPr>
    </w:p>
    <w:bookmarkStart w:id="28" w:name="page29"/>
    <w:bookmarkEnd w:id="28"/>
    <w:p>
      <w:pPr>
        <w:spacing w:after="0" w:line="246" w:lineRule="auto"/>
        <w:rPr>
          <w:sz w:val="20"/>
          <w:szCs w:val="20"/>
          <w:color w:val="auto"/>
        </w:rPr>
      </w:pPr>
      <w:r>
        <w:rPr>
          <w:rFonts w:ascii="Arial" w:cs="Arial" w:eastAsia="Arial" w:hAnsi="Arial"/>
          <w:sz w:val="20"/>
          <w:szCs w:val="20"/>
          <w:color w:val="auto"/>
        </w:rPr>
        <w:t>In January 2019, we entered into a non-exclusive license agreement with Inscripta, Inc. Under the license agreement, we obtained a non-exclusive, royalty-free, irrevocable license to a patent portfolio covering the composition, production, and use of CRISPR- MAD7, a novel gene-editing CRISPR endonuclease from the Eubacterium rectale genome. The intellectual property includes two issued U.S. patents and any pending applications claiming priority therefrom. Our license covers the making and using of CRISPR-MAD7 for editing iPSCs, making master engineered iPSC lines and using master engineered iPSC lines to manufacture human therapeutic products. These issued patents and any patents that may be issued from these pending patent applications will expire in 2037, without giving effect to any patent term adjustment or extension.</w:t>
      </w:r>
    </w:p>
    <w:p>
      <w:pPr>
        <w:spacing w:after="0" w:line="195"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Intellectual property relating to the differentiation of hematopoietic cells</w:t>
      </w:r>
    </w:p>
    <w:p>
      <w:pPr>
        <w:spacing w:after="0" w:line="232"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We have licensed from FCDI a portfolio of six patent families regarding methods of differentiating iPSC cells including issued patents and pending patent applications broadly applicable to the differentiation of iPSC cells, the last of which is currently expected to expire in 2036. Our license is exclusive to exploit cancer immunotherapeutic products and non-exclusive for the products for the treatment of inflammatory and autoimmune diseases consisting of cells that are or are modifications of NK cells, T cells, dendritic cells and macrophages derived from human iPSCs. This portfolio covers various aspects of the generation of hematopoietic precursor and immune effector cells from iPSCs and, as of May 31, 2021, includes five issued U.S. patents claiming methods for the differentiation of human iPSCs to hematopoietic precursor cells and further differentiation into immune effector cells. Specifically, the portfolio includes patents with claims for producing hematopoietic precursor cells from iPSCs using a multi-step process involving certain defined media. These issued patents and any patents that may issue from these pending patent applications will expire on dates ranging from 2030 to 2036, without giving effect to any patent term adjustment or extension.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Intellectual property relating to engineered iPSCs and derivative cells</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Currently, we own two issued US patents and fifteen pending US utility patent applications and five pending provisional patent applications covering our engineered iPSC cells, cell differentiation technology, compositions of engineered cellular immunotherapies, and gene transfer vectors and methods of engineering iPSC cells. The portfolio includes composition of matter claims covering CNTY-101, as well as other iPSC-derived engineered CAR cells comprising certain transgene insertions and deletions, including our proprietary Allo-Evasion™ technology. We have an issued US patent No. 11,661,459 directed to the safety switch construct incorporated in our CNTY-101 product and an issued US patent with claims directed to a universal CAR cell platform. We have also filed patent applications relating to our T-cell platform related to compositions and methods for generating alpha- beta and gamma -delta T cells from iPSCs. We have also filed patent applications related to a novel safety switch. Any U.S. patents that may issue from such pending provisional patent applications would expire in from 2040-2043, without giving effect to any patent term adjustment or extension.</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Intellectual property relating to engineered T cells</w:t>
      </w:r>
    </w:p>
    <w:p>
      <w:pPr>
        <w:spacing w:after="0" w:line="232"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We have exclusively sublicensed from iCELL two families of patents owned by the University of Tokyo relating to immune function reconstruction method using multipotent stem cells and method for producing antigen-specific T cells. The portfolio includes two issued U.S. patents claiming methods for the production of T cells having antigen specificity from iPSC cells derived from human T cells where the T cells differentiated from the iPSC cells retain the antigen specificity of the human T cell from which it was derived. These issued patents will expire in 2031, without giving effect to any patent term adjustment or extension.</w:t>
      </w:r>
    </w:p>
    <w:p>
      <w:pPr>
        <w:sectPr>
          <w:pgSz w:w="11880" w:h="15480" w:orient="portrait"/>
          <w:cols w:equalWidth="0" w:num="1">
            <w:col w:w="9680"/>
          </w:cols>
          <w:pgMar w:left="1080" w:top="1067"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29</w:t>
      </w:r>
    </w:p>
    <w:p>
      <w:pPr>
        <w:sectPr>
          <w:pgSz w:w="11880" w:h="15480" w:orient="portrait"/>
          <w:cols w:equalWidth="0" w:num="1">
            <w:col w:w="9680"/>
          </w:cols>
          <w:pgMar w:left="1080" w:top="1067" w:right="1120" w:bottom="542" w:gutter="0" w:footer="0" w:header="0"/>
          <w:type w:val="continuous"/>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Competition</w:t>
      </w:r>
    </w:p>
    <w:p>
      <w:pPr>
        <w:spacing w:after="0" w:line="243"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auto"/>
        </w:rPr>
        <w:t>The biotechnology and pharmaceutical industries have made substantial investment in recent years in the rapid development of novel immunotherapies for the treatment of a range of pathologies, including cancers, and autoimmune disorders, making this a highly competitive market.</w:t>
      </w:r>
    </w:p>
    <w:p>
      <w:pPr>
        <w:spacing w:after="0" w:line="17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face substantial competition from multiple sources, including large and specialty pharmaceutical, biopharmaceutical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immunotherapy and, furthermore, within the treatment of cancers and autoimmune disorders. In addition to the current standard of care treatments for patients with cancers or autoimmune disorders, numerous commercial and academic preclinical studies and clinical trials are being undertaken by a large number of parties to assess novel technologies and product candidates in the field of immunotherapy. Results from these studies and trials have fueled increasing levels of interest in the field of immunotherapy.</w:t>
      </w:r>
    </w:p>
    <w:p>
      <w:pPr>
        <w:spacing w:after="0" w:line="200" w:lineRule="exact"/>
        <w:rPr>
          <w:sz w:val="20"/>
          <w:szCs w:val="20"/>
          <w:color w:val="auto"/>
        </w:rPr>
      </w:pPr>
    </w:p>
    <w:p>
      <w:pPr>
        <w:ind w:right="260"/>
        <w:spacing w:after="0" w:line="254" w:lineRule="auto"/>
        <w:rPr>
          <w:sz w:val="20"/>
          <w:szCs w:val="20"/>
          <w:color w:val="auto"/>
        </w:rPr>
      </w:pPr>
      <w:r>
        <w:rPr>
          <w:rFonts w:ascii="Arial" w:cs="Arial" w:eastAsia="Arial" w:hAnsi="Arial"/>
          <w:sz w:val="20"/>
          <w:szCs w:val="20"/>
          <w:color w:val="auto"/>
        </w:rPr>
        <w:t>Large pharmaceutical companies that have commercialized or are developing immunotherapies to treat cancer include but are not limited to AstraZeneca, Bristol-Myers Squibb, Gilead Sciences, Merck, Novartis, Pfizer, and Roche. Some of these companies, such as Bristol-Myers Squibb, Novartis, and Roche, are also developing cell therapy therapies for autoimmune diseases.</w:t>
      </w:r>
    </w:p>
    <w:p>
      <w:pPr>
        <w:spacing w:after="0" w:line="187"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Companies that compete with us directly on the level of the development of product candidates targeting B- cell lymphomas include but are not limited to Gilead Sciences, Novartis, and Bristol -Myers Squibb, among others. Companies developing Nectin-4 targeted agents include but are not limited to Pfizer, Astellas, and Bicycle Therapeutics.</w:t>
      </w:r>
    </w:p>
    <w:p>
      <w:pPr>
        <w:spacing w:after="0" w:line="185"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Other emerging biopharmaceutical companies which can potentially develop competing cell therapy candidates to treat both cancer and autoimmune diseases include but are not limited to Adicet Bio, Allogene Therapeutics, Artiva Biotherapeutics, Caribou Biosciences, CRIPSR Therapeutics, Fate Therapeutics, Nkarta Therapeutics, and Sana Biotechnology. Furthermore, companies pursuing the development of cell therapies in autoimmune diseases include but are not limited to Cabaletta Bio, Cartesian Therapeutics, and Kyverna Therapeutics.</w:t>
      </w:r>
    </w:p>
    <w:p>
      <w:pPr>
        <w:spacing w:after="0" w:line="194"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auto"/>
        </w:rPr>
        <w:t>Competition may also arise from non-cell therapy modalities, such as bispecific antibodies and T cell engagers. 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w:t>
      </w:r>
    </w:p>
    <w:p>
      <w:pPr>
        <w:sectPr>
          <w:pgSz w:w="11880" w:h="15480" w:orient="portrait"/>
          <w:cols w:equalWidth="0" w:num="1">
            <w:col w:w="9720"/>
          </w:cols>
          <w:pgMar w:left="1080" w:top="1064"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880" w:h="15480" w:orient="portrait"/>
          <w:cols w:equalWidth="0" w:num="1">
            <w:col w:w="9720"/>
          </w:cols>
          <w:pgMar w:left="1080" w:top="1064" w:right="1080" w:bottom="542" w:gutter="0" w:footer="0" w:header="0"/>
          <w:type w:val="continuous"/>
        </w:sectPr>
      </w:pPr>
    </w:p>
    <w:bookmarkStart w:id="30" w:name="page31"/>
    <w:bookmarkEnd w:id="30"/>
    <w:p>
      <w:pPr>
        <w:ind w:right="140"/>
        <w:spacing w:after="0" w:line="283" w:lineRule="auto"/>
        <w:rPr>
          <w:sz w:val="20"/>
          <w:szCs w:val="20"/>
          <w:color w:val="auto"/>
        </w:rPr>
      </w:pPr>
      <w:r>
        <w:rPr>
          <w:rFonts w:ascii="Arial" w:cs="Arial" w:eastAsia="Arial" w:hAnsi="Arial"/>
          <w:sz w:val="20"/>
          <w:szCs w:val="20"/>
          <w:color w:val="auto"/>
        </w:rPr>
        <w:t>we are able to enter the market. The key competitive factors affecting the success of all of our programs are likely to be product safety, efficacy, convenience and treatment cost.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43"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auto"/>
        </w:rPr>
        <w:t>In the United States, biologic products are licensed by the U.S. Food and Drug Administration, or FDA, for marketing under the Public Health Service Act, referred to as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United States development process</w:t>
      </w:r>
    </w:p>
    <w:p>
      <w:pPr>
        <w:spacing w:after="0" w:line="231" w:lineRule="exact"/>
        <w:rPr>
          <w:sz w:val="20"/>
          <w:szCs w:val="20"/>
          <w:color w:val="auto"/>
        </w:rPr>
      </w:pPr>
    </w:p>
    <w:p>
      <w:pPr>
        <w:ind w:right="220"/>
        <w:spacing w:after="0" w:line="283" w:lineRule="auto"/>
        <w:rPr>
          <w:sz w:val="20"/>
          <w:szCs w:val="20"/>
          <w:color w:val="auto"/>
        </w:rPr>
      </w:pPr>
      <w:r>
        <w:rPr>
          <w:rFonts w:ascii="Arial" w:cs="Arial" w:eastAsia="Arial" w:hAnsi="Arial"/>
          <w:sz w:val="20"/>
          <w:szCs w:val="20"/>
          <w:color w:val="auto"/>
        </w:rPr>
        <w:t>The process required by the FDA before a biologic product may be marketed in the United States generally involves the following:</w:t>
      </w:r>
    </w:p>
    <w:p>
      <w:pPr>
        <w:spacing w:after="0" w:line="170" w:lineRule="exact"/>
        <w:rPr>
          <w:sz w:val="20"/>
          <w:szCs w:val="20"/>
          <w:color w:val="auto"/>
        </w:rPr>
      </w:pPr>
    </w:p>
    <w:p>
      <w:pPr>
        <w:ind w:left="720" w:hanging="353"/>
        <w:spacing w:after="0" w:line="262"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completion of nonclinical laboratory tests and animal studies according to Good Laboratory Practices, or GLPs, and applicable requirements for the humane use of laboratory animals or other applicable regulations;</w:t>
      </w:r>
    </w:p>
    <w:p>
      <w:pPr>
        <w:spacing w:after="0" w:line="191" w:lineRule="exact"/>
        <w:rPr>
          <w:rFonts w:ascii="Arial" w:cs="Arial" w:eastAsia="Arial" w:hAnsi="Arial"/>
          <w:sz w:val="20"/>
          <w:szCs w:val="20"/>
          <w:color w:val="auto"/>
        </w:rPr>
      </w:pPr>
    </w:p>
    <w:p>
      <w:pPr>
        <w:ind w:left="720" w:right="500" w:hanging="353"/>
        <w:spacing w:after="0" w:line="283"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preparation of clinical trial material in accordance with current Good Manufacturing Practices, or cGMPs;</w:t>
      </w:r>
    </w:p>
    <w:p>
      <w:pPr>
        <w:spacing w:after="0" w:line="170" w:lineRule="exact"/>
        <w:rPr>
          <w:rFonts w:ascii="Arial" w:cs="Arial" w:eastAsia="Arial" w:hAnsi="Arial"/>
          <w:sz w:val="20"/>
          <w:szCs w:val="20"/>
          <w:color w:val="auto"/>
        </w:rPr>
      </w:pPr>
    </w:p>
    <w:p>
      <w:pPr>
        <w:ind w:left="720" w:right="100" w:hanging="353"/>
        <w:spacing w:after="0" w:line="283"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submission to the FDA of an application for an investigational new drug, or IND, which must become effective before human clinical trials may begin;</w:t>
      </w:r>
    </w:p>
    <w:p>
      <w:pPr>
        <w:spacing w:after="0" w:line="171" w:lineRule="exact"/>
        <w:rPr>
          <w:rFonts w:ascii="Arial" w:cs="Arial" w:eastAsia="Arial" w:hAnsi="Arial"/>
          <w:sz w:val="20"/>
          <w:szCs w:val="20"/>
          <w:color w:val="auto"/>
        </w:rPr>
      </w:pPr>
    </w:p>
    <w:p>
      <w:pPr>
        <w:ind w:left="720" w:right="100" w:hanging="353"/>
        <w:spacing w:after="0" w:line="283"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approval by an institutional review board, or IRB, reviewing each clinical site before each clinical trial may be initiated;</w:t>
      </w:r>
    </w:p>
    <w:p>
      <w:pPr>
        <w:spacing w:after="0" w:line="170" w:lineRule="exact"/>
        <w:rPr>
          <w:rFonts w:ascii="Arial" w:cs="Arial" w:eastAsia="Arial" w:hAnsi="Arial"/>
          <w:sz w:val="20"/>
          <w:szCs w:val="20"/>
          <w:color w:val="auto"/>
        </w:rPr>
      </w:pPr>
    </w:p>
    <w:p>
      <w:pPr>
        <w:ind w:left="720" w:right="320" w:hanging="353"/>
        <w:spacing w:after="0" w:line="254"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performance of adequate and well-controlled human clinical trials according to Good Clinical Practices, or GCP, and any additional requirements for the protection of human research subjects and their health information, to establish the safety, purity, potency, and efficacy, of the proposed biologic product for its intended use;</w:t>
      </w:r>
    </w:p>
    <w:p>
      <w:pPr>
        <w:spacing w:after="0" w:line="200" w:lineRule="exact"/>
        <w:rPr>
          <w:rFonts w:ascii="Arial" w:cs="Arial" w:eastAsia="Arial" w:hAnsi="Arial"/>
          <w:sz w:val="20"/>
          <w:szCs w:val="20"/>
          <w:color w:val="auto"/>
        </w:rPr>
      </w:pPr>
    </w:p>
    <w:p>
      <w:pPr>
        <w:ind w:left="720" w:right="580" w:hanging="353"/>
        <w:spacing w:after="0" w:line="262"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submission to the FDA of a Biologics License Application, or BLA, for marketing approval that includes substantive evidence of safety, purity, potency, and efficacy from results of nonclinical testing and clinical trials;</w:t>
      </w:r>
    </w:p>
    <w:p>
      <w:pPr>
        <w:spacing w:after="0" w:line="190" w:lineRule="exact"/>
        <w:rPr>
          <w:rFonts w:ascii="Arial" w:cs="Arial" w:eastAsia="Arial" w:hAnsi="Arial"/>
          <w:sz w:val="20"/>
          <w:szCs w:val="20"/>
          <w:color w:val="auto"/>
        </w:rPr>
      </w:pPr>
    </w:p>
    <w:p>
      <w:pPr>
        <w:ind w:left="720" w:right="60" w:hanging="353"/>
        <w:spacing w:after="0" w:line="254"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satisfactory completion of an FDA inspection prior to BLA approval of the manufacturing facility or facilities where the biologic product is produced to assess compliance with cGMP, to assure that the facilities, methods, and controls are adequate to preserve the biologic’s identity, strength, quality and purity;</w:t>
      </w:r>
    </w:p>
    <w:p>
      <w:pPr>
        <w:spacing w:after="0" w:line="200" w:lineRule="exact"/>
        <w:rPr>
          <w:rFonts w:ascii="Arial" w:cs="Arial" w:eastAsia="Arial" w:hAnsi="Arial"/>
          <w:sz w:val="20"/>
          <w:szCs w:val="20"/>
          <w:color w:val="auto"/>
        </w:rPr>
      </w:pPr>
    </w:p>
    <w:p>
      <w:pPr>
        <w:ind w:left="720" w:right="60" w:hanging="354"/>
        <w:spacing w:after="0" w:line="283"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potential FDA audit of the nonclinical and clinical study sites that generated the data in support of the BLA;</w:t>
      </w:r>
    </w:p>
    <w:p>
      <w:pPr>
        <w:sectPr>
          <w:pgSz w:w="11880" w:h="15480" w:orient="portrait"/>
          <w:cols w:equalWidth="0" w:num="1">
            <w:col w:w="9680"/>
          </w:cols>
          <w:pgMar w:left="1080" w:top="1067"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31</w:t>
      </w:r>
    </w:p>
    <w:p>
      <w:pPr>
        <w:sectPr>
          <w:pgSz w:w="11880" w:h="15480" w:orient="portrait"/>
          <w:cols w:equalWidth="0" w:num="1">
            <w:col w:w="9680"/>
          </w:cols>
          <w:pgMar w:left="1080" w:top="1067" w:right="1120" w:bottom="542" w:gutter="0" w:footer="0" w:header="0"/>
          <w:type w:val="continuous"/>
        </w:sectPr>
      </w:pPr>
    </w:p>
    <w:bookmarkStart w:id="31" w:name="page32"/>
    <w:bookmarkEnd w:id="31"/>
    <w:p>
      <w:pPr>
        <w:ind w:left="720" w:right="20" w:hanging="353"/>
        <w:spacing w:after="0" w:line="283"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potential FDA Advisory Committee meeting to elicit expert input on critical issues and including a vote by external committee members;</w:t>
      </w:r>
    </w:p>
    <w:p>
      <w:pPr>
        <w:spacing w:after="0" w:line="170" w:lineRule="exact"/>
        <w:rPr>
          <w:rFonts w:ascii="Arial" w:cs="Arial" w:eastAsia="Arial" w:hAnsi="Arial"/>
          <w:sz w:val="20"/>
          <w:szCs w:val="20"/>
          <w:color w:val="auto"/>
        </w:rPr>
      </w:pPr>
    </w:p>
    <w:p>
      <w:pPr>
        <w:ind w:left="720" w:right="560" w:hanging="353"/>
        <w:spacing w:after="0" w:line="283"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FDA review and approval, or licensure, of the BLA, and payment of associated user fees, when applicable; and</w:t>
      </w:r>
    </w:p>
    <w:p>
      <w:pPr>
        <w:spacing w:after="0" w:line="171" w:lineRule="exact"/>
        <w:rPr>
          <w:rFonts w:ascii="Arial" w:cs="Arial" w:eastAsia="Arial" w:hAnsi="Arial"/>
          <w:sz w:val="20"/>
          <w:szCs w:val="20"/>
          <w:color w:val="auto"/>
        </w:rPr>
      </w:pPr>
    </w:p>
    <w:p>
      <w:pPr>
        <w:ind w:left="720" w:right="140" w:hanging="353"/>
        <w:spacing w:after="0" w:line="261"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compliance with any post-approval requirements, including the potential requirement to implement a Risk Evaluation and Mitigation Strategies, or REMS, and the potential requirement to conduct post-approval studies.</w:t>
      </w:r>
    </w:p>
    <w:p>
      <w:pPr>
        <w:spacing w:after="0" w:line="180"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8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 compliance. If the FDA imposes a clinical hold, trials may not recommence without FDA authorization and then only under terms authorized by the FDA.</w:t>
      </w:r>
    </w:p>
    <w:p>
      <w:pPr>
        <w:spacing w:after="0" w:line="195"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207"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In addition to the submission of an IND to the FDA before initiation of a clinical trial in the United States, certain human clinical trials involving recombinant or synthetic nucleic acid molecules are subject to oversight of institutional biosafety committees, or IBCs, as set forth in the National Institutes of Health, or NIH, Guidelines for Research Involving Recombinant or Synthetic Nucleic Acid Molecules, or NIH Guidelines.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w:t>
      </w:r>
    </w:p>
    <w:p>
      <w:pPr>
        <w:sectPr>
          <w:pgSz w:w="11880" w:h="15480" w:orient="portrait"/>
          <w:cols w:equalWidth="0" w:num="1">
            <w:col w:w="9700"/>
          </w:cols>
          <w:pgMar w:left="1080" w:top="1081" w:right="1100" w:bottom="542"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ectPr>
          <w:pgSz w:w="11880" w:h="15480" w:orient="portrait"/>
          <w:cols w:equalWidth="0" w:num="1">
            <w:col w:w="9700"/>
          </w:cols>
          <w:pgMar w:left="1080" w:top="1081" w:right="1100" w:bottom="542" w:gutter="0" w:footer="0" w:header="0"/>
          <w:type w:val="continuous"/>
        </w:sectPr>
      </w:pPr>
    </w:p>
    <w:bookmarkStart w:id="32" w:name="page33"/>
    <w:bookmarkEnd w:id="32"/>
    <w:p>
      <w:pPr>
        <w:ind w:right="40"/>
        <w:spacing w:after="0" w:line="250" w:lineRule="auto"/>
        <w:rPr>
          <w:sz w:val="20"/>
          <w:szCs w:val="20"/>
          <w:color w:val="auto"/>
        </w:rPr>
      </w:pPr>
      <w:r>
        <w:rPr>
          <w:rFonts w:ascii="Arial" w:cs="Arial" w:eastAsia="Arial" w:hAnsi="Arial"/>
          <w:sz w:val="20"/>
          <w:szCs w:val="20"/>
          <w:color w:val="auto"/>
        </w:rPr>
        <w:t>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for recombinant or synthetic nucleic acid molecule research, many companies and other institutions not otherwise subject to the NIH Guidelines voluntarily follow them.</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Human clinical trials are typically conducted in three sequential phases that may overlap or be combined:</w:t>
      </w:r>
    </w:p>
    <w:p>
      <w:pPr>
        <w:spacing w:after="0" w:line="254" w:lineRule="exact"/>
        <w:rPr>
          <w:sz w:val="20"/>
          <w:szCs w:val="20"/>
          <w:color w:val="auto"/>
        </w:rPr>
      </w:pPr>
    </w:p>
    <w:p>
      <w:pPr>
        <w:jc w:val="both"/>
        <w:ind w:left="720" w:right="40" w:hanging="353"/>
        <w:spacing w:after="0" w:line="261"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Phase 1. The biologic product is initially introduced into healthy human subjects and tested for safety. In the case of some products for rare and severe diseases, initial human testing is often conducted in patients.</w:t>
      </w:r>
    </w:p>
    <w:p>
      <w:pPr>
        <w:spacing w:after="0" w:line="192" w:lineRule="exact"/>
        <w:rPr>
          <w:rFonts w:ascii="Arial" w:cs="Arial" w:eastAsia="Arial" w:hAnsi="Arial"/>
          <w:sz w:val="20"/>
          <w:szCs w:val="20"/>
          <w:color w:val="auto"/>
        </w:rPr>
      </w:pPr>
    </w:p>
    <w:p>
      <w:pPr>
        <w:ind w:left="720" w:right="100" w:hanging="353"/>
        <w:spacing w:after="0" w:line="261"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Phase 2. The biologic product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192" w:lineRule="exact"/>
        <w:rPr>
          <w:rFonts w:ascii="Arial" w:cs="Arial" w:eastAsia="Arial" w:hAnsi="Arial"/>
          <w:sz w:val="20"/>
          <w:szCs w:val="20"/>
          <w:color w:val="auto"/>
        </w:rPr>
      </w:pPr>
    </w:p>
    <w:p>
      <w:pPr>
        <w:ind w:left="720" w:hanging="353"/>
        <w:spacing w:after="0" w:line="248"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Phase 3. Clinical trials are undertaken to further evaluate dosage, clinical efficacy, potency and safety in an expanded patient population at geographically dispersed clinical trial sites. These clinical trials are intended to establish the overall risk/benefit ratio of the product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194"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7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198"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use of biologics,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880" w:h="15480" w:orient="portrait"/>
          <w:cols w:equalWidth="0" w:num="1">
            <w:col w:w="9720"/>
          </w:cols>
          <w:pgMar w:left="1080" w:top="1067" w:right="1080" w:bottom="542" w:gutter="0" w:footer="0" w:header="0"/>
          <w:type w:val="continuous"/>
        </w:sectPr>
      </w:pPr>
    </w:p>
    <w:bookmarkStart w:id="33" w:name="page34"/>
    <w:bookmarkEnd w:id="33"/>
    <w:p>
      <w:pPr>
        <w:ind w:right="360"/>
        <w:spacing w:after="0" w:line="283" w:lineRule="auto"/>
        <w:rPr>
          <w:sz w:val="20"/>
          <w:szCs w:val="20"/>
          <w:color w:val="auto"/>
        </w:rPr>
      </w:pPr>
      <w:r>
        <w:rPr>
          <w:rFonts w:ascii="Arial" w:cs="Arial" w:eastAsia="Arial" w:hAnsi="Arial"/>
          <w:sz w:val="20"/>
          <w:szCs w:val="20"/>
          <w:color w:val="auto"/>
        </w:rPr>
        <w:t>stability studies must be conducted to demonstrate that the biological product candidate does not undergo unacceptable deterioration over its shelf life.</w:t>
      </w:r>
    </w:p>
    <w:p>
      <w:pPr>
        <w:spacing w:after="0" w:line="158"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92" w:lineRule="exact"/>
        <w:rPr>
          <w:sz w:val="20"/>
          <w:szCs w:val="20"/>
          <w:color w:val="auto"/>
        </w:rPr>
      </w:pPr>
    </w:p>
    <w:p>
      <w:pPr>
        <w:ind w:right="260"/>
        <w:spacing w:after="0" w:line="254" w:lineRule="auto"/>
        <w:rPr>
          <w:sz w:val="20"/>
          <w:szCs w:val="20"/>
          <w:color w:val="auto"/>
        </w:rPr>
      </w:pPr>
      <w:r>
        <w:rPr>
          <w:rFonts w:ascii="Arial" w:cs="Arial" w:eastAsia="Arial" w:hAnsi="Arial"/>
          <w:sz w:val="20"/>
          <w:szCs w:val="20"/>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United States review and approval processes</w:t>
      </w:r>
    </w:p>
    <w:p>
      <w:pPr>
        <w:spacing w:after="0" w:line="231"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94"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Under the Prescription Drug User Fee Act, as amended, or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BLA can be refused for filing. Once the submission is accepted for filing, the FDA begins an in- depth substantive review of the BLA. The FDA reviews the BLA to determine, among other things, whether the proposed product is safe, potent, and effective, for its intended use, and has an acceptable purity profile, and whether the product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204"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Before approving a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880" w:h="15480" w:orient="portrait"/>
          <w:cols w:equalWidth="0" w:num="1">
            <w:col w:w="9720"/>
          </w:cols>
          <w:pgMar w:left="1080" w:top="1067" w:right="1080" w:bottom="542" w:gutter="0" w:footer="0" w:header="0"/>
          <w:type w:val="continuous"/>
        </w:sectPr>
      </w:pPr>
    </w:p>
    <w:bookmarkStart w:id="34" w:name="page35"/>
    <w:bookmarkEnd w:id="34"/>
    <w:p>
      <w:pPr>
        <w:ind w:right="40"/>
        <w:spacing w:after="0" w:line="245" w:lineRule="auto"/>
        <w:rPr>
          <w:sz w:val="20"/>
          <w:szCs w:val="20"/>
          <w:color w:val="auto"/>
        </w:rPr>
      </w:pPr>
      <w:r>
        <w:rPr>
          <w:rFonts w:ascii="Arial" w:cs="Arial" w:eastAsia="Arial" w:hAnsi="Arial"/>
          <w:sz w:val="20"/>
          <w:szCs w:val="20"/>
          <w:color w:val="auto"/>
        </w:rPr>
        <w:t>clinical trial sites to assure that the clinical trials were conducted in compliance with IND study requirements and GCP requirements. To assure cGMP and GCP compliance, an applicant must incur significant expenditure of time, money and effort in the areas of training, record keeping, production, and quality control. 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w:t>
      </w:r>
    </w:p>
    <w:p>
      <w:pPr>
        <w:spacing w:after="0" w:line="193"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auto"/>
        </w:rPr>
        <w:t>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7"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97"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One of the performance goals agreed to by the FDA under the PDUFA is to review standard BLAs in ten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With respect to oncology products, the FDA may review applications under Real-Time Oncology Review, or RTOR, established by the FDA’s Oncology Center of Excellence. RTOR, which allows an applicant to pre submit components of the application to allow the FDA to review clinical data before the complete filing is submitted, aims to explore a more efficient review process to ensure that safe and effective treatments are available to patients as early as possible, while maintaining and improving review quality. Drugs considered for review under RTOR must, among other things, be likely to demonstrate substantial improvements on a clinically relevant endpoint(s) over available therapy, and must have easily interpreted endpoints. In addition, no aspect of the application should be likely to require a longer review time, such as, for example, a requirement for a new REMS. To determine eligibility for RTOR, the FDA requires top-line efficacy and safety results from an applicant’s pivotal clinical trial(s), as well as completion of database lock for the clinical trial(s). The FDA will generally make a decision regarding acceptance into RTOR within twenty (20) business days of receipt of the request from the applicant. If an applicant is not accepted into RTOR, the applicant will follow routine application submission procedures.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United States post-approval requirements</w:t>
      </w:r>
    </w:p>
    <w:p>
      <w:pPr>
        <w:spacing w:after="0" w:line="23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880" w:h="15480" w:orient="portrait"/>
          <w:cols w:equalWidth="0" w:num="1">
            <w:col w:w="9720"/>
          </w:cols>
          <w:pgMar w:left="1080" w:top="1067" w:right="1080" w:bottom="542" w:gutter="0" w:footer="0" w:header="0"/>
          <w:type w:val="continuous"/>
        </w:sectPr>
      </w:pPr>
    </w:p>
    <w:bookmarkStart w:id="35" w:name="page36"/>
    <w:bookmarkEnd w:id="35"/>
    <w:p>
      <w:pPr>
        <w:spacing w:after="0" w:line="254" w:lineRule="auto"/>
        <w:rPr>
          <w:sz w:val="20"/>
          <w:szCs w:val="20"/>
          <w:color w:val="auto"/>
        </w:rPr>
      </w:pPr>
      <w:r>
        <w:rPr>
          <w:rFonts w:ascii="Arial" w:cs="Arial" w:eastAsia="Arial" w:hAnsi="Arial"/>
          <w:sz w:val="20"/>
          <w:szCs w:val="20"/>
          <w:color w:val="auto"/>
        </w:rPr>
        <w:t>the cGMP regulations, including quality control and quality assurance and maintenance of records and documentation. Prior to the institution of any manufacturing changes, a determination needs to be made whether FDA approval is required in advance. If not done in accordance with FDA expectations, the FDA may restrict supply and may take further action.</w:t>
      </w:r>
    </w:p>
    <w:p>
      <w:pPr>
        <w:spacing w:after="0" w:line="187"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Following approval, manufacturers and other entities involved in the manufacture and distribution of approved drugs or biologics, and those supplying products, ingredients, and components of them, are required to register their establishments with the FDA and certain state agencies. Manufacturing facilities are subject to biennial inspections by the FDA and periodic inspections by certain state agencies for compliance with cGMP requirements and other regulatory requirements. Such inspections may result in an issuance of FDA</w:t>
      </w:r>
    </w:p>
    <w:p>
      <w:pPr>
        <w:spacing w:after="0" w:line="2"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color w:val="auto"/>
        </w:rPr>
        <w:t>Form 483 deficiency observations, untitled letters, or warning letters, which can lead to plant shutdown and other more serious penalties and fines.</w:t>
      </w:r>
    </w:p>
    <w:p>
      <w:pPr>
        <w:spacing w:after="0" w:line="18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Annual product reports are required to be submitted annually. Other post-approval requirements applicable to biological products, include reporting of cGMP deviations that may affect the identity, potency, purity and overall safety of a distributed product, record-keeping requirements, reporting of adverse events, reporting updated safety and efficacy information, and complying with electronic record and signature requirements. Additionally, manufacturers and other parties involved in the drug supply chain for prescription drug products must also comply with product tracking and tracing requirements and notify the FDA of counterfeit, diverted, stolen and intentionally adulterated products or products that are otherwise unfit for distribution in the United States.</w:t>
      </w:r>
    </w:p>
    <w:p>
      <w:pPr>
        <w:spacing w:after="0" w:line="194"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200"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Biological product manufacturers and other entities involved in the manufacture and distribution of approved biological products, and those supplying products, ingredients, and components of them,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areas of production and</w:t>
      </w:r>
    </w:p>
    <w:p>
      <w:pPr>
        <w:sectPr>
          <w:pgSz w:w="11880" w:h="15480" w:orient="portrait"/>
          <w:cols w:equalWidth="0" w:num="1">
            <w:col w:w="9680"/>
          </w:cols>
          <w:pgMar w:left="1080" w:top="1067" w:right="1120" w:bottom="542"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36</w:t>
      </w:r>
    </w:p>
    <w:p>
      <w:pPr>
        <w:sectPr>
          <w:pgSz w:w="11880" w:h="15480" w:orient="portrait"/>
          <w:cols w:equalWidth="0" w:num="1">
            <w:col w:w="9680"/>
          </w:cols>
          <w:pgMar w:left="1080" w:top="1067" w:right="1120" w:bottom="542" w:gutter="0" w:footer="0" w:header="0"/>
          <w:type w:val="continuous"/>
        </w:sectPr>
      </w:pPr>
    </w:p>
    <w:bookmarkStart w:id="36" w:name="page37"/>
    <w:bookmarkEnd w:id="36"/>
    <w:p>
      <w:pPr>
        <w:ind w:right="20"/>
        <w:spacing w:after="0" w:line="250" w:lineRule="auto"/>
        <w:rPr>
          <w:sz w:val="20"/>
          <w:szCs w:val="20"/>
          <w:color w:val="auto"/>
        </w:rPr>
      </w:pPr>
      <w:r>
        <w:rPr>
          <w:rFonts w:ascii="Arial" w:cs="Arial" w:eastAsia="Arial" w:hAnsi="Arial"/>
          <w:sz w:val="20"/>
          <w:szCs w:val="20"/>
          <w:color w:val="auto"/>
        </w:rPr>
        <w:t>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93"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guidances, and policies are often revised or reinterpreted by the agency in ways that may significantly affect the manner in which pharmaceutical products are regulated and marketed.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Orphan drug designation</w:t>
      </w:r>
    </w:p>
    <w:p>
      <w:pPr>
        <w:spacing w:after="0" w:line="23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Under the Orphan Drug Act, the FDA may grant Orphan Drug Designation, or ODD, to a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194"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192"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Expedited review and approval programs</w:t>
      </w:r>
    </w:p>
    <w:p>
      <w:pPr>
        <w:spacing w:after="0" w:line="231"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The FDA has various programs, including fast track designation, priority review, accelerated approval, and breakthrough therapy designation, that are intended to expedite or simplify the process for the development and 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The FDA may give priority review designation to biological products that treat a serious condition and, if approved, would provide a significant improvement in safety or effectiveness. A priority review means that the</w:t>
      </w:r>
    </w:p>
    <w:p>
      <w:pPr>
        <w:sectPr>
          <w:pgSz w:w="11880" w:h="15480" w:orient="portrait"/>
          <w:cols w:equalWidth="0" w:num="1">
            <w:col w:w="9680"/>
          </w:cols>
          <w:pgMar w:left="1080" w:top="1067" w:right="1120" w:bottom="542"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37</w:t>
      </w:r>
    </w:p>
    <w:p>
      <w:pPr>
        <w:sectPr>
          <w:pgSz w:w="11880" w:h="15480" w:orient="portrait"/>
          <w:cols w:equalWidth="0" w:num="1">
            <w:col w:w="9680"/>
          </w:cols>
          <w:pgMar w:left="1080" w:top="1067" w:right="1120" w:bottom="542" w:gutter="0" w:footer="0" w:header="0"/>
          <w:type w:val="continuous"/>
        </w:sectPr>
      </w:pPr>
    </w:p>
    <w:bookmarkStart w:id="37" w:name="page38"/>
    <w:bookmarkEnd w:id="37"/>
    <w:p>
      <w:pPr>
        <w:ind w:right="20"/>
        <w:spacing w:after="0" w:line="242" w:lineRule="auto"/>
        <w:rPr>
          <w:sz w:val="20"/>
          <w:szCs w:val="20"/>
          <w:color w:val="auto"/>
        </w:rPr>
      </w:pPr>
      <w:r>
        <w:rPr>
          <w:rFonts w:ascii="Arial" w:cs="Arial" w:eastAsia="Arial" w:hAnsi="Arial"/>
          <w:sz w:val="20"/>
          <w:szCs w:val="20"/>
          <w:color w:val="auto"/>
        </w:rPr>
        <w:t>goal for the FDA to review an application is six months, rather than the standard review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 Under the Food and Drug Omnibus Reform Act of 2022, or FDORA, the FDA is permitted to require, as appropriate, that a post-approval confirmatory study or studies be underway prior to approval or within a specified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In addition, the FDA generally requires, unless otherwise informed by the agency, pre-approval of promotional materials for a product approved under the accelerated approval pathway, which could adversely impact the timing of the commercial launch of the product.</w:t>
      </w:r>
    </w:p>
    <w:p>
      <w:pPr>
        <w:spacing w:after="0" w:line="197"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Moreover,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9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Even if a product qualifies for one or more of these programs, the FDA may later decide that the product no longer meets the conditions for qualification or decides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Biologics Price Competition and Innovation Act</w:t>
      </w:r>
    </w:p>
    <w:p>
      <w:pPr>
        <w:spacing w:after="0" w:line="231"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Biologics Price Competition and Innovation Act of 2009, or BPCIA, which was enacted as part of the Patient Protection and Affordable Care Act of 2010, as amended by the Health Care and Education Reconciliation Act of 2010, or PPACA, created an abbreviated approval pathway for biological products that are demonstrated to be “biosimilar” or “interchangeable” with an FDA -licensed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in vitro studies, in vivo animal studies, and generally at least one clinical study, absent a waiver from the Secretary of Health and Human Services.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w:t>
      </w:r>
    </w:p>
    <w:p>
      <w:pPr>
        <w:sectPr>
          <w:pgSz w:w="11880" w:h="15480" w:orient="portrait"/>
          <w:cols w:equalWidth="0" w:num="1">
            <w:col w:w="9700"/>
          </w:cols>
          <w:pgMar w:left="1080" w:top="1067" w:right="1100" w:bottom="542" w:gutter="0" w:footer="0" w:header="0"/>
          <w:type w:val="continuous"/>
        </w:sectPr>
      </w:pPr>
    </w:p>
    <w:bookmarkStart w:id="38" w:name="page39"/>
    <w:bookmarkEnd w:id="38"/>
    <w:p>
      <w:pPr>
        <w:ind w:right="80"/>
        <w:spacing w:after="0" w:line="246" w:lineRule="auto"/>
        <w:rPr>
          <w:sz w:val="20"/>
          <w:szCs w:val="20"/>
          <w:color w:val="auto"/>
        </w:rPr>
      </w:pPr>
      <w:r>
        <w:rPr>
          <w:rFonts w:ascii="Arial" w:cs="Arial" w:eastAsia="Arial" w:hAnsi="Arial"/>
          <w:sz w:val="20"/>
          <w:szCs w:val="20"/>
          <w:color w:val="auto"/>
        </w:rPr>
        <w:t>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Regulation outside of the United States</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In addition to regulations in the United States, we are subject to a variety of regulations in other jurisdictions governing clinical studies, commercial sales, and distribution of our products. Most countries outside of the United States require that CTAs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Under the new Clinical Trials Regulation (EU) No 536/2014, which replaced the Clinical Trials Directive 2001/20/EC on January 31, 2022, a single application is now made through the Clinical Trials Information System, or CTIS, for clinical trial authorization in up to 30 EU/EEA countries at the same time and with a single set of documentation.</w:t>
      </w:r>
    </w:p>
    <w:p>
      <w:pPr>
        <w:spacing w:after="0" w:line="197" w:lineRule="exact"/>
        <w:rPr>
          <w:sz w:val="20"/>
          <w:szCs w:val="20"/>
          <w:color w:val="auto"/>
        </w:rPr>
      </w:pPr>
    </w:p>
    <w:p>
      <w:pPr>
        <w:ind w:right="140"/>
        <w:spacing w:after="0" w:line="245" w:lineRule="auto"/>
        <w:rPr>
          <w:sz w:val="20"/>
          <w:szCs w:val="20"/>
          <w:color w:val="auto"/>
        </w:rPr>
      </w:pPr>
      <w:r>
        <w:rPr>
          <w:rFonts w:ascii="Arial" w:cs="Arial" w:eastAsia="Arial" w:hAnsi="Arial"/>
          <w:sz w:val="20"/>
          <w:szCs w:val="20"/>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(Concerned Member States) of a draft report prepared by a Reference Member State. Part II is assessed separately by each Concerned Member State. The role of the relevant ethics committees in the assessment procedure will continue to be governed by the national law of the Concerned Member State, however overall related timelines are defined by the Clinical Trials Regulation. The new Clinical Trials Regulation also provides for simplified reporting procedures for clinical trial sponsors.</w:t>
      </w:r>
    </w:p>
    <w:p>
      <w:pPr>
        <w:spacing w:after="0" w:line="19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In addition, whether or not we obtain FDA approval for a product, we must obtain approval of a product by the comparable regulatory authorities of countries outside the United States before we can market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9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To obtain regulatory approval of our product candidates under the European Union regulatory system, we are required to submit a marketing authorization application, or MAA, to be assessed in the centralized procedure. The centralized procedure allows applicants to obtain a marketing authorization, or MA, that is valid throughout the European Union, and the additional Member States of the European Economic Area (Iceland, Liechtenstein and Norway), or EEA. It is compulsory for medicinal products manufactured using biotechnological processes, for orphan medicinal products, for advanced therapy medicinal products (gene-therapy, somatic cell-therapy or tissue-engineered medicines) and for human products containing a new active substance which are not authorized in the European Union and which are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that constitute a significant therapeutic, scientific or technical innovation or for which a centralized authorization is in the interests of patients at European Union level. When a company wishes to place on the market a medicinal product that is eligible for the centralized procedure, it sends an application directly to the European Medicines Agency, or EMA, to be assessed by the Committee for Medicinal Products for Human Use, or CHMP. The CHMP is responsible for conducting the assessment of whether a medicine meets the required quality, safety and efficacy requirements, and whether the product has a positive risk/benefit profile. The procedure results in a European</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ectPr>
          <w:pgSz w:w="11880" w:h="15480" w:orient="portrait"/>
          <w:cols w:equalWidth="0" w:num="1">
            <w:col w:w="9700"/>
          </w:cols>
          <w:pgMar w:left="1080" w:top="1067" w:right="1100" w:bottom="542" w:gutter="0" w:footer="0" w:header="0"/>
          <w:type w:val="continuous"/>
        </w:sectPr>
      </w:pPr>
    </w:p>
    <w:bookmarkStart w:id="39" w:name="page40"/>
    <w:bookmarkEnd w:id="39"/>
    <w:p>
      <w:pPr>
        <w:ind w:right="120"/>
        <w:spacing w:after="0" w:line="247" w:lineRule="auto"/>
        <w:rPr>
          <w:sz w:val="20"/>
          <w:szCs w:val="20"/>
          <w:color w:val="auto"/>
        </w:rPr>
      </w:pPr>
      <w:r>
        <w:rPr>
          <w:rFonts w:ascii="Arial" w:cs="Arial" w:eastAsia="Arial" w:hAnsi="Arial"/>
          <w:sz w:val="20"/>
          <w:szCs w:val="20"/>
          <w:color w:val="auto"/>
        </w:rPr>
        <w:t>Commission decision, which is valid in all European Union Member States. The centralized procedure is as follows: full copies of the MA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is therefore the privileged interlocutor of the applicant and continues to play this role, even after the MA has been granted.</w:t>
      </w:r>
    </w:p>
    <w:p>
      <w:pPr>
        <w:spacing w:after="0" w:line="194"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The rapporteur and co- 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 When the opinion is favorable, it shall include the draft summary of product characteristics, or SmPC, the package leaflet and the labeling. The time limit for the evaluation procedure is 210 days (excluding clock stops, when additional written or oral information is to be provided by the applicant in response to questions asked by the CHMP).The EMA then has fifteen days to forward its opinion to the European Commission, which will make a binding decision on the grant of an MA within 67 days of the receipt of the CHMP opinion.</w:t>
      </w:r>
    </w:p>
    <w:p>
      <w:pPr>
        <w:spacing w:after="0" w:line="197"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There are two other procedures in the European Union for the grant of an MA in multiple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SmPC,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criteria for designating an “orphan medicinal product” in the European Union are similar in principle to those in the United States. Under Article 3 of Regulation (EC) 141/2000, a medicinal product may be designated as an orphan medicinal product if it is intended for the diagnosis, prevention, or treatment of a life-threatening or chronically debilitating condition that affects no more than five in 10,000 persons in the European Union. In addition, orphan designation can be granted if the product is intended for a life threatening, seriously debilitating, or serious and chronic condition in the European Union and where, without incentives, it is unlikely that sales of the product in the European Union would be sufficient to justify the necessary investment in its development. Orphan drug designation is only available if there is no other satisfactory method approved in the European Union of diagnosing, preventing, or treating the applicable orphan condition, or if such a method exists, the proposed orphan drug will be of significant benefit to patients affected by such condition, as defined in Regulation (EC) 847/2000.</w:t>
      </w:r>
    </w:p>
    <w:p>
      <w:pPr>
        <w:spacing w:after="0" w:line="198"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Orphan designation provides opportunities for fee reductions, protocol assistance and access to the centralized procedure before and during the first year after a marketing authorization, or MA. Fee reductions are not limited to the first year after a marketing authorization for small and medium enterprises. In addition, if a product that has an orphan designation subsequently receives a centralized MA for the indication for which it has such designation, the product is entitled to orphan market exclusivity, which means the EMA may not approve any other application to market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exclusivity period may be reduced to six years if the designation criteria are no longer met, including where it is shown that the product is sufficiently profitable not to justify maintenance of market exclusivity. Competitors may receive marketing approval of different drugs or biologics for the</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880" w:h="15480" w:orient="portrait"/>
          <w:cols w:equalWidth="0" w:num="1">
            <w:col w:w="9720"/>
          </w:cols>
          <w:pgMar w:left="1080" w:top="1067" w:right="1080" w:bottom="542" w:gutter="0" w:footer="0" w:header="0"/>
          <w:type w:val="continuous"/>
        </w:sectPr>
      </w:pPr>
    </w:p>
    <w:bookmarkStart w:id="40" w:name="page41"/>
    <w:bookmarkEnd w:id="40"/>
    <w:p>
      <w:pPr>
        <w:ind w:right="540"/>
        <w:spacing w:after="0" w:line="283" w:lineRule="auto"/>
        <w:rPr>
          <w:sz w:val="20"/>
          <w:szCs w:val="20"/>
          <w:color w:val="auto"/>
        </w:rPr>
      </w:pPr>
      <w:r>
        <w:rPr>
          <w:rFonts w:ascii="Arial" w:cs="Arial" w:eastAsia="Arial" w:hAnsi="Arial"/>
          <w:sz w:val="20"/>
          <w:szCs w:val="20"/>
          <w:color w:val="auto"/>
        </w:rPr>
        <w:t>indications for which the orphan product has exclusivity. Additionally, an MA may be granted to a similar medicinal product for the same indication at any time if:</w:t>
      </w:r>
    </w:p>
    <w:p>
      <w:pPr>
        <w:spacing w:after="0" w:line="172" w:lineRule="exact"/>
        <w:rPr>
          <w:sz w:val="20"/>
          <w:szCs w:val="20"/>
          <w:color w:val="auto"/>
        </w:rPr>
      </w:pPr>
    </w:p>
    <w:p>
      <w:pPr>
        <w:ind w:left="720" w:right="60" w:hanging="353"/>
        <w:spacing w:after="0" w:line="283"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second applicant can establish that its product, although similar to the authorized orphan product, is safer, more effective or otherwise clinically superior;</w:t>
      </w:r>
    </w:p>
    <w:p>
      <w:pPr>
        <w:spacing w:after="0" w:line="171" w:lineRule="exact"/>
        <w:rPr>
          <w:rFonts w:ascii="Arial" w:cs="Arial" w:eastAsia="Arial" w:hAnsi="Arial"/>
          <w:sz w:val="20"/>
          <w:szCs w:val="20"/>
          <w:color w:val="auto"/>
        </w:rPr>
      </w:pPr>
    </w:p>
    <w:p>
      <w:pPr>
        <w:ind w:left="720" w:right="160" w:hanging="353"/>
        <w:spacing w:after="0" w:line="283"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MA holder of the authorized product consents to a second orphan medicinal product application; or</w:t>
      </w:r>
    </w:p>
    <w:p>
      <w:pPr>
        <w:spacing w:after="0" w:line="170" w:lineRule="exact"/>
        <w:rPr>
          <w:rFonts w:ascii="Arial" w:cs="Arial" w:eastAsia="Arial" w:hAnsi="Arial"/>
          <w:sz w:val="20"/>
          <w:szCs w:val="20"/>
          <w:color w:val="auto"/>
        </w:rPr>
      </w:pPr>
    </w:p>
    <w:p>
      <w:pPr>
        <w:ind w:left="720" w:hanging="353"/>
        <w:spacing w:after="0"/>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MA holder of the authorized product cannot supply enough orphan medicinal product.</w:t>
      </w:r>
    </w:p>
    <w:p>
      <w:pPr>
        <w:spacing w:after="0" w:line="240"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A pediatric investigation plan, or PIP, in the European Union is aimed at ensuring that the necessary data are obtained to support the authorization of a medicine for children, through studies in children. All applications for MAs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across the European Union with the results of studies from a PIP included in the product information are eligible for an extension of their supplementary protection certificate, or SPC, by six months(provided an application for such extension is made at the same time as filing the SPC application for the product, or at any point up to 2 years before the SPC expires). This is the case even when the studies’ results are negative. For orphan medicinal products, the incentive is an additional two years of market exclusivity.</w:t>
      </w:r>
    </w:p>
    <w:p>
      <w:pPr>
        <w:spacing w:after="0" w:line="203"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 or PUMA. If a PUMA is granted, the product will benefit from ten years of market protection as an incentive.</w:t>
      </w:r>
    </w:p>
    <w:p>
      <w:pPr>
        <w:spacing w:after="0" w:line="18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 March 2016, the EMA launched an initiative, The PRIority Medicines, or PRIME, scheme, to facilitate development of product candidates in indications, often rare, for which few or no therapies currently exist. The PRIME scheme is intended to encourage development of products in areas of unmet medical need and provides accelerated assessment of products representing substantial innovation reviewed under the centralized procedure.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The aforementioned European Union rules are generally applicable in the EEA.</w:t>
      </w:r>
    </w:p>
    <w:p>
      <w:pPr>
        <w:spacing w:after="0" w:line="23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United Kingdom left the European Union on January 31, 2020, referred to as Brexit, and the United Kingdom and the European Union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United Kingdom and European Union pharmaceutical regulations. At present, Great Britain has implemented European Union legislation on the marketing, promotion and sale of medicinal products through the Human Medicines Regulations 2012 (as amended) (under the Northern</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880" w:h="15480" w:orient="portrait"/>
          <w:cols w:equalWidth="0" w:num="1">
            <w:col w:w="9720"/>
          </w:cols>
          <w:pgMar w:left="1080" w:top="1067" w:right="1080" w:bottom="542" w:gutter="0" w:footer="0" w:header="0"/>
          <w:type w:val="continuous"/>
        </w:sectPr>
      </w:pPr>
    </w:p>
    <w:bookmarkStart w:id="41" w:name="page42"/>
    <w:bookmarkEnd w:id="41"/>
    <w:p>
      <w:pPr>
        <w:spacing w:after="0" w:line="245" w:lineRule="auto"/>
        <w:rPr>
          <w:sz w:val="20"/>
          <w:szCs w:val="20"/>
          <w:color w:val="auto"/>
        </w:rPr>
      </w:pPr>
      <w:r>
        <w:rPr>
          <w:rFonts w:ascii="Arial" w:cs="Arial" w:eastAsia="Arial" w:hAnsi="Arial"/>
          <w:sz w:val="20"/>
          <w:szCs w:val="20"/>
          <w:color w:val="auto"/>
        </w:rPr>
        <w:t>Ireland Protocol, the European Union regulatory framework continues to apply in Northern Ireland). Except in respect of the new EU Clinical Trials Regulation, the regulatory regime in Great Britain therefore largely aligns with current European Union medicines regulations, however it is possible that these regimes will diverge more significantly in future now that Great Britain’s regulatory system is independent from the European Union and the TCA does not provide for mutual recognition of United Kingdom and European Union pharmaceutical legislation. However, notwithstanding that there is no wholesale recognition of European Union pharmaceutical legislation under the TCA, under the new framework mentioned below which will be put in place by the MHRA from January 1, 2024, the MHRA has stated that it will take into account decisions on the approval of MAs from the EMA (and certain other regulators) when considering an application for a Great Britain MA.</w:t>
      </w:r>
    </w:p>
    <w:p>
      <w:pPr>
        <w:spacing w:after="0" w:line="193"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The Medicines and Healthcare products Regulatory Agency, or MHRA, the United Kingdom’s medicines regulator, has introduced changes to national licensing procedures, including procedures to prioritize access to new medicines that will benefit patients, an accelerated assessment procedure and new routes of evaluation for novel products and biotechnological products. All existing European Union MAs for centrally authorized products were automatically converted (grandfathered) into United Kingdom MAs free-of-charge on January 1, 2021. For a period of three years from January 1, 2021, the MHRA may rely on a decision taken by the European Commission on the approval of a new MA in the centralized procedure, in order to more quickly grant a new Great Britain MA. A separate application will, however, still be required. On January 24, 2023, the MHRA announced that a new international recognition framework will be put in place from January 1, 2024, which will have regard to decisions on the approval of MAs made by the EMA and certain other regulators when determining an application for a new Great Britain MA.</w:t>
      </w:r>
    </w:p>
    <w:p>
      <w:pPr>
        <w:spacing w:after="0" w:line="198"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There is now no pre-MA orphan designation in Great Britain. Instead, the MHRA reviews applications for orphan designation in parallel to the corresponding MAA. The criteria are essentially the same, but have been tailored for the Great Britain market, i.e., the prevalence of the condition in Great Britain (rather than the European Union) must not be more than five in 10,000. Should an orphan designation be granted, the period or market exclusivity will be set from the date of first approval of the product in Great Britain or the European Union, wherever is earliest.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Healthcare laws and regulations</w:t>
      </w:r>
    </w:p>
    <w:p>
      <w:pPr>
        <w:spacing w:after="0" w:line="232"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200" w:lineRule="exact"/>
        <w:rPr>
          <w:sz w:val="20"/>
          <w:szCs w:val="20"/>
          <w:color w:val="auto"/>
        </w:rPr>
      </w:pPr>
    </w:p>
    <w:p>
      <w:pPr>
        <w:ind w:left="720" w:hanging="352"/>
        <w:spacing w:after="0" w:line="250"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205" w:lineRule="exact"/>
        <w:rPr>
          <w:rFonts w:ascii="Arial" w:cs="Arial" w:eastAsia="Arial" w:hAnsi="Arial"/>
          <w:sz w:val="20"/>
          <w:szCs w:val="20"/>
          <w:color w:val="auto"/>
        </w:rPr>
      </w:pPr>
    </w:p>
    <w:p>
      <w:pPr>
        <w:jc w:val="both"/>
        <w:ind w:left="720" w:right="180" w:hanging="352"/>
        <w:spacing w:after="0" w:line="254"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200" w:lineRule="exact"/>
        <w:rPr>
          <w:rFonts w:ascii="Arial" w:cs="Arial" w:eastAsia="Arial" w:hAnsi="Arial"/>
          <w:sz w:val="20"/>
          <w:szCs w:val="20"/>
          <w:color w:val="auto"/>
        </w:rPr>
      </w:pPr>
    </w:p>
    <w:p>
      <w:pPr>
        <w:ind w:left="720" w:right="80" w:hanging="352"/>
        <w:spacing w:after="0" w:line="250"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w:t>
      </w:r>
    </w:p>
    <w:p>
      <w:pPr>
        <w:sectPr>
          <w:pgSz w:w="11880" w:h="15480" w:orient="portrait"/>
          <w:cols w:equalWidth="0" w:num="1">
            <w:col w:w="9700"/>
          </w:cols>
          <w:pgMar w:left="1080" w:top="1067" w:right="1100" w:bottom="542" w:gutter="0" w:footer="0" w:header="0"/>
          <w:type w:val="continuous"/>
        </w:sectPr>
      </w:pPr>
    </w:p>
    <w:bookmarkStart w:id="42" w:name="page43"/>
    <w:bookmarkEnd w:id="42"/>
    <w:p>
      <w:pPr>
        <w:ind w:left="720" w:right="100" w:hanging="353"/>
        <w:spacing w:after="0" w:line="254"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HIPAA, as amended by the Health Information Technology for Economic and Clinical Health Act of 2009 and their implementing regulations, impose obligations on certain types of individuals and entities regarding the electronic exchange of information in common healthcare transactions, as well as standards relating to the privacy and security of individually identifiable health information;</w:t>
      </w:r>
    </w:p>
    <w:p>
      <w:pPr>
        <w:spacing w:after="0" w:line="200" w:lineRule="exact"/>
        <w:rPr>
          <w:rFonts w:ascii="Arial" w:cs="Arial" w:eastAsia="Arial" w:hAnsi="Arial"/>
          <w:sz w:val="20"/>
          <w:szCs w:val="20"/>
          <w:color w:val="auto"/>
        </w:rPr>
      </w:pPr>
    </w:p>
    <w:p>
      <w:pPr>
        <w:ind w:left="720" w:right="20" w:hanging="353"/>
        <w:spacing w:after="0" w:line="246"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and Medicaid Services, or CMS, information related to payments or other transfers of value made to physicians and teaching hospitals, nurse practitioners, clinical nurse specialists, certified registered nurse anesthetists, anesthesiologist assistants, certified nurse-midwives, and physician assistants, as well as ownership and investment interests held by physicians and their immediate family members;</w:t>
      </w:r>
    </w:p>
    <w:p>
      <w:pPr>
        <w:spacing w:after="0" w:line="207" w:lineRule="exact"/>
        <w:rPr>
          <w:rFonts w:ascii="Arial" w:cs="Arial" w:eastAsia="Arial" w:hAnsi="Arial"/>
          <w:sz w:val="20"/>
          <w:szCs w:val="20"/>
          <w:color w:val="auto"/>
        </w:rPr>
      </w:pPr>
    </w:p>
    <w:p>
      <w:pPr>
        <w:ind w:left="720" w:right="120" w:hanging="353"/>
        <w:spacing w:after="0" w:line="262"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Price reporting laws require manufacturers to calculate and report complex pricing metrics to federal and state government agencies, where such reported prices may be used in the calculation of reimbursement and/or discounts on approved products;</w:t>
      </w:r>
    </w:p>
    <w:p>
      <w:pPr>
        <w:spacing w:after="0" w:line="190" w:lineRule="exact"/>
        <w:rPr>
          <w:rFonts w:ascii="Arial" w:cs="Arial" w:eastAsia="Arial" w:hAnsi="Arial"/>
          <w:sz w:val="20"/>
          <w:szCs w:val="20"/>
          <w:color w:val="auto"/>
        </w:rPr>
      </w:pPr>
    </w:p>
    <w:p>
      <w:pPr>
        <w:ind w:left="720" w:right="680" w:hanging="353"/>
        <w:spacing w:after="0" w:line="283"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Federal consumer protection and unfair competition laws, which broadly regulate marketplace activities and activities that potentially harm consumers; and</w:t>
      </w:r>
    </w:p>
    <w:p>
      <w:pPr>
        <w:spacing w:after="0" w:line="171" w:lineRule="exact"/>
        <w:rPr>
          <w:rFonts w:ascii="Arial" w:cs="Arial" w:eastAsia="Arial" w:hAnsi="Arial"/>
          <w:sz w:val="20"/>
          <w:szCs w:val="20"/>
          <w:color w:val="auto"/>
        </w:rPr>
      </w:pPr>
    </w:p>
    <w:p>
      <w:pPr>
        <w:ind w:left="720" w:hanging="353"/>
        <w:spacing w:after="0" w:line="250" w:lineRule="auto"/>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Foreign Corrupt Practices Act, or FCPA prohibits United States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92"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our product is sold in a foreign country, we may be subject to similar foreign laws.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Healthcare Reform</w:t>
      </w:r>
    </w:p>
    <w:p>
      <w:pPr>
        <w:spacing w:after="0" w:line="231"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the United States Congress, or Congress, has considered reductions in Medicare reimbursement levels for drugs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ectPr>
          <w:pgSz w:w="11880" w:h="15480" w:orient="portrait"/>
          <w:cols w:equalWidth="0" w:num="1">
            <w:col w:w="9680"/>
          </w:cols>
          <w:pgMar w:left="1080" w:top="1081"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43</w:t>
      </w:r>
    </w:p>
    <w:p>
      <w:pPr>
        <w:sectPr>
          <w:pgSz w:w="11880" w:h="15480" w:orient="portrait"/>
          <w:cols w:equalWidth="0" w:num="1">
            <w:col w:w="9680"/>
          </w:cols>
          <w:pgMar w:left="1080" w:top="1081" w:right="1120" w:bottom="542" w:gutter="0" w:footer="0" w:header="0"/>
          <w:type w:val="continuous"/>
        </w:sectPr>
      </w:pPr>
    </w:p>
    <w:bookmarkStart w:id="43" w:name="page44"/>
    <w:bookmarkEnd w:id="43"/>
    <w:p>
      <w:pPr>
        <w:ind w:right="20"/>
        <w:spacing w:after="0" w:line="243" w:lineRule="auto"/>
        <w:rPr>
          <w:sz w:val="20"/>
          <w:szCs w:val="20"/>
          <w:color w:val="auto"/>
        </w:rPr>
      </w:pPr>
      <w:r>
        <w:rPr>
          <w:rFonts w:ascii="Arial" w:cs="Arial" w:eastAsia="Arial" w:hAnsi="Arial"/>
          <w:sz w:val="20"/>
          <w:szCs w:val="20"/>
          <w:color w:val="auto"/>
        </w:rPr>
        <w:t>The Patient Protection and Affordable Care Act, as amended by the Health Care and Education Affordability Reconciliation Act, or collectively the Affordable Care Act, substantially changed the way healthcare is financed by both governmental and private insurers, and significantly impacts the pharmaceutical industry. The Affordable Care Act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Affordable Care Act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 for-service Medicaid utilization, to include the utilization of Medicaid managed care organizations as well and created an alternative rebate formula for certain new formulations of certain existing products that is intended to increase the amount of rebates due on those drugs.</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Other legislative changes have been proposed and adopted since passage of the Affordable Care Act. The Budget Control Act of 2011 and subsequent legislation, among other things, include aggregate reductions to Medicare payments to healthcare providers of up to 2% per fiscal year, which remain in effect through 2023. Further, the American Taxpayer Relief Act, among other things, reduced Medicare payments to several types of providers, including hospitals, imaging centers and cancer treatment centers, and increased the statute of limitations period for the government to recover overpayments to providers from three to five years. The American Rescue Plan Act of 2021 eliminated the statutory Medicaid drug rebate cap, previously set at 100% of a drug’s average manufacturer price, for single source and innovator multiple source drugs, effective</w:t>
      </w:r>
    </w:p>
    <w:p>
      <w:pPr>
        <w:spacing w:after="0" w:line="179"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that replace the previous Coverage Gap Discount Program;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Further, under the IRA, orphan drugs are exempted from the Medicare drug price negotiation program, but only if they have just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that challenges the constitutionality of the IRA’s Medicare drug price negotiation program. The effects of the IRA on our business and the healthcare industry in general is not yet known.</w:t>
      </w:r>
    </w:p>
    <w:p>
      <w:pPr>
        <w:spacing w:after="0" w:line="198"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Further legislative and regulatory changes under the Affordable Care Act remain possible. It is unknown what form any such changes or any law would take, and how or whether it may affect our business in the future. We expect that changes or additions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ectPr>
          <w:pgSz w:w="11880" w:h="15480" w:orient="portrait"/>
          <w:cols w:equalWidth="0" w:num="1">
            <w:col w:w="9660"/>
          </w:cols>
          <w:pgMar w:left="1080" w:top="1067" w:right="114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44</w:t>
      </w:r>
    </w:p>
    <w:p>
      <w:pPr>
        <w:sectPr>
          <w:pgSz w:w="11880" w:h="15480" w:orient="portrait"/>
          <w:cols w:equalWidth="0" w:num="1">
            <w:col w:w="9660"/>
          </w:cols>
          <w:pgMar w:left="1080" w:top="1067" w:right="1140" w:bottom="542" w:gutter="0" w:footer="0" w:header="0"/>
          <w:type w:val="continuous"/>
        </w:sectPr>
      </w:pPr>
    </w:p>
    <w:bookmarkStart w:id="44" w:name="page45"/>
    <w:bookmarkEnd w:id="44"/>
    <w:p>
      <w:pPr>
        <w:spacing w:after="0" w:line="248" w:lineRule="auto"/>
        <w:rPr>
          <w:sz w:val="20"/>
          <w:szCs w:val="20"/>
          <w:color w:val="auto"/>
        </w:rPr>
      </w:pPr>
      <w:r>
        <w:rPr>
          <w:rFonts w:ascii="Arial" w:cs="Arial" w:eastAsia="Arial" w:hAnsi="Arial"/>
          <w:sz w:val="20"/>
          <w:szCs w:val="20"/>
          <w:color w:val="auto"/>
        </w:rPr>
        <w:t>The Affordable Care Act has also been subject to challenges in the courts. For example, on June 17, 2021, the Supreme Court dismissed the most recent judicial challenge to the Affordable Care Act brought by several states without specifically ruling on the constitutionality of the Affordable Care Act. The Supreme Court ruled that the plaintiffs lacked standing to challenge the law as they had not alleged personal injury traceable to the allegedly unlawful conduct. As a result, the Supreme Court did not rule on the constitutionality of the ACA or any of its provisions.</w:t>
      </w:r>
    </w:p>
    <w:p>
      <w:pPr>
        <w:spacing w:after="0" w:line="194"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The Affordable Care Act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w:t>
      </w:r>
    </w:p>
    <w:p>
      <w:pPr>
        <w:spacing w:after="0" w:line="187"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Affordable Care Act also expanded the Public Health Service’s 340B drug pricing program. The 340B drug pricing program requires participating manufacturers to agree to charge statutorily -defined covered entities no more than the 340B “ceiling price” for the manufacturer’s covered outpatient drugs. The Affordable Care Act expanded the 340B program to include additional types of covered entities: certain free-standing cancer hospitals, critical access hospitals, rural referral centers and sole community hospitals, each as defined by the Affordable Care Act. Because the 340B ceiling price is determined based on the average manufacturer price, or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198"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President Biden issued – and President Trump is expected to issue – multiple executive orders that seek to reduce prescription drug costs. Although a number of these and other proposed measures may require authorization through additional legislation to become effective, and the presidential administration may reverse or otherwise change these measures, both the presidential administration and Congress have indicated that they will continue to seek new legislative measures to control drug costs.</w:t>
      </w:r>
    </w:p>
    <w:p>
      <w:pPr>
        <w:spacing w:after="0" w:line="192"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resources</w:t>
      </w:r>
    </w:p>
    <w:p>
      <w:pPr>
        <w:spacing w:after="0" w:line="243" w:lineRule="exact"/>
        <w:rPr>
          <w:sz w:val="20"/>
          <w:szCs w:val="20"/>
          <w:color w:val="auto"/>
        </w:rPr>
      </w:pPr>
    </w:p>
    <w:p>
      <w:pPr>
        <w:jc w:val="both"/>
        <w:ind w:right="180"/>
        <w:spacing w:after="0" w:line="262" w:lineRule="auto"/>
        <w:rPr>
          <w:sz w:val="20"/>
          <w:szCs w:val="20"/>
          <w:color w:val="auto"/>
        </w:rPr>
      </w:pPr>
      <w:r>
        <w:rPr>
          <w:rFonts w:ascii="Arial" w:cs="Arial" w:eastAsia="Arial" w:hAnsi="Arial"/>
          <w:sz w:val="20"/>
          <w:szCs w:val="20"/>
          <w:color w:val="auto"/>
        </w:rPr>
        <w:t>As of March 1, 2025, we had 140 full-time employees and 10 part-time employees. Of our 150 full and part-time employees, 131 are engaged in research and development activities. We consider our relationship with our employees to be good.</w:t>
      </w:r>
    </w:p>
    <w:p>
      <w:pPr>
        <w:spacing w:after="0" w:line="177"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 We regularly evaluate our</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880" w:h="15480" w:orient="portrait"/>
          <w:cols w:equalWidth="0" w:num="1">
            <w:col w:w="9720"/>
          </w:cols>
          <w:pgMar w:left="1080" w:top="1067" w:right="1080" w:bottom="542" w:gutter="0" w:footer="0" w:header="0"/>
          <w:type w:val="continuous"/>
        </w:sectPr>
      </w:pPr>
    </w:p>
    <w:bookmarkStart w:id="45" w:name="page46"/>
    <w:bookmarkEnd w:id="45"/>
    <w:p>
      <w:pPr>
        <w:spacing w:after="0" w:line="254" w:lineRule="auto"/>
        <w:rPr>
          <w:sz w:val="20"/>
          <w:szCs w:val="20"/>
          <w:color w:val="auto"/>
        </w:rPr>
      </w:pPr>
      <w:r>
        <w:rPr>
          <w:rFonts w:ascii="Arial" w:cs="Arial" w:eastAsia="Arial" w:hAnsi="Arial"/>
          <w:sz w:val="20"/>
          <w:szCs w:val="20"/>
          <w:color w:val="auto"/>
        </w:rPr>
        <w:t>compensation programs with an independent compensation consultant and utilize industry benchmarking in an effort to ensure competitiveness compared to similar biotechnology and biopharmaceutical companies with which we compete for talent, as well as fair and equitable treatment across our workforce with respect to gender, race, and other personal characteristics.</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We are an equal opportunity employer and we maintain policies that prohibit unlawful discrimination based on race, color, religion, gender, sexual orientation, gender identity/expression, national origin/ancestry, age, disability, marital and veteran status. Our employees are not part of any collective bargaining agreements, and we believe that we have good relations with our employees.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Facilities</w:t>
      </w:r>
    </w:p>
    <w:p>
      <w:pPr>
        <w:spacing w:after="0" w:line="243"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Our principal executive offices are located in Philadelphia, Pennsylvania. We primarily operate in office and laboratory spaces in Philadelphia, Pennsylvania pursuant to a lease that expires in March 2034. Additionally, we lease office and lab space in Boston, Massachusetts pursuant to a lease that expires in November 2030. We also operate in a cell therapy manufacturing facility in Branchburg, New Jersey pursuant to a lease expiring in February 2037. We believe that our current facilities are adequate to meet our ongoing needs. We have leases for lab and office space we’ve currently vacated in Philadelphia with expirations in</w:t>
      </w:r>
    </w:p>
    <w:p>
      <w:pPr>
        <w:spacing w:after="0" w:line="3"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December 2025 and October 2031 that we are actively marketing for sublease. Additionally, we have a lease for office space in Seattle that expires in September 2030 that is currently under a sublease that expires in November 2025.</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243" w:lineRule="exact"/>
        <w:rPr>
          <w:sz w:val="20"/>
          <w:szCs w:val="20"/>
          <w:color w:val="auto"/>
        </w:rPr>
      </w:pPr>
    </w:p>
    <w:p>
      <w:pPr>
        <w:ind w:right="20"/>
        <w:spacing w:after="0" w:line="283" w:lineRule="auto"/>
        <w:rPr>
          <w:sz w:val="20"/>
          <w:szCs w:val="20"/>
          <w:color w:val="auto"/>
        </w:rPr>
      </w:pPr>
      <w:r>
        <w:rPr>
          <w:rFonts w:ascii="Arial" w:cs="Arial" w:eastAsia="Arial" w:hAnsi="Arial"/>
          <w:sz w:val="20"/>
          <w:szCs w:val="20"/>
          <w:color w:val="auto"/>
        </w:rPr>
        <w:t>We are not currently a party to any material legal proceedings. From time to time, we may become involved in other litigation or legal proceedings relating to claims arising from the ordinary course of business.</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880" w:h="15480" w:orient="portrait"/>
          <w:cols w:equalWidth="0" w:num="1">
            <w:col w:w="9720"/>
          </w:cols>
          <w:pgMar w:left="1080" w:top="1067" w:right="1080" w:bottom="542" w:gutter="0" w:footer="0" w:header="0"/>
          <w:type w:val="continuous"/>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ITEM 1A. 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 Summary</w:t>
      </w:r>
    </w:p>
    <w:p>
      <w:pPr>
        <w:spacing w:after="0" w:line="244"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“Cautionary Note Regarding Forward-Looking Statements” and “Risk Factors” in this Annual Report on Form 10-K. The below summary is qualified in its entirety by those more complete discussions of such risks and uncertainties.</w:t>
      </w:r>
    </w:p>
    <w:p>
      <w:pPr>
        <w:spacing w:after="0" w:line="208" w:lineRule="exact"/>
        <w:rPr>
          <w:sz w:val="20"/>
          <w:szCs w:val="20"/>
          <w:color w:val="auto"/>
        </w:rPr>
      </w:pPr>
    </w:p>
    <w:p>
      <w:pPr>
        <w:ind w:left="720" w:right="40" w:hanging="353"/>
        <w:spacing w:after="0" w:line="262"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have a limited operating history, have incurred significant losses since our inception, expect that we will continue to incur significant losses for the foreseeable future, and require additional funding in order to finance operations;</w:t>
      </w:r>
    </w:p>
    <w:p>
      <w:pPr>
        <w:spacing w:after="0" w:line="190" w:lineRule="exact"/>
        <w:rPr>
          <w:rFonts w:ascii="Arial" w:cs="Arial" w:eastAsia="Arial" w:hAnsi="Arial"/>
          <w:sz w:val="20"/>
          <w:szCs w:val="20"/>
          <w:color w:val="auto"/>
        </w:rPr>
      </w:pPr>
    </w:p>
    <w:p>
      <w:pPr>
        <w:ind w:left="720" w:right="1020" w:hanging="353"/>
        <w:spacing w:after="0" w:line="283"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have never generated revenue from product sales and may never achieve or maintain profitability;</w:t>
      </w:r>
    </w:p>
    <w:p>
      <w:pPr>
        <w:spacing w:after="0" w:line="171" w:lineRule="exact"/>
        <w:rPr>
          <w:rFonts w:ascii="Arial" w:cs="Arial" w:eastAsia="Arial" w:hAnsi="Arial"/>
          <w:sz w:val="20"/>
          <w:szCs w:val="20"/>
          <w:color w:val="auto"/>
        </w:rPr>
      </w:pPr>
    </w:p>
    <w:p>
      <w:pPr>
        <w:jc w:val="both"/>
        <w:ind w:left="720" w:right="120" w:hanging="353"/>
        <w:spacing w:after="0" w:line="261"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are early in our development efforts and our business is dependent on our ability to advance our current and future product candidates through preclinical studies and clinical trials, obtain marketing approval and ultimately commercialize our current and future product candidates;</w:t>
      </w:r>
    </w:p>
    <w:p>
      <w:pPr>
        <w:spacing w:after="0" w:line="192" w:lineRule="exact"/>
        <w:rPr>
          <w:rFonts w:ascii="Arial" w:cs="Arial" w:eastAsia="Arial" w:hAnsi="Arial"/>
          <w:sz w:val="20"/>
          <w:szCs w:val="20"/>
          <w:color w:val="auto"/>
        </w:rPr>
      </w:pPr>
    </w:p>
    <w:p>
      <w:pPr>
        <w:ind w:left="720" w:right="20" w:hanging="353"/>
        <w:spacing w:after="0" w:line="283"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are highly dependent on the success of our lead product candidate, CNTY-101, which is currently undergoing a Phase 1 clinical trials, and our other product candidates;</w:t>
      </w:r>
    </w:p>
    <w:p>
      <w:pPr>
        <w:spacing w:after="0" w:line="170" w:lineRule="exact"/>
        <w:rPr>
          <w:rFonts w:ascii="Arial" w:cs="Arial" w:eastAsia="Arial" w:hAnsi="Arial"/>
          <w:sz w:val="20"/>
          <w:szCs w:val="20"/>
          <w:color w:val="auto"/>
        </w:rPr>
      </w:pPr>
    </w:p>
    <w:p>
      <w:pPr>
        <w:ind w:left="720" w:right="80" w:hanging="353"/>
        <w:spacing w:after="0" w:line="262"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Utilizing CAR-iNK and CAR-iT cells represents a novel approach to immuno-oncology treatment of cancer and autoimmune diseases, and we must overcome significant challenges in order to develop, commercialize, and manufacture our product candidates;</w:t>
      </w:r>
    </w:p>
    <w:p>
      <w:pPr>
        <w:spacing w:after="0" w:line="191" w:lineRule="exact"/>
        <w:rPr>
          <w:rFonts w:ascii="Arial" w:cs="Arial" w:eastAsia="Arial" w:hAnsi="Arial"/>
          <w:sz w:val="20"/>
          <w:szCs w:val="20"/>
          <w:color w:val="auto"/>
        </w:rPr>
      </w:pPr>
    </w:p>
    <w:p>
      <w:pPr>
        <w:ind w:left="720" w:right="360" w:hanging="353"/>
        <w:spacing w:after="0" w:line="261"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192" w:lineRule="exact"/>
        <w:rPr>
          <w:rFonts w:ascii="Arial" w:cs="Arial" w:eastAsia="Arial" w:hAnsi="Arial"/>
          <w:sz w:val="20"/>
          <w:szCs w:val="20"/>
          <w:color w:val="auto"/>
        </w:rPr>
      </w:pPr>
    </w:p>
    <w:p>
      <w:pPr>
        <w:ind w:left="720" w:right="140" w:hanging="353"/>
        <w:spacing w:after="0" w:line="254"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200" w:lineRule="exact"/>
        <w:rPr>
          <w:rFonts w:ascii="Arial" w:cs="Arial" w:eastAsia="Arial" w:hAnsi="Arial"/>
          <w:sz w:val="20"/>
          <w:szCs w:val="20"/>
          <w:color w:val="auto"/>
        </w:rPr>
      </w:pPr>
    </w:p>
    <w:p>
      <w:pPr>
        <w:ind w:left="720" w:hanging="353"/>
        <w:spacing w:after="0" w:line="254"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As an organization, we have limited experience designing or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198" w:lineRule="exact"/>
        <w:rPr>
          <w:rFonts w:ascii="Arial" w:cs="Arial" w:eastAsia="Arial" w:hAnsi="Arial"/>
          <w:sz w:val="20"/>
          <w:szCs w:val="20"/>
          <w:color w:val="auto"/>
        </w:rPr>
      </w:pPr>
    </w:p>
    <w:p>
      <w:pPr>
        <w:jc w:val="both"/>
        <w:ind w:left="720" w:right="60" w:hanging="353"/>
        <w:spacing w:after="0" w:line="262"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manufacture and distribution of our iPSC-derived cell product candidates is complex and subject to a multitude of risks, and these risks could substantially increase our costs and limit the clinical and commercial supply of our product candidates;</w:t>
      </w:r>
    </w:p>
    <w:p>
      <w:pPr>
        <w:spacing w:after="0" w:line="191" w:lineRule="exact"/>
        <w:rPr>
          <w:rFonts w:ascii="Arial" w:cs="Arial" w:eastAsia="Arial" w:hAnsi="Arial"/>
          <w:sz w:val="20"/>
          <w:szCs w:val="20"/>
          <w:color w:val="auto"/>
        </w:rPr>
      </w:pPr>
    </w:p>
    <w:p>
      <w:pPr>
        <w:ind w:left="720" w:right="80" w:hanging="353"/>
        <w:spacing w:after="0" w:line="248"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Cell-based therapies depend on the availability of reagents and specialized materials and equipment which in each case are required to be acceptable to the FDA and foreign regulatory agencies. Such reagents, materials, and equipment may not be available to us on acceptable terms or at all. We rely on third-party suppliers for various components, materials, and equipment required for the manufacture of our product candidates and do not have supply arrangements for certain of these components;</w:t>
      </w:r>
    </w:p>
    <w:p>
      <w:pPr>
        <w:sectPr>
          <w:pgSz w:w="11880" w:h="15480" w:orient="portrait"/>
          <w:cols w:equalWidth="0" w:num="1">
            <w:col w:w="9700"/>
          </w:cols>
          <w:pgMar w:left="1080" w:top="1064" w:right="1100" w:bottom="542"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47</w:t>
      </w:r>
    </w:p>
    <w:p>
      <w:pPr>
        <w:sectPr>
          <w:pgSz w:w="11880" w:h="15480" w:orient="portrait"/>
          <w:cols w:equalWidth="0" w:num="1">
            <w:col w:w="9700"/>
          </w:cols>
          <w:pgMar w:left="1080" w:top="1064" w:right="1100" w:bottom="542" w:gutter="0" w:footer="0" w:header="0"/>
          <w:type w:val="continuous"/>
        </w:sectPr>
      </w:pPr>
    </w:p>
    <w:bookmarkStart w:id="47" w:name="page48"/>
    <w:bookmarkEnd w:id="47"/>
    <w:p>
      <w:pPr>
        <w:ind w:left="720" w:right="40" w:hanging="353"/>
        <w:spacing w:after="0" w:line="254"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We rely on third parties for the manufacture of some of our product candidates for development, and we are beginning to operate our own manufacturing facility for the production of certain of our product candidates. Operational issues with our own facility or with third party facilities could delay our development plans and thereby limit our ability to generate revenue;</w:t>
      </w:r>
    </w:p>
    <w:p>
      <w:pPr>
        <w:spacing w:after="0" w:line="200" w:lineRule="exact"/>
        <w:rPr>
          <w:rFonts w:ascii="Arial" w:cs="Arial" w:eastAsia="Arial" w:hAnsi="Arial"/>
          <w:sz w:val="20"/>
          <w:szCs w:val="20"/>
          <w:color w:val="auto"/>
        </w:rPr>
      </w:pPr>
    </w:p>
    <w:p>
      <w:pPr>
        <w:ind w:left="720" w:right="120" w:hanging="353"/>
        <w:spacing w:after="0" w:line="261"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192" w:lineRule="exact"/>
        <w:rPr>
          <w:rFonts w:ascii="Arial" w:cs="Arial" w:eastAsia="Arial" w:hAnsi="Arial"/>
          <w:sz w:val="20"/>
          <w:szCs w:val="20"/>
          <w:color w:val="auto"/>
        </w:rPr>
      </w:pPr>
    </w:p>
    <w:p>
      <w:pPr>
        <w:jc w:val="both"/>
        <w:ind w:left="720" w:right="160" w:hanging="353"/>
        <w:spacing w:after="0" w:line="261"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If we are unable to successfully commercialize CNTY-101 or any of our other product candidates for which we receive regulatory approval, or experience significant delays in doing so, our business will be materially harmed;</w:t>
      </w:r>
    </w:p>
    <w:p>
      <w:pPr>
        <w:spacing w:after="0" w:line="192" w:lineRule="exact"/>
        <w:rPr>
          <w:rFonts w:ascii="Arial" w:cs="Arial" w:eastAsia="Arial" w:hAnsi="Arial"/>
          <w:sz w:val="20"/>
          <w:szCs w:val="20"/>
          <w:color w:val="auto"/>
        </w:rPr>
      </w:pPr>
    </w:p>
    <w:p>
      <w:pPr>
        <w:ind w:left="720" w:hanging="353"/>
        <w:spacing w:after="0" w:line="262"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pandemic, epidemic, or outbreak of an infectious disease may materially and adversely affect our business and our financial results and could cause a disruption to the development of our drug candidates;</w:t>
      </w:r>
    </w:p>
    <w:p>
      <w:pPr>
        <w:spacing w:after="0" w:line="190" w:lineRule="exact"/>
        <w:rPr>
          <w:rFonts w:ascii="Arial" w:cs="Arial" w:eastAsia="Arial" w:hAnsi="Arial"/>
          <w:sz w:val="20"/>
          <w:szCs w:val="20"/>
          <w:color w:val="auto"/>
        </w:rPr>
      </w:pPr>
    </w:p>
    <w:p>
      <w:pPr>
        <w:jc w:val="both"/>
        <w:ind w:left="720" w:right="280" w:hanging="353"/>
        <w:spacing w:after="0" w:line="283"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success depends on obtaining, protecting, maintaining, and enforcing our intellectual property rights and our proprietary technologies, including intellectual property rights that are licensed to us;</w:t>
      </w:r>
    </w:p>
    <w:p>
      <w:pPr>
        <w:spacing w:after="0" w:line="171" w:lineRule="exact"/>
        <w:rPr>
          <w:rFonts w:ascii="Arial" w:cs="Arial" w:eastAsia="Arial" w:hAnsi="Arial"/>
          <w:sz w:val="20"/>
          <w:szCs w:val="20"/>
          <w:color w:val="auto"/>
        </w:rPr>
      </w:pPr>
    </w:p>
    <w:p>
      <w:pPr>
        <w:ind w:left="720" w:hanging="352"/>
        <w:spacing w:after="0"/>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We do not currently own issued patents relating to some of our product candidates;</w:t>
      </w:r>
    </w:p>
    <w:p>
      <w:pPr>
        <w:spacing w:after="0" w:line="253" w:lineRule="exact"/>
        <w:rPr>
          <w:rFonts w:ascii="Arial" w:cs="Arial" w:eastAsia="Arial" w:hAnsi="Arial"/>
          <w:sz w:val="20"/>
          <w:szCs w:val="20"/>
          <w:color w:val="auto"/>
        </w:rPr>
      </w:pPr>
    </w:p>
    <w:p>
      <w:pPr>
        <w:jc w:val="both"/>
        <w:ind w:left="720" w:right="180" w:hanging="352"/>
        <w:spacing w:after="0" w:line="283"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If any of our license agreements with FUJIFILM Cellular Dynamics Inc., or FCDI, are terminated, we could lose our rights to key components enabling our iPSC-derived allogenic cell therapy platforms;</w:t>
      </w:r>
    </w:p>
    <w:p>
      <w:pPr>
        <w:spacing w:after="0" w:line="170" w:lineRule="exact"/>
        <w:rPr>
          <w:rFonts w:ascii="Arial" w:cs="Arial" w:eastAsia="Arial" w:hAnsi="Arial"/>
          <w:sz w:val="20"/>
          <w:szCs w:val="20"/>
          <w:color w:val="auto"/>
        </w:rPr>
      </w:pPr>
    </w:p>
    <w:p>
      <w:pPr>
        <w:ind w:left="720" w:right="320" w:hanging="353"/>
        <w:spacing w:after="0" w:line="246"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commercial success depends significantly on our ability to operate without infringing, misappropriating, or otherwise violating the patents and other intellectual property and proprietary rights of thirds parties. Claims by third parties that we infringe, misappropriate, or violate their intellectual property or proprietary rights may result in liability for damages or prevent or delay our development and commercialization efforts, and 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207" w:lineRule="exact"/>
        <w:rPr>
          <w:rFonts w:ascii="Arial" w:cs="Arial" w:eastAsia="Arial" w:hAnsi="Arial"/>
          <w:sz w:val="20"/>
          <w:szCs w:val="20"/>
          <w:color w:val="auto"/>
        </w:rPr>
      </w:pPr>
    </w:p>
    <w:p>
      <w:pPr>
        <w:jc w:val="both"/>
        <w:ind w:left="720" w:right="280" w:hanging="353"/>
        <w:spacing w:after="0" w:line="283"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If we are unable to regain compliance with the listing standards of Nasdaq, our common stock may become delisted, which could have a material adverse effect on the liquidity of our common stock;</w:t>
      </w:r>
    </w:p>
    <w:p>
      <w:pPr>
        <w:spacing w:after="0" w:line="171" w:lineRule="exact"/>
        <w:rPr>
          <w:rFonts w:ascii="Arial" w:cs="Arial" w:eastAsia="Arial" w:hAnsi="Arial"/>
          <w:sz w:val="20"/>
          <w:szCs w:val="20"/>
          <w:color w:val="auto"/>
        </w:rPr>
      </w:pPr>
    </w:p>
    <w:p>
      <w:pPr>
        <w:ind w:left="720" w:right="180" w:hanging="352"/>
        <w:spacing w:after="0" w:line="283"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trading price of the shares of our common stock has been highly volatile, and purchasers of our common stock could incur substantial losses; and</w:t>
      </w:r>
    </w:p>
    <w:p>
      <w:pPr>
        <w:spacing w:after="0" w:line="171" w:lineRule="exact"/>
        <w:rPr>
          <w:rFonts w:ascii="Arial" w:cs="Arial" w:eastAsia="Arial" w:hAnsi="Arial"/>
          <w:sz w:val="20"/>
          <w:szCs w:val="20"/>
          <w:color w:val="auto"/>
        </w:rPr>
      </w:pPr>
    </w:p>
    <w:p>
      <w:pPr>
        <w:ind w:left="720" w:right="140" w:hanging="353"/>
        <w:spacing w:after="0" w:line="261"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executive officers, directors, principal stockholders, and affiliates continue to exercise significant control over our company, which limits the ability of our other stockholders to influence corporate matters and could delay or prevent a change in corporate control.</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w:t>
      </w:r>
    </w:p>
    <w:p>
      <w:pPr>
        <w:spacing w:after="0" w:line="24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following risk factors and other information included in this Annual Report on Form 10-K should be carefully considered.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w:t>
      </w:r>
    </w:p>
    <w:p>
      <w:pPr>
        <w:sectPr>
          <w:pgSz w:w="11880" w:h="15480" w:orient="portrait"/>
          <w:cols w:equalWidth="0" w:num="1">
            <w:col w:w="9720"/>
          </w:cols>
          <w:pgMar w:left="1080" w:top="1081"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880" w:h="15480" w:orient="portrait"/>
          <w:cols w:equalWidth="0" w:num="1">
            <w:col w:w="9720"/>
          </w:cols>
          <w:pgMar w:left="1080" w:top="1081" w:right="1080" w:bottom="542" w:gutter="0" w:footer="0" w:header="0"/>
          <w:type w:val="continuous"/>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Risks related to our financial position and capital requirements</w:t>
      </w:r>
    </w:p>
    <w:p>
      <w:pPr>
        <w:spacing w:after="0" w:line="247" w:lineRule="exact"/>
        <w:rPr>
          <w:sz w:val="20"/>
          <w:szCs w:val="20"/>
          <w:color w:val="auto"/>
        </w:rPr>
      </w:pPr>
    </w:p>
    <w:p>
      <w:pPr>
        <w:ind w:right="160"/>
        <w:spacing w:after="0" w:line="289" w:lineRule="auto"/>
        <w:rPr>
          <w:sz w:val="20"/>
          <w:szCs w:val="20"/>
          <w:color w:val="auto"/>
        </w:rPr>
      </w:pPr>
      <w:r>
        <w:rPr>
          <w:rFonts w:ascii="Arial" w:cs="Arial" w:eastAsia="Arial" w:hAnsi="Arial"/>
          <w:sz w:val="20"/>
          <w:szCs w:val="20"/>
          <w:b w:val="1"/>
          <w:bCs w:val="1"/>
          <w:i w:val="1"/>
          <w:iCs w:val="1"/>
          <w:color w:val="auto"/>
        </w:rPr>
        <w:t>Our limited operating history may make it difficult for you to evaluate the success of our business to date and to assess our future viability.</w:t>
      </w:r>
    </w:p>
    <w:p>
      <w:pPr>
        <w:spacing w:after="0" w:line="142"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We are an early stage biopharmaceutical company with a limited operating history. Our operations to date have been limited to organizing and staffing our company, business planning, raising capital, conducting discovery and research activities, filing patent applications, identifying potential product candidates, conducting clinical trials of CNTY-101, undertaking preclinical studies, in-licensing intellectual property, and acquiring and integrating Clade Therapeutics, Inc., or Clade. We have not yet demonstrated our ability to successfully complete a clinical trial, or submit a biologics license application, or BLA, for a product candidate, obtain regulatory approval for any product candidate, manufacture a product at a commercial-scale or arrange for a third party to do so on our behalf, or conduct sales, marketing, and distribution activities necessary for successful product commercialization. Consequently, any assumptions you make about our future success or viability may not be as informed as they could be if we had a longer operating history.</w:t>
      </w:r>
    </w:p>
    <w:p>
      <w:pPr>
        <w:spacing w:after="0" w:line="197" w:lineRule="exact"/>
        <w:rPr>
          <w:sz w:val="20"/>
          <w:szCs w:val="20"/>
          <w:color w:val="auto"/>
        </w:rPr>
      </w:pPr>
    </w:p>
    <w:p>
      <w:pPr>
        <w:ind w:right="520"/>
        <w:spacing w:after="0" w:line="289" w:lineRule="auto"/>
        <w:rPr>
          <w:sz w:val="20"/>
          <w:szCs w:val="20"/>
          <w:color w:val="auto"/>
        </w:rPr>
      </w:pPr>
      <w:r>
        <w:rPr>
          <w:rFonts w:ascii="Arial" w:cs="Arial" w:eastAsia="Arial" w:hAnsi="Arial"/>
          <w:sz w:val="20"/>
          <w:szCs w:val="20"/>
          <w:b w:val="1"/>
          <w:bCs w:val="1"/>
          <w:i w:val="1"/>
          <w:iCs w:val="1"/>
          <w:color w:val="auto"/>
        </w:rPr>
        <w:t>We have incurred significant operating losses since our inception and expect to incur significant losses for the foreseeable future.</w:t>
      </w:r>
    </w:p>
    <w:p>
      <w:pPr>
        <w:spacing w:after="0" w:line="142" w:lineRule="exact"/>
        <w:rPr>
          <w:sz w:val="20"/>
          <w:szCs w:val="20"/>
          <w:color w:val="auto"/>
        </w:rPr>
      </w:pPr>
    </w:p>
    <w:p>
      <w:pPr>
        <w:ind w:right="460"/>
        <w:spacing w:after="0" w:line="254" w:lineRule="auto"/>
        <w:rPr>
          <w:sz w:val="20"/>
          <w:szCs w:val="20"/>
          <w:color w:val="auto"/>
        </w:rPr>
      </w:pPr>
      <w:r>
        <w:rPr>
          <w:rFonts w:ascii="Arial" w:cs="Arial" w:eastAsia="Arial" w:hAnsi="Arial"/>
          <w:sz w:val="20"/>
          <w:szCs w:val="20"/>
          <w:color w:val="auto"/>
        </w:rPr>
        <w:t>We have incurred significant operating losses since our inception. If our product candidates are not successfully developed and approved, we may never generate any revenue. Our net losses for the years ended December 31, 2024 and 2023 were $126.6 million and $136.7 million, respectively. As of December 31, 2024, we had an accumulated deficit of $782.3 million.</w:t>
      </w:r>
    </w:p>
    <w:p>
      <w:pPr>
        <w:spacing w:after="0" w:line="187"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Substantially all of our losses have resulted from expenses incurred in connection with our research and development programs, our clinical trials of CNTY-101, our acquisition of Clade, our acquisition of IPR&amp;D and from general and administrative costs associated with our operations. All of our product candidates will require the expenditure of substantial additional development time and resources before we would be able to apply for or receive regulatory approvals and begin realizing product sales. We expect to continue to incur losses for the foreseeable future, and we anticipate these losses will increase as we continue our development of, seek regulatory approval for, and potentially commercialize any of our product candidates and seek to identify, assess, acquire, in-license, or develop additional product candidates. Our prior losses, combined with expected future losses, have had and will continue to have a negative effect on our stockholders’ deficit and working capital.</w:t>
      </w:r>
    </w:p>
    <w:p>
      <w:pPr>
        <w:spacing w:after="0" w:line="202" w:lineRule="exact"/>
        <w:rPr>
          <w:sz w:val="20"/>
          <w:szCs w:val="20"/>
          <w:color w:val="auto"/>
        </w:rPr>
      </w:pPr>
    </w:p>
    <w:p>
      <w:pPr>
        <w:ind w:right="180"/>
        <w:spacing w:after="0" w:line="283" w:lineRule="auto"/>
        <w:rPr>
          <w:sz w:val="20"/>
          <w:szCs w:val="20"/>
          <w:color w:val="auto"/>
        </w:rPr>
      </w:pPr>
      <w:r>
        <w:rPr>
          <w:rFonts w:ascii="Arial" w:cs="Arial" w:eastAsia="Arial" w:hAnsi="Arial"/>
          <w:sz w:val="20"/>
          <w:szCs w:val="20"/>
          <w:color w:val="auto"/>
        </w:rPr>
        <w:t>We expect that it will be several years, if ever, before we have a commercialized product. We anticipate that our expenses will increase substantially if, and as, we:</w:t>
      </w:r>
    </w:p>
    <w:p>
      <w:pPr>
        <w:spacing w:after="0" w:line="172" w:lineRule="exact"/>
        <w:rPr>
          <w:sz w:val="20"/>
          <w:szCs w:val="20"/>
          <w:color w:val="auto"/>
        </w:rPr>
      </w:pPr>
    </w:p>
    <w:p>
      <w:pPr>
        <w:ind w:left="720" w:right="560" w:hanging="353"/>
        <w:spacing w:after="0" w:line="283"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continue to advance our induced pluripotent stem cells, or iPSC-derived allogeneic, cell therapy platforms;</w:t>
      </w:r>
    </w:p>
    <w:p>
      <w:pPr>
        <w:spacing w:after="0" w:line="170" w:lineRule="exact"/>
        <w:rPr>
          <w:rFonts w:ascii="Arial" w:cs="Arial" w:eastAsia="Arial" w:hAnsi="Arial"/>
          <w:sz w:val="20"/>
          <w:szCs w:val="20"/>
          <w:color w:val="auto"/>
        </w:rPr>
      </w:pPr>
    </w:p>
    <w:p>
      <w:pPr>
        <w:ind w:left="720" w:right="340" w:hanging="353"/>
        <w:spacing w:after="0" w:line="283"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continue the clinical development of CNTY-101 and the preclinical and clinical development of our other product candidates;</w:t>
      </w:r>
    </w:p>
    <w:p>
      <w:pPr>
        <w:spacing w:after="0" w:line="171" w:lineRule="exact"/>
        <w:rPr>
          <w:rFonts w:ascii="Arial" w:cs="Arial" w:eastAsia="Arial" w:hAnsi="Arial"/>
          <w:sz w:val="20"/>
          <w:szCs w:val="20"/>
          <w:color w:val="auto"/>
        </w:rPr>
      </w:pPr>
    </w:p>
    <w:p>
      <w:pPr>
        <w:ind w:left="720" w:hanging="353"/>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seek to discover and develop additional product candidates;</w:t>
      </w:r>
    </w:p>
    <w:p>
      <w:pPr>
        <w:spacing w:after="0" w:line="253" w:lineRule="exact"/>
        <w:rPr>
          <w:rFonts w:ascii="Arial" w:cs="Arial" w:eastAsia="Arial" w:hAnsi="Arial"/>
          <w:sz w:val="20"/>
          <w:szCs w:val="20"/>
          <w:color w:val="auto"/>
        </w:rPr>
      </w:pPr>
    </w:p>
    <w:p>
      <w:pPr>
        <w:ind w:left="720" w:right="800" w:hanging="353"/>
        <w:spacing w:after="0" w:line="283"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establish and validate our own clinical-scale current good manufacturing practices, or cGMP, facilities;</w:t>
      </w:r>
    </w:p>
    <w:p>
      <w:pPr>
        <w:spacing w:after="0" w:line="170" w:lineRule="exact"/>
        <w:rPr>
          <w:rFonts w:ascii="Arial" w:cs="Arial" w:eastAsia="Arial" w:hAnsi="Arial"/>
          <w:sz w:val="20"/>
          <w:szCs w:val="20"/>
          <w:color w:val="auto"/>
        </w:rPr>
      </w:pPr>
    </w:p>
    <w:p>
      <w:pPr>
        <w:ind w:left="720" w:right="160" w:hanging="353"/>
        <w:spacing w:after="0" w:line="283"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seek regulatory approvals for any of our other product candidates that successfully complete clinical trials;</w:t>
      </w:r>
    </w:p>
    <w:p>
      <w:pPr>
        <w:spacing w:after="0" w:line="171" w:lineRule="exact"/>
        <w:rPr>
          <w:rFonts w:ascii="Arial" w:cs="Arial" w:eastAsia="Arial" w:hAnsi="Arial"/>
          <w:sz w:val="20"/>
          <w:szCs w:val="20"/>
          <w:color w:val="auto"/>
        </w:rPr>
      </w:pPr>
    </w:p>
    <w:p>
      <w:pPr>
        <w:ind w:left="720" w:hanging="353"/>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maintain, expand, protect, and enforce our intellectual property portfolio;</w:t>
      </w:r>
    </w:p>
    <w:p>
      <w:pPr>
        <w:sectPr>
          <w:pgSz w:w="11880" w:h="15480" w:orient="portrait"/>
          <w:cols w:equalWidth="0" w:num="1">
            <w:col w:w="9720"/>
          </w:cols>
          <w:pgMar w:left="1080" w:top="1064"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880" w:h="15480" w:orient="portrait"/>
          <w:cols w:equalWidth="0" w:num="1">
            <w:col w:w="9720"/>
          </w:cols>
          <w:pgMar w:left="1080" w:top="1064" w:right="1080" w:bottom="542" w:gutter="0" w:footer="0" w:header="0"/>
          <w:type w:val="continuous"/>
        </w:sectPr>
      </w:pPr>
    </w:p>
    <w:bookmarkStart w:id="49" w:name="page50"/>
    <w:bookmarkEnd w:id="49"/>
    <w:p>
      <w:pPr>
        <w:ind w:left="720" w:hanging="353"/>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acquire or in-license other product candidates and technologies;</w:t>
      </w:r>
    </w:p>
    <w:p>
      <w:pPr>
        <w:spacing w:after="0" w:line="253" w:lineRule="exact"/>
        <w:rPr>
          <w:rFonts w:ascii="Arial" w:cs="Arial" w:eastAsia="Arial" w:hAnsi="Arial"/>
          <w:sz w:val="20"/>
          <w:szCs w:val="20"/>
          <w:color w:val="auto"/>
        </w:rPr>
      </w:pPr>
    </w:p>
    <w:p>
      <w:pPr>
        <w:ind w:left="720" w:right="140" w:hanging="353"/>
        <w:spacing w:after="0" w:line="261"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incur additional costs associated with operating as a public company, such as operational, financial, and management information systems and personnel, including personnel to support our drug development, any future commercialization efforts; and</w:t>
      </w:r>
    </w:p>
    <w:p>
      <w:pPr>
        <w:spacing w:after="0" w:line="192" w:lineRule="exact"/>
        <w:rPr>
          <w:rFonts w:ascii="Arial" w:cs="Arial" w:eastAsia="Arial" w:hAnsi="Arial"/>
          <w:sz w:val="20"/>
          <w:szCs w:val="20"/>
          <w:color w:val="auto"/>
        </w:rPr>
      </w:pPr>
    </w:p>
    <w:p>
      <w:pPr>
        <w:ind w:left="720" w:hanging="353"/>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increase our employee headcount and related expenses to support these activities.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We may never succeed in any or all of these activities and, even if we do, we may never generate revenue.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have never generated revenue from product sales and may never achieve or maintain profitability.</w:t>
      </w:r>
    </w:p>
    <w:p>
      <w:pPr>
        <w:spacing w:after="0" w:line="236"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We have one product candidate in clinical development for multiple indications and no product candidates approved for commercial sale and have not generated any revenue. To become and remain profitable, we must develop and eventually commercialize product candidates with significant market potential, which will require us to be successful in a range of challenging activities. These activities can include completing preclinical studies and initiating and completing clinical trials of our product candidates, obtaining marketing approval for these product candidates, manufacturing, marketing, and selling those products that are approved and satisfying any post-marketing requirements. We may never succeed in any or all of these activities and, even if we do, we may never generate sufficient revenues to achieve profitability. Because of the numerous risks and uncertainties associated with biologics product development, we are unable to accurately predict the timing or amount of increased expenses or when, or if, we will be able to achieve profitability.</w:t>
      </w:r>
    </w:p>
    <w:p>
      <w:pPr>
        <w:sectPr>
          <w:pgSz w:w="11880" w:h="15480" w:orient="portrait"/>
          <w:cols w:equalWidth="0" w:num="1">
            <w:col w:w="9680"/>
          </w:cols>
          <w:pgMar w:left="1080" w:top="1081"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50</w:t>
      </w:r>
    </w:p>
    <w:p>
      <w:pPr>
        <w:sectPr>
          <w:pgSz w:w="11880" w:h="15480" w:orient="portrait"/>
          <w:cols w:equalWidth="0" w:num="1">
            <w:col w:w="9680"/>
          </w:cols>
          <w:pgMar w:left="1080" w:top="1081" w:right="1120" w:bottom="542" w:gutter="0" w:footer="0" w:header="0"/>
          <w:type w:val="continuous"/>
        </w:sectPr>
      </w:pPr>
    </w:p>
    <w:bookmarkStart w:id="50" w:name="page51"/>
    <w:bookmarkEnd w:id="50"/>
    <w:p>
      <w:pPr>
        <w:ind w:right="140"/>
        <w:spacing w:after="0" w:line="262" w:lineRule="auto"/>
        <w:rPr>
          <w:sz w:val="20"/>
          <w:szCs w:val="20"/>
          <w:color w:val="auto"/>
        </w:rPr>
      </w:pPr>
      <w:r>
        <w:rPr>
          <w:rFonts w:ascii="Arial" w:cs="Arial" w:eastAsia="Arial" w:hAnsi="Arial"/>
          <w:sz w:val="20"/>
          <w:szCs w:val="20"/>
          <w:color w:val="auto"/>
        </w:rPr>
        <w:t>Even if we do achieve profitability, we may not be able to sustain or increase profitability. Our failure to become and remain profitable would decrease the value of our company and could impair our ability to raise capital, maintain our research and development efforts, expand our business, or continue our operations.</w:t>
      </w:r>
    </w:p>
    <w:p>
      <w:pPr>
        <w:spacing w:after="0" w:line="181" w:lineRule="exact"/>
        <w:rPr>
          <w:sz w:val="20"/>
          <w:szCs w:val="20"/>
          <w:color w:val="auto"/>
        </w:rPr>
      </w:pPr>
    </w:p>
    <w:p>
      <w:pPr>
        <w:ind w:right="220"/>
        <w:spacing w:after="0" w:line="265" w:lineRule="auto"/>
        <w:rPr>
          <w:sz w:val="20"/>
          <w:szCs w:val="20"/>
          <w:color w:val="auto"/>
        </w:rPr>
      </w:pPr>
      <w:r>
        <w:rPr>
          <w:rFonts w:ascii="Arial" w:cs="Arial" w:eastAsia="Arial" w:hAnsi="Arial"/>
          <w:sz w:val="20"/>
          <w:szCs w:val="20"/>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16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Developing biopharmaceutical products, including conducting preclinical studies and clinical trials, is a time-consuming, expensive, and uncertain process that takes years to complete. Our operations have consumed substantial amounts of cash since inception, and we expect our expenses to increase in connection with our ongoing activities, particularly as we conduct preclinical activities and clinical trials of, and seek regulatory and marketing approval for, our product candidates. Even if one or more of our product candidates is approved for commercial sale, we anticipate incurring significant costs associated with commercializing any approved product candidate. We have financed our operations primarily through private placements of our securities and our initial public offering of common stock, or IPO, which closed in June 2021. Our research and development expenses increased from $92.7 million for the year ended December 31, 2023 to $107.2 million for the year ended December 31, 2024. As of December 31, 2024, we had cash, and cash equivalents of $ 58.4 million and investments of $161.7 million. Based on our research and development plans, we believe our existing cash, cash equivalents and investments will be sufficient to fund our operating expenses and capital expenditures requirements. Based on our current business plans, we believe our cash, cash equivalents and investments will be sufficient for us to fund our operating expenses and capital expenditures into the fourth quarter of 2026.</w:t>
      </w:r>
    </w:p>
    <w:p>
      <w:pPr>
        <w:spacing w:after="0" w:line="198" w:lineRule="exact"/>
        <w:rPr>
          <w:sz w:val="20"/>
          <w:szCs w:val="20"/>
          <w:color w:val="auto"/>
        </w:rPr>
      </w:pPr>
    </w:p>
    <w:p>
      <w:pPr>
        <w:ind w:right="240"/>
        <w:spacing w:after="0" w:line="248" w:lineRule="auto"/>
        <w:rPr>
          <w:sz w:val="20"/>
          <w:szCs w:val="20"/>
          <w:color w:val="auto"/>
        </w:rPr>
      </w:pPr>
      <w:r>
        <w:rPr>
          <w:rFonts w:ascii="Arial" w:cs="Arial" w:eastAsia="Arial" w:hAnsi="Arial"/>
          <w:sz w:val="20"/>
          <w:szCs w:val="20"/>
          <w:color w:val="auto"/>
        </w:rPr>
        <w:t>Attempting to secure additional financing will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and we may need to seek additional funds sooner than planned. If we are unable to obtain funding on a timely basis or at all, we may be required to significantly curtail or stop one or more of our research or development programs.</w:t>
      </w:r>
    </w:p>
    <w:p>
      <w:pPr>
        <w:spacing w:after="0" w:line="198" w:lineRule="exact"/>
        <w:rPr>
          <w:sz w:val="20"/>
          <w:szCs w:val="20"/>
          <w:color w:val="auto"/>
        </w:rPr>
      </w:pPr>
    </w:p>
    <w:p>
      <w:pPr>
        <w:ind w:right="260"/>
        <w:spacing w:after="0" w:line="289" w:lineRule="auto"/>
        <w:rPr>
          <w:sz w:val="20"/>
          <w:szCs w:val="20"/>
          <w:color w:val="auto"/>
        </w:rPr>
      </w:pPr>
      <w:r>
        <w:rPr>
          <w:rFonts w:ascii="Arial" w:cs="Arial" w:eastAsia="Arial" w:hAnsi="Arial"/>
          <w:sz w:val="20"/>
          <w:szCs w:val="20"/>
          <w:b w:val="1"/>
          <w:bCs w:val="1"/>
          <w:i w:val="1"/>
          <w:iCs w:val="1"/>
          <w:color w:val="auto"/>
        </w:rPr>
        <w:t>Raising additional capital may cause dilution to our stockholders, restrict our operations or require us to relinquish rights to our technologies or product candidates.</w:t>
      </w:r>
    </w:p>
    <w:p>
      <w:pPr>
        <w:spacing w:after="0" w:line="142"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Until and unless we can generate substantial product revenue, we expect to finance our cash needs through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inflation, pandemics, political unrest and hostilities,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In July 2022, we entered into a sales agreement, or the Sales Agreement, with Cowen and Company, LLC, or Cowen, pursuant to which we may offer and sell shares of our common stock having an aggregate offering price of up to $150 million from time to time through Cowen acting as our sales agent, or the 2022 ATM Facility. For the year ended December 31, 2024, 4,084,502 shares of common stock were issued and sold pursuant to the Sales Agreement at a weighted-average price of $4.50 per share, resulting in approximately $18.4 million in gross proceeds.. In April 2024, we entered into a securities purchase agreement, or the Securities Purchase Agreement, with certain institutional accredited investors, or the PIPE Investors, pursuant to which we agreed to issue and sell to the PIPE Investors in a private placement an aggregate of 15,873,011 shares of common stock at a price per share of $3.78, or the Private Placement. We received aggregate gross proceeds from the Private Placement of approximately $60 million, before deducting placement agent fees and offering expenses.</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51</w:t>
      </w:r>
    </w:p>
    <w:p>
      <w:pPr>
        <w:sectPr>
          <w:pgSz w:w="11880" w:h="15480" w:orient="portrait"/>
          <w:cols w:equalWidth="0" w:num="1">
            <w:col w:w="9700"/>
          </w:cols>
          <w:pgMar w:left="1080" w:top="1067" w:right="1100" w:bottom="542" w:gutter="0" w:footer="0" w:header="0"/>
          <w:type w:val="continuous"/>
        </w:sectPr>
      </w:pPr>
    </w:p>
    <w:bookmarkStart w:id="51" w:name="page52"/>
    <w:bookmarkEnd w:id="51"/>
    <w:p>
      <w:pPr>
        <w:ind w:right="260"/>
        <w:spacing w:after="0" w:line="248" w:lineRule="auto"/>
        <w:rPr>
          <w:sz w:val="20"/>
          <w:szCs w:val="20"/>
          <w:color w:val="auto"/>
        </w:rPr>
      </w:pPr>
      <w:r>
        <w:rPr>
          <w:rFonts w:ascii="Arial" w:cs="Arial" w:eastAsia="Arial" w:hAnsi="Arial"/>
          <w:sz w:val="20"/>
          <w:szCs w:val="20"/>
          <w:color w:val="auto"/>
        </w:rPr>
        <w:t>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and impede our ability to conduct our business. Furthermore, the issuance of additional securities, whether equity or debt, by us, or the possibility of such issuance, may cause the market price of our common stock to decline.</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we raise funds through additional licensing or collaboration arrangements with third parties, we may have to relinquish valuable rights to our product candidates or grant licenses under our intellectual property on terms that are not favorable to us. In addition, we may seek additional capital due to favorable market conditions or strategic considerations even if we believe we have sufficient funds for our current or future operating plans.</w:t>
      </w:r>
    </w:p>
    <w:p>
      <w:pPr>
        <w:spacing w:after="0" w:line="4" w:lineRule="exact"/>
        <w:rPr>
          <w:sz w:val="20"/>
          <w:szCs w:val="20"/>
          <w:color w:val="auto"/>
        </w:rPr>
      </w:pPr>
    </w:p>
    <w:p>
      <w:pPr>
        <w:ind w:right="420"/>
        <w:spacing w:after="0" w:line="248" w:lineRule="auto"/>
        <w:rPr>
          <w:sz w:val="20"/>
          <w:szCs w:val="20"/>
          <w:color w:val="auto"/>
        </w:rPr>
      </w:pPr>
      <w:r>
        <w:rPr>
          <w:rFonts w:ascii="Arial" w:cs="Arial" w:eastAsia="Arial" w:hAnsi="Arial"/>
          <w:sz w:val="20"/>
          <w:szCs w:val="20"/>
          <w:color w:val="auto"/>
        </w:rPr>
        <w:t>Because of the numerous risks and uncertainties associated with product development, we are unable to predict the timing or amount of increased expenses or when or if we will be able to achieve or maintain profitability.</w:t>
      </w:r>
    </w:p>
    <w:p>
      <w:pPr>
        <w:spacing w:after="0" w:line="195" w:lineRule="exact"/>
        <w:rPr>
          <w:sz w:val="20"/>
          <w:szCs w:val="20"/>
          <w:color w:val="auto"/>
        </w:rPr>
      </w:pPr>
    </w:p>
    <w:p>
      <w:pPr>
        <w:jc w:val="both"/>
        <w:ind w:right="280"/>
        <w:spacing w:after="0" w:line="317" w:lineRule="auto"/>
        <w:rPr>
          <w:sz w:val="20"/>
          <w:szCs w:val="20"/>
          <w:color w:val="auto"/>
        </w:rPr>
      </w:pPr>
      <w:r>
        <w:rPr>
          <w:rFonts w:ascii="Arial" w:cs="Arial" w:eastAsia="Arial" w:hAnsi="Arial"/>
          <w:sz w:val="19"/>
          <w:szCs w:val="19"/>
          <w:b w:val="1"/>
          <w:bCs w:val="1"/>
          <w:i w:val="1"/>
          <w:iCs w:val="1"/>
          <w:color w:val="auto"/>
        </w:rPr>
        <w:t>If we are unable to regain compliance with the listing standards of Nasdaq, our common stock may become delisted, which could have a material adverse effect on the liquidity of our common stock.</w:t>
      </w:r>
    </w:p>
    <w:p>
      <w:pPr>
        <w:spacing w:after="0" w:line="118" w:lineRule="exact"/>
        <w:rPr>
          <w:sz w:val="20"/>
          <w:szCs w:val="20"/>
          <w:color w:val="auto"/>
        </w:rPr>
      </w:pPr>
    </w:p>
    <w:p>
      <w:pPr>
        <w:ind w:right="1020"/>
        <w:spacing w:after="0" w:line="283" w:lineRule="auto"/>
        <w:rPr>
          <w:sz w:val="20"/>
          <w:szCs w:val="20"/>
          <w:color w:val="auto"/>
        </w:rPr>
      </w:pPr>
      <w:r>
        <w:rPr>
          <w:rFonts w:ascii="Arial" w:cs="Arial" w:eastAsia="Arial" w:hAnsi="Arial"/>
          <w:sz w:val="20"/>
          <w:szCs w:val="20"/>
          <w:color w:val="auto"/>
        </w:rPr>
        <w:t>Our common stock is listed on The Nasdaq Global Select Market, which imposes continued listing requirements with respect to listed securities, including a minimum bid price requirement.</w:t>
      </w:r>
    </w:p>
    <w:p>
      <w:pPr>
        <w:spacing w:after="0" w:line="158"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As previously disclosed, on February 26, 2025, we received notice from the Listing Qualifications staff of The Nasdaq Stock Market LLC, or Nasdaq, that, because the closing bid price for our common stock had fallen below $1.00 per share for 30 consecutive trading days, we no longer complied with the minimum bid price requirement for continued listing on the Nasdaq Global Select Market under Nasdaq Listing Rule 5450(a)(1). In accordance with Nasdaq listing rules, we have an initial compliance period of 180 calendar days, or until August 25, 2025, to regain compliance with the minimum bid price requirement. To regain compliance, the closing bid price of our common stock must meet or exceed $1.00 per share for a minimum of 10 consecutive trading days prior to August 25, 2025. If we do not regain compliance by August 25, 2025, we may be eligible for an additional 180 calendar day compliance period if we apply to transfer the listing of our common stock to the Nasdaq Capital Market and meet the continued listing requirement for the market value of our publicly held shares and all other initial listing standards for the Nasdaq Capital Market, with the exception of the minimum bid price requirement, and provide written notice of our intention to cure the minimum bid price deficiency during the second compliance period. As part of its review process, Nasdaq will make a determination as to whether it believes we will be able to cure this deficiency. If Nasdaq staff determines that we will not be able to cure the deficiency, or if we are otherwise not eligible for such additional compliance period, Nasdaq will provide notice that our common stock will be subject to delisting. We would have the right to appeal any determination to delist our common stock, and our common stock would remain listed on the Nasdaq Global Select Market until the appeal process is complete.</w:t>
      </w:r>
    </w:p>
    <w:p>
      <w:pPr>
        <w:sectPr>
          <w:pgSz w:w="11880" w:h="15480" w:orient="portrait"/>
          <w:cols w:equalWidth="0" w:num="1">
            <w:col w:w="9680"/>
          </w:cols>
          <w:pgMar w:left="1080" w:top="1067"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52</w:t>
      </w:r>
    </w:p>
    <w:p>
      <w:pPr>
        <w:sectPr>
          <w:pgSz w:w="11880" w:h="15480" w:orient="portrait"/>
          <w:cols w:equalWidth="0" w:num="1">
            <w:col w:w="9680"/>
          </w:cols>
          <w:pgMar w:left="1080" w:top="1067" w:right="1120" w:bottom="542" w:gutter="0" w:footer="0" w:header="0"/>
          <w:type w:val="continuous"/>
        </w:sectPr>
      </w:pPr>
    </w:p>
    <w:bookmarkStart w:id="52" w:name="page53"/>
    <w:bookmarkEnd w:id="52"/>
    <w:p>
      <w:pPr>
        <w:spacing w:after="0" w:line="243" w:lineRule="auto"/>
        <w:rPr>
          <w:sz w:val="20"/>
          <w:szCs w:val="20"/>
          <w:color w:val="auto"/>
        </w:rPr>
      </w:pPr>
      <w:r>
        <w:rPr>
          <w:rFonts w:ascii="Arial" w:cs="Arial" w:eastAsia="Arial" w:hAnsi="Arial"/>
          <w:sz w:val="20"/>
          <w:szCs w:val="20"/>
          <w:color w:val="auto"/>
        </w:rPr>
        <w:t>There can be no assurance that we will be able to regain compliance with the minimum bid price requirement, otherwise maintain compliance with other applicable Nasdaq listing rules, or be successful in appealing any delisting determination. If Nasdaq delists our common stock, it is unlikely that we will be able to list our common stock on another national securities exchange and, as a result, we expect our securities would be quoted on an over-the-counter market. If this were to occur, we and our stockholders could face significant adverse consequences, including limited availability of market quotations and analyst coverage for our common stock, and reduced liquidity for trading of our securities, all of which would likely reduce the market price of our common stock. In addition, our common stock could be considered a “penny stock,” which will require brokers trading in our common stock to adhere to more stringent rules and possibly result in reduced trading activity in the secondary trading market for our common stock. Delisting could result in additional adverse consequences including reduced ability to issue additional securities or obtain additional financing on terms acceptable to us, or at all, as well as the potential loss of confidence of our customers, suppliers and employees, any of which could harm our business and future prospects. Even the perception that we are at heightened risk of delisting could also result in certain of the above these consequences, which could negatively impact the market price and trading volume of our common stock, and harm our stockholders and our business.</w:t>
      </w:r>
    </w:p>
    <w:p>
      <w:pPr>
        <w:spacing w:after="0" w:line="200" w:lineRule="exact"/>
        <w:rPr>
          <w:sz w:val="20"/>
          <w:szCs w:val="20"/>
          <w:color w:val="auto"/>
        </w:rPr>
      </w:pPr>
    </w:p>
    <w:p>
      <w:pPr>
        <w:ind w:right="540"/>
        <w:spacing w:after="0" w:line="289" w:lineRule="auto"/>
        <w:rPr>
          <w:sz w:val="20"/>
          <w:szCs w:val="20"/>
          <w:color w:val="auto"/>
        </w:rPr>
      </w:pPr>
      <w:r>
        <w:rPr>
          <w:rFonts w:ascii="Arial" w:cs="Arial" w:eastAsia="Arial" w:hAnsi="Arial"/>
          <w:sz w:val="20"/>
          <w:szCs w:val="20"/>
          <w:b w:val="1"/>
          <w:bCs w:val="1"/>
          <w:i w:val="1"/>
          <w:iCs w:val="1"/>
          <w:color w:val="auto"/>
        </w:rPr>
        <w:t>Our ability to utilize our net operating loss carryforwards and certain other tax attributes may be limited.</w:t>
      </w:r>
    </w:p>
    <w:p>
      <w:pPr>
        <w:spacing w:after="0" w:line="14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To the extent that we continue to generate taxable losses, subject to certain limitations, unused losses will carryforward to offset future taxable income, if any, until such unused losses expire. Under Section 382 of the Internal Revenue Code of 1986, as amended, or the Code, if a corporation undergoes an ownership change (generally defined as a greater than 50 percentage points change (by value) in its equity ownership over a rolling three-year period), the corporation’s ability to use its pre-change net operating losses and other pre-change tax attributes to offset its post-change income may be limited. We were formed in 2018 as Century Therapeutics, Inc., or Prior Century. In 2019, in connection with our investment from Bayer, Prior Century contributed substantially all of its operating assets and cash to a newly formed entity, Century Therapeutics, LLC. Our business was operated through Century Therapeutics, LLC, until February 2021, at which time we converted into a Delaware C corporation. Upon completion of this conversion, Prior Century, whose only significant asset was its equity investment in Century Therapeutics, LLC, merged with the C corporation, and in connection therewith the C corporation changed its name to “Century Therapeutics, Inc.” We believe that Prior Century or we may have experienced an ownership change in the past, which may affect our ability to utilize our net operating loss carryforwards. In addition, we may experience ownership changes in the future as a result of shifts in our stock ownership, some of which are outside our control. Similar limitations will apply to our ability to carry forward any unused tax credits to offset future taxable income.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tax law may adversely affect us or our investors.</w:t>
      </w:r>
    </w:p>
    <w:p>
      <w:pPr>
        <w:spacing w:after="0" w:line="22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For example, under Section 174 of the Code, in taxable years beginning after December 31, 2021, expenses that are incurred for research and development in the U.S. will be capitalized and amortized, which may have an adverse effect on our cash flow.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ectPr>
          <w:pgSz w:w="11880" w:h="15480" w:orient="portrait"/>
          <w:cols w:equalWidth="0" w:num="1">
            <w:col w:w="9680"/>
          </w:cols>
          <w:pgMar w:left="1080" w:top="1067"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53</w:t>
      </w:r>
    </w:p>
    <w:p>
      <w:pPr>
        <w:sectPr>
          <w:pgSz w:w="11880" w:h="15480" w:orient="portrait"/>
          <w:cols w:equalWidth="0" w:num="1">
            <w:col w:w="9680"/>
          </w:cols>
          <w:pgMar w:left="1080" w:top="1067" w:right="1120" w:bottom="542" w:gutter="0" w:footer="0" w:header="0"/>
          <w:type w:val="continuous"/>
        </w:sectPr>
      </w:pPr>
    </w:p>
    <w:bookmarkStart w:id="53" w:name="page54"/>
    <w:bookmarkEnd w:id="53"/>
    <w:p>
      <w:pPr>
        <w:ind w:right="680"/>
        <w:spacing w:after="0" w:line="289" w:lineRule="auto"/>
        <w:rPr>
          <w:sz w:val="20"/>
          <w:szCs w:val="20"/>
          <w:color w:val="auto"/>
        </w:rPr>
      </w:pPr>
      <w:r>
        <w:rPr>
          <w:rFonts w:ascii="Arial" w:cs="Arial" w:eastAsia="Arial" w:hAnsi="Arial"/>
          <w:sz w:val="20"/>
          <w:szCs w:val="20"/>
          <w:b w:val="1"/>
          <w:bCs w:val="1"/>
          <w:i w:val="1"/>
          <w:iCs w:val="1"/>
          <w:color w:val="auto"/>
        </w:rPr>
        <w:t>Our Option Agreement with Bayer HealthCare LLC may require us to sell certain of our product candidates, which may limit the value we could generate from our product candidates.</w:t>
      </w:r>
    </w:p>
    <w:p>
      <w:pPr>
        <w:spacing w:after="0" w:line="143"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We are party to an option agreement, or the Option Agreement, with Bayer HealthCare LLC, or Bayer, pursuant to which Bayer was granted certain bidding rights relating to the potential transfer of rights with respect to certain product candidates being researched and developed by us which are comprised of allogeneic iPSC- derived natural killer cells, macrophages or dendritic cells, which we refer to as the Research Products. Under the Option Agreement, Bayer was granted a right of first refusal, or ROFR, to submit bids for the transfer or license of rights to research, develop and/or commercialize certain Research Products, which we refer to as the Research Product Rights. While CNTY-101 is no longer included in the Bayer option rights, any other wholly owned product candidate comprised of iNK cells that we develop in the future are subject to the terms of the Option Agreement. Bayer may exercise its ROFR for up to four of the first ten Research Products for which an IND is submitted, subject to certain limitations.</w:t>
      </w:r>
    </w:p>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If Bayer exercises its ROFR for one of our Research Products, we may be required to transfer such Research Product (by sale, license, or other structure to be negotiated) to Bayer for a market value as determined by our board of directors, and such determination of market value may ultimately prove to be lower than the actual realizable value of applicable Research Product. There can be no guarantee that we will utilize the proceeds received in connection with the exercise of Bayer’s ROFR in a manner which will provide us with greater value than if we had retained the Research Product or sold such Research Product to another party. Any failure to realize or utilize the full value of our Research Products due to the Option Agreement could have a material adverse effect on our business, financial condition, and results of operation.</w:t>
      </w:r>
    </w:p>
    <w:p>
      <w:pPr>
        <w:spacing w:after="0" w:line="198"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b w:val="1"/>
          <w:bCs w:val="1"/>
          <w:i w:val="1"/>
          <w:iCs w:val="1"/>
          <w:color w:val="auto"/>
        </w:rPr>
        <w:t>Unstable market and economic conditions may have serious adverse consequences on our business, financial condition, and stock price.</w:t>
      </w:r>
    </w:p>
    <w:p>
      <w:pPr>
        <w:spacing w:after="0" w:line="14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We cannot assure you that further deterioration in credit and financial markets and confidence in economic conditions will not occur. Our general business strategy and ability to raise capital may be adversely affected by any such economic downturn, volatile business environment, or continued unpredictable and unstable market conditions, including as a result of liquidity constraints, failures and instability in U.S. and international financial banking systems. If the current equity and credit markets deteriorate further, or fail to improve,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9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In addition,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Further, the impacts geopolitical turmoil, such as the ongoing Ukrainian War and Israel-Hamas war (including any escalation or expansion), social unrest, political instability in the United States and elsewhere, terrorism, cyberwarfare or other acts of war, could lead to disruption, instability and volatility in the global markets, which may have an adverse impact on our business or ability to access the capital markets. Broad market and industry factors, including potentially worsening economic conditions and other adverse effects, or developments relating to pandemics, political, regulatory, and other market conditions, may negatively affect the market price of shares of our common stock, regardless of our actual operating performance.</w:t>
      </w:r>
    </w:p>
    <w:p>
      <w:pPr>
        <w:sectPr>
          <w:pgSz w:w="11880" w:h="15480" w:orient="portrait"/>
          <w:cols w:equalWidth="0" w:num="1">
            <w:col w:w="9700"/>
          </w:cols>
          <w:pgMar w:left="1080" w:top="1071"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w:t>
      </w:r>
    </w:p>
    <w:p>
      <w:pPr>
        <w:sectPr>
          <w:pgSz w:w="11880" w:h="15480" w:orient="portrait"/>
          <w:cols w:equalWidth="0" w:num="1">
            <w:col w:w="9700"/>
          </w:cols>
          <w:pgMar w:left="1080" w:top="1071" w:right="1100" w:bottom="542" w:gutter="0" w:footer="0" w:header="0"/>
          <w:type w:val="continuous"/>
        </w:sectPr>
      </w:pPr>
    </w:p>
    <w:bookmarkStart w:id="54" w:name="page55"/>
    <w:bookmarkEnd w:id="54"/>
    <w:p>
      <w:pPr>
        <w:ind w:right="300"/>
        <w:spacing w:after="0" w:line="256" w:lineRule="auto"/>
        <w:rPr>
          <w:sz w:val="20"/>
          <w:szCs w:val="20"/>
          <w:color w:val="auto"/>
        </w:rPr>
      </w:pPr>
      <w:r>
        <w:rPr>
          <w:rFonts w:ascii="Arial" w:cs="Arial" w:eastAsia="Arial" w:hAnsi="Arial"/>
          <w:sz w:val="20"/>
          <w:szCs w:val="20"/>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early 2023, several financial institutions closed and were taken in receivership by the Federal Deposit Insurance Corporation, or FDIC. Even 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203"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business, financial condition or results of operations.</w:t>
      </w:r>
    </w:p>
    <w:p>
      <w:pPr>
        <w:sectPr>
          <w:pgSz w:w="11880" w:h="15480" w:orient="portrait"/>
          <w:cols w:equalWidth="0" w:num="1">
            <w:col w:w="9680"/>
          </w:cols>
          <w:pgMar w:left="1080" w:top="1071"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55</w:t>
      </w:r>
    </w:p>
    <w:p>
      <w:pPr>
        <w:sectPr>
          <w:pgSz w:w="11880" w:h="15480" w:orient="portrait"/>
          <w:cols w:equalWidth="0" w:num="1">
            <w:col w:w="9680"/>
          </w:cols>
          <w:pgMar w:left="1080" w:top="1071" w:right="1120" w:bottom="542"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Risks related to our business and industry</w:t>
      </w:r>
    </w:p>
    <w:p>
      <w:pPr>
        <w:spacing w:after="0" w:line="247" w:lineRule="exact"/>
        <w:rPr>
          <w:sz w:val="20"/>
          <w:szCs w:val="20"/>
          <w:color w:val="auto"/>
        </w:rPr>
      </w:pPr>
    </w:p>
    <w:p>
      <w:pPr>
        <w:ind w:right="60"/>
        <w:spacing w:after="0" w:line="265" w:lineRule="auto"/>
        <w:rPr>
          <w:sz w:val="20"/>
          <w:szCs w:val="20"/>
          <w:color w:val="auto"/>
        </w:rPr>
      </w:pPr>
      <w:r>
        <w:rPr>
          <w:rFonts w:ascii="Arial" w:cs="Arial" w:eastAsia="Arial" w:hAnsi="Arial"/>
          <w:sz w:val="20"/>
          <w:szCs w:val="20"/>
          <w:b w:val="1"/>
          <w:bCs w:val="1"/>
          <w:i w:val="1"/>
          <w:iCs w:val="1"/>
          <w:color w:val="auto"/>
        </w:rPr>
        <w:t>We are early in our development efforts. Our business is dependent on our ability to advance our current and future product candidates through preclinical studies and clinical trials, obtain marketing approval, and ultimately commercialize them.</w:t>
      </w:r>
    </w:p>
    <w:p>
      <w:pPr>
        <w:spacing w:after="0" w:line="16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are early in our development efforts. We have discontinued the Phase 1 ELiPSE-1 clinical trial of CNTY-101 and are currently completing assessments in patients with relapsed or refractory CD19-positive B- cell lymphomas at clinical sites in the US. In the third quarter of 2024, we initiated our Phase 1 CALiPSO-1 clinical trial of CNTY-101 in patients with moderate to severe SLE, including indication-specific cohorts of Lupus Nephritis, or LN, patients, diffuse cutaneous Systemic Sclerosis, or dcSSc, patients and idiopathic inflammatory myopathy, or IIM, patients. We have activated a number of clinical sites in the United States and expect to activate additional sites in the coming months, with ability to enroll patients across indications. We have submitted a clinical trial application (CTA) for the CALiPSO-1 trial to Europe, to include clinical sites in a number of EU countries. Clinical investigation of cell therapies in both B-cell lymphomas and autoimmune diseases including SLE, LN, IIM, and SSc is highly competitive. Moreover, cell therapy modalities as a treatment for autoimmune diseases are a relatively new use, and rheumatology physicians and hospital processes are just beginning to be familiar and comfortable with their use. As a result, the execution and speed of enrollment of clinical trials in these novel and competitive areas are difficult to predict.</w:t>
      </w:r>
    </w:p>
    <w:p>
      <w:pPr>
        <w:spacing w:after="0" w:line="204"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Additionally, we are actively engaged in a number of earlier stage discovery programs that may never advance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product sales and we may never be able to develop or commercialize a marketable product.</w:t>
      </w:r>
    </w:p>
    <w:p>
      <w:pPr>
        <w:spacing w:after="0" w:line="192" w:lineRule="exact"/>
        <w:rPr>
          <w:sz w:val="20"/>
          <w:szCs w:val="20"/>
          <w:color w:val="auto"/>
        </w:rPr>
      </w:pPr>
    </w:p>
    <w:p>
      <w:pPr>
        <w:ind w:right="440"/>
        <w:spacing w:after="0" w:line="248" w:lineRule="auto"/>
        <w:rPr>
          <w:sz w:val="20"/>
          <w:szCs w:val="20"/>
          <w:color w:val="auto"/>
        </w:rPr>
      </w:pPr>
      <w:r>
        <w:rPr>
          <w:rFonts w:ascii="Arial" w:cs="Arial" w:eastAsia="Arial" w:hAnsi="Arial"/>
          <w:sz w:val="20"/>
          <w:szCs w:val="20"/>
          <w:color w:val="auto"/>
        </w:rPr>
        <w:t>Each of our product candidates will require additional preclinical and/or clinical development, regulatory approval in multiple jurisdictions, obtaining manufacturing supply, capacity and expertise, building a commercial organization, or successfully outsourcing commercialization, substantial investment, and significant marketing efforts before we generate any revenue from product sales. Our product candidates must be authorized for marketing by the U.S. Food and Drug Administration, or the FDA, or certain other foreign regulatory agencies before we may commercialize our product candidates.</w:t>
      </w:r>
    </w:p>
    <w:p>
      <w:pPr>
        <w:spacing w:after="0" w:line="194" w:lineRule="exact"/>
        <w:rPr>
          <w:sz w:val="20"/>
          <w:szCs w:val="20"/>
          <w:color w:val="auto"/>
        </w:rPr>
      </w:pPr>
    </w:p>
    <w:p>
      <w:pPr>
        <w:ind w:right="200"/>
        <w:spacing w:after="0" w:line="283" w:lineRule="auto"/>
        <w:rPr>
          <w:sz w:val="20"/>
          <w:szCs w:val="20"/>
          <w:color w:val="auto"/>
        </w:rPr>
      </w:pPr>
      <w:r>
        <w:rPr>
          <w:rFonts w:ascii="Arial" w:cs="Arial" w:eastAsia="Arial" w:hAnsi="Arial"/>
          <w:sz w:val="20"/>
          <w:szCs w:val="20"/>
          <w:color w:val="auto"/>
        </w:rPr>
        <w:t>The clinical and commercial success of our product candidates will depend on several factors, including the following:</w:t>
      </w:r>
    </w:p>
    <w:p>
      <w:pPr>
        <w:spacing w:after="0" w:line="170" w:lineRule="exact"/>
        <w:rPr>
          <w:sz w:val="20"/>
          <w:szCs w:val="20"/>
          <w:color w:val="auto"/>
        </w:rPr>
      </w:pPr>
    </w:p>
    <w:p>
      <w:pPr>
        <w:ind w:left="720" w:right="100" w:hanging="353"/>
        <w:spacing w:after="0" w:line="262"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timely and successful completion of preclinical studies, including toxicology studies, biodistribution studies, and minimally efficacious dose studies in animals, where applicable, and in accordance with Good Laboratory Practices, or GLPs;</w:t>
      </w:r>
    </w:p>
    <w:p>
      <w:pPr>
        <w:spacing w:after="0" w:line="190" w:lineRule="exact"/>
        <w:rPr>
          <w:rFonts w:ascii="Arial" w:cs="Arial" w:eastAsia="Arial" w:hAnsi="Arial"/>
          <w:sz w:val="20"/>
          <w:szCs w:val="20"/>
          <w:color w:val="auto"/>
        </w:rPr>
      </w:pPr>
    </w:p>
    <w:p>
      <w:pPr>
        <w:ind w:left="720" w:right="240" w:hanging="353"/>
        <w:spacing w:after="0" w:line="283"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effective INDs or comparable foreign applications that allow commencement of our planned clinical trials or future clinical trials for our product candidates;</w:t>
      </w:r>
    </w:p>
    <w:p>
      <w:pPr>
        <w:spacing w:after="0" w:line="171" w:lineRule="exact"/>
        <w:rPr>
          <w:rFonts w:ascii="Arial" w:cs="Arial" w:eastAsia="Arial" w:hAnsi="Arial"/>
          <w:sz w:val="20"/>
          <w:szCs w:val="20"/>
          <w:color w:val="auto"/>
        </w:rPr>
      </w:pPr>
    </w:p>
    <w:p>
      <w:pPr>
        <w:ind w:left="720" w:right="640" w:hanging="353"/>
        <w:spacing w:after="0" w:line="283"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successful enrollment and completion of clinical trials, including under the FDA’s Good Clinical Practices, or GCPs, and GLPs;</w:t>
      </w:r>
    </w:p>
    <w:p>
      <w:pPr>
        <w:spacing w:after="0" w:line="170" w:lineRule="exact"/>
        <w:rPr>
          <w:rFonts w:ascii="Arial" w:cs="Arial" w:eastAsia="Arial" w:hAnsi="Arial"/>
          <w:sz w:val="20"/>
          <w:szCs w:val="20"/>
          <w:color w:val="auto"/>
        </w:rPr>
      </w:pPr>
    </w:p>
    <w:p>
      <w:pPr>
        <w:ind w:left="720" w:right="40" w:hanging="353"/>
        <w:spacing w:after="0" w:line="283"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successful progression and execution of investigator-initiated trials and collaborative relationship with investigators</w:t>
      </w:r>
    </w:p>
    <w:p>
      <w:pPr>
        <w:spacing w:after="0" w:line="171" w:lineRule="exact"/>
        <w:rPr>
          <w:rFonts w:ascii="Arial" w:cs="Arial" w:eastAsia="Arial" w:hAnsi="Arial"/>
          <w:sz w:val="20"/>
          <w:szCs w:val="20"/>
          <w:color w:val="auto"/>
        </w:rPr>
      </w:pPr>
    </w:p>
    <w:p>
      <w:pPr>
        <w:ind w:left="720" w:right="540" w:hanging="353"/>
        <w:spacing w:after="0" w:line="262"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positive results from our ongoing, planned, and future clinical programs that support a finding of safety and effectiveness and an acceptable risk-benefit profile of our product candidates in the intended populations;</w:t>
      </w:r>
    </w:p>
    <w:p>
      <w:pPr>
        <w:sectPr>
          <w:pgSz w:w="11880" w:h="15480" w:orient="portrait"/>
          <w:cols w:equalWidth="0" w:num="1">
            <w:col w:w="9700"/>
          </w:cols>
          <w:pgMar w:left="1080" w:top="1064"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56</w:t>
      </w:r>
    </w:p>
    <w:p>
      <w:pPr>
        <w:sectPr>
          <w:pgSz w:w="11880" w:h="15480" w:orient="portrait"/>
          <w:cols w:equalWidth="0" w:num="1">
            <w:col w:w="9700"/>
          </w:cols>
          <w:pgMar w:left="1080" w:top="1064" w:right="1100" w:bottom="542" w:gutter="0" w:footer="0" w:header="0"/>
          <w:type w:val="continuous"/>
        </w:sectPr>
      </w:pPr>
    </w:p>
    <w:bookmarkStart w:id="56" w:name="page57"/>
    <w:bookmarkEnd w:id="56"/>
    <w:p>
      <w:pPr>
        <w:ind w:left="720" w:hanging="353"/>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receipt of marketing approvals from applicable regulatory authorities;</w:t>
      </w:r>
    </w:p>
    <w:p>
      <w:pPr>
        <w:spacing w:after="0" w:line="253" w:lineRule="exact"/>
        <w:rPr>
          <w:rFonts w:ascii="Arial" w:cs="Arial" w:eastAsia="Arial" w:hAnsi="Arial"/>
          <w:sz w:val="20"/>
          <w:szCs w:val="20"/>
          <w:color w:val="auto"/>
        </w:rPr>
      </w:pPr>
    </w:p>
    <w:p>
      <w:pPr>
        <w:ind w:left="720" w:right="500" w:hanging="353"/>
        <w:spacing w:after="0" w:line="283"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establishment of arrangements with CMOs for clinical supply and, where applicable, commercial manufacturing capabilities;</w:t>
      </w:r>
    </w:p>
    <w:p>
      <w:pPr>
        <w:spacing w:after="0" w:line="170" w:lineRule="exact"/>
        <w:rPr>
          <w:rFonts w:ascii="Arial" w:cs="Arial" w:eastAsia="Arial" w:hAnsi="Arial"/>
          <w:sz w:val="20"/>
          <w:szCs w:val="20"/>
          <w:color w:val="auto"/>
        </w:rPr>
      </w:pPr>
    </w:p>
    <w:p>
      <w:pPr>
        <w:ind w:left="720" w:right="20" w:hanging="353"/>
        <w:spacing w:after="0" w:line="283"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establishment and maintenance of patent and trade secret protection, and/or regulatory exclusivity for our product candidates;</w:t>
      </w:r>
    </w:p>
    <w:p>
      <w:pPr>
        <w:spacing w:after="0" w:line="171" w:lineRule="exact"/>
        <w:rPr>
          <w:rFonts w:ascii="Arial" w:cs="Arial" w:eastAsia="Arial" w:hAnsi="Arial"/>
          <w:sz w:val="20"/>
          <w:szCs w:val="20"/>
          <w:color w:val="auto"/>
        </w:rPr>
      </w:pPr>
    </w:p>
    <w:p>
      <w:pPr>
        <w:ind w:left="720" w:right="500" w:hanging="353"/>
        <w:spacing w:after="0" w:line="283"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commercial launch of our product candidates, if approved, whether alone or in collaboration with others;</w:t>
      </w:r>
    </w:p>
    <w:p>
      <w:pPr>
        <w:spacing w:after="0" w:line="170" w:lineRule="exact"/>
        <w:rPr>
          <w:rFonts w:ascii="Arial" w:cs="Arial" w:eastAsia="Arial" w:hAnsi="Arial"/>
          <w:sz w:val="20"/>
          <w:szCs w:val="20"/>
          <w:color w:val="auto"/>
        </w:rPr>
      </w:pPr>
    </w:p>
    <w:p>
      <w:pPr>
        <w:ind w:left="720" w:right="220" w:hanging="353"/>
        <w:spacing w:after="0" w:line="283"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acceptance of the benefits and use of our product candidates, including method of administration, if and when approved, by patients, the medical community, and third-party payors;</w:t>
      </w:r>
    </w:p>
    <w:p>
      <w:pPr>
        <w:spacing w:after="0" w:line="171" w:lineRule="exact"/>
        <w:rPr>
          <w:rFonts w:ascii="Arial" w:cs="Arial" w:eastAsia="Arial" w:hAnsi="Arial"/>
          <w:sz w:val="20"/>
          <w:szCs w:val="20"/>
          <w:color w:val="auto"/>
        </w:rPr>
      </w:pPr>
    </w:p>
    <w:p>
      <w:pPr>
        <w:ind w:left="720" w:hanging="353"/>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effective competition with other therapies;</w:t>
      </w:r>
    </w:p>
    <w:p>
      <w:pPr>
        <w:spacing w:after="0" w:line="253" w:lineRule="exact"/>
        <w:rPr>
          <w:rFonts w:ascii="Arial" w:cs="Arial" w:eastAsia="Arial" w:hAnsi="Arial"/>
          <w:sz w:val="20"/>
          <w:szCs w:val="20"/>
          <w:color w:val="auto"/>
        </w:rPr>
      </w:pPr>
    </w:p>
    <w:p>
      <w:pPr>
        <w:ind w:left="720" w:right="220" w:hanging="353"/>
        <w:spacing w:after="0" w:line="283"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establishment and maintenance of healthcare coverage and adequate reimbursement and patients’ willingness to pay out-of-pocket in the absence of such coverage and adequate reimbursement;</w:t>
      </w:r>
    </w:p>
    <w:p>
      <w:pPr>
        <w:spacing w:after="0" w:line="170" w:lineRule="exact"/>
        <w:rPr>
          <w:rFonts w:ascii="Arial" w:cs="Arial" w:eastAsia="Arial" w:hAnsi="Arial"/>
          <w:sz w:val="20"/>
          <w:szCs w:val="20"/>
          <w:color w:val="auto"/>
        </w:rPr>
      </w:pPr>
    </w:p>
    <w:p>
      <w:pPr>
        <w:ind w:left="720" w:right="1060" w:hanging="353"/>
        <w:spacing w:after="0" w:line="283"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establishment of a physician training system and network for administration of our product candidates;</w:t>
      </w:r>
    </w:p>
    <w:p>
      <w:pPr>
        <w:spacing w:after="0" w:line="171" w:lineRule="exact"/>
        <w:rPr>
          <w:rFonts w:ascii="Arial" w:cs="Arial" w:eastAsia="Arial" w:hAnsi="Arial"/>
          <w:sz w:val="20"/>
          <w:szCs w:val="20"/>
          <w:color w:val="auto"/>
        </w:rPr>
      </w:pPr>
    </w:p>
    <w:p>
      <w:pPr>
        <w:ind w:left="720" w:hanging="353"/>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enforcement and defense of intellectual property rights and claims; and</w:t>
      </w:r>
    </w:p>
    <w:p>
      <w:pPr>
        <w:spacing w:after="0" w:line="253" w:lineRule="exact"/>
        <w:rPr>
          <w:rFonts w:ascii="Arial" w:cs="Arial" w:eastAsia="Arial" w:hAnsi="Arial"/>
          <w:sz w:val="20"/>
          <w:szCs w:val="20"/>
          <w:color w:val="auto"/>
        </w:rPr>
      </w:pPr>
    </w:p>
    <w:p>
      <w:pPr>
        <w:ind w:left="720" w:right="840" w:hanging="353"/>
        <w:spacing w:after="0" w:line="283"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maintenance of a continued acceptable safety, tolerability, and efficacy profile of our product candidates following approval.</w:t>
      </w:r>
    </w:p>
    <w:p>
      <w:pPr>
        <w:spacing w:after="0" w:line="157"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If we do not succeed in one or more of these factors in a timely manner or at all, we could experience significant delays or an inability to successfully commercialize our product candidates, if approved,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196" w:lineRule="exact"/>
        <w:rPr>
          <w:sz w:val="20"/>
          <w:szCs w:val="20"/>
          <w:color w:val="auto"/>
        </w:rPr>
      </w:pPr>
    </w:p>
    <w:p>
      <w:pPr>
        <w:ind w:right="300"/>
        <w:spacing w:after="0" w:line="289" w:lineRule="auto"/>
        <w:rPr>
          <w:sz w:val="20"/>
          <w:szCs w:val="20"/>
          <w:color w:val="auto"/>
        </w:rPr>
      </w:pPr>
      <w:r>
        <w:rPr>
          <w:rFonts w:ascii="Arial" w:cs="Arial" w:eastAsia="Arial" w:hAnsi="Arial"/>
          <w:sz w:val="20"/>
          <w:szCs w:val="20"/>
          <w:b w:val="1"/>
          <w:bCs w:val="1"/>
          <w:i w:val="1"/>
          <w:iCs w:val="1"/>
          <w:color w:val="auto"/>
        </w:rPr>
        <w:t>Our business is highly dependent on the success of our lead product candidate, CNTY-101 and our other product candidates.</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While we have successfully initiated the clinical development of CNTY- 101 which now has a single sponsored Phase 1 clinical trial ongoing, and one investigator-initiated clinical trial expected to initiate in mid-2025, we cannot guarantee that an IND or CTA application will be cleared to proceed after submission to the FDA or other global health authorities for any additional indications or any of our other product candidates or that CNTY-101 or our other product candidates will be allowed to complete clinical developments and approved for commercialization, on a timely basis or at all. Although certain of our employees have prior experience with clinical trials and regulatory approvals, we have not previously completed any clinical trials or submitted a BLA to the FDA, or similar regulatory approval filings to comparable foreign authorities, for any product candidate, and we cannot be certain that CNTY -101 or our other product candidates will be complete and be successful in clinical trials or receive regulatory approval. The FDA and other comparable global regulatory authorities can delay, limit, or deny development or approval of a product candidate for many reasons. Any delay in obtaining, or inability to obtain, applicable regulatory authorizations or approvals will delay or harm our ability to successfully develop and commercialize CNTY-101 or our other product candidates and materially adversely affect our business, financial condition, results of operations, and growth prospects.</w:t>
      </w:r>
    </w:p>
    <w:p>
      <w:pPr>
        <w:spacing w:after="0" w:line="186" w:lineRule="exact"/>
        <w:rPr>
          <w:sz w:val="20"/>
          <w:szCs w:val="20"/>
          <w:color w:val="auto"/>
        </w:rPr>
      </w:pPr>
    </w:p>
    <w:p>
      <w:pPr>
        <w:ind w:right="240"/>
        <w:spacing w:after="0" w:line="282" w:lineRule="auto"/>
        <w:rPr>
          <w:sz w:val="20"/>
          <w:szCs w:val="20"/>
          <w:color w:val="auto"/>
        </w:rPr>
      </w:pPr>
      <w:r>
        <w:rPr>
          <w:rFonts w:ascii="Arial" w:cs="Arial" w:eastAsia="Arial" w:hAnsi="Arial"/>
          <w:sz w:val="20"/>
          <w:szCs w:val="20"/>
          <w:color w:val="auto"/>
        </w:rPr>
        <w:t>Furthermore, if our clinical trials of CNTY-101 or our other product candidates encounter safety, efficacy, or manufacturing problems, development delays, regulatory issues, or other problems, our development plans</w:t>
      </w:r>
    </w:p>
    <w:p>
      <w:pPr>
        <w:sectPr>
          <w:pgSz w:w="11880" w:h="15480" w:orient="portrait"/>
          <w:cols w:equalWidth="0" w:num="1">
            <w:col w:w="9720"/>
          </w:cols>
          <w:pgMar w:left="1080" w:top="1081" w:right="1080" w:bottom="542"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880" w:h="15480" w:orient="portrait"/>
          <w:cols w:equalWidth="0" w:num="1">
            <w:col w:w="9720"/>
          </w:cols>
          <w:pgMar w:left="1080" w:top="1081" w:right="1080" w:bottom="542" w:gutter="0" w:footer="0" w:header="0"/>
          <w:type w:val="continuous"/>
        </w:sectPr>
      </w:pPr>
    </w:p>
    <w:bookmarkStart w:id="57" w:name="page58"/>
    <w:bookmarkEnd w:id="57"/>
    <w:p>
      <w:pPr>
        <w:ind w:right="240"/>
        <w:spacing w:after="0" w:line="283" w:lineRule="auto"/>
        <w:rPr>
          <w:sz w:val="20"/>
          <w:szCs w:val="20"/>
          <w:color w:val="auto"/>
        </w:rPr>
      </w:pPr>
      <w:r>
        <w:rPr>
          <w:rFonts w:ascii="Arial" w:cs="Arial" w:eastAsia="Arial" w:hAnsi="Arial"/>
          <w:sz w:val="20"/>
          <w:szCs w:val="20"/>
          <w:color w:val="auto"/>
        </w:rPr>
        <w:t>for such product candidates in our pipeline could be significantly impaired, which could materially adversely affect our business, financial condition, results of operations, and growth prospects.</w:t>
      </w:r>
    </w:p>
    <w:p>
      <w:pPr>
        <w:spacing w:after="0" w:line="158"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business depends upon the success of our iPSC-derived allogeneic cell therapy platforms.</w:t>
      </w:r>
    </w:p>
    <w:p>
      <w:pPr>
        <w:spacing w:after="0" w:line="235"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Our success depends on our ability to utilize our iPSC-derived allogeneic cell therapy platforms to generate chimeric antigen receptors, or CAR -iNK and CAR-iT cell product candidates, to obtain regulatory approval for product candidates derived from it, and to then commercialize our product candidates addressing one or more indications. Though iPSC-derived cell therapy product candidates have been evaluated by others in clinical trials, our lead product candidate has only commenced evaluation in Phase 1 clinical trials, and we may experience unexpected or adverse results in the future. We are exposed to a number of unforeseen risks and it is difficult to predict the types of challenges and risks that we may encounter during development of our product candidates. All of our product candidates developed from our iPSC allogeneic cell therapy platforms will require significant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In addition, we utilize our proprietary Allo-Evasion technology in our product candidates, which has only been tested in our initial clinical trials, and we may modify our technology for additional product candidates and such technology as so modified will not have been tested in a clinical setting. If any of our product candidates encounter safety or efficacy problems, including as a result of our use or modification of our Allo -Evasion technology, developmental delays, or regulatory issues or other problems, such problems could impact the development plans for our other product candidates because all of our product candidates are based on the same core iPSC technology.</w:t>
      </w:r>
    </w:p>
    <w:p>
      <w:pPr>
        <w:spacing w:after="0" w:line="207"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Additionally, a key element of our strategy is to use and expand our iPSC allogeneic cell therapy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we may not be able to develop product candidates that a regulatory agency, such as the FDA, will consider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and achieve market acceptance. If we do not successfully develop, obtain approval for, and begin to commercialize any product candidates for which we receive approval, we will face difficulty in obtaining product revenue in future periods, which could result in significant harm to our financial position and adversely affect our share price.</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58</w:t>
      </w:r>
    </w:p>
    <w:p>
      <w:pPr>
        <w:sectPr>
          <w:pgSz w:w="11880" w:h="15480" w:orient="portrait"/>
          <w:cols w:equalWidth="0" w:num="1">
            <w:col w:w="9700"/>
          </w:cols>
          <w:pgMar w:left="1080" w:top="1067" w:right="1100" w:bottom="542" w:gutter="0" w:footer="0" w:header="0"/>
          <w:type w:val="continuous"/>
        </w:sectPr>
      </w:pPr>
    </w:p>
    <w:bookmarkStart w:id="58" w:name="page59"/>
    <w:bookmarkEnd w:id="58"/>
    <w:p>
      <w:pPr>
        <w:ind w:right="140"/>
        <w:spacing w:after="0" w:line="265" w:lineRule="auto"/>
        <w:rPr>
          <w:sz w:val="20"/>
          <w:szCs w:val="20"/>
          <w:color w:val="auto"/>
        </w:rPr>
      </w:pPr>
      <w:r>
        <w:rPr>
          <w:rFonts w:ascii="Arial" w:cs="Arial" w:eastAsia="Arial" w:hAnsi="Arial"/>
          <w:sz w:val="20"/>
          <w:szCs w:val="20"/>
          <w:b w:val="1"/>
          <w:bCs w:val="1"/>
          <w:i w:val="1"/>
          <w:iCs w:val="1"/>
          <w:color w:val="auto"/>
        </w:rPr>
        <w:t>Utilizing CAR-iNK and CAR-iT cells represents a novel approach to immuno-oncology treatment of cancer and autoimmune diseases, and we must overcome significant challenges in order to develop, commercialize, and manufacture our product candidates.</w:t>
      </w:r>
    </w:p>
    <w:p>
      <w:pPr>
        <w:spacing w:after="0" w:line="164"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We have concentrated our research and development efforts on developing CAR-iNK and CAR -iT cell therapies. The processes and requirements imposed by the FDA or other applicable regulatory authorities may cause delays and additional costs in obtaining approvals for our product candidates. Because our iPSC-derived allogeneic cell therapy platforms are novel, and cell-based therapies are relatively new, regulatory agencies may lack experience in evaluating our product candidates utilizing CAR- iNK and CAR-iT cells. This novelty may lengthen the regulatory review process, including the time it takes for the FDA to review our IND applications, if and when submitted, increase our development costs, and delay or prevent commercialization of our iPSC-derived allogeneic cell therapy platform products. Additionally, advancing novel immuno-oncology and autoimmune cell therapies creates significant challenges for us, including:</w:t>
      </w:r>
    </w:p>
    <w:p>
      <w:pPr>
        <w:spacing w:after="0" w:line="212" w:lineRule="exact"/>
        <w:rPr>
          <w:sz w:val="20"/>
          <w:szCs w:val="20"/>
          <w:color w:val="auto"/>
        </w:rPr>
      </w:pPr>
    </w:p>
    <w:p>
      <w:pPr>
        <w:ind w:left="720" w:right="400" w:hanging="353"/>
        <w:spacing w:after="0" w:line="283" w:lineRule="auto"/>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developing and sustaining a manufacturing process to produce our cells on a large scale and in a cost-effective manner;</w:t>
      </w:r>
    </w:p>
    <w:p>
      <w:pPr>
        <w:spacing w:after="0" w:line="170" w:lineRule="exact"/>
        <w:rPr>
          <w:rFonts w:ascii="Arial" w:cs="Arial" w:eastAsia="Arial" w:hAnsi="Arial"/>
          <w:sz w:val="20"/>
          <w:szCs w:val="20"/>
          <w:color w:val="auto"/>
        </w:rPr>
      </w:pPr>
    </w:p>
    <w:p>
      <w:pPr>
        <w:ind w:left="720" w:right="100" w:hanging="353"/>
        <w:spacing w:after="0" w:line="283" w:lineRule="auto"/>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educating medical personnel regarding the potential side-effect profile of our cells and, as the clinical program progresses, on any observed side effects with the therapy;</w:t>
      </w:r>
    </w:p>
    <w:p>
      <w:pPr>
        <w:spacing w:after="0" w:line="171" w:lineRule="exact"/>
        <w:rPr>
          <w:rFonts w:ascii="Arial" w:cs="Arial" w:eastAsia="Arial" w:hAnsi="Arial"/>
          <w:sz w:val="20"/>
          <w:szCs w:val="20"/>
          <w:color w:val="auto"/>
        </w:rPr>
      </w:pPr>
    </w:p>
    <w:p>
      <w:pPr>
        <w:ind w:left="720" w:hanging="353"/>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unanticipated technical limitations of our CRISPR-MAD7 gene editing technology; and</w:t>
      </w:r>
    </w:p>
    <w:p>
      <w:pPr>
        <w:spacing w:after="0" w:line="252" w:lineRule="exact"/>
        <w:rPr>
          <w:rFonts w:ascii="Arial" w:cs="Arial" w:eastAsia="Arial" w:hAnsi="Arial"/>
          <w:sz w:val="20"/>
          <w:szCs w:val="20"/>
          <w:color w:val="auto"/>
        </w:rPr>
      </w:pPr>
    </w:p>
    <w:p>
      <w:pPr>
        <w:ind w:left="720" w:right="140" w:hanging="353"/>
        <w:spacing w:after="0" w:line="283" w:lineRule="auto"/>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establishing sales and marketing capabilities, as well as developing a distribution network to support the commercialization of any approved products.</w:t>
      </w:r>
    </w:p>
    <w:p>
      <w:pPr>
        <w:spacing w:after="0" w:line="158"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We must be able to overcome these challenges in order for us to successfully develop, commercialize, and manufacture our product candidates utilizing CAR-iNK and CAR-iT cells. In addition, although CNTY-101 and our future product candidates may differ in certain ways from other cancer immunotherapies and autoimmune diseases, including CD19-directed autologous CAR-T cell immunotherapies, serious adverse events, deaths or other unexpected safety issues in other companies’ clinical trials or that are discovered from post - marketing data sources involving cancer immunotherapies, more generally, even if unrelated to our product candidates, could negatively impact our business. For example, in November 2023, the FDA announced that it would be conducting an investigation into reports of T cell malignancies following BCMA-directed or CD19-directed autologous CAR-T cell immunotherapies following reports of T cell lymphoma in patients receiving these therapies. In January 2024, the FDA determined that new safety information related to T cell malignancies should be included in the labeling with boxed warning language on these malignancies for all currently approved BCMA- and CD-19-directed genetically modified autologous T cell immunotherapies. While CNTY 101 is designed to utilize a different mechanism of action, FDA’s ongoing post-market monitoring of CAR-T therapies could result in increased government regulation, unfavorable public perception and publicity, potential impacts on enrollment in our clinical trials, potential regulatory delays in the testing or approval of our product candidates, stricter labeling requirements for those product candidates that may receive approval, and a decrease in demand for any such product candidates.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have not yet demonstrated long-term stability of cryopreserved CAR-iNK cells.</w:t>
      </w:r>
    </w:p>
    <w:p>
      <w:pPr>
        <w:spacing w:after="0" w:line="235"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We have not yet demonstrated long-term stability of cryopreserved CAR- iNK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 We may also encounter difficulties not only in developing freezing and thawing methodologies for large-scale use, but it is also possible that the freezing and thawing methodologies we develop and implement will not sufficiently preserve the function of one or more of our product candidates, thereby potentially negatively impacting certain clinical results.</w:t>
      </w:r>
    </w:p>
    <w:p>
      <w:pPr>
        <w:sectPr>
          <w:pgSz w:w="11880" w:h="15480" w:orient="portrait"/>
          <w:cols w:equalWidth="0" w:num="1">
            <w:col w:w="9720"/>
          </w:cols>
          <w:pgMar w:left="1080" w:top="1071" w:right="1080" w:bottom="542"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880" w:h="15480" w:orient="portrait"/>
          <w:cols w:equalWidth="0" w:num="1">
            <w:col w:w="9720"/>
          </w:cols>
          <w:pgMar w:left="1080" w:top="1071" w:right="1080" w:bottom="542" w:gutter="0" w:footer="0" w:header="0"/>
          <w:type w:val="continuous"/>
        </w:sectPr>
      </w:pPr>
    </w:p>
    <w:bookmarkStart w:id="59" w:name="page60"/>
    <w:bookmarkEnd w:id="59"/>
    <w:p>
      <w:pPr>
        <w:ind w:right="380"/>
        <w:spacing w:after="0" w:line="265" w:lineRule="auto"/>
        <w:rPr>
          <w:sz w:val="20"/>
          <w:szCs w:val="20"/>
          <w:color w:val="auto"/>
        </w:rPr>
      </w:pPr>
      <w:r>
        <w:rPr>
          <w:rFonts w:ascii="Arial" w:cs="Arial" w:eastAsia="Arial" w:hAnsi="Arial"/>
          <w:sz w:val="20"/>
          <w:szCs w:val="20"/>
          <w:b w:val="1"/>
          <w:bCs w:val="1"/>
          <w:i w:val="1"/>
          <w:iCs w:val="1"/>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164"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We use a CRISPR- based nuclease to enable precise editing of the iPSC genome. For CNTY-101, we used the nuclease Cpf-1 but have shifted to CRISPR-MAD7 for all subsequent product candidates, and we may utilize CRISPR-MAD7 for CNTY-101 in the future. We decided to shift to CRISPR-MAD7 because we entered into a license agreement with Inscripta, Inc. and obtained a non- exclusive, royalty-free, irrevocable license to a patent portfolio covering the composition, production, and use of CRISPR-MAD7. We have optimized the protocols to produce CRISPR-MAD7 and have achieved similar cutting and HDR efficiencies compared to Cpf-1, but we do not have as much experimental data with CRISPR-MAD7 as we do with Cpf1. We may encounter technical liabilities associated with CRISPR-MAD7 that could force us to use a different CRISPR nuclease which could delay our programs and require us to enter into a license agreement for additional technology, which may not be available on commercially reasonable terms or at all.</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Our gene-editing technology may create unintended changes to the DNA such as a non-target site gene- edit, a large deletion, or a DNA translocation, any of which could impact timelines for new product generation. We have developed various genome characterization assays to identify deletions/insertions that can occur as a result of gene editing.</w:t>
      </w:r>
    </w:p>
    <w:p>
      <w:pPr>
        <w:spacing w:after="0" w:line="187"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Although we believe CAR-iNK and CAR-iT based therapies do not require further modification to avoid the risk of graft versus host disease, or GvHD, the gene-editing of our product candidates utilizing CAR-iNK and CAR-iT cells may not be successful in limiting the risk of GvHD or premature rejection by patients.</w:t>
      </w:r>
    </w:p>
    <w:p>
      <w:pPr>
        <w:spacing w:after="0" w:line="17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In addition, the cell therapy industry is rapidly developing, and our competitors may introduce new gene-editing technologies that render our technology less attractive. As the FDA and foreign regulatory authorities begin issuing product approvals for gene-editing products, post-market adverse events or findings could adversely impact developers of gene-editing technologies or competitive pressures may force us to implement new gene-editing technologies at a substantial cost or delay in our clinical development process. In addition, regulatory requirements in the United States and in other jurisdictions governing the development of gene therapy products have changed frequently and may continue to change in the future. Our competitors may have greater financial, technical, and personnel resources that allow them to implement new gene-editing technologies before we can. We cannot be certain that we will be able to implement new gene-editing technologies on a timely basis or at a cost that is acceptable to us. If we are unable to implement technological advancements consistent with industry standards, our operations and financial condition may be adversely affected.</w:t>
      </w:r>
    </w:p>
    <w:p>
      <w:pPr>
        <w:spacing w:after="0" w:line="199" w:lineRule="exact"/>
        <w:rPr>
          <w:sz w:val="20"/>
          <w:szCs w:val="20"/>
          <w:color w:val="auto"/>
        </w:rPr>
      </w:pPr>
    </w:p>
    <w:p>
      <w:pPr>
        <w:ind w:right="980"/>
        <w:spacing w:after="0" w:line="289" w:lineRule="auto"/>
        <w:rPr>
          <w:sz w:val="20"/>
          <w:szCs w:val="20"/>
          <w:color w:val="auto"/>
        </w:rPr>
      </w:pPr>
      <w:r>
        <w:rPr>
          <w:rFonts w:ascii="Arial" w:cs="Arial" w:eastAsia="Arial" w:hAnsi="Arial"/>
          <w:sz w:val="20"/>
          <w:szCs w:val="20"/>
          <w:b w:val="1"/>
          <w:bCs w:val="1"/>
          <w:i w:val="1"/>
          <w:iCs w:val="1"/>
          <w:color w:val="auto"/>
        </w:rPr>
        <w:t>Our product candidates for which we intend to seek approval as biologic products may face competition sooner than anticipated.</w:t>
      </w:r>
    </w:p>
    <w:p>
      <w:pPr>
        <w:spacing w:after="0" w:line="14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Affordable Care Act, or the ACA, includes a subtitle called the Biologics Price Competition and Innovation Act of 2009, or BPCIA, which created an abbreviated approval pathway for biological products that are biosimilar to or interchangeable with an FDA -licensed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In addition, complexities associated with the larger, and often more complex, structures of biological products such as cell and gene products we are developing, as well as the processes by which</w:t>
      </w:r>
    </w:p>
    <w:p>
      <w:pPr>
        <w:sectPr>
          <w:pgSz w:w="11880" w:h="15480" w:orient="portrait"/>
          <w:cols w:equalWidth="0" w:num="1">
            <w:col w:w="9720"/>
          </w:cols>
          <w:pgMar w:left="1080" w:top="1071"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880" w:h="15480" w:orient="portrait"/>
          <w:cols w:equalWidth="0" w:num="1">
            <w:col w:w="9720"/>
          </w:cols>
          <w:pgMar w:left="1080" w:top="1071" w:right="1080" w:bottom="542" w:gutter="0" w:footer="0" w:header="0"/>
          <w:type w:val="continuous"/>
        </w:sectPr>
      </w:pPr>
    </w:p>
    <w:bookmarkStart w:id="60" w:name="page61"/>
    <w:bookmarkEnd w:id="60"/>
    <w:p>
      <w:pPr>
        <w:ind w:right="520"/>
        <w:spacing w:after="0" w:line="283" w:lineRule="auto"/>
        <w:rPr>
          <w:sz w:val="20"/>
          <w:szCs w:val="20"/>
          <w:color w:val="auto"/>
        </w:rPr>
      </w:pPr>
      <w:r>
        <w:rPr>
          <w:rFonts w:ascii="Arial" w:cs="Arial" w:eastAsia="Arial" w:hAnsi="Arial"/>
          <w:sz w:val="20"/>
          <w:szCs w:val="20"/>
          <w:color w:val="auto"/>
        </w:rPr>
        <w:t>such products are manufactured, pose significant hurdles to implementation of the abbreviated approval pathway that are still being worked out by the FDA.</w:t>
      </w:r>
    </w:p>
    <w:p>
      <w:pPr>
        <w:spacing w:after="0" w:line="158"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This includes FDA’s evolving view of whether switching studies are needed to support a demonstration of interchangeability.</w:t>
      </w:r>
    </w:p>
    <w:p>
      <w:pPr>
        <w:spacing w:after="0" w:line="202" w:lineRule="exact"/>
        <w:rPr>
          <w:sz w:val="20"/>
          <w:szCs w:val="20"/>
          <w:color w:val="auto"/>
        </w:rPr>
      </w:pPr>
    </w:p>
    <w:p>
      <w:pPr>
        <w:jc w:val="both"/>
        <w:ind w:right="220"/>
        <w:spacing w:after="0" w:line="254" w:lineRule="auto"/>
        <w:rPr>
          <w:sz w:val="20"/>
          <w:szCs w:val="20"/>
          <w:color w:val="auto"/>
        </w:rPr>
      </w:pPr>
      <w:r>
        <w:rPr>
          <w:rFonts w:ascii="Arial" w:cs="Arial" w:eastAsia="Arial" w:hAnsi="Arial"/>
          <w:sz w:val="20"/>
          <w:szCs w:val="20"/>
          <w:color w:val="auto"/>
        </w:rPr>
        <w:t>Jurisdictions in addition to the United States have established abbreviated pathways for regulatory approval of biological products that are biosimilar to earlier approved reference products. For example, the European Union has had an established regulatory pathway for biosimilars since 2004. However, biosimilars can only be authorized once the period of data exclusivity on the reference biological medicine has expired.</w:t>
      </w:r>
    </w:p>
    <w:p>
      <w:pPr>
        <w:spacing w:after="0" w:line="187"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The increased likelihood of biosimilar competition has increased the risk of loss of innovators’ market exclusivity. Due to this risk, and uncertainties regarding patent protection, if our product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and we may not generate adequate or sufficient revenues from them or be able to reach or sustain profitability.</w:t>
      </w:r>
    </w:p>
    <w:p>
      <w:pPr>
        <w:spacing w:after="0" w:line="198"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b w:val="1"/>
          <w:bCs w:val="1"/>
          <w:i w:val="1"/>
          <w:iCs w:val="1"/>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175"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All but one of our product candidates are in preclinical development and the risk of failure for all of our product candidates is high. It is impossible to predict when or if any of our discovery or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trial process.</w:t>
      </w:r>
    </w:p>
    <w:p>
      <w:pPr>
        <w:spacing w:after="0" w:line="193"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The results of preclinical studies and early clinical trials or early cohorts of our clinical trials of our product candidates may not be predictive of the results of later-stage clinical trials or later cohorts of our clinical trials. Our initial clinical trials will begin with relatively small cohorts before expanding in size in subsequent cohorts. The initial cohorts of early-stage clinical trials often involve enrollment of a small number of patients and may not be as predictive as trials with larger cohorts. Additionally, if safety issues arise in an early cohort, we may be delayed or prevented from subsequently expanding into larger trial cohorts. We may be unable to establish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w:t>
      </w:r>
    </w:p>
    <w:p>
      <w:pPr>
        <w:spacing w:after="0" w:line="197"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Moreover, clinical data is often susceptible to varying interpretations and analyses, and many companies that have believed their product candidates performed satisfactorily in clinical trials have nonetheless failed to obtain marketing approval of their products. A number of companies in the biopharmaceutical industry have</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880" w:h="15480" w:orient="portrait"/>
          <w:cols w:equalWidth="0" w:num="1">
            <w:col w:w="9720"/>
          </w:cols>
          <w:pgMar w:left="1080" w:top="1067" w:right="1080" w:bottom="542" w:gutter="0" w:footer="0" w:header="0"/>
          <w:type w:val="continuous"/>
        </w:sectPr>
      </w:pPr>
    </w:p>
    <w:bookmarkStart w:id="61" w:name="page62"/>
    <w:bookmarkEnd w:id="61"/>
    <w:p>
      <w:pPr>
        <w:ind w:right="20"/>
        <w:spacing w:after="0" w:line="248" w:lineRule="auto"/>
        <w:rPr>
          <w:sz w:val="20"/>
          <w:szCs w:val="20"/>
          <w:color w:val="auto"/>
        </w:rPr>
      </w:pPr>
      <w:r>
        <w:rPr>
          <w:rFonts w:ascii="Arial" w:cs="Arial" w:eastAsia="Arial" w:hAnsi="Arial"/>
          <w:sz w:val="20"/>
          <w:szCs w:val="20"/>
          <w:color w:val="auto"/>
        </w:rPr>
        <w:t>suffered significant setbacks in advanced clinical trials due to lack of efficacy or unfavorable safety profiles, notwithstanding promising results in earlier trials. There is typically a high rate of failure of product candidates proceeding through clinical trials. Most product candidates that commence clinical trials are never approved as products and there can be no assurance that any of our current clinical trials or future clinical trials, if allowed to proceed, will ultimately be successful or support clinical development of our current or any of our future product candidates.</w:t>
      </w:r>
    </w:p>
    <w:p>
      <w:pPr>
        <w:spacing w:after="0" w:line="194"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We may experience delays in initiating or completing clinical trials. We also may experience numerous unforeseen events during, or as a result of, any of our current clinical trials or future clinical trials that we could conduct that could delay or prevent our ability to receive marketing approval or commercialize our lead product candidates or any future product candidates, including:</w:t>
      </w:r>
    </w:p>
    <w:p>
      <w:pPr>
        <w:spacing w:after="0" w:line="200" w:lineRule="exact"/>
        <w:rPr>
          <w:sz w:val="20"/>
          <w:szCs w:val="20"/>
          <w:color w:val="auto"/>
        </w:rPr>
      </w:pPr>
    </w:p>
    <w:p>
      <w:pPr>
        <w:ind w:left="720" w:hanging="353"/>
        <w:spacing w:after="0" w:line="283" w:lineRule="auto"/>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regulators or institutional review boards, or IRBs, the FDA, or ethics committees may not authorize us or our investigators to commence a clinical trial or conduct a clinical trial at a prospective trial site;</w:t>
      </w:r>
    </w:p>
    <w:p>
      <w:pPr>
        <w:spacing w:after="0" w:line="171" w:lineRule="exact"/>
        <w:rPr>
          <w:rFonts w:ascii="Arial" w:cs="Arial" w:eastAsia="Arial" w:hAnsi="Arial"/>
          <w:sz w:val="20"/>
          <w:szCs w:val="20"/>
          <w:color w:val="auto"/>
        </w:rPr>
      </w:pPr>
    </w:p>
    <w:p>
      <w:pPr>
        <w:ind w:left="720" w:right="600" w:hanging="353"/>
        <w:spacing w:after="0" w:line="261" w:lineRule="auto"/>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we may experience delays in reaching, or fail to reach, agreement on acceptable terms with prospective trial sites and prospective CROs as the terms of which can be subject to extensive negotiation and may vary significantly among different CROs and trial sites;</w:t>
      </w:r>
    </w:p>
    <w:p>
      <w:pPr>
        <w:spacing w:after="0" w:line="192" w:lineRule="exact"/>
        <w:rPr>
          <w:rFonts w:ascii="Arial" w:cs="Arial" w:eastAsia="Arial" w:hAnsi="Arial"/>
          <w:sz w:val="20"/>
          <w:szCs w:val="20"/>
          <w:color w:val="auto"/>
        </w:rPr>
      </w:pPr>
    </w:p>
    <w:p>
      <w:pPr>
        <w:ind w:left="720" w:hanging="353"/>
        <w:spacing w:after="0"/>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clinical trial sites deviating from trial protocol or dropping out of a trial;</w:t>
      </w:r>
    </w:p>
    <w:p>
      <w:pPr>
        <w:spacing w:after="0" w:line="253" w:lineRule="exact"/>
        <w:rPr>
          <w:rFonts w:ascii="Arial" w:cs="Arial" w:eastAsia="Arial" w:hAnsi="Arial"/>
          <w:sz w:val="20"/>
          <w:szCs w:val="20"/>
          <w:color w:val="auto"/>
        </w:rPr>
      </w:pPr>
    </w:p>
    <w:p>
      <w:pPr>
        <w:ind w:left="720" w:right="440" w:hanging="353"/>
        <w:spacing w:after="0" w:line="261" w:lineRule="auto"/>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192" w:lineRule="exact"/>
        <w:rPr>
          <w:rFonts w:ascii="Arial" w:cs="Arial" w:eastAsia="Arial" w:hAnsi="Arial"/>
          <w:sz w:val="20"/>
          <w:szCs w:val="20"/>
          <w:color w:val="auto"/>
        </w:rPr>
      </w:pPr>
    </w:p>
    <w:p>
      <w:pPr>
        <w:ind w:left="720" w:right="180" w:hanging="353"/>
        <w:spacing w:after="0" w:line="254" w:lineRule="auto"/>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spacing w:after="0" w:line="200" w:lineRule="exact"/>
        <w:rPr>
          <w:rFonts w:ascii="Arial" w:cs="Arial" w:eastAsia="Arial" w:hAnsi="Arial"/>
          <w:sz w:val="20"/>
          <w:szCs w:val="20"/>
          <w:color w:val="auto"/>
        </w:rPr>
      </w:pPr>
    </w:p>
    <w:p>
      <w:pPr>
        <w:ind w:left="720" w:right="20" w:hanging="353"/>
        <w:spacing w:after="0" w:line="261" w:lineRule="auto"/>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92" w:lineRule="exact"/>
        <w:rPr>
          <w:rFonts w:ascii="Arial" w:cs="Arial" w:eastAsia="Arial" w:hAnsi="Arial"/>
          <w:sz w:val="20"/>
          <w:szCs w:val="20"/>
          <w:color w:val="auto"/>
        </w:rPr>
      </w:pPr>
    </w:p>
    <w:p>
      <w:pPr>
        <w:ind w:left="720" w:right="220" w:hanging="353"/>
        <w:spacing w:after="0" w:line="254" w:lineRule="auto"/>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200" w:lineRule="exact"/>
        <w:rPr>
          <w:rFonts w:ascii="Arial" w:cs="Arial" w:eastAsia="Arial" w:hAnsi="Arial"/>
          <w:sz w:val="20"/>
          <w:szCs w:val="20"/>
          <w:color w:val="auto"/>
        </w:rPr>
      </w:pPr>
    </w:p>
    <w:p>
      <w:pPr>
        <w:ind w:left="720" w:hanging="353"/>
        <w:spacing w:after="0"/>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cost of clinical trials of any of our product candidates may be greater than we anticipate;</w:t>
      </w:r>
    </w:p>
    <w:p>
      <w:pPr>
        <w:spacing w:after="0" w:line="253" w:lineRule="exact"/>
        <w:rPr>
          <w:rFonts w:ascii="Arial" w:cs="Arial" w:eastAsia="Arial" w:hAnsi="Arial"/>
          <w:sz w:val="20"/>
          <w:szCs w:val="20"/>
          <w:color w:val="auto"/>
        </w:rPr>
      </w:pPr>
    </w:p>
    <w:p>
      <w:pPr>
        <w:ind w:left="720" w:right="480" w:hanging="353"/>
        <w:spacing w:after="0" w:line="283" w:lineRule="auto"/>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quality of our product candidates or other materials necessary to conduct clinical trials of our product candidates may be inadequate to initiate or complete a given clinical trial;</w:t>
      </w:r>
    </w:p>
    <w:p>
      <w:pPr>
        <w:spacing w:after="0" w:line="170" w:lineRule="exact"/>
        <w:rPr>
          <w:rFonts w:ascii="Arial" w:cs="Arial" w:eastAsia="Arial" w:hAnsi="Arial"/>
          <w:sz w:val="20"/>
          <w:szCs w:val="20"/>
          <w:color w:val="auto"/>
        </w:rPr>
      </w:pPr>
    </w:p>
    <w:p>
      <w:pPr>
        <w:ind w:left="720" w:hanging="353"/>
        <w:spacing w:after="0"/>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inability to manufacture sufficient quantities of our product candidates for use in clinical trials;</w:t>
      </w:r>
    </w:p>
    <w:p>
      <w:pPr>
        <w:spacing w:after="0" w:line="253" w:lineRule="exact"/>
        <w:rPr>
          <w:rFonts w:ascii="Arial" w:cs="Arial" w:eastAsia="Arial" w:hAnsi="Arial"/>
          <w:sz w:val="20"/>
          <w:szCs w:val="20"/>
          <w:color w:val="auto"/>
        </w:rPr>
      </w:pPr>
    </w:p>
    <w:p>
      <w:pPr>
        <w:ind w:left="720" w:hanging="353"/>
        <w:spacing w:after="0" w:line="283" w:lineRule="auto"/>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reports from clinical testing of other therapies may raise safety or efficacy concerns about our product candidates;</w:t>
      </w:r>
    </w:p>
    <w:p>
      <w:pPr>
        <w:spacing w:after="0" w:line="171" w:lineRule="exact"/>
        <w:rPr>
          <w:rFonts w:ascii="Arial" w:cs="Arial" w:eastAsia="Arial" w:hAnsi="Arial"/>
          <w:sz w:val="20"/>
          <w:szCs w:val="20"/>
          <w:color w:val="auto"/>
        </w:rPr>
      </w:pPr>
    </w:p>
    <w:p>
      <w:pPr>
        <w:ind w:left="720" w:right="20" w:hanging="353"/>
        <w:spacing w:after="0" w:line="261" w:lineRule="auto"/>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failure to establish an appropriate safety profile for a product candidate based on clinical or preclinical data for such product candidate as well as data emerging from other studies or trials in the same class as our product candidate; and</w:t>
      </w:r>
    </w:p>
    <w:p>
      <w:pPr>
        <w:sectPr>
          <w:pgSz w:w="11880" w:h="15480" w:orient="portrait"/>
          <w:cols w:equalWidth="0" w:num="1">
            <w:col w:w="9680"/>
          </w:cols>
          <w:pgMar w:left="1080" w:top="1067"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62</w:t>
      </w:r>
    </w:p>
    <w:p>
      <w:pPr>
        <w:sectPr>
          <w:pgSz w:w="11880" w:h="15480" w:orient="portrait"/>
          <w:cols w:equalWidth="0" w:num="1">
            <w:col w:w="9680"/>
          </w:cols>
          <w:pgMar w:left="1080" w:top="1067" w:right="1120" w:bottom="542" w:gutter="0" w:footer="0" w:header="0"/>
          <w:type w:val="continuous"/>
        </w:sectPr>
      </w:pPr>
    </w:p>
    <w:bookmarkStart w:id="62" w:name="page63"/>
    <w:bookmarkEnd w:id="62"/>
    <w:p>
      <w:pPr>
        <w:jc w:val="both"/>
        <w:ind w:left="720" w:right="240" w:hanging="353"/>
        <w:spacing w:after="0" w:line="261" w:lineRule="auto"/>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FDA or applicable foreign regulatory agencies may require us to submit additional data such as long-term toxicology studies, or impose other requirements before permitting us to initiate a clinical trial.</w:t>
      </w:r>
    </w:p>
    <w:p>
      <w:pPr>
        <w:spacing w:after="0" w:line="180"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Patient enrollment, a significant factor in the timing of clinical trials, is affected by many factors including the size and nature of the patient population, the number and location of clinical sites we enroll, the proximity of patients to clinical sites, the eligibility and exclusion criteria for the trial, the design of the clinical trial, the inability to obtain and maintain patient consents, the risk that enrolled participants will drop out before completion, competing clinical trials, and clinicians’ patients’ perceptions as to the potential advantages of the product candidate being studied in relation to other available therapies, including any new drugs or therapeutic biologics that may be approved for the indications being investigated by us, and other factors, such as future pandemics, over which we have no control. Furthermore, we are relying and expect to continue to rely on our collaborators, CROs, and clinical trial sites to ensure the proper and timely conduct of our current and future clinical trials, including the patient enrollment process, and we have limited influence over their performance. Additionally, we could encounter delays if treating physicians encounter unresolved ethical issues associated with enrolling patients in our current and future clinical trials of our product candidates in lieu of prescribing existing treatments that have established safety and efficacy profiles.</w:t>
      </w:r>
    </w:p>
    <w:p>
      <w:pPr>
        <w:spacing w:after="0" w:line="203"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We could also encounter delays if a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b w:val="1"/>
          <w:bCs w:val="1"/>
          <w:i w:val="1"/>
          <w:iCs w:val="1"/>
          <w:color w:val="auto"/>
        </w:rPr>
        <w:t>As an organization, we have limited experience designing and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17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design and implementation of clinical trials is a complex process. While the employees who will implement our clinical trials have experience in the field, we, as an organization, have not completed any clinical trials. We have limited experience designing and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w:t>
      </w:r>
    </w:p>
    <w:p>
      <w:pPr>
        <w:sectPr>
          <w:pgSz w:w="11880" w:h="15480" w:orient="portrait"/>
          <w:cols w:equalWidth="0" w:num="1">
            <w:col w:w="9700"/>
          </w:cols>
          <w:pgMar w:left="1080" w:top="1081" w:right="1100" w:bottom="542"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63</w:t>
      </w:r>
    </w:p>
    <w:p>
      <w:pPr>
        <w:sectPr>
          <w:pgSz w:w="11880" w:h="15480" w:orient="portrait"/>
          <w:cols w:equalWidth="0" w:num="1">
            <w:col w:w="9700"/>
          </w:cols>
          <w:pgMar w:left="1080" w:top="1081" w:right="1100" w:bottom="542" w:gutter="0" w:footer="0" w:header="0"/>
          <w:type w:val="continuous"/>
        </w:sectPr>
      </w:pPr>
    </w:p>
    <w:bookmarkStart w:id="63" w:name="page64"/>
    <w:bookmarkEnd w:id="63"/>
    <w:p>
      <w:pPr>
        <w:ind w:right="360"/>
        <w:spacing w:after="0" w:line="254" w:lineRule="auto"/>
        <w:rPr>
          <w:sz w:val="20"/>
          <w:szCs w:val="20"/>
          <w:color w:val="auto"/>
        </w:rPr>
      </w:pPr>
      <w:r>
        <w:rPr>
          <w:rFonts w:ascii="Arial" w:cs="Arial" w:eastAsia="Arial" w:hAnsi="Arial"/>
          <w:sz w:val="20"/>
          <w:szCs w:val="20"/>
          <w:color w:val="auto"/>
        </w:rPr>
        <w:t>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w:t>
      </w:r>
    </w:p>
    <w:p>
      <w:pPr>
        <w:spacing w:after="0" w:line="191" w:lineRule="exact"/>
        <w:rPr>
          <w:sz w:val="20"/>
          <w:szCs w:val="20"/>
          <w:color w:val="auto"/>
        </w:rPr>
      </w:pPr>
    </w:p>
    <w:p>
      <w:pPr>
        <w:ind w:right="220"/>
        <w:spacing w:after="0" w:line="265" w:lineRule="auto"/>
        <w:rPr>
          <w:sz w:val="20"/>
          <w:szCs w:val="20"/>
          <w:color w:val="auto"/>
        </w:rPr>
      </w:pPr>
      <w:r>
        <w:rPr>
          <w:rFonts w:ascii="Arial" w:cs="Arial" w:eastAsia="Arial" w:hAnsi="Arial"/>
          <w:sz w:val="20"/>
          <w:szCs w:val="20"/>
          <w:b w:val="1"/>
          <w:bCs w:val="1"/>
          <w:i w:val="1"/>
          <w:iCs w:val="1"/>
          <w:color w:val="auto"/>
        </w:rPr>
        <w:t>Interim, topline, or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16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is available.</w:t>
      </w:r>
    </w:p>
    <w:p>
      <w:pPr>
        <w:spacing w:after="0" w:line="203"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Preliminary or interim data from clinical trials is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spacing w:after="0" w:line="193"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197" w:lineRule="exact"/>
        <w:rPr>
          <w:sz w:val="20"/>
          <w:szCs w:val="20"/>
          <w:color w:val="auto"/>
        </w:rPr>
      </w:pPr>
    </w:p>
    <w:p>
      <w:pPr>
        <w:jc w:val="both"/>
        <w:ind w:right="400"/>
        <w:spacing w:after="0" w:line="265" w:lineRule="auto"/>
        <w:rPr>
          <w:sz w:val="20"/>
          <w:szCs w:val="20"/>
          <w:color w:val="auto"/>
        </w:rPr>
      </w:pPr>
      <w:r>
        <w:rPr>
          <w:rFonts w:ascii="Arial" w:cs="Arial" w:eastAsia="Arial" w:hAnsi="Arial"/>
          <w:sz w:val="20"/>
          <w:szCs w:val="20"/>
          <w:b w:val="1"/>
          <w:bCs w:val="1"/>
          <w:i w:val="1"/>
          <w:iCs w:val="1"/>
          <w:color w:val="auto"/>
        </w:rPr>
        <w:t>Beyond CNTY-101, we may not be able to file our INDs or CTAs to commence clinical trials on the timelines we expect, and even if we are able to, the FDA or other global health authorities may not permit us to proceed.</w:t>
      </w:r>
    </w:p>
    <w:p>
      <w:pPr>
        <w:spacing w:after="0" w:line="164"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We expect our pipeline to yield multiple additional INDs or CTAs, including INDs or CTAs for CNTY -308,and CNTY-341 product candidates from our iPSC-derived allogeneic cell therapy platforms. We cannot be sure that submission of an IND will result in the FDA allowing testing and clinical trials to begin, or that, once begun, issues will not arise that result in suspension or termination of such clinical trials. The manufacturing of our product candidates remains an emerging and evolving field. Accordingly, we expect chemistry, manufacturing and control related topics, including product specifications, will be a focus of IND reviews, and unfavorable findings may delay or prevent the FDA from allowing us to proceed with clinical trials. Further, FDA guidelines for IND submissions may differ from those in the EU. For example, the cell line used to develop IPSC-308 and IPSC- 341 was manufactured by Catalent under EU standards. Because the FDA guidelines with respect to the manufacture and utilization of donor cells is not the same as in the EU, IND clearance for IPSC-308, IPSC-341 and any other product candidates using cell lines developed under non-FDA standards may be delayed or ultimately not achieved which could impact our development timelines and harm our business, operating results, prospects, or financial condition.</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64</w:t>
      </w:r>
    </w:p>
    <w:p>
      <w:pPr>
        <w:sectPr>
          <w:pgSz w:w="11880" w:h="15480" w:orient="portrait"/>
          <w:cols w:equalWidth="0" w:num="1">
            <w:col w:w="9700"/>
          </w:cols>
          <w:pgMar w:left="1080" w:top="1067" w:right="1100" w:bottom="542" w:gutter="0" w:footer="0" w:header="0"/>
          <w:type w:val="continuous"/>
        </w:sectPr>
      </w:pPr>
    </w:p>
    <w:bookmarkStart w:id="64" w:name="page65"/>
    <w:bookmarkEnd w:id="64"/>
    <w:p>
      <w:pPr>
        <w:ind w:right="60"/>
        <w:spacing w:after="0" w:line="248" w:lineRule="auto"/>
        <w:rPr>
          <w:sz w:val="20"/>
          <w:szCs w:val="20"/>
          <w:color w:val="auto"/>
        </w:rPr>
      </w:pPr>
      <w:r>
        <w:rPr>
          <w:rFonts w:ascii="Arial" w:cs="Arial" w:eastAsia="Arial" w:hAnsi="Arial"/>
          <w:sz w:val="20"/>
          <w:szCs w:val="20"/>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183"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We focus on the development of programmed cellular immunotherapies for patients with cancer and autoimmune diseases, including off-the-shelf NK- and T-cell product candidates derived from clonal master engineered iPSC lines. Because our iPSC-derived allogeneic cell therapy platforms are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Due to these factors, our spending on current and future research and development programs and product candidates and the scientific innovation arising from these expenditures may not yield commercially viable product candidates.</w:t>
      </w:r>
    </w:p>
    <w:p>
      <w:pPr>
        <w:spacing w:after="0" w:line="202" w:lineRule="exact"/>
        <w:rPr>
          <w:sz w:val="20"/>
          <w:szCs w:val="20"/>
          <w:color w:val="auto"/>
        </w:rPr>
      </w:pPr>
    </w:p>
    <w:p>
      <w:pPr>
        <w:ind w:right="120"/>
        <w:spacing w:after="0" w:line="265" w:lineRule="auto"/>
        <w:rPr>
          <w:sz w:val="20"/>
          <w:szCs w:val="20"/>
          <w:color w:val="auto"/>
        </w:rPr>
      </w:pPr>
      <w:r>
        <w:rPr>
          <w:rFonts w:ascii="Arial" w:cs="Arial" w:eastAsia="Arial" w:hAnsi="Arial"/>
          <w:sz w:val="20"/>
          <w:szCs w:val="20"/>
          <w:b w:val="1"/>
          <w:bCs w:val="1"/>
          <w:i w:val="1"/>
          <w:iCs w:val="1"/>
          <w:color w:val="auto"/>
        </w:rPr>
        <w:t>We intend to study our product candidates in patient populations with significant comorbidities that may result in deaths or serious adverse events or unacceptable side effects and require us to abandon or limit our clinical development activities.</w:t>
      </w:r>
    </w:p>
    <w:p>
      <w:pPr>
        <w:spacing w:after="0" w:line="164"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Patients we intend to treat with our product candidates may also receive chemotherapy agents, radiation, chronic immunosuppressants, biologics/monoclonal antibodies, and/or other cell therapy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if approved. Any inability to advance our existing product candidates or any other product candidate through clinical development would have a material adverse effect on our business.</w:t>
      </w:r>
    </w:p>
    <w:p>
      <w:pPr>
        <w:spacing w:after="0" w:line="202" w:lineRule="exact"/>
        <w:rPr>
          <w:sz w:val="20"/>
          <w:szCs w:val="20"/>
          <w:color w:val="auto"/>
        </w:rPr>
      </w:pPr>
    </w:p>
    <w:p>
      <w:pPr>
        <w:ind w:right="100"/>
        <w:spacing w:after="0" w:line="289" w:lineRule="auto"/>
        <w:rPr>
          <w:sz w:val="20"/>
          <w:szCs w:val="20"/>
          <w:color w:val="auto"/>
        </w:rPr>
      </w:pPr>
      <w:r>
        <w:rPr>
          <w:rFonts w:ascii="Arial" w:cs="Arial" w:eastAsia="Arial" w:hAnsi="Arial"/>
          <w:sz w:val="20"/>
          <w:szCs w:val="20"/>
          <w:b w:val="1"/>
          <w:bCs w:val="1"/>
          <w:i w:val="1"/>
          <w:iCs w:val="1"/>
          <w:color w:val="auto"/>
        </w:rPr>
        <w:t>We may experience difficulties identifying and enrolling patients in our clinical trials. Difficulty in enrolling patients could delay or prevent clinical trials of CNTY-101 or our other product candidates.</w:t>
      </w:r>
    </w:p>
    <w:p>
      <w:pPr>
        <w:spacing w:after="0" w:line="14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Identifying and qualifying patients to participate in clinical trials of CNTY-101 is critical to our success. The timing of our clinical trials depends in part on the speed at which we can recruit patients to participate in testing CNTY-101, and we may experience delays in our clinical trials if we encounter difficulties in enrollment. The eligibility criteria of our clinical trials may limit the pool of available study participants as it will require patients to have specific characteristics that we can measure to ensure their disease is either severe enough or not too advanced to include them in a clinical trial. The process of finding and diagnosing patients may prove costly.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our trials for any reason, the timeline for recruiting patients, conducting trials, and obtaining regulatory approval of potential products may be delayed, the commercial prospects of CNTY- 101 or our other product candidates will be harmed, and our ability to generate product revenue from any of these product candidates could be delayed or prevented. Furthermore, our inability to enroll a sufficient number of</w:t>
      </w:r>
    </w:p>
    <w:p>
      <w:pPr>
        <w:sectPr>
          <w:pgSz w:w="11880" w:h="15480" w:orient="portrait"/>
          <w:cols w:equalWidth="0" w:num="1">
            <w:col w:w="9620"/>
          </w:cols>
          <w:pgMar w:left="1080" w:top="1071" w:right="1180" w:bottom="542"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65</w:t>
      </w:r>
    </w:p>
    <w:p>
      <w:pPr>
        <w:sectPr>
          <w:pgSz w:w="11880" w:h="15480" w:orient="portrait"/>
          <w:cols w:equalWidth="0" w:num="1">
            <w:col w:w="9620"/>
          </w:cols>
          <w:pgMar w:left="1080" w:top="1071" w:right="1180" w:bottom="542" w:gutter="0" w:footer="0" w:header="0"/>
          <w:type w:val="continuous"/>
        </w:sectPr>
      </w:pPr>
    </w:p>
    <w:bookmarkStart w:id="65" w:name="page66"/>
    <w:bookmarkEnd w:id="65"/>
    <w:p>
      <w:pPr>
        <w:ind w:right="20"/>
        <w:spacing w:after="0" w:line="264" w:lineRule="auto"/>
        <w:rPr>
          <w:sz w:val="20"/>
          <w:szCs w:val="20"/>
          <w:color w:val="auto"/>
        </w:rPr>
      </w:pPr>
      <w:r>
        <w:rPr>
          <w:rFonts w:ascii="Arial" w:cs="Arial" w:eastAsia="Arial" w:hAnsi="Arial"/>
          <w:sz w:val="19"/>
          <w:szCs w:val="19"/>
          <w:color w:val="auto"/>
        </w:rPr>
        <w:t>patients for our clinical trials could result in significant delays or may require us to abandon one or more clinical trials altogether. Enrollment delays in our clinical trials may result in increased development costs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CNTY-101 or our other product candidates. Any of these occurrences may harm our business, financial condition, and prospects significantly.</w:t>
      </w:r>
    </w:p>
    <w:p>
      <w:pPr>
        <w:spacing w:after="0" w:line="182" w:lineRule="exact"/>
        <w:rPr>
          <w:sz w:val="20"/>
          <w:szCs w:val="20"/>
          <w:color w:val="auto"/>
        </w:rPr>
      </w:pPr>
    </w:p>
    <w:p>
      <w:pPr>
        <w:ind w:right="160"/>
        <w:spacing w:after="0" w:line="265" w:lineRule="auto"/>
        <w:rPr>
          <w:sz w:val="20"/>
          <w:szCs w:val="20"/>
          <w:color w:val="auto"/>
        </w:rPr>
      </w:pPr>
      <w:r>
        <w:rPr>
          <w:rFonts w:ascii="Arial" w:cs="Arial" w:eastAsia="Arial" w:hAnsi="Arial"/>
          <w:sz w:val="20"/>
          <w:szCs w:val="20"/>
          <w:b w:val="1"/>
          <w:bCs w:val="1"/>
          <w:i w:val="1"/>
          <w:iCs w:val="1"/>
          <w:color w:val="auto"/>
        </w:rPr>
        <w:t>CNTY-101 and our other product candidates may cause adverse events or undesirable side effects that could delay or prevent its regulatory approval, limit the commercial profile of an approved label, or result in significant negative consequences following marketing approval, if any.</w:t>
      </w:r>
    </w:p>
    <w:p>
      <w:pPr>
        <w:spacing w:after="0" w:line="164" w:lineRule="exact"/>
        <w:rPr>
          <w:sz w:val="20"/>
          <w:szCs w:val="20"/>
          <w:color w:val="auto"/>
        </w:rPr>
      </w:pPr>
    </w:p>
    <w:p>
      <w:pPr>
        <w:ind w:right="200"/>
        <w:spacing w:after="0" w:line="254" w:lineRule="auto"/>
        <w:rPr>
          <w:sz w:val="20"/>
          <w:szCs w:val="20"/>
          <w:color w:val="auto"/>
        </w:rPr>
      </w:pPr>
      <w:r>
        <w:rPr>
          <w:rFonts w:ascii="Arial" w:cs="Arial" w:eastAsia="Arial" w:hAnsi="Arial"/>
          <w:sz w:val="20"/>
          <w:szCs w:val="20"/>
          <w:color w:val="auto"/>
        </w:rPr>
        <w:t>Cell therapy is still a relatively new approach to disease treatment and adverse side effects could develop. There also is the potential risk of delayed adverse events following exposure to cell therapy products due to persistent biologic activity of the genetic material or other components of products used to carry the genetic material.</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We have been collecting data about CNTY-101 in preclinical studies,our Phase 1 ELiPSE-1 clinical trial, and Phase 1 CALiPSO-1 clinical trial. While, to date, CNTY- 101 has been generally well tolerated, the information regarding the side-effect profile of CNTY-101 and other future products in humans is limited. Accordingly, we may experience unexpected side effects and/or higher levels of known side effects in clinical trials, including adverse events known in cell therapies. These include the potential for, among others, cytokine release syndrome, or CRS, and neurotoxicity, or immune effector cell-associated neurotoxicity syndrome. B-cell directed therapies may also demonstrate infusion reactions/hypersensitivity, serious infections, prolonged cytopenias, hypogammaglobulinemia/B-cell aplasia, and secondary malignancies. Some of these events have been noted in our clinical trials, but have not been DLTs or resulted in pauses to enrollment.</w:t>
      </w:r>
    </w:p>
    <w:p>
      <w:pPr>
        <w:spacing w:after="0" w:line="18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Any adverse events or undesirable side effects caused by, or other unexpected properties of, CNTY-101 or our other product candidates could cause us, any future collaborators, an IRB, or ethics committee or regulatory authorities to interrupt, delay, or halt clinical trials of our product candidates and could result in a more restrictive label or the delay or denial of regulatory approval by the FDA or other regulatory authorities. It is possible that as we progress CNTY-101 or our other product candidates through preclinical and clinical development, or as the use of CNTY-101 or our other product candidates become more widespread if it receives regulatory approval, illnesses, injuries, discomforts, and other adverse events that were not observed in preclinical studies or clinical trials, as well as conditions that did not occur or went undetected, will be reported by patients. If such side effects become known later in development or after approval, such findings may harm our business, financial condition, and prospects significantly. Further, if a serious safety issue is identified in connection with the use of CNTY-101 or our other product candidates commercially or in third-party clinical trials elsewhere, such issues may adversely affect the development potential of CNTY-101 or our other product candidates or result in regulatory authorities restricting our ability to develop or commercialize CNTY-101 or our other product candidates.</w:t>
      </w:r>
    </w:p>
    <w:p>
      <w:pPr>
        <w:spacing w:after="0" w:line="200" w:lineRule="exact"/>
        <w:rPr>
          <w:sz w:val="20"/>
          <w:szCs w:val="20"/>
          <w:color w:val="auto"/>
        </w:rPr>
      </w:pPr>
    </w:p>
    <w:p>
      <w:pPr>
        <w:ind w:right="300"/>
        <w:spacing w:after="0" w:line="262" w:lineRule="auto"/>
        <w:rPr>
          <w:sz w:val="20"/>
          <w:szCs w:val="20"/>
          <w:color w:val="auto"/>
        </w:rPr>
      </w:pPr>
      <w:r>
        <w:rPr>
          <w:rFonts w:ascii="Arial" w:cs="Arial" w:eastAsia="Arial" w:hAnsi="Arial"/>
          <w:sz w:val="20"/>
          <w:szCs w:val="20"/>
          <w:color w:val="auto"/>
        </w:rPr>
        <w:t>Further, if CNTY-101 or any of our other product candidates were to receive regulatory approval and we or others identify undesirable side effects caused by the product (or any other product) after the approval, a number of potentially significant negative consequences could result, including:</w:t>
      </w:r>
    </w:p>
    <w:p>
      <w:pPr>
        <w:spacing w:after="0" w:line="190" w:lineRule="exact"/>
        <w:rPr>
          <w:sz w:val="20"/>
          <w:szCs w:val="20"/>
          <w:color w:val="auto"/>
        </w:rPr>
      </w:pPr>
    </w:p>
    <w:p>
      <w:pPr>
        <w:ind w:left="720" w:right="40" w:hanging="353"/>
        <w:spacing w:after="0" w:line="283"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regulatory authorities may request that we recall or withdraw the product from the market or may limit the approval of the product through labeling or other means;</w:t>
      </w:r>
    </w:p>
    <w:p>
      <w:pPr>
        <w:spacing w:after="0" w:line="171" w:lineRule="exact"/>
        <w:rPr>
          <w:rFonts w:ascii="Arial" w:cs="Arial" w:eastAsia="Arial" w:hAnsi="Arial"/>
          <w:sz w:val="20"/>
          <w:szCs w:val="20"/>
          <w:color w:val="auto"/>
        </w:rPr>
      </w:pPr>
    </w:p>
    <w:p>
      <w:pPr>
        <w:ind w:left="720" w:right="140" w:hanging="353"/>
        <w:spacing w:after="0" w:line="283"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regulatory authorities may require the addition of labeling statements, such as a “black box” warning or a contraindication or a precaution;</w:t>
      </w:r>
    </w:p>
    <w:p>
      <w:pPr>
        <w:spacing w:after="0" w:line="170" w:lineRule="exact"/>
        <w:rPr>
          <w:rFonts w:ascii="Arial" w:cs="Arial" w:eastAsia="Arial" w:hAnsi="Arial"/>
          <w:sz w:val="20"/>
          <w:szCs w:val="20"/>
          <w:color w:val="auto"/>
        </w:rPr>
      </w:pPr>
    </w:p>
    <w:p>
      <w:pPr>
        <w:ind w:left="720" w:right="140" w:hanging="353"/>
        <w:spacing w:after="0" w:line="283"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we may be required to change the way the product is distributed or administered, conduct additional clinical trials, or change the labeling of the product;</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66</w:t>
      </w:r>
    </w:p>
    <w:p>
      <w:pPr>
        <w:sectPr>
          <w:pgSz w:w="11880" w:h="15480" w:orient="portrait"/>
          <w:cols w:equalWidth="0" w:num="1">
            <w:col w:w="9700"/>
          </w:cols>
          <w:pgMar w:left="1080" w:top="1067" w:right="1100" w:bottom="542" w:gutter="0" w:footer="0" w:header="0"/>
          <w:type w:val="continuous"/>
        </w:sectPr>
      </w:pPr>
    </w:p>
    <w:bookmarkStart w:id="66" w:name="page67"/>
    <w:bookmarkEnd w:id="66"/>
    <w:p>
      <w:pPr>
        <w:ind w:left="720" w:hanging="353"/>
        <w:spacing w:after="0"/>
        <w:tabs>
          <w:tab w:leader="none" w:pos="7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we may decide to recall or remove the product from the marketplace;</w:t>
      </w:r>
    </w:p>
    <w:p>
      <w:pPr>
        <w:spacing w:after="0" w:line="253" w:lineRule="exact"/>
        <w:rPr>
          <w:rFonts w:ascii="Arial" w:cs="Arial" w:eastAsia="Arial" w:hAnsi="Arial"/>
          <w:sz w:val="20"/>
          <w:szCs w:val="20"/>
          <w:color w:val="auto"/>
        </w:rPr>
      </w:pPr>
    </w:p>
    <w:p>
      <w:pPr>
        <w:ind w:left="720" w:right="180" w:hanging="353"/>
        <w:spacing w:after="0" w:line="283" w:lineRule="auto"/>
        <w:tabs>
          <w:tab w:leader="none" w:pos="7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we could be sued and/or held liable for injury caused to individuals exposed to or taking our product candidates;</w:t>
      </w:r>
    </w:p>
    <w:p>
      <w:pPr>
        <w:spacing w:after="0" w:line="170" w:lineRule="exact"/>
        <w:rPr>
          <w:rFonts w:ascii="Arial" w:cs="Arial" w:eastAsia="Arial" w:hAnsi="Arial"/>
          <w:sz w:val="20"/>
          <w:szCs w:val="20"/>
          <w:color w:val="auto"/>
        </w:rPr>
      </w:pPr>
    </w:p>
    <w:p>
      <w:pPr>
        <w:ind w:left="720" w:hanging="353"/>
        <w:spacing w:after="0"/>
        <w:tabs>
          <w:tab w:leader="none" w:pos="7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damage to the public perception of the safety of CNTY-101 or our other product candidates; and</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reputation may suffer.</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if approved, and generate revenues, all of which would materially adversely affect our business, financial condition, and results of operations.</w:t>
      </w:r>
    </w:p>
    <w:p>
      <w:pPr>
        <w:spacing w:after="0" w:line="192"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In addition, although CNTY-101 and our future product candidates may differ in certain ways from other cancer immunotherapies and autoimmune diseases, including CD19-directed autologous CAR-T cell immunotherapies, serious adverse events, deaths or other unexpected safety issues in other companies’ clinical trials or that are discovered from post-marketing data sources involving cancer immunotherapies, more generally, even if unrelated to our product candidates, could negatively impact our business. For example, in November 2023, the FDA announced that it would be conducting an investigation into reports of</w:t>
      </w:r>
    </w:p>
    <w:p>
      <w:pPr>
        <w:spacing w:after="0" w:line="3" w:lineRule="exact"/>
        <w:rPr>
          <w:sz w:val="20"/>
          <w:szCs w:val="20"/>
          <w:color w:val="auto"/>
        </w:rPr>
      </w:pPr>
    </w:p>
    <w:p>
      <w:pPr>
        <w:ind w:right="160" w:firstLine="7"/>
        <w:spacing w:after="0" w:line="241" w:lineRule="auto"/>
        <w:tabs>
          <w:tab w:leader="none" w:pos="178" w:val="left"/>
        </w:tabs>
        <w:numPr>
          <w:ilvl w:val="0"/>
          <w:numId w:val="37"/>
        </w:numPr>
        <w:rPr>
          <w:rFonts w:ascii="Arial" w:cs="Arial" w:eastAsia="Arial" w:hAnsi="Arial"/>
          <w:sz w:val="20"/>
          <w:szCs w:val="20"/>
          <w:color w:val="auto"/>
        </w:rPr>
      </w:pPr>
      <w:r>
        <w:rPr>
          <w:rFonts w:ascii="Arial" w:cs="Arial" w:eastAsia="Arial" w:hAnsi="Arial"/>
          <w:sz w:val="20"/>
          <w:szCs w:val="20"/>
          <w:color w:val="auto"/>
        </w:rPr>
        <w:t>cell malignancies following BCMA-directed or CD19-directed autologous CAR-T cell immunotherapies following reports of T cell lymphoma in patients receiving these therapies. In January 2024, the FDA determined that new safety information related to T cell malignancies should be included in the labeling with boxed warning language on these malignancies for all currently approved BCMA- and CD-19-directed genetically modified autologous T cell immunotherapies. While CNTY-101 is designed to utilize a different mechanism of action, FDA’s ongoing post-market monitoring of CAR-T therapies could result in increased government regulation, unfavorable public perception and publicity, potential impacts on enrollment in our clinical trials, potential regulatory delays in the testing or approval of our product candidates, stricter labeling requirements for those product candidates that may receive approval, and a decrease in demand for any such product candidates.</w:t>
      </w:r>
    </w:p>
    <w:p>
      <w:pPr>
        <w:spacing w:after="0" w:line="199"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b w:val="1"/>
          <w:bCs w:val="1"/>
          <w:i w:val="1"/>
          <w:iCs w:val="1"/>
          <w:color w:val="auto"/>
        </w:rPr>
        <w:t>Public opinion and scrutiny of cell-based immuno-oncology therapies for treating cancer or immune-related disorders, or negative clinical trial results from our cell-based therapy competitors, may impact public perception of our company and product candidates, or impair our ability to conduct our business.</w:t>
      </w:r>
    </w:p>
    <w:p>
      <w:pPr>
        <w:spacing w:after="0" w:line="175"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Our iPSC-derived allogeneic cell therapy platforms utilize a relatively novel technology involving the genetic modification of iPSCs and utilization of those modified cells in other individuals, and no iNK cell-based immunotherapy has been approved to date. Public perception may be influenced by claims, such as claims that cell- based immunotherapy is unsafe, unethical, or immoral and, consequently, our approach may not gain the acceptance of the public or the medical community. Negative public reaction to cell-based immunotherapy in general, or negative clinical trial results from our cell-based therapy competitors, could result in greater government regulation and stricter labeling requirements of cell -based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w:t>
      </w:r>
    </w:p>
    <w:p>
      <w:pPr>
        <w:sectPr>
          <w:pgSz w:w="11880" w:h="15480" w:orient="portrait"/>
          <w:cols w:equalWidth="0" w:num="1">
            <w:col w:w="9700"/>
          </w:cols>
          <w:pgMar w:left="1080" w:top="1081"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67</w:t>
      </w:r>
    </w:p>
    <w:p>
      <w:pPr>
        <w:sectPr>
          <w:pgSz w:w="11880" w:h="15480" w:orient="portrait"/>
          <w:cols w:equalWidth="0" w:num="1">
            <w:col w:w="9700"/>
          </w:cols>
          <w:pgMar w:left="1080" w:top="1081" w:right="1100" w:bottom="542" w:gutter="0" w:footer="0" w:header="0"/>
          <w:type w:val="continuous"/>
        </w:sectPr>
      </w:pPr>
    </w:p>
    <w:bookmarkStart w:id="67" w:name="page68"/>
    <w:bookmarkEnd w:id="67"/>
    <w:p>
      <w:pPr>
        <w:ind w:right="680"/>
        <w:spacing w:after="0" w:line="283" w:lineRule="auto"/>
        <w:rPr>
          <w:sz w:val="20"/>
          <w:szCs w:val="20"/>
          <w:color w:val="auto"/>
        </w:rPr>
      </w:pPr>
      <w:r>
        <w:rPr>
          <w:rFonts w:ascii="Arial" w:cs="Arial" w:eastAsia="Arial" w:hAnsi="Arial"/>
          <w:sz w:val="20"/>
          <w:szCs w:val="20"/>
          <w:color w:val="auto"/>
        </w:rPr>
        <w:t>business or financial condition and may delay or impair the development and commercialization of our product candidates or demand for any products we may develop.</w:t>
      </w:r>
    </w:p>
    <w:p>
      <w:pPr>
        <w:spacing w:after="0" w:line="162" w:lineRule="exact"/>
        <w:rPr>
          <w:sz w:val="20"/>
          <w:szCs w:val="20"/>
          <w:color w:val="auto"/>
        </w:rPr>
      </w:pPr>
    </w:p>
    <w:p>
      <w:pPr>
        <w:ind w:right="920"/>
        <w:spacing w:after="0" w:line="289" w:lineRule="auto"/>
        <w:rPr>
          <w:sz w:val="20"/>
          <w:szCs w:val="20"/>
          <w:color w:val="auto"/>
        </w:rPr>
      </w:pPr>
      <w:r>
        <w:rPr>
          <w:rFonts w:ascii="Arial" w:cs="Arial" w:eastAsia="Arial" w:hAnsi="Arial"/>
          <w:sz w:val="20"/>
          <w:szCs w:val="20"/>
          <w:b w:val="1"/>
          <w:bCs w:val="1"/>
          <w:i w:val="1"/>
          <w:iCs w:val="1"/>
          <w:color w:val="auto"/>
        </w:rPr>
        <w:t>Our research and development activities could be affected or delayed as a result of possible restrictions on animal testing.</w:t>
      </w:r>
    </w:p>
    <w:p>
      <w:pPr>
        <w:spacing w:after="0" w:line="142"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lobbying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20"/>
          <w:szCs w:val="20"/>
          <w:b w:val="1"/>
          <w:bCs w:val="1"/>
          <w:i w:val="1"/>
          <w:iCs w:val="1"/>
          <w:color w:val="auto"/>
        </w:rPr>
        <w:t>If we do not achieve our projected development goals in the time frames we announce and expect, the commercialization of our product candidates, if approved, may be delayed.</w:t>
      </w:r>
    </w:p>
    <w:p>
      <w:pPr>
        <w:spacing w:after="0" w:line="142"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From time to time, we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and BLA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clinical trials that we conduct that could delay or prevent our ability to receive marketing approval or commercialize our product candidates.</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20"/>
          <w:szCs w:val="20"/>
          <w:b w:val="1"/>
          <w:bCs w:val="1"/>
          <w:i w:val="1"/>
          <w:iCs w:val="1"/>
          <w:color w:val="auto"/>
        </w:rPr>
        <w:t>Changes in regulatory requirements, guidance from the FDA and other regulatory authorities, or unanticipated events during our clinical trials of CNTY-101 or our other product candidates may result in changes to preclinical studies or clinical trials or additional preclinical or clinical trial requirements, which could result in increased costs to us and could delay our development timeline.</w:t>
      </w:r>
    </w:p>
    <w:p>
      <w:pPr>
        <w:spacing w:after="0" w:line="175"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Regulatory requirements governing biologic drug products, including cell therapy products, are still evolving and it is difficult to determine how long it will take or how much it will cost to obtain regulatory approvals for CNTY-101 or our other product candidates. Changes in regulatory requirements, FDA guidance or guidance from other regulatory agencies, or unanticipated events during our preclinical studies or clinical trials may force us to terminate or adjust our development program.</w:t>
      </w:r>
    </w:p>
    <w:p>
      <w:pPr>
        <w:spacing w:after="0" w:line="192"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In addition, the clinical trial requirements of the FDA and foreign regulatory authorities and the criteria these regulators use to determine the safety and efficacy of a product candidate vary substantially according to the type, complexity, novelty, intended use, and market of such product candidates. The regulatory approval process for novel product candidates such as ours can be more expensive and take longer than for other, better known or more extensively studied product candidates. The FDA, or the applicable regulatory authorities, may impose additional preclinical or clinical trial requirements. Amendments to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preclinical or clinical trials, the commercial prospects for CNTY-101 or our other product candidates may be harmed and our ability to generate product revenue will be delayed, and it would materially adversely affect our business, financial condition, and results of operations.</w:t>
      </w:r>
    </w:p>
    <w:p>
      <w:pPr>
        <w:spacing w:after="0" w:line="195"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In order to market any product outside of the United States, we must comply with numerous and varying regulatory requirements of other countries regarding biologic development and commercialization. The approval process varies from country to country and can involve additional product testing and additional administrative review periods. The time required to obtain approval in other countries might differ from and be</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68</w:t>
      </w:r>
    </w:p>
    <w:p>
      <w:pPr>
        <w:sectPr>
          <w:pgSz w:w="11880" w:h="15480" w:orient="portrait"/>
          <w:cols w:equalWidth="0" w:num="1">
            <w:col w:w="9700"/>
          </w:cols>
          <w:pgMar w:left="1080" w:top="1067" w:right="1100" w:bottom="542" w:gutter="0" w:footer="0" w:header="0"/>
          <w:type w:val="continuous"/>
        </w:sectPr>
      </w:pPr>
    </w:p>
    <w:bookmarkStart w:id="68" w:name="page69"/>
    <w:bookmarkEnd w:id="68"/>
    <w:p>
      <w:pPr>
        <w:ind w:right="480"/>
        <w:spacing w:after="0" w:line="262" w:lineRule="auto"/>
        <w:rPr>
          <w:sz w:val="20"/>
          <w:szCs w:val="20"/>
          <w:color w:val="auto"/>
        </w:rPr>
      </w:pPr>
      <w:r>
        <w:rPr>
          <w:rFonts w:ascii="Arial" w:cs="Arial" w:eastAsia="Arial" w:hAnsi="Arial"/>
          <w:sz w:val="20"/>
          <w:szCs w:val="20"/>
          <w:color w:val="auto"/>
        </w:rPr>
        <w:t>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Currently, federal agencies in the U.S. are operating under a continuing resolution that is set to expire on September 30, 2025. Without appropriation of additional funding to federal agencies, our business operations related to our product development activities for the U.S. market could be impacted. 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w:t>
      </w:r>
    </w:p>
    <w:p>
      <w:pPr>
        <w:spacing w:after="0" w:line="195"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If a prolonged government shutdown occurs, it could significantly impact the ability of the FDA or other regulatory authorities to timely review and process our regulatory submissions, which could have a material adverse effect on our business.</w:t>
      </w:r>
    </w:p>
    <w:p>
      <w:pPr>
        <w:spacing w:after="0" w:line="184" w:lineRule="exact"/>
        <w:rPr>
          <w:sz w:val="20"/>
          <w:szCs w:val="20"/>
          <w:color w:val="auto"/>
        </w:rPr>
      </w:pPr>
    </w:p>
    <w:p>
      <w:pPr>
        <w:ind w:right="660"/>
        <w:spacing w:after="0" w:line="289" w:lineRule="auto"/>
        <w:rPr>
          <w:sz w:val="20"/>
          <w:szCs w:val="20"/>
          <w:color w:val="auto"/>
        </w:rPr>
      </w:pPr>
      <w:r>
        <w:rPr>
          <w:rFonts w:ascii="Arial" w:cs="Arial" w:eastAsia="Arial" w:hAnsi="Arial"/>
          <w:sz w:val="20"/>
          <w:szCs w:val="20"/>
          <w:b w:val="1"/>
          <w:bCs w:val="1"/>
          <w:i w:val="1"/>
          <w:iCs w:val="1"/>
          <w:color w:val="auto"/>
        </w:rPr>
        <w:t>We rely, and expect to continue to rely, on third parties to conduct, supervise, and monitor our preclinical studies and clinical trials for our product candidates.</w:t>
      </w:r>
    </w:p>
    <w:p>
      <w:pPr>
        <w:spacing w:after="0" w:line="142"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We rely on third-party CROs, study sites, and others to conduct, supervise, and monitor our preclinical studies and clinical trials for our product candidates. We expect to continue to rely on third parties, such as CROs, clinical data management organizations, medical institutions, and clinical investigators, to conduct our preclinical studies and clinical trials of our product candidates. Although we have agreements with these third parties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preclinical studies and clinical trials required to support future approval of CNTY-101 and our other product candidates, or we may not obtain marketing approval for, or commercialize, CNTY-101 and our other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and prospects may be materially harmed.</w:t>
      </w:r>
    </w:p>
    <w:p>
      <w:pPr>
        <w:spacing w:after="0" w:line="204"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preclinical studies and clinical trials is conducted in accordance with the general investigational plan and protocols for such trial. We must also ensure that our preclinical studies and clinical trials are conducted in accordance with GLP regulations, as appropriate. Moreover, the FDA and comparable foreign regulatory authorities require us to comply with GCPs for conducting, recording, and reporting the results of clinical trials to ensure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w:t>
      </w:r>
    </w:p>
    <w:p>
      <w:pPr>
        <w:sectPr>
          <w:pgSz w:w="11880" w:h="15480" w:orient="portrait"/>
          <w:cols w:equalWidth="0" w:num="1">
            <w:col w:w="9660"/>
          </w:cols>
          <w:pgMar w:left="1080" w:top="1067" w:right="1140" w:bottom="542"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69</w:t>
      </w:r>
    </w:p>
    <w:p>
      <w:pPr>
        <w:sectPr>
          <w:pgSz w:w="11880" w:h="15480" w:orient="portrait"/>
          <w:cols w:equalWidth="0" w:num="1">
            <w:col w:w="9660"/>
          </w:cols>
          <w:pgMar w:left="1080" w:top="1067" w:right="1140" w:bottom="542" w:gutter="0" w:footer="0" w:header="0"/>
          <w:type w:val="continuous"/>
        </w:sectPr>
      </w:pPr>
    </w:p>
    <w:bookmarkStart w:id="69" w:name="page70"/>
    <w:bookmarkEnd w:id="69"/>
    <w:p>
      <w:pPr>
        <w:ind w:right="120"/>
        <w:spacing w:after="0" w:line="254" w:lineRule="auto"/>
        <w:rPr>
          <w:sz w:val="20"/>
          <w:szCs w:val="20"/>
          <w:color w:val="auto"/>
        </w:rPr>
      </w:pPr>
      <w:r>
        <w:rPr>
          <w:rFonts w:ascii="Arial" w:cs="Arial" w:eastAsia="Arial" w:hAnsi="Arial"/>
          <w:sz w:val="20"/>
          <w:szCs w:val="20"/>
          <w:color w:val="auto"/>
        </w:rPr>
        <w:t>to comply with applicable GCPs or other regulatory requirements, we or they may be subject to enforcement or other legal actions, the data generated in our preclinical studies and clinical trials may be deemed unreliable and the FDA, or comparable foreign regulatory authorities may require us to perform additional studies.</w:t>
      </w:r>
    </w:p>
    <w:p>
      <w:pPr>
        <w:spacing w:after="0" w:line="187" w:lineRule="exact"/>
        <w:rPr>
          <w:sz w:val="20"/>
          <w:szCs w:val="20"/>
          <w:color w:val="auto"/>
        </w:rPr>
      </w:pPr>
    </w:p>
    <w:p>
      <w:pPr>
        <w:ind w:right="520"/>
        <w:spacing w:after="0" w:line="254" w:lineRule="auto"/>
        <w:rPr>
          <w:sz w:val="20"/>
          <w:szCs w:val="20"/>
          <w:color w:val="auto"/>
        </w:rPr>
      </w:pPr>
      <w:r>
        <w:rPr>
          <w:rFonts w:ascii="Arial" w:cs="Arial" w:eastAsia="Arial" w:hAnsi="Arial"/>
          <w:sz w:val="20"/>
          <w:szCs w:val="20"/>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187"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We cannot assure you that upon inspection by a given regulatory authority, such regulatory authority will determine that any of our clinical trials will comply with the applicable regulatory requirements. In addition, our clinical trials must be conducted with product candidates that were produced under cGMP regulations.</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www.clinicaltrials.gov, within specified timeframes. Failure to do so can result in enforcement actions and adverse publicity.</w:t>
      </w:r>
    </w:p>
    <w:p>
      <w:pPr>
        <w:spacing w:after="0" w:line="186"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developmental and preclinical programs. If these third parties do not successfully carry out their contractual duties, meet expected deadlines, or conduct our preclinical studies or clinical trials in accordance with regulatory requirements or our stated protocols, if these parties are adversely impacted by macroeconomic or other factors limiting or materially affecting their ability to carry out their contractual duties, if they need to be replaced or if the quality or accuracy of the data they obtain is compromised due to the failure to adhere to our protocols, regulatory requirements or for other reasons, our preclinical studies and clinical trials may be repeated, extended, delayed, or terminated; we may not be able to obtain, or may be delayed in obtaining, marketing approvals for CNTY-101 and our other product candidates; we may not be able to, or may be delayed in our efforts to, successfully commercialize CNTY-101 or our other product candidates; or we or they may be subject to regulatory enforcement actions. As a result, our results of operations and the commercial prospects for CNTY-101 and our other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and prospects may be materially harmed.</w:t>
      </w:r>
    </w:p>
    <w:p>
      <w:pPr>
        <w:spacing w:after="0" w:line="207"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spacing w:after="0" w:line="196" w:lineRule="exact"/>
        <w:rPr>
          <w:sz w:val="20"/>
          <w:szCs w:val="20"/>
          <w:color w:val="auto"/>
        </w:rPr>
      </w:pPr>
    </w:p>
    <w:p>
      <w:pPr>
        <w:jc w:val="both"/>
        <w:ind w:right="140"/>
        <w:spacing w:after="0" w:line="265" w:lineRule="auto"/>
        <w:rPr>
          <w:sz w:val="20"/>
          <w:szCs w:val="20"/>
          <w:color w:val="auto"/>
        </w:rPr>
      </w:pPr>
      <w:r>
        <w:rPr>
          <w:rFonts w:ascii="Arial" w:cs="Arial" w:eastAsia="Arial" w:hAnsi="Arial"/>
          <w:sz w:val="20"/>
          <w:szCs w:val="20"/>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64"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Because we have limited financial and managerial resources, we focus on research programs, therapeutic platforms, and product candidates that we identify for specific indications. As a result, we may forego or delay our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w:t>
      </w:r>
    </w:p>
    <w:p>
      <w:pPr>
        <w:sectPr>
          <w:pgSz w:w="11880" w:h="15480" w:orient="portrait"/>
          <w:cols w:equalWidth="0" w:num="1">
            <w:col w:w="9680"/>
          </w:cols>
          <w:pgMar w:left="1080" w:top="1067" w:right="1120" w:bottom="542"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70</w:t>
      </w:r>
    </w:p>
    <w:p>
      <w:pPr>
        <w:sectPr>
          <w:pgSz w:w="11880" w:h="15480" w:orient="portrait"/>
          <w:cols w:equalWidth="0" w:num="1">
            <w:col w:w="9680"/>
          </w:cols>
          <w:pgMar w:left="1080" w:top="1067" w:right="1120" w:bottom="542" w:gutter="0" w:footer="0" w:header="0"/>
          <w:type w:val="continuous"/>
        </w:sectPr>
      </w:pPr>
    </w:p>
    <w:bookmarkStart w:id="70" w:name="page71"/>
    <w:bookmarkEnd w:id="70"/>
    <w:p>
      <w:pPr>
        <w:ind w:right="20"/>
        <w:spacing w:after="0" w:line="250" w:lineRule="auto"/>
        <w:rPr>
          <w:sz w:val="20"/>
          <w:szCs w:val="20"/>
          <w:color w:val="auto"/>
        </w:rPr>
      </w:pPr>
      <w:r>
        <w:rPr>
          <w:rFonts w:ascii="Arial" w:cs="Arial" w:eastAsia="Arial" w:hAnsi="Arial"/>
          <w:sz w:val="20"/>
          <w:szCs w:val="20"/>
          <w:color w:val="auto"/>
        </w:rPr>
        <w:t>indications may not yield any commercially viable products. If we do not accurately evaluate the commercial potential or target market for a particular product candidate, we may relinquish valuable rights, including intellectual property rights, to that product candidate through collaboration, licensing, or other royalty arrangements in cases in which it would have been more advantageous for us to retain sole development and commercialization rights.</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20"/>
          <w:szCs w:val="20"/>
          <w:b w:val="1"/>
          <w:bCs w:val="1"/>
          <w:i w:val="1"/>
          <w:iCs w:val="1"/>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167"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Our business strategy includes leveraging our strategic partnership with FUJIFILM Cellular Dynamics Inc., or FCDI, and may include additional future partnerships for product development, product commercialization, manufacturing or other strategic objectives. As a result, we may in the future determine to collaborate with additional companies for development and potential commercialization of one or more therapeutic products. At the current time however, we cannot predict what form such a strategic collaboration might take. We are likely to face significant competition in seeking appropriate strategic collaborators, and strategic collaborations can be complicated and time-consuming to negotiate and document.</w:t>
      </w:r>
    </w:p>
    <w:p>
      <w:pPr>
        <w:spacing w:after="0" w:line="19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We may not be able to negotiate strategic collaborations on acceptable terms, if at all.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one or more of our other development programs, delay our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200" w:lineRule="exact"/>
        <w:rPr>
          <w:sz w:val="20"/>
          <w:szCs w:val="20"/>
          <w:color w:val="auto"/>
        </w:rPr>
      </w:pPr>
    </w:p>
    <w:p>
      <w:pPr>
        <w:jc w:val="both"/>
        <w:ind w:right="40"/>
        <w:spacing w:after="0" w:line="254" w:lineRule="auto"/>
        <w:rPr>
          <w:sz w:val="20"/>
          <w:szCs w:val="20"/>
          <w:color w:val="auto"/>
        </w:rPr>
      </w:pPr>
      <w:r>
        <w:rPr>
          <w:rFonts w:ascii="Arial" w:cs="Arial" w:eastAsia="Arial" w:hAnsi="Arial"/>
          <w:sz w:val="20"/>
          <w:szCs w:val="20"/>
          <w:color w:val="auto"/>
        </w:rPr>
        <w:t>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spacing w:after="0" w:line="200" w:lineRule="exact"/>
        <w:rPr>
          <w:sz w:val="20"/>
          <w:szCs w:val="20"/>
          <w:color w:val="auto"/>
        </w:rPr>
      </w:pPr>
    </w:p>
    <w:p>
      <w:pPr>
        <w:ind w:left="720" w:hanging="353"/>
        <w:spacing w:after="0"/>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expenditure of substantial operational, financial and management resources;</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dilutive issuances of our securities;</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substantial actual or contingent liabilities; and</w:t>
      </w:r>
    </w:p>
    <w:p>
      <w:pPr>
        <w:spacing w:after="0" w:line="253" w:lineRule="exact"/>
        <w:rPr>
          <w:rFonts w:ascii="Arial" w:cs="Arial" w:eastAsia="Arial" w:hAnsi="Arial"/>
          <w:sz w:val="20"/>
          <w:szCs w:val="20"/>
          <w:color w:val="auto"/>
        </w:rPr>
      </w:pPr>
    </w:p>
    <w:p>
      <w:pPr>
        <w:ind w:left="720" w:right="200" w:hanging="353"/>
        <w:spacing w:after="0" w:line="283" w:lineRule="auto"/>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termination or expiration of the arrangement, which would delay the development and may increase the cost of developing our product candidates.</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880" w:h="15480" w:orient="portrait"/>
          <w:cols w:equalWidth="0" w:num="1">
            <w:col w:w="9720"/>
          </w:cols>
          <w:pgMar w:left="1080" w:top="1067" w:right="1080" w:bottom="542" w:gutter="0" w:footer="0" w:header="0"/>
          <w:type w:val="continuous"/>
        </w:sectPr>
      </w:pPr>
    </w:p>
    <w:bookmarkStart w:id="71" w:name="page72"/>
    <w:bookmarkEnd w:id="71"/>
    <w:p>
      <w:pPr>
        <w:ind w:right="120"/>
        <w:spacing w:after="0" w:line="248" w:lineRule="auto"/>
        <w:rPr>
          <w:sz w:val="20"/>
          <w:szCs w:val="20"/>
          <w:color w:val="auto"/>
        </w:rPr>
      </w:pPr>
      <w:r>
        <w:rPr>
          <w:rFonts w:ascii="Arial" w:cs="Arial" w:eastAsia="Arial" w:hAnsi="Arial"/>
          <w:sz w:val="20"/>
          <w:szCs w:val="20"/>
          <w:color w:val="auto"/>
        </w:rPr>
        <w:t>Strategic partners may also delay clinical trials, experience financial difficulties, provide insufficient funding, terminate a clinical trial, or abandon a product candidate, which could negatively impact our development efforts.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spacing w:after="0" w:line="194"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Annual Report on Form 10- K also apply to the activities of our program collaborators. Additionally, subject to its contractual obligations to us, if one of our collaborators is involved in a business combination, the collaborator may deemphasize or terminate the development or commercialization of any product candidate licensed to it by us. If our collaborator terminates its agreement with us, it may find it more difficult to attract new collaborators.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manufacturing</w:t>
      </w:r>
    </w:p>
    <w:p>
      <w:pPr>
        <w:spacing w:after="0" w:line="247" w:lineRule="exact"/>
        <w:rPr>
          <w:sz w:val="20"/>
          <w:szCs w:val="20"/>
          <w:color w:val="auto"/>
        </w:rPr>
      </w:pPr>
    </w:p>
    <w:p>
      <w:pPr>
        <w:ind w:right="40"/>
        <w:spacing w:after="0" w:line="265" w:lineRule="auto"/>
        <w:rPr>
          <w:sz w:val="20"/>
          <w:szCs w:val="20"/>
          <w:color w:val="auto"/>
        </w:rPr>
      </w:pPr>
      <w:r>
        <w:rPr>
          <w:rFonts w:ascii="Arial" w:cs="Arial" w:eastAsia="Arial" w:hAnsi="Arial"/>
          <w:sz w:val="20"/>
          <w:szCs w:val="20"/>
          <w:b w:val="1"/>
          <w:bCs w:val="1"/>
          <w:i w:val="1"/>
          <w:iCs w:val="1"/>
          <w:color w:val="auto"/>
        </w:rPr>
        <w:t>The manufacture and distribution of our iPSC-derived cell product candidates is complex and subject to a multitude of risks. These risks could substantially increase our costs and limit the clinical and commercial supply of our product candidates.</w:t>
      </w:r>
    </w:p>
    <w:p>
      <w:pPr>
        <w:spacing w:after="0" w:line="164"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The manufacture and supply of our product candidates involve novel processes that are more complex than those required for most drugs, biologics and other cellular immunotherapies and, accordingly, present significant challenges and are subject to multiple risks. These complex processes include reprogramming human somatic cells to obtain iPSCs, genetically engineering these iPSCs, and differentiating the iPSCs to obtain the desired product candidate. As a result of the complexities in manufacturing biologics and distributing cell therapies, the cost to manufacture and distribute biologics and cell therapies in general, and our cell product candidates in particular, is generally higher than traditional small molecule chemical compounds. In addition,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203"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We are still developing optimized and reproducible manufacturing processes for clinical and commercial-scale manufacturing of our product candidates, and none of our manufacturing processes have been validated for commercial production of our product candidates. In addition, we are still optimizing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193"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We may make changes as we continue to develop and refine the manufacturing and distribution processes for our product candidates for clinical trials and commercialization, and we cannot be sure that even minor changes in these processes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72</w:t>
      </w:r>
    </w:p>
    <w:p>
      <w:pPr>
        <w:sectPr>
          <w:pgSz w:w="11880" w:h="15480" w:orient="portrait"/>
          <w:cols w:equalWidth="0" w:num="1">
            <w:col w:w="9700"/>
          </w:cols>
          <w:pgMar w:left="1080" w:top="1067" w:right="1100" w:bottom="542" w:gutter="0" w:footer="0" w:header="0"/>
          <w:type w:val="continuous"/>
        </w:sectPr>
      </w:pPr>
    </w:p>
    <w:bookmarkStart w:id="72" w:name="page73"/>
    <w:bookmarkEnd w:id="72"/>
    <w:p>
      <w:pPr>
        <w:ind w:right="100"/>
        <w:spacing w:after="0" w:line="250" w:lineRule="auto"/>
        <w:rPr>
          <w:sz w:val="20"/>
          <w:szCs w:val="20"/>
          <w:color w:val="auto"/>
        </w:rPr>
      </w:pPr>
      <w:r>
        <w:rPr>
          <w:rFonts w:ascii="Arial" w:cs="Arial" w:eastAsia="Arial" w:hAnsi="Arial"/>
          <w:sz w:val="20"/>
          <w:szCs w:val="20"/>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 party suppliers for various components, materials, and equipment required for the manufacture of our product candidates and do not have supply arrangements for certain of these components.</w:t>
      </w:r>
    </w:p>
    <w:p>
      <w:pPr>
        <w:spacing w:after="0" w:line="17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Manufacturing our product candidates requires many reagents and other specialty materials and equipment, some of which are manufactured or supplied by small companies with limited resources and experience to support commercial biologics production. To date, we and our clinical cell processing facilities and CMOs have purchased equipment, materials, and disposables, such as automated cell washing devices, automated cell warming units, commercially available media, and cell transfer and wash sets, used for the manufacture of our existing product candidates from third-party suppliers. Some of these suppliers may not have the capacity to support commercial products manufactured under 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 party for the supply of certain required components, including our pharmacologic modulators and components for our cell processing media. As a result macroeconomic factors, the business and operations of our suppliers may be disrupted or delayed, and we in turn may experience disruptions or delays in our supply chain. An inability to continue to source product from any of these suppliers, which could be due to the impacts of global pandemics, macroeconomic factors, recent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ectPr>
          <w:pgSz w:w="11880" w:h="15480" w:orient="portrait"/>
          <w:cols w:equalWidth="0" w:num="1">
            <w:col w:w="9700"/>
          </w:cols>
          <w:pgMar w:left="1080" w:top="1071"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73</w:t>
      </w:r>
    </w:p>
    <w:p>
      <w:pPr>
        <w:sectPr>
          <w:pgSz w:w="11880" w:h="15480" w:orient="portrait"/>
          <w:cols w:equalWidth="0" w:num="1">
            <w:col w:w="9700"/>
          </w:cols>
          <w:pgMar w:left="1080" w:top="1071" w:right="1100" w:bottom="542" w:gutter="0" w:footer="0" w:header="0"/>
          <w:type w:val="continuous"/>
        </w:sectPr>
      </w:pPr>
    </w:p>
    <w:bookmarkStart w:id="73" w:name="page74"/>
    <w:bookmarkEnd w:id="73"/>
    <w:p>
      <w:pPr>
        <w:ind w:right="80"/>
        <w:spacing w:after="0" w:line="246" w:lineRule="auto"/>
        <w:rPr>
          <w:sz w:val="20"/>
          <w:szCs w:val="20"/>
          <w:color w:val="auto"/>
        </w:rPr>
      </w:pPr>
      <w:r>
        <w:rPr>
          <w:rFonts w:ascii="Arial" w:cs="Arial" w:eastAsia="Arial" w:hAnsi="Arial"/>
          <w:sz w:val="20"/>
          <w:szCs w:val="20"/>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199" w:lineRule="exact"/>
        <w:rPr>
          <w:sz w:val="20"/>
          <w:szCs w:val="20"/>
          <w:color w:val="auto"/>
        </w:rPr>
      </w:pPr>
    </w:p>
    <w:p>
      <w:pPr>
        <w:ind w:right="180"/>
        <w:spacing w:after="0" w:line="264" w:lineRule="auto"/>
        <w:rPr>
          <w:sz w:val="20"/>
          <w:szCs w:val="20"/>
          <w:color w:val="auto"/>
        </w:rPr>
      </w:pPr>
      <w:r>
        <w:rPr>
          <w:rFonts w:ascii="Arial" w:cs="Arial" w:eastAsia="Arial" w:hAnsi="Arial"/>
          <w:sz w:val="20"/>
          <w:szCs w:val="20"/>
          <w:b w:val="1"/>
          <w:bCs w:val="1"/>
          <w:i w:val="1"/>
          <w:iCs w:val="1"/>
          <w:color w:val="auto"/>
        </w:rPr>
        <w:t>We rely on third parties for the manufacture of some of our product candidates for development, although we now operate our own manufacturing facility for the production of certain of our product candidates.</w:t>
      </w:r>
    </w:p>
    <w:p>
      <w:pPr>
        <w:spacing w:after="0" w:line="167"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We are now operating our own manufacturing facility but still rely on FCDI for the manufacture of some of our product candidates and CMOs for the manufacture of related raw materials for clinical and preclinical development. It is uncertain whether we will be able to utilize our own manufacturing facilities for commercial manufacturing of our products and therefore, we may need to rely on third parties for commercial manufacturing if any of our product candidates receive marketing approval. We have partnered with FCDI for the manufacture and supply of some of our product candidates for future clinical development, as well as to establish commercial supplies of some of our product candidates, if approved. If either of our Manufacturing Agreement or Master Collaboration Agreement with FCDI terminates, and if we need to enter into alternative arrangements, our product development activities could be delayed and our business, financial condition, results of operations, and prospects may be materially harmed. We completed construction of our own 53,000 square foot GMP manufacturing facility in Branchburg, New Jersey as well as the fit-out and qualifications for the facility in 2022 and the facility is operational.</w:t>
      </w:r>
    </w:p>
    <w:p>
      <w:pPr>
        <w:spacing w:after="0" w:line="20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facilities used by us, FCDI, and any other manufacturers with which we may collaborate must be approved by the FDA pursuant to inspections that will be conducted after we submit a BLA to the FDA. For manufacturing facilities in which we do not operate, we do not control the manufacturing process of, and are completely dependent on, CMOs for compliance with cGMP requirements for the manufacture of biologic products. If these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CMOs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CMO,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w:t>
      </w:r>
    </w:p>
    <w:p>
      <w:pPr>
        <w:spacing w:after="0" w:line="196" w:lineRule="exact"/>
        <w:rPr>
          <w:sz w:val="20"/>
          <w:szCs w:val="20"/>
          <w:color w:val="auto"/>
        </w:rPr>
      </w:pPr>
    </w:p>
    <w:p>
      <w:pPr>
        <w:ind w:right="180"/>
        <w:spacing w:after="0" w:line="283" w:lineRule="auto"/>
        <w:rPr>
          <w:sz w:val="20"/>
          <w:szCs w:val="20"/>
          <w:color w:val="auto"/>
        </w:rPr>
      </w:pPr>
      <w:r>
        <w:rPr>
          <w:rFonts w:ascii="Arial" w:cs="Arial" w:eastAsia="Arial" w:hAnsi="Arial"/>
          <w:sz w:val="20"/>
          <w:szCs w:val="20"/>
          <w:color w:val="auto"/>
        </w:rPr>
        <w:t>Our or a CMO’s failure to execute on our manufacturing requirements, to do so on commercially reasonable terms and comply with cGMP could adversely affect our business in a number of ways, including:</w:t>
      </w:r>
    </w:p>
    <w:p>
      <w:pPr>
        <w:spacing w:after="0" w:line="170" w:lineRule="exact"/>
        <w:rPr>
          <w:sz w:val="20"/>
          <w:szCs w:val="20"/>
          <w:color w:val="auto"/>
        </w:rPr>
      </w:pPr>
    </w:p>
    <w:p>
      <w:pPr>
        <w:ind w:left="720" w:right="360" w:hanging="353"/>
        <w:spacing w:after="0" w:line="283" w:lineRule="auto"/>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 inability to initiate or continue clinical trials of CNTY-101 or our other product candidates under development;</w:t>
      </w:r>
    </w:p>
    <w:p>
      <w:pPr>
        <w:spacing w:after="0" w:line="171" w:lineRule="exact"/>
        <w:rPr>
          <w:rFonts w:ascii="Arial" w:cs="Arial" w:eastAsia="Arial" w:hAnsi="Arial"/>
          <w:sz w:val="20"/>
          <w:szCs w:val="20"/>
          <w:color w:val="auto"/>
        </w:rPr>
      </w:pPr>
    </w:p>
    <w:p>
      <w:pPr>
        <w:ind w:left="720" w:right="840" w:hanging="353"/>
        <w:spacing w:after="0" w:line="283" w:lineRule="auto"/>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delay in submitting regulatory applications, or receiving marketing approvals, for our product candidates;</w:t>
      </w:r>
    </w:p>
    <w:p>
      <w:pPr>
        <w:spacing w:after="0" w:line="170" w:lineRule="exact"/>
        <w:rPr>
          <w:rFonts w:ascii="Arial" w:cs="Arial" w:eastAsia="Arial" w:hAnsi="Arial"/>
          <w:sz w:val="20"/>
          <w:szCs w:val="20"/>
          <w:color w:val="auto"/>
        </w:rPr>
      </w:pPr>
    </w:p>
    <w:p>
      <w:pPr>
        <w:ind w:left="720" w:right="160" w:hanging="353"/>
        <w:spacing w:after="0" w:line="283" w:lineRule="auto"/>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subjecting third-party manufacturing facilities or our manufacturing facilities to additional inspections by regulatory authorities;</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74</w:t>
      </w:r>
    </w:p>
    <w:p>
      <w:pPr>
        <w:sectPr>
          <w:pgSz w:w="11880" w:h="15480" w:orient="portrait"/>
          <w:cols w:equalWidth="0" w:num="1">
            <w:col w:w="9700"/>
          </w:cols>
          <w:pgMar w:left="1080" w:top="1067" w:right="1100" w:bottom="542" w:gutter="0" w:footer="0" w:header="0"/>
          <w:type w:val="continuous"/>
        </w:sectPr>
      </w:pPr>
    </w:p>
    <w:bookmarkStart w:id="74" w:name="page75"/>
    <w:bookmarkEnd w:id="74"/>
    <w:p>
      <w:pPr>
        <w:ind w:left="720" w:hanging="353"/>
        <w:spacing w:after="0"/>
        <w:tabs>
          <w:tab w:leader="none" w:pos="7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requirements to cease development or to recall batches of our product candidates; and</w:t>
      </w:r>
    </w:p>
    <w:p>
      <w:pPr>
        <w:spacing w:after="0" w:line="253" w:lineRule="exact"/>
        <w:rPr>
          <w:rFonts w:ascii="Arial" w:cs="Arial" w:eastAsia="Arial" w:hAnsi="Arial"/>
          <w:sz w:val="20"/>
          <w:szCs w:val="20"/>
          <w:color w:val="auto"/>
        </w:rPr>
      </w:pPr>
    </w:p>
    <w:p>
      <w:pPr>
        <w:ind w:left="720" w:right="120" w:hanging="353"/>
        <w:spacing w:after="0" w:line="283" w:lineRule="auto"/>
        <w:tabs>
          <w:tab w:leader="none" w:pos="7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 the event of approval to market and commercialize CNTY-101 or our other product candidates, an inability to meet commercial demands for CNTY-101 or our other product candidates.</w:t>
      </w:r>
    </w:p>
    <w:p>
      <w:pPr>
        <w:spacing w:after="0" w:line="15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Any performance failure on the part of us or our existing or future CMOs could delay clinical development or marketing approval, and any related remedial measures may be costly or time-consuming to implement. If our current CMOs cannot perform as agreed or if we face manufacturing issues at our own GMP manufacturing facility in Branchburg, New Jersey, we may be required to replace such manufacturers and we may be unable to replace them on a timely basis or at all.</w:t>
      </w:r>
    </w:p>
    <w:p>
      <w:pPr>
        <w:spacing w:after="0" w:line="192"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color w:val="auto"/>
        </w:rPr>
        <w:t>Our current and anticipated future dependence upon CMOs for the manufacture of our product candidates or products may adversely affect our future profit margins and our ability to commercialize any products that receive marketing approval on a timely and competitive basis.</w:t>
      </w:r>
    </w:p>
    <w:p>
      <w:pPr>
        <w:spacing w:after="0" w:line="181" w:lineRule="exact"/>
        <w:rPr>
          <w:sz w:val="20"/>
          <w:szCs w:val="20"/>
          <w:color w:val="auto"/>
        </w:rPr>
      </w:pPr>
    </w:p>
    <w:p>
      <w:pPr>
        <w:ind w:right="320"/>
        <w:spacing w:after="0" w:line="289" w:lineRule="auto"/>
        <w:rPr>
          <w:sz w:val="20"/>
          <w:szCs w:val="20"/>
          <w:color w:val="auto"/>
        </w:rPr>
      </w:pPr>
      <w:r>
        <w:rPr>
          <w:rFonts w:ascii="Arial" w:cs="Arial" w:eastAsia="Arial" w:hAnsi="Arial"/>
          <w:sz w:val="20"/>
          <w:szCs w:val="20"/>
          <w:b w:val="1"/>
          <w:bCs w:val="1"/>
          <w:i w:val="1"/>
          <w:iCs w:val="1"/>
          <w:color w:val="auto"/>
        </w:rPr>
        <w:t>Delays in commissioning and receiving regulatory approvals for our manufacturing facilities could delay our development plans and thereby limit our ability to generate revenues.</w:t>
      </w:r>
    </w:p>
    <w:p>
      <w:pPr>
        <w:spacing w:after="0" w:line="142"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We believe that internal cGMP manufacturing is important to facilitate clinical product supply, lower the risk of manufacturing disruptions, and enable more cost-effective manufacturing. We believe our Branchburg, New Jersey facility will allow us to supply certain of our product candidates needed for our early-stage clinical trials and preclinical studies. The operation and maintenance, and regulatory approvals for such facilities, require substantial capital and technical expertise and any delay could limit our development activities and our opportunities for growth, or negatively impact our financial results.</w:t>
      </w:r>
    </w:p>
    <w:p>
      <w:pPr>
        <w:spacing w:after="0" w:line="194"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auto"/>
        </w:rPr>
        <w:t>Furthermore, our manufacturing facility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product candidates, delays, suspension or withdrawal of approvals, license revocation, seizures or recalls of product candidates, operating restrictions, and criminal prosecutions, any of which could materially adversely affect our business, financial condition, results of operations, and growth prospects.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We also may encounter problems with the following:</w:t>
      </w:r>
    </w:p>
    <w:p>
      <w:pPr>
        <w:spacing w:after="0" w:line="254" w:lineRule="exact"/>
        <w:rPr>
          <w:sz w:val="20"/>
          <w:szCs w:val="20"/>
          <w:color w:val="auto"/>
        </w:rPr>
      </w:pPr>
    </w:p>
    <w:p>
      <w:pPr>
        <w:ind w:left="720" w:right="40" w:hanging="353"/>
        <w:spacing w:after="0" w:line="283" w:lineRule="auto"/>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complying with regulations regarding donor traceability, manufacturing, release of product candidates and other requirements from regulatory authorities outside the United States;</w:t>
      </w:r>
    </w:p>
    <w:p>
      <w:pPr>
        <w:spacing w:after="0" w:line="170" w:lineRule="exact"/>
        <w:rPr>
          <w:rFonts w:ascii="Arial" w:cs="Arial" w:eastAsia="Arial" w:hAnsi="Arial"/>
          <w:sz w:val="20"/>
          <w:szCs w:val="20"/>
          <w:color w:val="auto"/>
        </w:rPr>
      </w:pPr>
    </w:p>
    <w:p>
      <w:pPr>
        <w:ind w:left="720" w:right="1200" w:hanging="353"/>
        <w:spacing w:after="0" w:line="283" w:lineRule="auto"/>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achieving adequate or clinical-grade materials that meet regulatory agency standards or specifications with consistent and acceptable production yield and costs;</w:t>
      </w:r>
    </w:p>
    <w:p>
      <w:pPr>
        <w:spacing w:after="0" w:line="171" w:lineRule="exact"/>
        <w:rPr>
          <w:rFonts w:ascii="Arial" w:cs="Arial" w:eastAsia="Arial" w:hAnsi="Arial"/>
          <w:sz w:val="20"/>
          <w:szCs w:val="20"/>
          <w:color w:val="auto"/>
        </w:rPr>
      </w:pPr>
    </w:p>
    <w:p>
      <w:pPr>
        <w:ind w:left="720" w:hanging="353"/>
        <w:spacing w:after="0"/>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bacterial, fungal, or viral contamination in our manufacturing facility; and</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shortages of qualified personnel, raw materials, or key contractors.</w:t>
      </w:r>
    </w:p>
    <w:p>
      <w:pPr>
        <w:spacing w:after="0" w:line="239"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w:t>
      </w:r>
    </w:p>
    <w:p>
      <w:pPr>
        <w:sectPr>
          <w:pgSz w:w="11880" w:h="15480" w:orient="portrait"/>
          <w:cols w:equalWidth="0" w:num="1">
            <w:col w:w="9700"/>
          </w:cols>
          <w:pgMar w:left="1080" w:top="1081"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75</w:t>
      </w:r>
    </w:p>
    <w:p>
      <w:pPr>
        <w:sectPr>
          <w:pgSz w:w="11880" w:h="15480" w:orient="portrait"/>
          <w:cols w:equalWidth="0" w:num="1">
            <w:col w:w="9700"/>
          </w:cols>
          <w:pgMar w:left="1080" w:top="1081" w:right="1100" w:bottom="542" w:gutter="0" w:footer="0" w:header="0"/>
          <w:type w:val="continuous"/>
        </w:sectPr>
      </w:pPr>
    </w:p>
    <w:bookmarkStart w:id="75" w:name="page76"/>
    <w:bookmarkEnd w:id="75"/>
    <w:p>
      <w:pPr>
        <w:ind w:right="160"/>
        <w:spacing w:after="0" w:line="254" w:lineRule="auto"/>
        <w:rPr>
          <w:sz w:val="20"/>
          <w:szCs w:val="20"/>
          <w:color w:val="auto"/>
        </w:rPr>
      </w:pPr>
      <w:r>
        <w:rPr>
          <w:rFonts w:ascii="Arial" w:cs="Arial" w:eastAsia="Arial" w:hAnsi="Arial"/>
          <w:sz w:val="20"/>
          <w:szCs w:val="20"/>
          <w:color w:val="auto"/>
        </w:rPr>
        <w:t>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182" w:lineRule="exact"/>
        <w:rPr>
          <w:sz w:val="20"/>
          <w:szCs w:val="20"/>
          <w:color w:val="auto"/>
        </w:rPr>
      </w:pPr>
    </w:p>
    <w:p>
      <w:pPr>
        <w:ind w:right="600"/>
        <w:spacing w:after="0" w:line="289" w:lineRule="auto"/>
        <w:rPr>
          <w:sz w:val="20"/>
          <w:szCs w:val="20"/>
          <w:color w:val="auto"/>
        </w:rPr>
      </w:pPr>
      <w:r>
        <w:rPr>
          <w:rFonts w:ascii="Arial" w:cs="Arial" w:eastAsia="Arial" w:hAnsi="Arial"/>
          <w:sz w:val="20"/>
          <w:szCs w:val="20"/>
          <w:b w:val="1"/>
          <w:bCs w:val="1"/>
          <w:i w:val="1"/>
          <w:iCs w:val="1"/>
          <w:color w:val="auto"/>
        </w:rPr>
        <w:t>We cryogenically store our CAR-iNK and CAR-iT cells and master and working cell banks of the engineered iPSC cells at both our own manufacturing facility and at third-party facilities</w:t>
      </w:r>
    </w:p>
    <w:p>
      <w:pPr>
        <w:spacing w:after="0" w:line="142"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The CAR -iNK and CAR-iT cells and the master and working cell banks of the engineered iPSC cells are stored in freezers at both third-party biorepositories and in our freezers at our manufacturing facility. If these materials are damaged at either or both our or these third-party facilities, including by the loss or malfunction of these freezers or our back-up power systems, as well as by damage from fire, power loss or other natural disasters, we may need to establish replacement CAR-iNK and CAR-iT cells and master and working cell banks of the engineered iPSC cells, which would impact clinical supply and delay patient treatment. If we are unable to establish replacement materials, we could incur significant additional expenses and liability to patients whose treatment is delayed, and our business could suffer.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commercialization of our product candidates</w:t>
      </w:r>
    </w:p>
    <w:p>
      <w:pPr>
        <w:spacing w:after="0" w:line="247" w:lineRule="exact"/>
        <w:rPr>
          <w:sz w:val="20"/>
          <w:szCs w:val="20"/>
          <w:color w:val="auto"/>
        </w:rPr>
      </w:pPr>
    </w:p>
    <w:p>
      <w:pPr>
        <w:jc w:val="both"/>
        <w:ind w:right="120"/>
        <w:spacing w:after="0" w:line="265" w:lineRule="auto"/>
        <w:rPr>
          <w:sz w:val="20"/>
          <w:szCs w:val="20"/>
          <w:color w:val="auto"/>
        </w:rPr>
      </w:pPr>
      <w:r>
        <w:rPr>
          <w:rFonts w:ascii="Arial" w:cs="Arial" w:eastAsia="Arial" w:hAnsi="Arial"/>
          <w:sz w:val="20"/>
          <w:szCs w:val="20"/>
          <w:b w:val="1"/>
          <w:bCs w:val="1"/>
          <w:i w:val="1"/>
          <w:iCs w:val="1"/>
          <w:color w:val="auto"/>
        </w:rPr>
        <w:t>If we are unable to successfully commercialize CNTY-101 or any of our other product candidates for which we receive regulatory approval, or experience significant delays in doing so, our business will be materially harmed.</w:t>
      </w:r>
    </w:p>
    <w:p>
      <w:pPr>
        <w:spacing w:after="0" w:line="164" w:lineRule="exact"/>
        <w:rPr>
          <w:sz w:val="20"/>
          <w:szCs w:val="20"/>
          <w:color w:val="auto"/>
        </w:rPr>
      </w:pPr>
    </w:p>
    <w:p>
      <w:pPr>
        <w:ind w:right="220"/>
        <w:spacing w:after="0" w:line="261" w:lineRule="auto"/>
        <w:rPr>
          <w:sz w:val="20"/>
          <w:szCs w:val="20"/>
          <w:color w:val="auto"/>
        </w:rPr>
      </w:pPr>
      <w:r>
        <w:rPr>
          <w:rFonts w:ascii="Arial" w:cs="Arial" w:eastAsia="Arial" w:hAnsi="Arial"/>
          <w:sz w:val="20"/>
          <w:szCs w:val="20"/>
          <w:color w:val="auto"/>
        </w:rPr>
        <w:t>If we are successful in obtaining marketing approval from applicable regulatory authorities for CNTY-101 or any of our other product candidates, our ability to generate revenues from such product candidates will depend on our success in:</w:t>
      </w:r>
    </w:p>
    <w:p>
      <w:pPr>
        <w:spacing w:after="0" w:line="193" w:lineRule="exact"/>
        <w:rPr>
          <w:sz w:val="20"/>
          <w:szCs w:val="20"/>
          <w:color w:val="auto"/>
        </w:rPr>
      </w:pPr>
    </w:p>
    <w:p>
      <w:pPr>
        <w:ind w:left="720" w:hanging="352"/>
        <w:spacing w:after="0"/>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launching commercial sales of our product candidates, whether alone or in collaboration with others;</w:t>
      </w:r>
    </w:p>
    <w:p>
      <w:pPr>
        <w:spacing w:after="0" w:line="253" w:lineRule="exact"/>
        <w:rPr>
          <w:rFonts w:ascii="Arial" w:cs="Arial" w:eastAsia="Arial" w:hAnsi="Arial"/>
          <w:sz w:val="20"/>
          <w:szCs w:val="20"/>
          <w:color w:val="auto"/>
        </w:rPr>
      </w:pPr>
    </w:p>
    <w:p>
      <w:pPr>
        <w:ind w:left="720" w:right="20" w:hanging="352"/>
        <w:spacing w:after="0" w:line="262"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receiving an approved label with claims that are necessary or desirable for successful marketing, and that does not contain safety or other limitations that would impede our ability to market our product candidates;</w:t>
      </w:r>
    </w:p>
    <w:p>
      <w:pPr>
        <w:spacing w:after="0" w:line="190" w:lineRule="exact"/>
        <w:rPr>
          <w:rFonts w:ascii="Arial" w:cs="Arial" w:eastAsia="Arial" w:hAnsi="Arial"/>
          <w:sz w:val="20"/>
          <w:szCs w:val="20"/>
          <w:color w:val="auto"/>
        </w:rPr>
      </w:pPr>
    </w:p>
    <w:p>
      <w:pPr>
        <w:ind w:left="720" w:right="780" w:hanging="352"/>
        <w:spacing w:after="0" w:line="283"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creating market demand for our product candidates through marketing, sales, and promotion activities;</w:t>
      </w:r>
    </w:p>
    <w:p>
      <w:pPr>
        <w:spacing w:after="0" w:line="171" w:lineRule="exact"/>
        <w:rPr>
          <w:rFonts w:ascii="Arial" w:cs="Arial" w:eastAsia="Arial" w:hAnsi="Arial"/>
          <w:sz w:val="20"/>
          <w:szCs w:val="20"/>
          <w:color w:val="auto"/>
        </w:rPr>
      </w:pPr>
    </w:p>
    <w:p>
      <w:pPr>
        <w:ind w:left="720" w:right="480" w:hanging="352"/>
        <w:spacing w:after="0" w:line="283"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hiring, training, and deploying a sales force or contracting with third parties to commercialize our product candidates;</w:t>
      </w:r>
    </w:p>
    <w:p>
      <w:pPr>
        <w:spacing w:after="0" w:line="170" w:lineRule="exact"/>
        <w:rPr>
          <w:rFonts w:ascii="Arial" w:cs="Arial" w:eastAsia="Arial" w:hAnsi="Arial"/>
          <w:sz w:val="20"/>
          <w:szCs w:val="20"/>
          <w:color w:val="auto"/>
        </w:rPr>
      </w:pPr>
    </w:p>
    <w:p>
      <w:pPr>
        <w:ind w:left="720" w:right="200" w:hanging="352"/>
        <w:spacing w:after="0" w:line="283"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manufacturing, either on our own or through third parties, product candidates in sufficient quantities and at acceptable quality and cost to meet commercial demand at launch and thereafter;</w:t>
      </w:r>
    </w:p>
    <w:p>
      <w:pPr>
        <w:spacing w:after="0" w:line="171" w:lineRule="exact"/>
        <w:rPr>
          <w:rFonts w:ascii="Arial" w:cs="Arial" w:eastAsia="Arial" w:hAnsi="Arial"/>
          <w:sz w:val="20"/>
          <w:szCs w:val="20"/>
          <w:color w:val="auto"/>
        </w:rPr>
      </w:pPr>
    </w:p>
    <w:p>
      <w:pPr>
        <w:ind w:left="720" w:right="660" w:hanging="353"/>
        <w:spacing w:after="0" w:line="283"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establishing and maintaining agreements with wholesalers, distributors, and group purchasing organizations on commercially reasonable terms;</w:t>
      </w:r>
    </w:p>
    <w:p>
      <w:pPr>
        <w:spacing w:after="0" w:line="170" w:lineRule="exact"/>
        <w:rPr>
          <w:rFonts w:ascii="Arial" w:cs="Arial" w:eastAsia="Arial" w:hAnsi="Arial"/>
          <w:sz w:val="20"/>
          <w:szCs w:val="20"/>
          <w:color w:val="auto"/>
        </w:rPr>
      </w:pPr>
    </w:p>
    <w:p>
      <w:pPr>
        <w:ind w:left="720" w:hanging="353"/>
        <w:spacing w:after="0" w:line="283"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creating partnerships with, or offering licenses to, third parties to promote and sell product candidates in foreign markets where we receive marketing approval;</w:t>
      </w:r>
    </w:p>
    <w:p>
      <w:pPr>
        <w:spacing w:after="0" w:line="171" w:lineRule="exact"/>
        <w:rPr>
          <w:rFonts w:ascii="Arial" w:cs="Arial" w:eastAsia="Arial" w:hAnsi="Arial"/>
          <w:sz w:val="20"/>
          <w:szCs w:val="20"/>
          <w:color w:val="auto"/>
        </w:rPr>
      </w:pPr>
    </w:p>
    <w:p>
      <w:pPr>
        <w:ind w:left="720" w:right="320" w:hanging="353"/>
        <w:spacing w:after="0" w:line="283"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obtaining, maintaining, protecting, and enforcing patent and trade secret protection and regulatory exclusivity for our product candidates;</w:t>
      </w:r>
    </w:p>
    <w:p>
      <w:pPr>
        <w:spacing w:after="0" w:line="170" w:lineRule="exact"/>
        <w:rPr>
          <w:rFonts w:ascii="Arial" w:cs="Arial" w:eastAsia="Arial" w:hAnsi="Arial"/>
          <w:sz w:val="20"/>
          <w:szCs w:val="20"/>
          <w:color w:val="auto"/>
        </w:rPr>
      </w:pPr>
    </w:p>
    <w:p>
      <w:pPr>
        <w:ind w:left="720" w:right="420" w:hanging="353"/>
        <w:spacing w:after="0" w:line="283"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achieving market acceptance of our product candidates by patients, the medical community, and third-party payors;</w:t>
      </w:r>
    </w:p>
    <w:p>
      <w:pPr>
        <w:sectPr>
          <w:pgSz w:w="11880" w:h="15480" w:orient="portrait"/>
          <w:cols w:equalWidth="0" w:num="1">
            <w:col w:w="9680"/>
          </w:cols>
          <w:pgMar w:left="1080" w:top="1067" w:right="1120" w:bottom="542"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76</w:t>
      </w:r>
    </w:p>
    <w:p>
      <w:pPr>
        <w:sectPr>
          <w:pgSz w:w="11880" w:h="15480" w:orient="portrait"/>
          <w:cols w:equalWidth="0" w:num="1">
            <w:col w:w="9680"/>
          </w:cols>
          <w:pgMar w:left="1080" w:top="1067" w:right="1120" w:bottom="542" w:gutter="0" w:footer="0" w:header="0"/>
          <w:type w:val="continuous"/>
        </w:sectPr>
      </w:pPr>
    </w:p>
    <w:bookmarkStart w:id="76" w:name="page77"/>
    <w:bookmarkEnd w:id="76"/>
    <w:p>
      <w:pPr>
        <w:ind w:left="720" w:hanging="353"/>
        <w:spacing w:after="0"/>
        <w:tabs>
          <w:tab w:leader="none" w:pos="7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achieving appropriate reimbursement for our product candidates, if approved;</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effectively competing with other therapies; and</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maintaining an acceptable tolerability profile of our product candidates following launch.</w:t>
      </w:r>
    </w:p>
    <w:p>
      <w:pPr>
        <w:spacing w:after="0" w:line="239" w:lineRule="exact"/>
        <w:rPr>
          <w:sz w:val="20"/>
          <w:szCs w:val="20"/>
          <w:color w:val="auto"/>
        </w:rPr>
      </w:pPr>
    </w:p>
    <w:p>
      <w:pPr>
        <w:ind w:right="880"/>
        <w:spacing w:after="0" w:line="283" w:lineRule="auto"/>
        <w:rPr>
          <w:sz w:val="20"/>
          <w:szCs w:val="20"/>
          <w:color w:val="auto"/>
        </w:rPr>
      </w:pPr>
      <w:r>
        <w:rPr>
          <w:rFonts w:ascii="Arial" w:cs="Arial" w:eastAsia="Arial" w:hAnsi="Arial"/>
          <w:sz w:val="20"/>
          <w:szCs w:val="20"/>
          <w:color w:val="auto"/>
        </w:rPr>
        <w:t>To the extent we are not able to do any of the foregoing, our business, financial condition, results of operations, and prospects will be materially harmed.</w:t>
      </w:r>
    </w:p>
    <w:p>
      <w:pPr>
        <w:spacing w:after="0" w:line="161" w:lineRule="exact"/>
        <w:rPr>
          <w:sz w:val="20"/>
          <w:szCs w:val="20"/>
          <w:color w:val="auto"/>
        </w:rPr>
      </w:pPr>
    </w:p>
    <w:p>
      <w:pPr>
        <w:spacing w:after="0" w:line="265" w:lineRule="auto"/>
        <w:rPr>
          <w:sz w:val="20"/>
          <w:szCs w:val="20"/>
          <w:color w:val="auto"/>
        </w:rPr>
      </w:pPr>
      <w:r>
        <w:rPr>
          <w:rFonts w:ascii="Arial" w:cs="Arial" w:eastAsia="Arial" w:hAnsi="Arial"/>
          <w:sz w:val="20"/>
          <w:szCs w:val="20"/>
          <w:b w:val="1"/>
          <w:bCs w:val="1"/>
          <w:i w:val="1"/>
          <w:iCs w:val="1"/>
          <w:color w:val="auto"/>
        </w:rPr>
        <w:t>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The biopharmaceutical and pharmaceutical industries are characterized by rapid innovation, intense and dynamic competition and a strong emphasis on proprietary and novel products and product candidates. While we believe that our technology, scientific knowledge, and experience in the field of cellular immunotherapy provide us with competitive advantages, we face potential competition from many different sources, including major pharmaceutical, specialty pharmaceutical and biopharmaceutical companies, academic institutions, governmental agencies, and public and private research institutions, as well as standard-of-care treatments, and new products undergoing development and combinations of existing and new therapies. Any product candidates that we successfully develop and commercialize will compete with existing therapies and new therapies, including combinations thereof, that may become available in the future. We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185"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We are developing off-the-shelf cell therapies by differentiating engineered iPSC into NK-, T-, or other immune cells for the treatment of various cancers and autoimmune diseases. While we believe our genetically engineered immune effector cell therapies derived from iPSC are highly differentiated, a number of companies are currently focused on the development of cellular immunotherapies for the treatment of cancer and autoimmune diseases. In addition, because reprogramming technology and gene editing technology are available on a non-exclusive basis, the number of companies developing iPSC-derived products and products using gene-editing technology is expected to increase, which will increase competitive pressure on us. Moreover, the reprogramming technology licensed to us from FCDI and the gene-editing technology licensed to us from Inscripta, Inc. are each licensed to us on a non-exclusive basis, and therefore third parties may obtain licenses to the same technology to compete with us.</w:t>
      </w:r>
    </w:p>
    <w:p>
      <w:pPr>
        <w:sectPr>
          <w:pgSz w:w="11880" w:h="15480" w:orient="portrait"/>
          <w:cols w:equalWidth="0" w:num="1">
            <w:col w:w="9680"/>
          </w:cols>
          <w:pgMar w:left="1080" w:top="1081"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77</w:t>
      </w:r>
    </w:p>
    <w:p>
      <w:pPr>
        <w:sectPr>
          <w:pgSz w:w="11880" w:h="15480" w:orient="portrait"/>
          <w:cols w:equalWidth="0" w:num="1">
            <w:col w:w="9680"/>
          </w:cols>
          <w:pgMar w:left="1080" w:top="1081" w:right="1120" w:bottom="542" w:gutter="0" w:footer="0" w:header="0"/>
          <w:type w:val="continuous"/>
        </w:sectPr>
      </w:pPr>
    </w:p>
    <w:bookmarkStart w:id="77" w:name="page78"/>
    <w:bookmarkEnd w:id="77"/>
    <w:p>
      <w:pPr>
        <w:ind w:right="260"/>
        <w:spacing w:after="0" w:line="254" w:lineRule="auto"/>
        <w:rPr>
          <w:sz w:val="20"/>
          <w:szCs w:val="20"/>
          <w:color w:val="auto"/>
        </w:rPr>
      </w:pPr>
      <w:r>
        <w:rPr>
          <w:rFonts w:ascii="Arial" w:cs="Arial" w:eastAsia="Arial" w:hAnsi="Arial"/>
          <w:sz w:val="20"/>
          <w:szCs w:val="20"/>
          <w:color w:val="auto"/>
        </w:rPr>
        <w:t>Large pharmaceutical companies that have commercialized or are developing immunotherapies to treat cancer include but are not limited to AstraZeneca, Bristol-Myers Squibb, Gilead Sciences, Merck, Novartis, Pfizer, and Roche. Some of these companies, such as Bristol-Myers Squibb, Novartis, and Roche, are also developing cell therapy therapies for autoimmune diseases.</w:t>
      </w:r>
    </w:p>
    <w:p>
      <w:pPr>
        <w:spacing w:after="0" w:line="187"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Companies that compete with us directly on the level of the development of product candidates targeting B- cell lymphomas include but are not limited to Gilead Sciences, Novartis, and Bristol -Myers Squibb, among others. Companies developing Nectin-4 targeted agents include but are not limited to Pfizer, Astellas, and Bicycle Therapeutics.</w:t>
      </w:r>
    </w:p>
    <w:p>
      <w:pPr>
        <w:spacing w:after="0" w:line="187"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Other emerging biopharmaceutical companies which can potentially develop competing cell therapy candidates to treat both cancer and autoimmune diseases include but are not limited to Adicet Bio, Allogene Therapeutics, Artiva Biotherapeutics, Caribou Biosciences, CRIPSR Therapeutics, Fate Therapeutics, Nkarta Therapeutics, and Sana Biotechnology. Furthermore, companies pursuing the development of cell therapies in autoimmune diseases include but are not limited to Cabaletta Bio, Cartesian Therapeutics, and Kyverna Therapeutics..</w:t>
      </w:r>
    </w:p>
    <w:p>
      <w:pPr>
        <w:spacing w:after="0" w:line="194"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204" w:lineRule="exact"/>
        <w:rPr>
          <w:sz w:val="20"/>
          <w:szCs w:val="20"/>
          <w:color w:val="auto"/>
        </w:rPr>
      </w:pPr>
    </w:p>
    <w:p>
      <w:pPr>
        <w:ind w:right="140"/>
        <w:spacing w:after="0" w:line="289" w:lineRule="auto"/>
        <w:rPr>
          <w:sz w:val="20"/>
          <w:szCs w:val="20"/>
          <w:color w:val="auto"/>
        </w:rPr>
      </w:pPr>
      <w:r>
        <w:rPr>
          <w:rFonts w:ascii="Arial" w:cs="Arial" w:eastAsia="Arial" w:hAnsi="Arial"/>
          <w:sz w:val="20"/>
          <w:szCs w:val="20"/>
          <w:b w:val="1"/>
          <w:bCs w:val="1"/>
          <w:i w:val="1"/>
          <w:iCs w:val="1"/>
          <w:color w:val="auto"/>
        </w:rPr>
        <w:t>We expect to face uncertainty regarding the pricing of our existing product candidates and any other product candidates that we may develop, and for which we may receive approval.</w:t>
      </w:r>
    </w:p>
    <w:p>
      <w:pPr>
        <w:spacing w:after="0" w:line="142"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Due to the novel nature of our product candidates, we face significant uncertainty as to the pricing of any such products for which we may receive marketing approval. While we anticipate that pricing for any product candidates that we develop will be relatively high due to their anticipated use in the prevention or treatment of life-threatening diseases where therapeutic options are limited, the biopharmaceutical industry has recently experienced significant pricing pressures, including in the area of orphan drug products.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19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In addition, we expect to experience pricing pressures in connection with the pricing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880" w:h="15480" w:orient="portrait"/>
          <w:cols w:equalWidth="0" w:num="1">
            <w:col w:w="9720"/>
          </w:cols>
          <w:pgMar w:left="1080" w:top="1067" w:right="1080" w:bottom="542" w:gutter="0" w:footer="0" w:header="0"/>
          <w:type w:val="continuous"/>
        </w:sectPr>
      </w:pPr>
    </w:p>
    <w:bookmarkStart w:id="78" w:name="page79"/>
    <w:bookmarkEnd w:id="78"/>
    <w:p>
      <w:pPr>
        <w:ind w:right="20"/>
        <w:spacing w:after="0" w:line="265" w:lineRule="auto"/>
        <w:rPr>
          <w:sz w:val="20"/>
          <w:szCs w:val="20"/>
          <w:color w:val="auto"/>
        </w:rPr>
      </w:pPr>
      <w:r>
        <w:rPr>
          <w:rFonts w:ascii="Arial" w:cs="Arial" w:eastAsia="Arial" w:hAnsi="Arial"/>
          <w:sz w:val="20"/>
          <w:szCs w:val="20"/>
          <w:b w:val="1"/>
          <w:bCs w:val="1"/>
          <w:i w:val="1"/>
          <w:iCs w:val="1"/>
          <w:color w:val="auto"/>
        </w:rPr>
        <w:t>The insurance coverage and reimbursement status of newly approved products is uncertain. Failure to obtain or maintain adequate coverage and reimbursement for new products could limit our product revenues.</w:t>
      </w:r>
    </w:p>
    <w:p>
      <w:pPr>
        <w:spacing w:after="0" w:line="164"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Our ability to commercialize any of our product candidates successfully will depend in part on the extent to which reimbursement for these products and related treatments will be available from government health administration authorities, private health insurers, and other organizations. In the United States, the principal decisions about reimbursement for new therapies are typically made by Centers for Medicare and Medicaid Services, or CMS, an agency within the United States Department of Health and Human Services. CMS decides whether and to what extent a new therapy will be covered and reimbursed under Medicare, and private payors tend to follow CMS determinations to a substantial degree. The availability and extent of reimbursement by governmental and private payors is essential for most patients to be able to afford expensive treatments, such as cellular immunotherapy. There is significant uncertainty related to the insurance coverage and reimbursement of newly approved products by government and third-party payors. In particular, there is no body of established practices and precedents for reimbursement of cellular immunotherapies, and it is difficult to predict what the regulatory authority or private payor will decide with respect to reimbursement levels for novel products such as ours. Our products may not qualify for coverage or direct reimbursement, or may be subject to limited reimbursement. If reimbursement or insurance coverage is not available, or is available only to limited levels, we may not be able to successfully commercialize our product candidates, if approved. Even if coverage is provided, the approved reimbursement amount may not be sufficient to allow us to establish or maintain pricing to generate income. For additional information on coverage and reimbursement, see the section entitled “Business—Government Regulation—Healthcare Reform.”</w:t>
      </w:r>
    </w:p>
    <w:p>
      <w:pPr>
        <w:spacing w:after="0" w:line="205"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In addition, reimbursement agencies in foreign jurisdictions may be more conservative than those in the United States. Accordingly, in markets outside the United States, the reimbursement for our product candidates, if approved,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202" w:lineRule="exact"/>
        <w:rPr>
          <w:sz w:val="20"/>
          <w:szCs w:val="20"/>
          <w:color w:val="auto"/>
        </w:rPr>
      </w:pPr>
    </w:p>
    <w:p>
      <w:pPr>
        <w:ind w:right="500"/>
        <w:spacing w:after="0" w:line="283" w:lineRule="auto"/>
        <w:rPr>
          <w:sz w:val="20"/>
          <w:szCs w:val="20"/>
          <w:color w:val="auto"/>
        </w:rPr>
      </w:pPr>
      <w:r>
        <w:rPr>
          <w:rFonts w:ascii="Arial" w:cs="Arial" w:eastAsia="Arial" w:hAnsi="Arial"/>
          <w:sz w:val="20"/>
          <w:szCs w:val="20"/>
          <w:color w:val="auto"/>
        </w:rPr>
        <w:t>Even if we obtain regulatory and marketing approval for a product candidate, our product candidates will remain subject to regulatory oversight.</w:t>
      </w:r>
    </w:p>
    <w:p>
      <w:pPr>
        <w:spacing w:after="0" w:line="158"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Even if we receive marketing and regulatory approval for CNTY -101 or any of our other product candidates, regulatory authorities may still impose significant restrictions on the indicated uses or marketing or impose ongoing requirements for potentially costly post-approval studies. CNTY-101 and our other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biologic. Any regulatory approvals that we receive for CNTY-101 or our other product candidates may also be subject to a risk evaluation and mitigation strategy, or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is obligated to monitor and report adverse events and any failure of a product to meet the specifications in the BLA. The holder of an approved BLA also must submit new or supplemental applications and obtain FDA approval for certain changes to the approved product, product labeling, or manufacturing process. Advertising and promotional</w:t>
      </w:r>
    </w:p>
    <w:p>
      <w:pPr>
        <w:sectPr>
          <w:pgSz w:w="11880" w:h="15480" w:orient="portrait"/>
          <w:cols w:equalWidth="0" w:num="1">
            <w:col w:w="9700"/>
          </w:cols>
          <w:pgMar w:left="1080" w:top="1071" w:right="1100" w:bottom="542"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79</w:t>
      </w:r>
    </w:p>
    <w:p>
      <w:pPr>
        <w:sectPr>
          <w:pgSz w:w="11880" w:h="15480" w:orient="portrait"/>
          <w:cols w:equalWidth="0" w:num="1">
            <w:col w:w="9700"/>
          </w:cols>
          <w:pgMar w:left="1080" w:top="1071" w:right="1100" w:bottom="542" w:gutter="0" w:footer="0" w:header="0"/>
          <w:type w:val="continuous"/>
        </w:sectPr>
      </w:pPr>
    </w:p>
    <w:bookmarkStart w:id="79" w:name="page80"/>
    <w:bookmarkEnd w:id="79"/>
    <w:p>
      <w:pPr>
        <w:ind w:right="900"/>
        <w:spacing w:after="0" w:line="283" w:lineRule="auto"/>
        <w:rPr>
          <w:sz w:val="20"/>
          <w:szCs w:val="20"/>
          <w:color w:val="auto"/>
        </w:rPr>
      </w:pPr>
      <w:r>
        <w:rPr>
          <w:rFonts w:ascii="Arial" w:cs="Arial" w:eastAsia="Arial" w:hAnsi="Arial"/>
          <w:sz w:val="20"/>
          <w:szCs w:val="20"/>
          <w:color w:val="auto"/>
        </w:rPr>
        <w:t>materials must comply with FDA rules and are subject to FDA review, in addition to other potentially applicable federal and state laws.</w:t>
      </w:r>
    </w:p>
    <w:p>
      <w:pPr>
        <w:spacing w:after="0" w:line="158"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If we or our contractors fail to comply with applicable regulatory requirements following approval, if granted, of</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CNTY-101 or our other product candidates, a regulatory authority may:</w:t>
      </w:r>
    </w:p>
    <w:p>
      <w:pPr>
        <w:spacing w:after="0" w:line="228" w:lineRule="exact"/>
        <w:rPr>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issue a warning letter, untitled letter, or Form 483, asserting that we are in violation of the law;</w:t>
      </w:r>
    </w:p>
    <w:p>
      <w:pPr>
        <w:spacing w:after="0" w:line="252" w:lineRule="exact"/>
        <w:rPr>
          <w:rFonts w:ascii="Arial" w:cs="Arial" w:eastAsia="Arial" w:hAnsi="Arial"/>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request voluntary product recalls;</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seek an injunction or impose administrative, civil, or criminal penalties or monetary fines;</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suspend or withdraw regulatory approval;</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suspend any ongoing clinical trials;</w:t>
      </w:r>
    </w:p>
    <w:p>
      <w:pPr>
        <w:spacing w:after="0" w:line="253" w:lineRule="exact"/>
        <w:rPr>
          <w:rFonts w:ascii="Arial" w:cs="Arial" w:eastAsia="Arial" w:hAnsi="Arial"/>
          <w:sz w:val="20"/>
          <w:szCs w:val="20"/>
          <w:color w:val="auto"/>
        </w:rPr>
      </w:pPr>
    </w:p>
    <w:p>
      <w:pPr>
        <w:ind w:left="720" w:right="240" w:hanging="353"/>
        <w:spacing w:after="0" w:line="283"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refuse to approve a pending BLA or comparable foreign marketing application (or any supplements thereto);</w:t>
      </w:r>
    </w:p>
    <w:p>
      <w:pPr>
        <w:spacing w:after="0" w:line="171" w:lineRule="exact"/>
        <w:rPr>
          <w:rFonts w:ascii="Arial" w:cs="Arial" w:eastAsia="Arial" w:hAnsi="Arial"/>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restrict the marketing or manufacturing of the product;</w:t>
      </w:r>
    </w:p>
    <w:p>
      <w:pPr>
        <w:spacing w:after="0" w:line="252" w:lineRule="exact"/>
        <w:rPr>
          <w:rFonts w:ascii="Arial" w:cs="Arial" w:eastAsia="Arial" w:hAnsi="Arial"/>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seize or detain the product or otherwise require the withdrawal of the product from the market;</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refuse to permit the import or export of product candidates; or</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refuse to allow us to enter into supply contracts, including government contracts.</w:t>
      </w:r>
    </w:p>
    <w:p>
      <w:pPr>
        <w:spacing w:after="0" w:line="240" w:lineRule="exact"/>
        <w:rPr>
          <w:sz w:val="20"/>
          <w:szCs w:val="20"/>
          <w:color w:val="auto"/>
        </w:rPr>
      </w:pPr>
    </w:p>
    <w:p>
      <w:pPr>
        <w:ind w:right="500"/>
        <w:spacing w:after="0" w:line="254" w:lineRule="auto"/>
        <w:rPr>
          <w:sz w:val="20"/>
          <w:szCs w:val="20"/>
          <w:color w:val="auto"/>
        </w:rPr>
      </w:pPr>
      <w:r>
        <w:rPr>
          <w:rFonts w:ascii="Arial" w:cs="Arial" w:eastAsia="Arial" w:hAnsi="Arial"/>
          <w:sz w:val="20"/>
          <w:szCs w:val="20"/>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CNTY-101 or our other product candidates, if approved, and adversely affect our business, financial condition, results of operations, and prospects.</w:t>
      </w:r>
    </w:p>
    <w:p>
      <w:pPr>
        <w:spacing w:after="0" w:line="190" w:lineRule="exact"/>
        <w:rPr>
          <w:sz w:val="20"/>
          <w:szCs w:val="20"/>
          <w:color w:val="auto"/>
        </w:rPr>
      </w:pPr>
    </w:p>
    <w:p>
      <w:pPr>
        <w:ind w:right="460"/>
        <w:spacing w:after="0" w:line="289" w:lineRule="auto"/>
        <w:rPr>
          <w:sz w:val="20"/>
          <w:szCs w:val="20"/>
          <w:color w:val="auto"/>
        </w:rPr>
      </w:pPr>
      <w:r>
        <w:rPr>
          <w:rFonts w:ascii="Arial" w:cs="Arial" w:eastAsia="Arial" w:hAnsi="Arial"/>
          <w:sz w:val="20"/>
          <w:szCs w:val="20"/>
          <w:b w:val="1"/>
          <w:bCs w:val="1"/>
          <w:i w:val="1"/>
          <w:iCs w:val="1"/>
          <w:color w:val="auto"/>
        </w:rPr>
        <w:t>Even if we receive marketing approval for CNTY-101 or our other product candidates, we may not achieve broad market acceptance.</w:t>
      </w:r>
    </w:p>
    <w:p>
      <w:pPr>
        <w:spacing w:after="0" w:line="143"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commercial success of CNTY-101 or our other product candidates, if developed and approved for marketing by the FDA or comparable foreign regulatory authority, will depend upon the awareness and acceptance of CNTY -101 or such other product candidate among the medical community, including physicians, patients, advocacy groups, and healthcare payors. Market acceptance of our product candidates, if approved, will depend on a number of factors, including, among others:</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80</w:t>
      </w:r>
    </w:p>
    <w:p>
      <w:pPr>
        <w:sectPr>
          <w:pgSz w:w="11880" w:h="15480" w:orient="portrait"/>
          <w:cols w:equalWidth="0" w:num="1">
            <w:col w:w="9700"/>
          </w:cols>
          <w:pgMar w:left="1080" w:top="1067" w:right="1100" w:bottom="542" w:gutter="0" w:footer="0" w:header="0"/>
          <w:type w:val="continuous"/>
        </w:sectPr>
      </w:pPr>
    </w:p>
    <w:bookmarkStart w:id="80" w:name="page81"/>
    <w:bookmarkEnd w:id="80"/>
    <w:p>
      <w:pPr>
        <w:ind w:left="720" w:hanging="353"/>
        <w:spacing w:after="0"/>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prevalence and severity of any adverse side effects associated with our product candidates;</w:t>
      </w:r>
    </w:p>
    <w:p>
      <w:pPr>
        <w:spacing w:after="0" w:line="253" w:lineRule="exact"/>
        <w:rPr>
          <w:rFonts w:ascii="Arial" w:cs="Arial" w:eastAsia="Arial" w:hAnsi="Arial"/>
          <w:sz w:val="20"/>
          <w:szCs w:val="20"/>
          <w:color w:val="auto"/>
        </w:rPr>
      </w:pPr>
    </w:p>
    <w:p>
      <w:pPr>
        <w:ind w:left="720" w:right="200" w:hanging="353"/>
        <w:spacing w:after="0" w:line="283" w:lineRule="auto"/>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limitations or warnings contained in the labeling approved for our product candidates by the FDA or comparable foreign regulatory authority, such as a “black box” warning;</w:t>
      </w:r>
    </w:p>
    <w:p>
      <w:pPr>
        <w:spacing w:after="0" w:line="170" w:lineRule="exact"/>
        <w:rPr>
          <w:rFonts w:ascii="Arial" w:cs="Arial" w:eastAsia="Arial" w:hAnsi="Arial"/>
          <w:sz w:val="20"/>
          <w:szCs w:val="20"/>
          <w:color w:val="auto"/>
        </w:rPr>
      </w:pPr>
    </w:p>
    <w:p>
      <w:pPr>
        <w:ind w:left="720" w:hanging="353"/>
        <w:spacing w:after="0" w:line="283" w:lineRule="auto"/>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availability of alternative treatments, including any competitive therapies in development that could be approved or commercially launched prior to approval of our product candidates;</w:t>
      </w:r>
    </w:p>
    <w:p>
      <w:pPr>
        <w:spacing w:after="0" w:line="171" w:lineRule="exact"/>
        <w:rPr>
          <w:rFonts w:ascii="Arial" w:cs="Arial" w:eastAsia="Arial" w:hAnsi="Arial"/>
          <w:sz w:val="20"/>
          <w:szCs w:val="20"/>
          <w:color w:val="auto"/>
        </w:rPr>
      </w:pPr>
    </w:p>
    <w:p>
      <w:pPr>
        <w:ind w:left="720" w:right="400" w:hanging="353"/>
        <w:spacing w:after="0" w:line="283" w:lineRule="auto"/>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willingness of the target patient population to try new therapies and of physicians to prescribe these therapies;</w:t>
      </w:r>
    </w:p>
    <w:p>
      <w:pPr>
        <w:spacing w:after="0" w:line="170" w:lineRule="exact"/>
        <w:rPr>
          <w:rFonts w:ascii="Arial" w:cs="Arial" w:eastAsia="Arial" w:hAnsi="Arial"/>
          <w:sz w:val="20"/>
          <w:szCs w:val="20"/>
          <w:color w:val="auto"/>
        </w:rPr>
      </w:pPr>
    </w:p>
    <w:p>
      <w:pPr>
        <w:ind w:left="720" w:right="360" w:hanging="353"/>
        <w:spacing w:after="0" w:line="283" w:lineRule="auto"/>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strength of marketing and distribution support and timing of market introduction of competitive products;</w:t>
      </w:r>
    </w:p>
    <w:p>
      <w:pPr>
        <w:spacing w:after="0" w:line="171" w:lineRule="exact"/>
        <w:rPr>
          <w:rFonts w:ascii="Arial" w:cs="Arial" w:eastAsia="Arial" w:hAnsi="Arial"/>
          <w:sz w:val="20"/>
          <w:szCs w:val="20"/>
          <w:color w:val="auto"/>
        </w:rPr>
      </w:pPr>
    </w:p>
    <w:p>
      <w:pPr>
        <w:ind w:left="720" w:hanging="353"/>
        <w:spacing w:after="0"/>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pricing;</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payor acceptance;</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impact of any future changes to the United States healthcare system;</w:t>
      </w:r>
    </w:p>
    <w:p>
      <w:pPr>
        <w:spacing w:after="0" w:line="252" w:lineRule="exact"/>
        <w:rPr>
          <w:rFonts w:ascii="Arial" w:cs="Arial" w:eastAsia="Arial" w:hAnsi="Arial"/>
          <w:sz w:val="20"/>
          <w:szCs w:val="20"/>
          <w:color w:val="auto"/>
        </w:rPr>
      </w:pPr>
    </w:p>
    <w:p>
      <w:pPr>
        <w:ind w:left="720" w:hanging="353"/>
        <w:spacing w:after="0"/>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effectiveness of our sales and marketing strategies; and</w:t>
      </w:r>
    </w:p>
    <w:p>
      <w:pPr>
        <w:spacing w:after="0" w:line="253" w:lineRule="exact"/>
        <w:rPr>
          <w:rFonts w:ascii="Arial" w:cs="Arial" w:eastAsia="Arial" w:hAnsi="Arial"/>
          <w:sz w:val="20"/>
          <w:szCs w:val="20"/>
          <w:color w:val="auto"/>
        </w:rPr>
      </w:pPr>
    </w:p>
    <w:p>
      <w:pPr>
        <w:ind w:left="720" w:right="40" w:hanging="353"/>
        <w:spacing w:after="0" w:line="262" w:lineRule="auto"/>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177"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If CNTY-101 or any of our other product candidates are approved but do not achieve an adequate level of acceptance by patients, advocacy groups, physicians and payors, we may not generate sufficient revenue to become or remain profitable and our business, financial condition, and results of operations could be materially adversely affected. Our efforts to educate the medical community and third-party payors about the benefits of CNTY-101 and our other product candidates may require significant resources and may never be successful.</w:t>
      </w:r>
    </w:p>
    <w:p>
      <w:pPr>
        <w:spacing w:after="0" w:line="198" w:lineRule="exact"/>
        <w:rPr>
          <w:sz w:val="20"/>
          <w:szCs w:val="20"/>
          <w:color w:val="auto"/>
        </w:rPr>
      </w:pPr>
    </w:p>
    <w:p>
      <w:pPr>
        <w:ind w:right="380"/>
        <w:spacing w:after="0" w:line="265" w:lineRule="auto"/>
        <w:rPr>
          <w:sz w:val="20"/>
          <w:szCs w:val="20"/>
          <w:color w:val="auto"/>
        </w:rPr>
      </w:pPr>
      <w:r>
        <w:rPr>
          <w:rFonts w:ascii="Arial" w:cs="Arial" w:eastAsia="Arial" w:hAnsi="Arial"/>
          <w:sz w:val="20"/>
          <w:szCs w:val="20"/>
          <w:b w:val="1"/>
          <w:bCs w:val="1"/>
          <w:i w:val="1"/>
          <w:iCs w:val="1"/>
          <w:color w:val="auto"/>
        </w:rPr>
        <w:t>Even if we receive marketing approval for CNTY-101 or our other product candidates in the United States, we may never receive regulatory approval to market CNTY-101 or our other product candidates outside of the United States.</w:t>
      </w:r>
    </w:p>
    <w:p>
      <w:pPr>
        <w:spacing w:after="0" w:line="16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 order to market any product outside of the United States, we must establish and comply with the numerous and varying safety, efficacy, and other regulatory requirements of other jurisdictions, including potential additional clinical trials and/or preclinical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jurisdictions outside of the United States, products must receive pricing and reimbursement approval before the product can be commercialized. Obtaining this approval can result in substantial delays in bringing products to market in such jurisdictions.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jurisdictions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ectPr>
          <w:pgSz w:w="11880" w:h="15480" w:orient="portrait"/>
          <w:cols w:equalWidth="0" w:num="1">
            <w:col w:w="9680"/>
          </w:cols>
          <w:pgMar w:left="1080" w:top="1081"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81</w:t>
      </w:r>
    </w:p>
    <w:p>
      <w:pPr>
        <w:sectPr>
          <w:pgSz w:w="11880" w:h="15480" w:orient="portrait"/>
          <w:cols w:equalWidth="0" w:num="1">
            <w:col w:w="9680"/>
          </w:cols>
          <w:pgMar w:left="1080" w:top="1081" w:right="1120" w:bottom="542" w:gutter="0" w:footer="0" w:header="0"/>
          <w:type w:val="continuous"/>
        </w:sectPr>
      </w:pPr>
    </w:p>
    <w:bookmarkStart w:id="81" w:name="page82"/>
    <w:bookmarkEnd w:id="81"/>
    <w:p>
      <w:pPr>
        <w:ind w:right="380"/>
        <w:spacing w:after="0" w:line="265" w:lineRule="auto"/>
        <w:rPr>
          <w:sz w:val="20"/>
          <w:szCs w:val="20"/>
          <w:color w:val="auto"/>
        </w:rPr>
      </w:pPr>
      <w:r>
        <w:rPr>
          <w:rFonts w:ascii="Arial" w:cs="Arial" w:eastAsia="Arial" w:hAnsi="Arial"/>
          <w:sz w:val="20"/>
          <w:szCs w:val="20"/>
          <w:b w:val="1"/>
          <w:bCs w:val="1"/>
          <w:i w:val="1"/>
          <w:iCs w:val="1"/>
          <w:color w:val="auto"/>
        </w:rPr>
        <w:t>We may be unable to establish effective marketing, sales and distribution capabilities or enter into agreements with third parties to market and sell CNTY-101 or our other product candidates, if approved.</w:t>
      </w:r>
    </w:p>
    <w:p>
      <w:pPr>
        <w:spacing w:after="0" w:line="164" w:lineRule="exact"/>
        <w:rPr>
          <w:sz w:val="20"/>
          <w:szCs w:val="20"/>
          <w:color w:val="auto"/>
        </w:rPr>
      </w:pPr>
    </w:p>
    <w:p>
      <w:pPr>
        <w:ind w:firstLine="1"/>
        <w:spacing w:after="0" w:line="243" w:lineRule="auto"/>
        <w:rPr>
          <w:sz w:val="20"/>
          <w:szCs w:val="20"/>
          <w:color w:val="auto"/>
        </w:rPr>
      </w:pPr>
      <w:r>
        <w:rPr>
          <w:rFonts w:ascii="Arial" w:cs="Arial" w:eastAsia="Arial" w:hAnsi="Arial"/>
          <w:sz w:val="20"/>
          <w:szCs w:val="20"/>
          <w:color w:val="auto"/>
        </w:rPr>
        <w:t>We currently do not have a commercial infrastructure for the marketing, sale, and distribution of CNTY-101, or our other product candidates. If CNTY-101 or our other product candidates receive marketing approval, we intend to commercialize such product candidates in the United States and potentially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FDA’s or comparable foreign regulatory authority’s requirements or for other reasons, we would incur these expenses prior to being able to realize any revenue from sales of CNTY-101 and our other product candidates. Even if we are able to effectively hire a sales force and develop a marketing and sales infrastructure, our sales force and marketing teams may not be successful in commercializing CNTY-101 or our other product candidates. This may be costly, and our investment would be lost if we cannot retain or reposition our sales and marketing personnel.</w:t>
      </w:r>
    </w:p>
    <w:p>
      <w:pPr>
        <w:spacing w:after="0" w:line="204"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9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time-consuming and could delay any product launch, and we may not be able to successfully develop this capability. We will have to compete with other biopharmaceutical and pharmaceutical companies to recruit, hire, train, manage, and retain marketing and sales personnel, which is expensive and time-consuming and could delay any product launch. Developing our sales capabilities may also divert resources and management attention away from product development.</w:t>
      </w:r>
    </w:p>
    <w:p>
      <w:pPr>
        <w:spacing w:after="0" w:line="195" w:lineRule="exact"/>
        <w:rPr>
          <w:sz w:val="20"/>
          <w:szCs w:val="20"/>
          <w:color w:val="auto"/>
        </w:rPr>
      </w:pPr>
    </w:p>
    <w:p>
      <w:pPr>
        <w:ind w:right="380"/>
        <w:spacing w:after="0" w:line="254" w:lineRule="auto"/>
        <w:rPr>
          <w:sz w:val="20"/>
          <w:szCs w:val="20"/>
          <w:color w:val="auto"/>
        </w:rPr>
      </w:pPr>
      <w:r>
        <w:rPr>
          <w:rFonts w:ascii="Arial" w:cs="Arial" w:eastAsia="Arial" w:hAnsi="Arial"/>
          <w:sz w:val="20"/>
          <w:szCs w:val="20"/>
          <w:color w:val="auto"/>
        </w:rPr>
        <w:t>In the event we are unable to develop a marketing and sales infrastructure, we may not be able to commercialize CNTY-101 or our other product candidates, if approved, in the United States or elsewhere, which could limit our ability to generate product revenues and materially harm our business, financial condition, results of operations, and prospects.</w:t>
      </w:r>
    </w:p>
    <w:p>
      <w:pPr>
        <w:spacing w:after="0" w:line="190" w:lineRule="exact"/>
        <w:rPr>
          <w:sz w:val="20"/>
          <w:szCs w:val="20"/>
          <w:color w:val="auto"/>
        </w:rPr>
      </w:pPr>
    </w:p>
    <w:p>
      <w:pPr>
        <w:ind w:right="320"/>
        <w:spacing w:after="0" w:line="265" w:lineRule="auto"/>
        <w:rPr>
          <w:sz w:val="20"/>
          <w:szCs w:val="20"/>
          <w:color w:val="auto"/>
        </w:rPr>
      </w:pPr>
      <w:r>
        <w:rPr>
          <w:rFonts w:ascii="Arial" w:cs="Arial" w:eastAsia="Arial" w:hAnsi="Arial"/>
          <w:sz w:val="20"/>
          <w:szCs w:val="20"/>
          <w:b w:val="1"/>
          <w:bCs w:val="1"/>
          <w:i w:val="1"/>
          <w:iCs w:val="1"/>
          <w:color w:val="auto"/>
        </w:rPr>
        <w:t>If the market opportunities for our product candidates for which we receive marketing approval are smaller than we believe they are, our revenue may be adversely affected, and our business may suffer.</w:t>
      </w:r>
    </w:p>
    <w:p>
      <w:pPr>
        <w:spacing w:after="0" w:line="164"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focus our research and product development on differentiating engineered iPSC into NK-, T- , or other immune cells for the treatment of various cancers and autoimmune diseases. Our projections of both the number of people who have these cancers or autoimmune diseases, as well as the subset of people with these cancers or autoimmune diseases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such cancers.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w:t>
      </w:r>
    </w:p>
    <w:p>
      <w:pPr>
        <w:sectPr>
          <w:pgSz w:w="11880" w:h="15480" w:orient="portrait"/>
          <w:cols w:equalWidth="0" w:num="1">
            <w:col w:w="9720"/>
          </w:cols>
          <w:pgMar w:left="1080" w:top="1071" w:right="1080" w:bottom="542"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880" w:h="15480" w:orient="portrait"/>
          <w:cols w:equalWidth="0" w:num="1">
            <w:col w:w="9720"/>
          </w:cols>
          <w:pgMar w:left="1080" w:top="1071" w:right="1080" w:bottom="542" w:gutter="0" w:footer="0" w:header="0"/>
          <w:type w:val="continuous"/>
        </w:sectPr>
      </w:pPr>
    </w:p>
    <w:bookmarkStart w:id="82" w:name="page83"/>
    <w:bookmarkEnd w:id="82"/>
    <w:p>
      <w:pPr>
        <w:ind w:right="340"/>
        <w:spacing w:after="0" w:line="248" w:lineRule="auto"/>
        <w:rPr>
          <w:sz w:val="20"/>
          <w:szCs w:val="20"/>
          <w:color w:val="auto"/>
        </w:rPr>
      </w:pPr>
      <w:r>
        <w:rPr>
          <w:rFonts w:ascii="Arial" w:cs="Arial" w:eastAsia="Arial" w:hAnsi="Arial"/>
          <w:sz w:val="20"/>
          <w:szCs w:val="20"/>
          <w:color w:val="auto"/>
        </w:rPr>
        <w:t>our product candidates relative to such alternative treatments, acceptance by the medical community and patient access, drug and biologic pricing, and reimbursement. The number of patients in the United States and other major markets and elsewhere may turn out to be lower than expected, patients may not be otherwise amenable to treatment with our product candidates, for which we receive marketing approval, or new patients may become increasingly difficult to identify or gain access to, all of which would adversely affect our results of operations and our business.</w:t>
      </w:r>
    </w:p>
    <w:p>
      <w:pPr>
        <w:spacing w:after="0" w:line="198" w:lineRule="exact"/>
        <w:rPr>
          <w:sz w:val="20"/>
          <w:szCs w:val="20"/>
          <w:color w:val="auto"/>
        </w:rPr>
      </w:pPr>
    </w:p>
    <w:p>
      <w:pPr>
        <w:ind w:right="60"/>
        <w:spacing w:after="0" w:line="265" w:lineRule="auto"/>
        <w:rPr>
          <w:sz w:val="20"/>
          <w:szCs w:val="20"/>
          <w:color w:val="auto"/>
        </w:rPr>
      </w:pPr>
      <w:r>
        <w:rPr>
          <w:rFonts w:ascii="Arial" w:cs="Arial" w:eastAsia="Arial" w:hAnsi="Arial"/>
          <w:sz w:val="20"/>
          <w:szCs w:val="20"/>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64"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91" w:lineRule="exact"/>
        <w:rPr>
          <w:sz w:val="20"/>
          <w:szCs w:val="20"/>
          <w:color w:val="auto"/>
        </w:rPr>
      </w:pPr>
    </w:p>
    <w:p>
      <w:pPr>
        <w:ind w:left="720" w:right="300" w:hanging="353"/>
        <w:spacing w:after="0" w:line="261" w:lineRule="auto"/>
        <w:tabs>
          <w:tab w:leader="none" w:pos="7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timing and cost of, and level of investment in, research, development, regulatory approval, and commercialization activities relating to CNTY-101 and our other product candidates, which may change from time to time;</w:t>
      </w:r>
    </w:p>
    <w:p>
      <w:pPr>
        <w:spacing w:after="0" w:line="192" w:lineRule="exact"/>
        <w:rPr>
          <w:rFonts w:ascii="Arial" w:cs="Arial" w:eastAsia="Arial" w:hAnsi="Arial"/>
          <w:sz w:val="20"/>
          <w:szCs w:val="20"/>
          <w:color w:val="auto"/>
        </w:rPr>
      </w:pPr>
    </w:p>
    <w:p>
      <w:pPr>
        <w:ind w:left="720" w:right="120" w:hanging="353"/>
        <w:spacing w:after="0" w:line="283" w:lineRule="auto"/>
        <w:tabs>
          <w:tab w:leader="none" w:pos="7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coverage and reimbursement policies with respect to CNTY-101 and our other product candidates, if approved, and potential future drugs or biologics that compete with our products;</w:t>
      </w:r>
    </w:p>
    <w:p>
      <w:pPr>
        <w:spacing w:after="0" w:line="170" w:lineRule="exact"/>
        <w:rPr>
          <w:rFonts w:ascii="Arial" w:cs="Arial" w:eastAsia="Arial" w:hAnsi="Arial"/>
          <w:sz w:val="20"/>
          <w:szCs w:val="20"/>
          <w:color w:val="auto"/>
        </w:rPr>
      </w:pPr>
    </w:p>
    <w:p>
      <w:pPr>
        <w:ind w:left="720" w:right="280" w:hanging="353"/>
        <w:spacing w:after="0" w:line="283" w:lineRule="auto"/>
        <w:tabs>
          <w:tab w:leader="none" w:pos="7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cost of manufacturing CNTY-101 and our other product candidates, which may vary depending on the quantity of production and the terms of our agreements with CMOs;</w:t>
      </w:r>
    </w:p>
    <w:p>
      <w:pPr>
        <w:spacing w:after="0" w:line="171" w:lineRule="exact"/>
        <w:rPr>
          <w:rFonts w:ascii="Arial" w:cs="Arial" w:eastAsia="Arial" w:hAnsi="Arial"/>
          <w:sz w:val="20"/>
          <w:szCs w:val="20"/>
          <w:color w:val="auto"/>
        </w:rPr>
      </w:pPr>
    </w:p>
    <w:p>
      <w:pPr>
        <w:ind w:left="720" w:right="240" w:hanging="353"/>
        <w:spacing w:after="0" w:line="283" w:lineRule="auto"/>
        <w:tabs>
          <w:tab w:leader="none" w:pos="7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timing and amount of the milestone or other payments we must make to the licensors and other third parties from whom we have in-licensed or acquired our product candidates;</w:t>
      </w:r>
    </w:p>
    <w:p>
      <w:pPr>
        <w:spacing w:after="0" w:line="170" w:lineRule="exact"/>
        <w:rPr>
          <w:rFonts w:ascii="Arial" w:cs="Arial" w:eastAsia="Arial" w:hAnsi="Arial"/>
          <w:sz w:val="20"/>
          <w:szCs w:val="20"/>
          <w:color w:val="auto"/>
        </w:rPr>
      </w:pPr>
    </w:p>
    <w:p>
      <w:pPr>
        <w:ind w:left="720" w:hanging="353"/>
        <w:spacing w:after="0"/>
        <w:tabs>
          <w:tab w:leader="none" w:pos="7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level of demand for any approved products, which may vary significantly;</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future accounting pronouncements or changes in our accounting policies; and</w:t>
      </w:r>
    </w:p>
    <w:p>
      <w:pPr>
        <w:spacing w:after="0" w:line="253" w:lineRule="exact"/>
        <w:rPr>
          <w:rFonts w:ascii="Arial" w:cs="Arial" w:eastAsia="Arial" w:hAnsi="Arial"/>
          <w:sz w:val="20"/>
          <w:szCs w:val="20"/>
          <w:color w:val="auto"/>
        </w:rPr>
      </w:pPr>
    </w:p>
    <w:p>
      <w:pPr>
        <w:ind w:left="720" w:right="420" w:hanging="353"/>
        <w:spacing w:after="0" w:line="283" w:lineRule="auto"/>
        <w:tabs>
          <w:tab w:leader="none" w:pos="7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other change in the competitive landscape of our industry, including consolidation among our competitors or partners.</w:t>
      </w:r>
    </w:p>
    <w:p>
      <w:pPr>
        <w:spacing w:after="0" w:line="157"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The cumulative effects of these factors could result in large fluctuations and unpredictability in our quarterly and annual operating results. As a result, comparing our operating results on a period-to- period basis may not be meaningful. Investors should not rely on our past results as an indication of our future performance.</w:t>
      </w:r>
    </w:p>
    <w:p>
      <w:pPr>
        <w:spacing w:after="0" w:line="177"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880" w:h="15480" w:orient="portrait"/>
          <w:cols w:equalWidth="0" w:num="1">
            <w:col w:w="9720"/>
          </w:cols>
          <w:pgMar w:left="1080" w:top="1067" w:right="1080" w:bottom="542" w:gutter="0" w:footer="0" w:header="0"/>
          <w:type w:val="continuous"/>
        </w:sectPr>
      </w:pPr>
    </w:p>
    <w:bookmarkStart w:id="83" w:name="page84"/>
    <w:bookmarkEnd w:id="83"/>
    <w:p>
      <w:pPr>
        <w:spacing w:after="0"/>
        <w:rPr>
          <w:sz w:val="20"/>
          <w:szCs w:val="20"/>
          <w:color w:val="auto"/>
        </w:rPr>
      </w:pPr>
      <w:r>
        <w:rPr>
          <w:rFonts w:ascii="Arial" w:cs="Arial" w:eastAsia="Arial" w:hAnsi="Arial"/>
          <w:sz w:val="20"/>
          <w:szCs w:val="20"/>
          <w:b w:val="1"/>
          <w:bCs w:val="1"/>
          <w:color w:val="auto"/>
        </w:rPr>
        <w:t>Risks related to employee matters, managing growth and other risks related to our business</w:t>
      </w:r>
    </w:p>
    <w:p>
      <w:pPr>
        <w:spacing w:after="0" w:line="247"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64"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Our success depends in part on our continued ability to attract, retain, and motivate highly qualified management, clinical, and scientific personnel, many of whom have been instrumental for us and have substantial experience with our iPSC-derived allogeneic cell therapy platforms, underlying technologies, and related product candidates. Given the specialized nature of our iPSC-derived allogeneic cell therapy platforms and the fact that ours is a novel and emerging field, there is an inherent scarcity of experienced personnel in this field. As we continue developing our product candidates in our pipeline, we will require personnel with medical, scientific, or technical qualifications specific to each program.</w:t>
      </w:r>
    </w:p>
    <w:p>
      <w:pPr>
        <w:spacing w:after="0" w:line="194"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We are highly dependent upon our senior management, particularly Brent Pfeiffenberger, Pharm.D., our Chief Executive Officer, as well as our senior scientists and other members of our executive team. The loss of services of any of these individuals could delay or prevent the successful development of our product pipeline, initiation or completion of our planned clinical trials, or the commercialization of CNTY- 101 and our other product candidates.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96"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Our research and development programs, clinical operations, and sales and marketing efforts depend on our ability to attract and retain highly skilled scientists, engineers, and sales professionals. The competition for qualified personnel in the biotechnology and pharmaceutical industries is intense,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208" w:lineRule="exact"/>
        <w:rPr>
          <w:sz w:val="20"/>
          <w:szCs w:val="20"/>
          <w:color w:val="auto"/>
        </w:rPr>
      </w:pPr>
    </w:p>
    <w:p>
      <w:pPr>
        <w:ind w:right="840"/>
        <w:spacing w:after="0" w:line="289" w:lineRule="auto"/>
        <w:rPr>
          <w:sz w:val="20"/>
          <w:szCs w:val="20"/>
          <w:color w:val="auto"/>
        </w:rPr>
      </w:pPr>
      <w:r>
        <w:rPr>
          <w:rFonts w:ascii="Arial" w:cs="Arial" w:eastAsia="Arial" w:hAnsi="Arial"/>
          <w:sz w:val="20"/>
          <w:szCs w:val="20"/>
          <w:b w:val="1"/>
          <w:bCs w:val="1"/>
          <w:i w:val="1"/>
          <w:iCs w:val="1"/>
          <w:color w:val="auto"/>
        </w:rPr>
        <w:t>We will need to increase the size and capabilities of our organization, and we may experience difficulties in managing our growth.</w:t>
      </w:r>
    </w:p>
    <w:p>
      <w:pPr>
        <w:spacing w:after="0" w:line="14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As of March 1, 2025, we had 150 employees and consultants and most of our employees are full-time. As our development and commercialization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206" w:lineRule="exact"/>
        <w:rPr>
          <w:sz w:val="20"/>
          <w:szCs w:val="20"/>
          <w:color w:val="auto"/>
        </w:rPr>
      </w:pPr>
    </w:p>
    <w:p>
      <w:pPr>
        <w:ind w:left="720" w:hanging="353"/>
        <w:spacing w:after="0"/>
        <w:tabs>
          <w:tab w:leader="none" w:pos="7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identifying, recruiting, integrating, maintaining, and motivating additional employees;</w:t>
      </w:r>
    </w:p>
    <w:p>
      <w:pPr>
        <w:spacing w:after="0" w:line="253" w:lineRule="exact"/>
        <w:rPr>
          <w:rFonts w:ascii="Arial" w:cs="Arial" w:eastAsia="Arial" w:hAnsi="Arial"/>
          <w:sz w:val="20"/>
          <w:szCs w:val="20"/>
          <w:color w:val="auto"/>
        </w:rPr>
      </w:pPr>
    </w:p>
    <w:p>
      <w:pPr>
        <w:ind w:left="720" w:right="240" w:hanging="353"/>
        <w:spacing w:after="0" w:line="261" w:lineRule="auto"/>
        <w:tabs>
          <w:tab w:leader="none" w:pos="7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managing our internal development efforts effectively, including additional clinical and FDA or other comparable authority review process for CNTY-101 and our other product candidates, while complying with our contractual obligations to contractors and other third parties; and</w:t>
      </w:r>
    </w:p>
    <w:p>
      <w:pPr>
        <w:spacing w:after="0" w:line="192" w:lineRule="exact"/>
        <w:rPr>
          <w:rFonts w:ascii="Arial" w:cs="Arial" w:eastAsia="Arial" w:hAnsi="Arial"/>
          <w:sz w:val="20"/>
          <w:szCs w:val="20"/>
          <w:color w:val="auto"/>
        </w:rPr>
      </w:pPr>
    </w:p>
    <w:p>
      <w:pPr>
        <w:ind w:left="720" w:hanging="353"/>
        <w:spacing w:after="0"/>
        <w:tabs>
          <w:tab w:leader="none" w:pos="7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improving our operational, financial, and management controls, reporting systems, and procedures.</w:t>
      </w:r>
    </w:p>
    <w:p>
      <w:pPr>
        <w:sectPr>
          <w:pgSz w:w="11880" w:h="15480" w:orient="portrait"/>
          <w:cols w:equalWidth="0" w:num="1">
            <w:col w:w="9720"/>
          </w:cols>
          <w:pgMar w:left="1080" w:top="1064" w:right="1080" w:bottom="542"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880" w:h="15480" w:orient="portrait"/>
          <w:cols w:equalWidth="0" w:num="1">
            <w:col w:w="9720"/>
          </w:cols>
          <w:pgMar w:left="1080" w:top="1064" w:right="1080" w:bottom="542" w:gutter="0" w:footer="0" w:header="0"/>
          <w:type w:val="continuous"/>
        </w:sectPr>
      </w:pPr>
    </w:p>
    <w:bookmarkStart w:id="84" w:name="page85"/>
    <w:bookmarkEnd w:id="84"/>
    <w:p>
      <w:pPr>
        <w:ind w:right="120"/>
        <w:spacing w:after="0" w:line="250" w:lineRule="auto"/>
        <w:rPr>
          <w:sz w:val="20"/>
          <w:szCs w:val="20"/>
          <w:color w:val="auto"/>
        </w:rPr>
      </w:pPr>
      <w:r>
        <w:rPr>
          <w:rFonts w:ascii="Arial" w:cs="Arial" w:eastAsia="Arial" w:hAnsi="Arial"/>
          <w:sz w:val="20"/>
          <w:szCs w:val="20"/>
          <w:color w:val="auto"/>
        </w:rPr>
        <w:t>Our future financial performance and our ability to commercialize CNTY-101 and our other product candidates, if approved, will depend, in part, on our ability to effectively manage any future growth, and our management may also have to divert a disproportionate amount of its attention away from day-to-day activities in order to devote a substantial amount of time to managing these growth activities. In addition, we expect to incur additional costs in hiring, training, and retaining such additional personnel.</w:t>
      </w:r>
    </w:p>
    <w:p>
      <w:pPr>
        <w:spacing w:after="0" w:line="193" w:lineRule="exact"/>
        <w:rPr>
          <w:sz w:val="20"/>
          <w:szCs w:val="20"/>
          <w:color w:val="auto"/>
        </w:rPr>
      </w:pPr>
    </w:p>
    <w:p>
      <w:pPr>
        <w:jc w:val="both"/>
        <w:ind w:right="100"/>
        <w:spacing w:after="0" w:line="254" w:lineRule="auto"/>
        <w:rPr>
          <w:sz w:val="20"/>
          <w:szCs w:val="20"/>
          <w:color w:val="auto"/>
        </w:rPr>
      </w:pPr>
      <w:r>
        <w:rPr>
          <w:rFonts w:ascii="Arial" w:cs="Arial" w:eastAsia="Arial" w:hAnsi="Arial"/>
          <w:sz w:val="20"/>
          <w:szCs w:val="20"/>
          <w:color w:val="auto"/>
        </w:rPr>
        <w:t>If we are not able to effectively expand our organization by hiring new employees and expanding our groups of consultants and contractors, we may not be able to successfully implement the tasks necessary to further develop and commercialize CNTY-101 and our other product candidates and, accordingly, may not achieve our research, development, and commercialization goals.</w:t>
      </w:r>
    </w:p>
    <w:p>
      <w:pPr>
        <w:spacing w:after="0" w:line="190" w:lineRule="exact"/>
        <w:rPr>
          <w:sz w:val="20"/>
          <w:szCs w:val="20"/>
          <w:color w:val="auto"/>
        </w:rPr>
      </w:pPr>
    </w:p>
    <w:p>
      <w:pPr>
        <w:jc w:val="both"/>
        <w:ind w:right="180"/>
        <w:spacing w:after="0" w:line="265" w:lineRule="auto"/>
        <w:rPr>
          <w:sz w:val="20"/>
          <w:szCs w:val="20"/>
          <w:color w:val="auto"/>
        </w:rPr>
      </w:pPr>
      <w:r>
        <w:rPr>
          <w:rFonts w:ascii="Arial" w:cs="Arial" w:eastAsia="Arial" w:hAnsi="Arial"/>
          <w:sz w:val="20"/>
          <w:szCs w:val="20"/>
          <w:b w:val="1"/>
          <w:bCs w:val="1"/>
          <w:i w:val="1"/>
          <w:iCs w:val="1"/>
          <w:color w:val="auto"/>
        </w:rPr>
        <w:t>Any pandemic, epidemic, or outbreak of an infectious disease, may materially and adversely affect our business and our financial results and could cause a disruption to the development of our drug candidates.</w:t>
      </w:r>
    </w:p>
    <w:p>
      <w:pPr>
        <w:spacing w:after="0" w:line="164"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Public health crises, such as pandemics or similar outbreaks, could adversely impact our business. For example, we experienced modest delays in our discovery and development activities as a result of the COVID-19 pandemic, primarily due to temporary and partial shutdowns at certain of our CROs and academic institutions that have since resumed operations, and due to governmental responses to the pandemic. Any future pandemic, epidemic or outbreak of an infectious disease could have similar effects. Furthermore, economic recessions, increased inflation and/or interest rates, and any disruptions to our operations or workforce availability, including those brought on by the effects of a health epidemic may have a negative effect on our operating results. The foregoing could result in an adverse effect on our business, results of operations, financial condition and cash flows.</w:t>
      </w:r>
    </w:p>
    <w:p>
      <w:pPr>
        <w:spacing w:after="0" w:line="188"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color w:val="auto"/>
        </w:rPr>
        <w:t>Potential disruptions to our preclinical and clinical development efforts related to future outbreaks or pandemics may include, but are not limited to, disruptions in our supply chain and our ability to procure the components for each of our product candidates for use in preclinical studies and clinical trials and enrolling patients in clinical trials. We are unable to predict if a future outbreak or pandemic could have similar or different impacts on our preclinical studies, clinical trials, business, financial condition, and results of operations.</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20"/>
          <w:szCs w:val="20"/>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67"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Our business operations and current and future arrangements with investigators, healthcare professionals, consultants, third-party payors, and customers expose us to broadly applicable foreign, federal and state fraud and abuse, and other healthcare and privacy laws and regulations, including, without limitation, the federal Anti-Kickback Statute and the federal False Claims Act, or FCA, which may constrain the business or financial arrangements and relationships through which such companies conduct research, sell, market and distribute pharmaceutical products.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For additional information on coverage and reimbursement, see the section entitled “Business—Government Regulation—Healthcare laws and regulations.”</w:t>
      </w:r>
    </w:p>
    <w:p>
      <w:pPr>
        <w:spacing w:after="0" w:line="203"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Ensuring that our internal operations and business arrangements with third parties comply with applicable healthcare laws and regulations involves substantial costs. It is possible that governmental authorities will conclude that our business practices, including any consulting and advisory board arrangements with physicians and other healthcare providers, do not comply with current or future statutes, regulations, agency</w:t>
      </w:r>
    </w:p>
    <w:p>
      <w:pPr>
        <w:sectPr>
          <w:pgSz w:w="11880" w:h="15480" w:orient="portrait"/>
          <w:cols w:equalWidth="0" w:num="1">
            <w:col w:w="9640"/>
          </w:cols>
          <w:pgMar w:left="1080" w:top="1067" w:right="1160" w:bottom="542"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85</w:t>
      </w:r>
    </w:p>
    <w:p>
      <w:pPr>
        <w:sectPr>
          <w:pgSz w:w="11880" w:h="15480" w:orient="portrait"/>
          <w:cols w:equalWidth="0" w:num="1">
            <w:col w:w="9640"/>
          </w:cols>
          <w:pgMar w:left="1080" w:top="1067" w:right="1160" w:bottom="542" w:gutter="0" w:footer="0" w:header="0"/>
          <w:type w:val="continuous"/>
        </w:sectPr>
      </w:pPr>
    </w:p>
    <w:bookmarkStart w:id="85" w:name="page86"/>
    <w:bookmarkEnd w:id="85"/>
    <w:p>
      <w:pPr>
        <w:ind w:right="40"/>
        <w:spacing w:after="0" w:line="243" w:lineRule="auto"/>
        <w:rPr>
          <w:sz w:val="20"/>
          <w:szCs w:val="20"/>
          <w:color w:val="auto"/>
        </w:rPr>
      </w:pPr>
      <w:r>
        <w:rPr>
          <w:rFonts w:ascii="Arial" w:cs="Arial" w:eastAsia="Arial" w:hAnsi="Arial"/>
          <w:sz w:val="20"/>
          <w:szCs w:val="20"/>
          <w:color w:val="auto"/>
        </w:rPr>
        <w:t>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United States government funded healthcare programs, such as Medicare and Medicaid, or similar programs in other countries or jurisdictions, disgorgement, individual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202" w:lineRule="exact"/>
        <w:rPr>
          <w:sz w:val="20"/>
          <w:szCs w:val="20"/>
          <w:color w:val="auto"/>
        </w:rPr>
      </w:pPr>
    </w:p>
    <w:p>
      <w:pPr>
        <w:ind w:right="520"/>
        <w:spacing w:after="0" w:line="265" w:lineRule="auto"/>
        <w:rPr>
          <w:sz w:val="20"/>
          <w:szCs w:val="20"/>
          <w:color w:val="auto"/>
        </w:rPr>
      </w:pPr>
      <w:r>
        <w:rPr>
          <w:rFonts w:ascii="Arial" w:cs="Arial" w:eastAsia="Arial" w:hAnsi="Arial"/>
          <w:sz w:val="20"/>
          <w:szCs w:val="20"/>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164"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products and product candidates, if approved.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For additional information on coverage and reimbursement, see the section entitled “Business – Government Regulation – Healthcare reform”.</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and maintain profitability of our product and product candidates, if approved.</w:t>
      </w:r>
    </w:p>
    <w:p>
      <w:pPr>
        <w:spacing w:after="0" w:line="187"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CNTY- 101 or any future product candidates may lose any marketing approval that may have been obtained and we may not achieve or sustain profitability, which would materially adversely affect our business, financial condition, and results of operations.</w:t>
      </w:r>
    </w:p>
    <w:p>
      <w:pPr>
        <w:spacing w:after="0" w:line="197" w:lineRule="exact"/>
        <w:rPr>
          <w:sz w:val="20"/>
          <w:szCs w:val="20"/>
          <w:color w:val="auto"/>
        </w:rPr>
      </w:pPr>
    </w:p>
    <w:p>
      <w:pPr>
        <w:ind w:right="660"/>
        <w:spacing w:after="0" w:line="289" w:lineRule="auto"/>
        <w:rPr>
          <w:sz w:val="20"/>
          <w:szCs w:val="20"/>
          <w:color w:val="auto"/>
        </w:rPr>
      </w:pPr>
      <w:r>
        <w:rPr>
          <w:rFonts w:ascii="Arial" w:cs="Arial" w:eastAsia="Arial" w:hAnsi="Arial"/>
          <w:sz w:val="20"/>
          <w:szCs w:val="20"/>
          <w:b w:val="1"/>
          <w:bCs w:val="1"/>
          <w:i w:val="1"/>
          <w:iCs w:val="1"/>
          <w:color w:val="auto"/>
        </w:rPr>
        <w:t>If we fail to maintain proper and effective internal controls over financial reporting our ability to produce accurate and timely financial statements could be impaired.</w:t>
      </w:r>
    </w:p>
    <w:p>
      <w:pPr>
        <w:spacing w:after="0" w:line="142"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We are required to maintain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in our Annual Reports on Form 10-K, as required by Section 404 of the Sarbanes- Oxley Act of 2002, or the Sarbanes-Oxley Act. This has required us to incur substantial additional professional fees and internal costs to expand our</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86</w:t>
      </w:r>
    </w:p>
    <w:p>
      <w:pPr>
        <w:sectPr>
          <w:pgSz w:w="11880" w:h="15480" w:orient="portrait"/>
          <w:cols w:equalWidth="0" w:num="1">
            <w:col w:w="9700"/>
          </w:cols>
          <w:pgMar w:left="1080" w:top="1067" w:right="1100" w:bottom="542" w:gutter="0" w:footer="0" w:header="0"/>
          <w:type w:val="continuous"/>
        </w:sectPr>
      </w:pPr>
    </w:p>
    <w:bookmarkStart w:id="86" w:name="page87"/>
    <w:bookmarkEnd w:id="86"/>
    <w:p>
      <w:pPr>
        <w:ind w:right="20"/>
        <w:spacing w:after="0" w:line="250" w:lineRule="auto"/>
        <w:rPr>
          <w:sz w:val="20"/>
          <w:szCs w:val="20"/>
          <w:color w:val="auto"/>
        </w:rPr>
      </w:pPr>
      <w:r>
        <w:rPr>
          <w:rFonts w:ascii="Arial" w:cs="Arial" w:eastAsia="Arial" w:hAnsi="Arial"/>
          <w:sz w:val="20"/>
          <w:szCs w:val="20"/>
          <w:color w:val="auto"/>
        </w:rPr>
        <w:t>accounting and finance functions and we have expended significant management efforts as compared to prior to our IPO, when we were not required to test our internal controls. 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w:t>
      </w:r>
    </w:p>
    <w:p>
      <w:pPr>
        <w:spacing w:after="0" w:line="193"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If we are not able to comply with the requirements of Section 404 of the Sarbanes-Oxley Act in a timely manner, if our independent registered public accounting firm determines that we have a material weakness or a significant deficiency in our internal control over financial reporting, or we are unable to maintain proper and effective internal controls over financial reporting, we may not be able to produce timely and accurate financial statements. As a result, our investors could lose confidence in our reported financial information, the market price of our stock could decline, and we could be subject to sanctions or investigations by the SEC or other regulatory authorities.</w:t>
      </w:r>
    </w:p>
    <w:p>
      <w:pPr>
        <w:spacing w:after="0" w:line="193"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We believe that any internal controls and procedures, no matter how well-conceived and operated, can provide only reasonable, not absolute, assurance that the objectives of the control system are met. We may discover weaknesses in our system of internal financial and accounting controls and procedures that could result in a material misstatement of our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4"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These inherent limitations include the realities that judgments in decision -making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may not be detected.</w:t>
      </w:r>
    </w:p>
    <w:p>
      <w:pPr>
        <w:spacing w:after="0" w:line="197" w:lineRule="exact"/>
        <w:rPr>
          <w:sz w:val="20"/>
          <w:szCs w:val="20"/>
          <w:color w:val="auto"/>
        </w:rPr>
      </w:pPr>
    </w:p>
    <w:p>
      <w:pPr>
        <w:ind w:right="20"/>
        <w:spacing w:after="0" w:line="265" w:lineRule="auto"/>
        <w:rPr>
          <w:sz w:val="20"/>
          <w:szCs w:val="20"/>
          <w:color w:val="auto"/>
        </w:rPr>
      </w:pPr>
      <w:r>
        <w:rPr>
          <w:rFonts w:ascii="Arial" w:cs="Arial" w:eastAsia="Arial" w:hAnsi="Arial"/>
          <w:sz w:val="20"/>
          <w:szCs w:val="20"/>
          <w:b w:val="1"/>
          <w:bCs w:val="1"/>
          <w:i w:val="1"/>
          <w:iCs w:val="1"/>
          <w:color w:val="auto"/>
        </w:rPr>
        <w:t>We, or our CMOs or suppliers, may use potent chemical agents and hazardous materials, and any claims relating to improper handling, storage or disposal of these materials could be time-consuming or costly.</w:t>
      </w:r>
    </w:p>
    <w:p>
      <w:pPr>
        <w:spacing w:after="0" w:line="164"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We, or our CMOs or suppliers, including FCDI, use biological materials, potent chemical agents and may use hazardous materials, including chemicals and biological agents and compounds that could be dangerous to human health and safety of the environment. The operations of our CMOs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w:t>
      </w:r>
    </w:p>
    <w:p>
      <w:pPr>
        <w:spacing w:after="0" w:line="194"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96" w:lineRule="exact"/>
        <w:rPr>
          <w:sz w:val="20"/>
          <w:szCs w:val="20"/>
          <w:color w:val="auto"/>
        </w:rPr>
      </w:pPr>
    </w:p>
    <w:p>
      <w:pPr>
        <w:ind w:right="400"/>
        <w:spacing w:after="0" w:line="289" w:lineRule="auto"/>
        <w:rPr>
          <w:sz w:val="20"/>
          <w:szCs w:val="20"/>
          <w:color w:val="auto"/>
        </w:rPr>
      </w:pPr>
      <w:r>
        <w:rPr>
          <w:rFonts w:ascii="Arial" w:cs="Arial" w:eastAsia="Arial" w:hAnsi="Arial"/>
          <w:sz w:val="20"/>
          <w:szCs w:val="20"/>
          <w:b w:val="1"/>
          <w:bCs w:val="1"/>
          <w:i w:val="1"/>
          <w:iCs w:val="1"/>
          <w:color w:val="auto"/>
        </w:rPr>
        <w:t>If product liability lawsuits are brought against us, we may incur substantial liabilities and may be required to limit commercialization of our products.</w:t>
      </w:r>
    </w:p>
    <w:p>
      <w:pPr>
        <w:spacing w:after="0" w:line="142" w:lineRule="exact"/>
        <w:rPr>
          <w:sz w:val="20"/>
          <w:szCs w:val="20"/>
          <w:color w:val="auto"/>
        </w:rPr>
      </w:pPr>
    </w:p>
    <w:p>
      <w:pPr>
        <w:ind w:right="240"/>
        <w:spacing w:after="0" w:line="262" w:lineRule="auto"/>
        <w:rPr>
          <w:sz w:val="20"/>
          <w:szCs w:val="20"/>
          <w:color w:val="auto"/>
        </w:rPr>
      </w:pPr>
      <w:r>
        <w:rPr>
          <w:rFonts w:ascii="Arial" w:cs="Arial" w:eastAsia="Arial" w:hAnsi="Arial"/>
          <w:sz w:val="20"/>
          <w:szCs w:val="20"/>
          <w:color w:val="auto"/>
        </w:rPr>
        <w:t>We are exposed to potential product liability and professional indemnity risks that are inherent in the research, development, manufacturing, marketing, and use of pharmaceutical products. While we currently have no product candidates that have been approved for commercial sale, the future use of product</w:t>
      </w:r>
    </w:p>
    <w:p>
      <w:pPr>
        <w:sectPr>
          <w:pgSz w:w="11880" w:h="15480" w:orient="portrait"/>
          <w:cols w:equalWidth="0" w:num="1">
            <w:col w:w="9680"/>
          </w:cols>
          <w:pgMar w:left="1080" w:top="1067" w:right="1120" w:bottom="542"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87</w:t>
      </w:r>
    </w:p>
    <w:p>
      <w:pPr>
        <w:sectPr>
          <w:pgSz w:w="11880" w:h="15480" w:orient="portrait"/>
          <w:cols w:equalWidth="0" w:num="1">
            <w:col w:w="9680"/>
          </w:cols>
          <w:pgMar w:left="1080" w:top="1067" w:right="1120" w:bottom="542" w:gutter="0" w:footer="0" w:header="0"/>
          <w:type w:val="continuous"/>
        </w:sectPr>
      </w:pPr>
    </w:p>
    <w:bookmarkStart w:id="87" w:name="page88"/>
    <w:bookmarkEnd w:id="87"/>
    <w:p>
      <w:pPr>
        <w:ind w:right="20"/>
        <w:spacing w:after="0" w:line="246" w:lineRule="auto"/>
        <w:rPr>
          <w:sz w:val="20"/>
          <w:szCs w:val="20"/>
          <w:color w:val="auto"/>
        </w:rPr>
      </w:pPr>
      <w:r>
        <w:rPr>
          <w:rFonts w:ascii="Arial" w:cs="Arial" w:eastAsia="Arial" w:hAnsi="Arial"/>
          <w:sz w:val="20"/>
          <w:szCs w:val="20"/>
          <w:color w:val="auto"/>
        </w:rPr>
        <w:t>candidates by us in clinical trials, and the sale of any approved products in the future, may expose us to liability claims. For example, we may be sued if CNTY-101 and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95"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200" w:lineRule="exact"/>
        <w:rPr>
          <w:sz w:val="20"/>
          <w:szCs w:val="20"/>
          <w:color w:val="auto"/>
        </w:rPr>
      </w:pPr>
    </w:p>
    <w:p>
      <w:pPr>
        <w:ind w:left="720" w:hanging="353"/>
        <w:spacing w:after="0"/>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decreased demand for our products;</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injury to our reputation and significant negative media attention;</w:t>
      </w:r>
    </w:p>
    <w:p>
      <w:pPr>
        <w:spacing w:after="0" w:line="252" w:lineRule="exact"/>
        <w:rPr>
          <w:rFonts w:ascii="Arial" w:cs="Arial" w:eastAsia="Arial" w:hAnsi="Arial"/>
          <w:sz w:val="20"/>
          <w:szCs w:val="20"/>
          <w:color w:val="auto"/>
        </w:rPr>
      </w:pPr>
    </w:p>
    <w:p>
      <w:pPr>
        <w:ind w:left="720" w:hanging="353"/>
        <w:spacing w:after="0"/>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withdrawal of clinical trial participants and inability to continue clinical trials;</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initiation of investigations by regulators;</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costs to defend the related litigation;</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 diversion of management’s time and our resources;</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substantial monetary awards to trial participants or patients;</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product recalls, withdrawals or labeling, marketing, or promotional restrictions;</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significant negative financial impact;</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exhaustion of any available insurance and our capital resources;</w:t>
      </w:r>
    </w:p>
    <w:p>
      <w:pPr>
        <w:spacing w:after="0" w:line="252" w:lineRule="exact"/>
        <w:rPr>
          <w:rFonts w:ascii="Arial" w:cs="Arial" w:eastAsia="Arial" w:hAnsi="Arial"/>
          <w:sz w:val="20"/>
          <w:szCs w:val="20"/>
          <w:color w:val="auto"/>
        </w:rPr>
      </w:pPr>
    </w:p>
    <w:p>
      <w:pPr>
        <w:ind w:left="720" w:hanging="353"/>
        <w:spacing w:after="0"/>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inability to commercialize CNTY-101 or our other product candidates; and</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 decline in our stock price.</w:t>
      </w:r>
    </w:p>
    <w:p>
      <w:pPr>
        <w:spacing w:after="0" w:line="240"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currently hold product liability coverage in an amount we consider reasonable. We may need to increase our insurance coverage as we expand our clinical trials or if we commence commercialization of CNTY -101 or our other product candidates. Insurance coverage is increasingly expensive. Our inability to obtain and retain sufficient product liability insurance at an acceptable cost to protect against potential product liability claims could prevent or inhibit the commercialization of CNTY-101 or our other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88</w:t>
      </w:r>
    </w:p>
    <w:p>
      <w:pPr>
        <w:sectPr>
          <w:pgSz w:w="11880" w:h="15480" w:orient="portrait"/>
          <w:cols w:equalWidth="0" w:num="1">
            <w:col w:w="9700"/>
          </w:cols>
          <w:pgMar w:left="1080" w:top="1067" w:right="1100" w:bottom="542" w:gutter="0" w:footer="0" w:header="0"/>
          <w:type w:val="continuous"/>
        </w:sectPr>
      </w:pPr>
    </w:p>
    <w:bookmarkStart w:id="88" w:name="page89"/>
    <w:bookmarkEnd w:id="88"/>
    <w:p>
      <w:pPr>
        <w:ind w:right="160"/>
        <w:spacing w:after="0" w:line="256" w:lineRule="auto"/>
        <w:rPr>
          <w:sz w:val="20"/>
          <w:szCs w:val="20"/>
          <w:color w:val="auto"/>
        </w:rPr>
      </w:pPr>
      <w:r>
        <w:rPr>
          <w:rFonts w:ascii="Arial" w:cs="Arial" w:eastAsia="Arial" w:hAnsi="Arial"/>
          <w:sz w:val="20"/>
          <w:szCs w:val="20"/>
          <w:b w:val="1"/>
          <w:bCs w:val="1"/>
          <w:i w:val="1"/>
          <w:iCs w:val="1"/>
          <w:color w:val="auto"/>
        </w:rPr>
        <w:t>We may be unable to adequately protect our or our vendors’ information systems from cyberattacks or other incidents, which could result in the disclosure of confidential or proprietary information, including personal data, damage our reputation, and subject us to significant financial and legal exposure.</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Despite our implementation of security measures, our internal computer systems, and those of our CROs, CMOs, information technology suppliers, and other contractors and consultants are vulnerable to damage from computer viruses, cyberattacks, and other unauthorized access, natural disasters, terrorism, war, and telecommunication and electrical failures, and sophisticated cyber-attacks, including the theft, fraud, and subsequent misuse of employee credentials, </w:t>
      </w:r>
      <w:r>
        <w:rPr>
          <w:rFonts w:ascii="Arial" w:cs="Arial" w:eastAsia="Arial" w:hAnsi="Arial"/>
          <w:sz w:val="20"/>
          <w:szCs w:val="20"/>
          <w:i w:val="1"/>
          <w:iCs w:val="1"/>
          <w:color w:val="auto"/>
        </w:rPr>
        <w:t>wrongful conduct</w:t>
      </w:r>
      <w:r>
        <w:rPr>
          <w:rFonts w:ascii="Arial" w:cs="Arial" w:eastAsia="Arial" w:hAnsi="Arial"/>
          <w:sz w:val="20"/>
          <w:szCs w:val="20"/>
          <w:color w:val="auto"/>
        </w:rPr>
        <w:t xml:space="preserve"> </w:t>
      </w:r>
      <w:r>
        <w:rPr>
          <w:rFonts w:ascii="Arial" w:cs="Arial" w:eastAsia="Arial" w:hAnsi="Arial"/>
          <w:sz w:val="20"/>
          <w:szCs w:val="20"/>
          <w:i w:val="1"/>
          <w:iCs w:val="1"/>
          <w:color w:val="auto"/>
        </w:rPr>
        <w:t>by insider employees or vendors</w:t>
      </w:r>
      <w:r>
        <w:rPr>
          <w:rFonts w:ascii="Arial" w:cs="Arial" w:eastAsia="Arial" w:hAnsi="Arial"/>
          <w:sz w:val="20"/>
          <w:szCs w:val="20"/>
          <w:color w:val="auto"/>
        </w:rPr>
        <w:t>, denial-of-service attacks, ransomware attacks, business email</w:t>
      </w:r>
      <w:r>
        <w:rPr>
          <w:rFonts w:ascii="Arial" w:cs="Arial" w:eastAsia="Arial" w:hAnsi="Arial"/>
          <w:sz w:val="20"/>
          <w:szCs w:val="20"/>
          <w:i w:val="1"/>
          <w:iCs w:val="1"/>
          <w:color w:val="auto"/>
        </w:rPr>
        <w:t xml:space="preserve"> </w:t>
      </w:r>
      <w:r>
        <w:rPr>
          <w:rFonts w:ascii="Arial" w:cs="Arial" w:eastAsia="Arial" w:hAnsi="Arial"/>
          <w:sz w:val="20"/>
          <w:szCs w:val="20"/>
          <w:color w:val="auto"/>
        </w:rPr>
        <w:t>compromises, computer malware, malicious codes, viruses, breakdown, wrongful intrusions, data breaches, and social engineering (including phishing attacks). Additionally, our security measures or those of our vendors could be breached as a result of employee theft, exfiltration, misuse, malfeasance, or unintentional events. A successful cyberattack or other data breach could result in the theft or destruction of intellectual property, data, or other misappropriation of assets, or otherwise compromise our confidential or proprietary information and disrupt our operations. Cyberattacks could include wrongful conduct by hostile foreign governments, industrial espionage, wire fraud, and other forms of cyber fraud, the deployment of harmful malware, ransomware, denial-of-service, social engineering fraud, or other means to threaten data security, confidentiality, integrity and availability. A successful cyberattack or breach could cause serious negative consequences for us, including, without limitation, breach notification(s) and other disclosure requirements, the disruption of operations, the misappropriation of confidential business information, including financial information, trade secrets, financial loss, and the disclosure of corporate strategic plans. Although we devote resources to protect our information systems, we and our third- party vendors have from time-to-time experienced threats and security incidents that could affect our information or systems. We realize that cyberattacks are a threat, and there can be no assurance that our efforts will prevent information security incidents that would result in business, legal, financial, or reputational harm to us, or would have a material adverse effect on our results of operations and financial condition. Any failure to prevent or mitigate security incidents or improper access to, use of, or disclosure of our clinical data or patients’ personal data could result in significant liability under state (e.g., state breach notification laws), federal (e.g., HIPAA, as amended by HITECH), and international law (e.g., the EU and UK GDPR) and may cause a material adverse impact to our reputation, affect our ability to conduct new studies and potentially disrupt our business.</w:t>
      </w:r>
    </w:p>
    <w:p>
      <w:pPr>
        <w:spacing w:after="0" w:line="214"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incidents or improper access to or disclosure of such information could have similarly adverse consequences for us. If we are unable to prevent or mitigate the impact of such security or data privacy incidents, we could be exposed to litigation and governmental investigations, which could lead to a potential disruption to our business.</w:t>
      </w:r>
    </w:p>
    <w:p>
      <w:pPr>
        <w:sectPr>
          <w:pgSz w:w="11880" w:h="15480" w:orient="portrait"/>
          <w:cols w:equalWidth="0" w:num="1">
            <w:col w:w="9680"/>
          </w:cols>
          <w:pgMar w:left="1080" w:top="1071" w:right="112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89</w:t>
      </w:r>
    </w:p>
    <w:p>
      <w:pPr>
        <w:sectPr>
          <w:pgSz w:w="11880" w:h="15480" w:orient="portrait"/>
          <w:cols w:equalWidth="0" w:num="1">
            <w:col w:w="9680"/>
          </w:cols>
          <w:pgMar w:left="1080" w:top="1071" w:right="1120" w:bottom="542" w:gutter="0" w:footer="0" w:header="0"/>
          <w:type w:val="continuous"/>
        </w:sectPr>
      </w:pPr>
    </w:p>
    <w:bookmarkStart w:id="89" w:name="page90"/>
    <w:bookmarkEnd w:id="89"/>
    <w:p>
      <w:pPr>
        <w:ind w:right="100"/>
        <w:spacing w:after="0" w:line="250" w:lineRule="auto"/>
        <w:rPr>
          <w:sz w:val="20"/>
          <w:szCs w:val="20"/>
          <w:color w:val="auto"/>
        </w:rPr>
      </w:pPr>
      <w:r>
        <w:rPr>
          <w:rFonts w:ascii="Arial" w:cs="Arial" w:eastAsia="Arial" w:hAnsi="Arial"/>
          <w:sz w:val="20"/>
          <w:szCs w:val="20"/>
          <w:color w:val="auto"/>
        </w:rPr>
        <w:t>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spacing w:after="0" w:line="197"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174"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We or our collaborators collect, use, process, store and transfer certain personal and/or confidential information as part of our normal business operations. We are therefore subject to federal, state, and international laws and regulations governing the privacy and security of confidential information and personal data. In the United States, we are subject to numerous federal and state laws and regulations, including federal health information privacy laws, state data breach notification laws, state health information privacy laws, and federal and state consumer protection laws, governing the collection, use, disclosure, storage, transfer, protection, and disposal of health -related and other the personal and/or confidential information we and/or our collaborators utilize A failure or perceived failure to comply with these current or future federal, state, and international laws and regulations and industry standards relating to data privacy and security could lead to investigatory or regulatory action, private litigation or class actions that could result in exposure to civil or criminal penalties, monetary or statutory damages, attorney fee awards and/or exposure to adverse publicity that could negatively affect our operating results and business.</w:t>
      </w:r>
    </w:p>
    <w:p>
      <w:pPr>
        <w:spacing w:after="0" w:line="195"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auto"/>
        </w:rPr>
        <w:t>At the federal level, failing to take appropriate steps to keep consumers’ personal information secure may constitute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Through executive and legislative action, the federal government has also taken steps to restrict data transactions involving certain sensitive data categories – including health data, genetic data, and biospecimens – with persons affiliated with China, Russia, and other countries of concern. In addition, certain state laws govern privacy and security of personal information.</w:t>
      </w:r>
    </w:p>
    <w:p>
      <w:pPr>
        <w:spacing w:after="0" w:line="197" w:lineRule="exact"/>
        <w:rPr>
          <w:sz w:val="20"/>
          <w:szCs w:val="20"/>
          <w:color w:val="auto"/>
        </w:rPr>
      </w:pPr>
    </w:p>
    <w:p>
      <w:pPr>
        <w:ind w:right="480"/>
        <w:spacing w:after="0" w:line="253" w:lineRule="auto"/>
        <w:rPr>
          <w:sz w:val="20"/>
          <w:szCs w:val="20"/>
          <w:color w:val="auto"/>
        </w:rPr>
      </w:pPr>
      <w:r>
        <w:rPr>
          <w:rFonts w:ascii="Arial" w:cs="Arial" w:eastAsia="Arial" w:hAnsi="Arial"/>
          <w:sz w:val="20"/>
          <w:szCs w:val="20"/>
          <w:color w:val="auto"/>
        </w:rPr>
        <w:t>Many state legislatures have adopted legislation that regulates how businesses operate online, including measures relating to privacy, data security, and cybersecurity incidents or data breaches, and laws in all</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50 states require businesses to provide notice to customers whose personally identifiable information has been disclosed as a result of a data breach. Such laws are not consistent, and compliance in the event of a widespread security incident may be costly and could disrupt our operations. By way of example, the CCPA created individual privacy rights for California consumers and increases the privacy and security obligations of entities handling certain personal data. The CCPA requires covered companies to provide certain disclosures to consumers about its data collection, use and sharing practices, and to provide affected California residents with ways to opt-out of certain sales or transfers of personal information. The CCPA also provided for civil penalties for violations, as well as a private right of action for data breaches that is expected to increase data breach litigation. Additionally, the CCPA was amended by a California ballot initiative, the California Privacy Rights Act, or the CPRA, which became effective on January 1, 2023. The amendments introduced by the CPRA modified the CCPA significantly, including by imposing additional obligations on companies covered by the legislation, expanding consumers’ rights with respect to certain sensitive personal information, and creating a new state agency that is vested with authority to implement and enforce the CCPA. The effects of the CCPA (as modified by the CPRA) are potentially significant and may increase out potential exposure to regulatory enforcement and/or litigation potentially resulting in further uncertainty and requiring us to incur additional costs and expenses in an effort to comply.</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880" w:h="15480" w:orient="portrait"/>
          <w:cols w:equalWidth="0" w:num="1">
            <w:col w:w="9720"/>
          </w:cols>
          <w:pgMar w:left="1080" w:top="1067" w:right="1080" w:bottom="542" w:gutter="0" w:footer="0" w:header="0"/>
          <w:type w:val="continuous"/>
        </w:sectPr>
      </w:pPr>
    </w:p>
    <w:bookmarkStart w:id="90" w:name="page91"/>
    <w:bookmarkEnd w:id="90"/>
    <w:p>
      <w:pPr>
        <w:ind w:right="20"/>
        <w:spacing w:after="0" w:line="247" w:lineRule="auto"/>
        <w:rPr>
          <w:sz w:val="20"/>
          <w:szCs w:val="20"/>
          <w:color w:val="auto"/>
        </w:rPr>
      </w:pPr>
      <w:r>
        <w:rPr>
          <w:rFonts w:ascii="Arial" w:cs="Arial" w:eastAsia="Arial" w:hAnsi="Arial"/>
          <w:sz w:val="20"/>
          <w:szCs w:val="20"/>
          <w:color w:val="auto"/>
        </w:rPr>
        <w:t>Similar laws have been passed in numerous other states and several states have proposed new privacy laws which,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84"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There are also states that are specifically regulating health information. For example, Washington’s My Health My Data Act, which became effective on March 31, 2024, regulates the collection and sharing of health information and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are discussions in the U.S. Congress of new comprehensive federal data privacy laws to which we could become subject to, if enacted.</w:t>
      </w:r>
    </w:p>
    <w:p>
      <w:pPr>
        <w:spacing w:after="0" w:line="202"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Foreign data protection laws, may also apply to health -related and other personal information belonging to individuals who reside outside of the United States. In Europe, data collection and use is governed by restrictive regulations, including, in relation to the European Union, the General Data Protection Regulation (EU) 2016/679, or the EU GDPR. Following the withdrawal of the United Kingdom from the European Union, or Brexit, the EU GDPR has been incorporated into the United Kingdom’s law, or UK GDPR. The EU GDPR and UK GDPR are wide- ranging in scope and impose numerous requirements on companies that process personal data, including, among other obligations and requirements: (i) strict requirements relating to processing certain categories of data (i.e. “sensitive information” or special category data) including health data, (ii) requirements relating to how an organization can obtain and rely upon consent obtained from individuals to process their personal data, (iii) obligations related to providing information to individuals regarding data processing activities, (iv) a responsibility to implement safeguards to protect the security and confidentiality of personal data, (v) requirements to provide notification to competent data protection authorities and/or individuals of personal data breaches, and (vi) taking certain measures when engaging third-party processors. The EU GDPR and UK GDPR also grant individuals certain data protection rights, subject to certain limitations, including the rights to request and access a copy of the personal data processed by an organization, to have inaccurate personal data rectified or completed if incomplete, to object to or restrict the processing of their personal data, and to request deletion of personal data.</w:t>
      </w:r>
    </w:p>
    <w:p>
      <w:pPr>
        <w:spacing w:after="0" w:line="199"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The EU GDPR and UK also regulate cross-border transfers of personal data. For example, the EU GDPR requires us to enter into an appropriate transfer mechanism and may require us to take additional steps to ensure an essentially equivalent level of data protection. These transfer mechanisms are subject to change, and implementing new or revised transfer mechanisms or ensuring an essentially equivalent protection may involve additional expense and potentially increased compliance risk. Such restrictions may increase our obligations in relation to carrying out international transfers of personal data and cause us to incur additional expense and increased regulatory liabilities. Despite Brexit, the EU GDPR and UK GDPR remain largely aligned. Currently, the most impactful point of divergence between the EU GDPR and the UK GDPR relates to the transfer mechanisms, as explained above. There may be further divergence in the future, including with regard to administrative burdens. The UK Government has introduced a Data Protection and Digital Information Bill to reform the UK data protection legal framework which failed in the UK legislative process</w:t>
      </w:r>
      <w:r>
        <w:rPr>
          <w:rFonts w:ascii="Arial" w:cs="Arial" w:eastAsia="Arial" w:hAnsi="Arial"/>
          <w:sz w:val="20"/>
          <w:szCs w:val="20"/>
          <w:b w:val="1"/>
          <w:bCs w:val="1"/>
          <w:color w:val="auto"/>
        </w:rPr>
        <w:t>.</w:t>
      </w:r>
      <w:r>
        <w:rPr>
          <w:rFonts w:ascii="Arial" w:cs="Arial" w:eastAsia="Arial" w:hAnsi="Arial"/>
          <w:sz w:val="20"/>
          <w:szCs w:val="20"/>
          <w:color w:val="auto"/>
        </w:rPr>
        <w:t xml:space="preserve"> A new Data (Use and Access) Bill (“UK Bill”) has been introduced into parliament. If passed, the final version of the UK Bill may have the effect of further altering the similarities between the UK and European Economic Area data protection regime and threaten the UK adequacy decision from the European Commission, or EC. Further, this may lead to additional compliance costs and could increase our overall risk and we will need to amend our processes and procedures to align with the new framework.</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880" w:h="15480" w:orient="portrait"/>
          <w:cols w:equalWidth="0" w:num="1">
            <w:col w:w="9720"/>
          </w:cols>
          <w:pgMar w:left="1080" w:top="1067" w:right="1080" w:bottom="542" w:gutter="0" w:footer="0" w:header="0"/>
          <w:type w:val="continuous"/>
        </w:sectPr>
      </w:pPr>
    </w:p>
    <w:bookmarkStart w:id="91" w:name="page92"/>
    <w:bookmarkEnd w:id="91"/>
    <w:p>
      <w:pPr>
        <w:ind w:right="80"/>
        <w:spacing w:after="0" w:line="243" w:lineRule="auto"/>
        <w:rPr>
          <w:sz w:val="20"/>
          <w:szCs w:val="20"/>
          <w:color w:val="auto"/>
        </w:rPr>
      </w:pPr>
      <w:r>
        <w:rPr>
          <w:rFonts w:ascii="Arial" w:cs="Arial" w:eastAsia="Arial" w:hAnsi="Arial"/>
          <w:sz w:val="20"/>
          <w:szCs w:val="20"/>
          <w:color w:val="auto"/>
        </w:rPr>
        <w:t>Companies that must comply with the GDPR face increased compliance obligations and risk, including more robust regulatory enforcement of data protection requirements and potential fines for noncompliance of up to the greater of 4% of worldwide turnover of the noncompliant company in the preceding financial year or €20 million (under EU GDPR) or £17.5 million (under UK GDPR), as applicable. The EU GDPR and UK GDPR also confer a private right of action on data subjects and consumer associations to lodge complaints with supervisory authorities, seek judicial remedies, and obtain compensation for damages resulting from violations. The EU GDPR and UK GDPR increased our responsibility and liability in relation to personal data that we process where such processing is subject to such laws, and we may be required to put in place additional mechanisms to ensure compliance, including as implemented by individual countries. Compliance with the EU GDPR and UK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93"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Compliance with U.S. federal and state laws and foreign data protection laws and regulations could require us to take on more onerous obligations in our contracts, restrict our ability to collect, use and disclose data, or in some cases, impact our ability to operate in certain jurisdictions. Failure or perceived failure by us or our collaborators to comply with United States and foreign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spacing w:after="0" w:line="215" w:lineRule="exact"/>
        <w:rPr>
          <w:sz w:val="20"/>
          <w:szCs w:val="20"/>
          <w:color w:val="auto"/>
        </w:rPr>
      </w:pPr>
    </w:p>
    <w:p>
      <w:pPr>
        <w:jc w:val="both"/>
        <w:ind w:right="220"/>
        <w:spacing w:after="0" w:line="264" w:lineRule="auto"/>
        <w:rPr>
          <w:sz w:val="20"/>
          <w:szCs w:val="20"/>
          <w:color w:val="auto"/>
        </w:rPr>
      </w:pPr>
      <w:r>
        <w:rPr>
          <w:rFonts w:ascii="Arial" w:cs="Arial" w:eastAsia="Arial" w:hAnsi="Arial"/>
          <w:sz w:val="20"/>
          <w:szCs w:val="20"/>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67"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w:t>
      </w:r>
    </w:p>
    <w:p>
      <w:pPr>
        <w:spacing w:after="0" w:line="2" w:lineRule="exact"/>
        <w:rPr>
          <w:sz w:val="20"/>
          <w:szCs w:val="20"/>
          <w:color w:val="auto"/>
        </w:rPr>
      </w:pPr>
    </w:p>
    <w:p>
      <w:pPr>
        <w:ind w:right="20" w:firstLine="7"/>
        <w:spacing w:after="0" w:line="241" w:lineRule="auto"/>
        <w:tabs>
          <w:tab w:leader="none" w:pos="301" w:val="left"/>
        </w:tabs>
        <w:numPr>
          <w:ilvl w:val="0"/>
          <w:numId w:val="49"/>
        </w:numPr>
        <w:rPr>
          <w:rFonts w:ascii="Arial" w:cs="Arial" w:eastAsia="Arial" w:hAnsi="Arial"/>
          <w:sz w:val="20"/>
          <w:szCs w:val="20"/>
          <w:color w:val="auto"/>
        </w:rPr>
      </w:pPr>
      <w:r>
        <w:rPr>
          <w:rFonts w:ascii="Arial" w:cs="Arial" w:eastAsia="Arial" w:hAnsi="Arial"/>
          <w:sz w:val="20"/>
          <w:szCs w:val="20"/>
          <w:color w:val="auto"/>
        </w:rPr>
        <w:t>manufacturing standards, including cGMP requirements, (3) federal and state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or biologic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880" w:h="15480" w:orient="portrait"/>
          <w:cols w:equalWidth="0" w:num="1">
            <w:col w:w="9720"/>
          </w:cols>
          <w:pgMar w:left="1080" w:top="1297" w:right="1080" w:bottom="542" w:gutter="0" w:footer="0" w:header="0"/>
        </w:sectPr>
      </w:pPr>
    </w:p>
    <w:bookmarkStart w:id="92" w:name="page93"/>
    <w:bookmarkEnd w:id="92"/>
    <w:p>
      <w:pPr>
        <w:ind w:right="40"/>
        <w:spacing w:after="0" w:line="264" w:lineRule="auto"/>
        <w:rPr>
          <w:sz w:val="20"/>
          <w:szCs w:val="20"/>
          <w:color w:val="auto"/>
        </w:rPr>
      </w:pPr>
      <w:r>
        <w:rPr>
          <w:rFonts w:ascii="Arial" w:cs="Arial" w:eastAsia="Arial" w:hAnsi="Arial"/>
          <w:sz w:val="19"/>
          <w:szCs w:val="19"/>
          <w:color w:val="auto"/>
        </w:rPr>
        <w:t>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82" w:lineRule="exact"/>
        <w:rPr>
          <w:sz w:val="20"/>
          <w:szCs w:val="20"/>
          <w:color w:val="auto"/>
        </w:rPr>
      </w:pPr>
    </w:p>
    <w:p>
      <w:pPr>
        <w:ind w:right="80"/>
        <w:spacing w:after="0" w:line="289" w:lineRule="auto"/>
        <w:rPr>
          <w:sz w:val="20"/>
          <w:szCs w:val="20"/>
          <w:color w:val="auto"/>
        </w:rPr>
      </w:pPr>
      <w:r>
        <w:rPr>
          <w:rFonts w:ascii="Arial" w:cs="Arial" w:eastAsia="Arial" w:hAnsi="Arial"/>
          <w:sz w:val="20"/>
          <w:szCs w:val="20"/>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43"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Issues in the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any of our vendors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increasing use of social media platforms presents new risks and challenges.</w:t>
      </w:r>
    </w:p>
    <w:p>
      <w:pPr>
        <w:spacing w:after="0" w:line="235"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Social media is increasingly being used to communicate about pharmaceutical companies’ clinical development activities, and we intend to utilize appropriate social media in connection with our development efforts. Additionally, patients may use social media channels to comment on their experience in an ongoing clinical trial or to report an alleged adverse event. If such disclosures occur in the future in connection with any of our sponsored clinical trials,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It is also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product candidates under an expanded access policy, our reputation may be negatively affected and our business may be harmed. There is also a risk of inappropriate disclosure of sensitive or confidential information or negative or inaccurate posts or comments about us on any social networking website. In addition, we may encounter attacks on social media regarding our company, management or our product candidates, and fraudsters could and have attempted to illegally use our name on social media platforms to defraud the public. If any of these events were to occur or we fail to comply with applicable regulations, we could incur liability, face regulatory actions or incur other harm to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intellectual property</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do not currently own issued patents relating to some of our product candidates.</w:t>
      </w:r>
    </w:p>
    <w:p>
      <w:pPr>
        <w:spacing w:after="0" w:line="235"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Given the early stage of development of our product candidates, our patent portfolio is similarly at a very early stage. If we do not obtain meaningful patent coverage for our product candidates, their respective components, formulations, combination therapies, methods used to manufacture them, and methods of treatment, competitors may be able to erode or negate any competitive advantage we may have, which would</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880" w:h="15480" w:orient="portrait"/>
          <w:cols w:equalWidth="0" w:num="1">
            <w:col w:w="9720"/>
          </w:cols>
          <w:pgMar w:left="1080" w:top="1067" w:right="1080" w:bottom="542" w:gutter="0" w:footer="0" w:header="0"/>
          <w:type w:val="continuous"/>
        </w:sectPr>
      </w:pPr>
    </w:p>
    <w:bookmarkStart w:id="93" w:name="page94"/>
    <w:bookmarkEnd w:id="93"/>
    <w:p>
      <w:pPr>
        <w:spacing w:after="0" w:line="243" w:lineRule="auto"/>
        <w:rPr>
          <w:sz w:val="20"/>
          <w:szCs w:val="20"/>
          <w:color w:val="auto"/>
        </w:rPr>
      </w:pPr>
      <w:r>
        <w:rPr>
          <w:rFonts w:ascii="Arial" w:cs="Arial" w:eastAsia="Arial" w:hAnsi="Arial"/>
          <w:sz w:val="20"/>
          <w:szCs w:val="20"/>
          <w:color w:val="auto"/>
        </w:rPr>
        <w:t>likely harm our business and ability to achieve profitability. To establish our proprietary position, we have filed patent applications in the United States and internationally related to our products CNTY-101, CNTY-308, CNTY-361 and CNTY-107 and have filed non-provisional and provisional patent applications on other aspects of our technology. However, United States provisional patent applications are not eligible to become issued patents unless and until, among other things, we file a non-provisional patent application within 12 months of filing of one or more of our related provisional patent applications.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we are unable to secure or maintain patent protection with respect to our technology and any proprietary products and technology we develop, our business, financial condition, results of operations, and prospects could be materially harmed.</w:t>
      </w:r>
    </w:p>
    <w:p>
      <w:pPr>
        <w:spacing w:after="0" w:line="206" w:lineRule="exact"/>
        <w:rPr>
          <w:sz w:val="20"/>
          <w:szCs w:val="20"/>
          <w:color w:val="auto"/>
        </w:rPr>
      </w:pPr>
    </w:p>
    <w:p>
      <w:pPr>
        <w:ind w:right="1200"/>
        <w:spacing w:after="0" w:line="289" w:lineRule="auto"/>
        <w:rPr>
          <w:sz w:val="20"/>
          <w:szCs w:val="20"/>
          <w:color w:val="auto"/>
        </w:rPr>
      </w:pPr>
      <w:r>
        <w:rPr>
          <w:rFonts w:ascii="Arial" w:cs="Arial" w:eastAsia="Arial" w:hAnsi="Arial"/>
          <w:sz w:val="20"/>
          <w:szCs w:val="20"/>
          <w:b w:val="1"/>
          <w:bCs w:val="1"/>
          <w:i w:val="1"/>
          <w:iCs w:val="1"/>
          <w:color w:val="auto"/>
        </w:rPr>
        <w:t>If any of our license agreements with FCDI are terminated, we could lose our rights to key components enabling our iPSC-derived allogeneic cell therapy platforms.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Our commercial success will depend in part on the maintenance of our license agreements. We are party to</w:t>
      </w:r>
    </w:p>
    <w:p>
      <w:pPr>
        <w:spacing w:after="0" w:line="26" w:lineRule="exact"/>
        <w:rPr>
          <w:sz w:val="20"/>
          <w:szCs w:val="20"/>
          <w:color w:val="auto"/>
        </w:rPr>
      </w:pPr>
    </w:p>
    <w:p>
      <w:pPr>
        <w:ind w:right="40" w:firstLine="8"/>
        <w:spacing w:after="0" w:line="241" w:lineRule="auto"/>
        <w:tabs>
          <w:tab w:leader="none" w:pos="234"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 exclusive license with FCDI, pursuant to which we have received an exclusive license to certain patents and know-how related to the differentiation of iPSC cells into immune-effector cells in the field of cancer immunotherapeutics, or the Differentiation License, (ii) a non-exclusive license for the rights to certain patents and know-how related to the reprogramming of human somatic cells to iPSCs in the field of cancer immunotherapeutics, or the Reprogramming License, and (iii) a worldwide license agreement whereby FCDI will grant non-exclusive licenses to us for certain patent rights and know-how related to cell differentiation and reprogramming for the development and commercialization of iPSC-derived therapies for the treatment of autoimmune diseases, or the Autoimmune License, together with the Reprogramming License and the Differentiation License, the FCDI Licenses. A critical aspect to manufacturing our product candidates involves the reprogramming of certain cells into iPSCs and the differentiation of iPSCs into immune cells. We utilize technology licensed from FCDI to reprogram cells to become iPSCs and to differentiate the iPSCs to generate different immune cell types including NK cells and T cells. By utilizing this licensed technology, we are currently capable of achieving fully functional iNK cells from iPSCs in approximately 30 days.</w:t>
      </w:r>
    </w:p>
    <w:p>
      <w:pPr>
        <w:spacing w:after="0" w:line="20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FCDI Licenses impose, and future license agreements may impose, various diligence, milestone payment, royalty, and other obligations on us. If we fail to comply with our obligations under the FCDI Licenses, our other license agreements, or any future license agreements with any party, or we are subject to a bankruptcy, the licensor may have the right to terminate the license, in which event we would not be able to develop products covered by such license.</w:t>
      </w:r>
    </w:p>
    <w:p>
      <w:pPr>
        <w:spacing w:after="0" w:line="192"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If, for any reason, the FCDI Licenses or certain of our other license agreements are terminated or we otherwise lose the rights under such agreements, it would adversely affect our business. If we breach any material obligations under the FCDI Licenses or certain of our other license agreements, FCDI or the applicable licensor may have the right to terminate our license, which could result in us being unable to develop, manufacture, or sell our product candidates that incorporate the intellectual property subject to such license.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or at all.</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880" w:h="15480" w:orient="portrait"/>
          <w:cols w:equalWidth="0" w:num="1">
            <w:col w:w="9720"/>
          </w:cols>
          <w:pgMar w:left="1080" w:top="1067" w:right="1080" w:bottom="542" w:gutter="0" w:footer="0" w:header="0"/>
          <w:type w:val="continuous"/>
        </w:sectPr>
      </w:pPr>
    </w:p>
    <w:bookmarkStart w:id="94" w:name="page95"/>
    <w:bookmarkEnd w:id="94"/>
    <w:p>
      <w:pPr>
        <w:ind w:right="360"/>
        <w:spacing w:after="0" w:line="289" w:lineRule="auto"/>
        <w:rPr>
          <w:sz w:val="20"/>
          <w:szCs w:val="20"/>
          <w:color w:val="auto"/>
        </w:rPr>
      </w:pPr>
      <w:r>
        <w:rPr>
          <w:rFonts w:ascii="Arial" w:cs="Arial" w:eastAsia="Arial" w:hAnsi="Arial"/>
          <w:sz w:val="20"/>
          <w:szCs w:val="20"/>
          <w:b w:val="1"/>
          <w:bCs w:val="1"/>
          <w:i w:val="1"/>
          <w:iCs w:val="1"/>
          <w:color w:val="auto"/>
        </w:rPr>
        <w:t>We may not be successful in obtaining or maintaining necessary intellectual property rights in the future for the development of CNTY-101 and our other product candidates.</w:t>
      </w:r>
    </w:p>
    <w:p>
      <w:pPr>
        <w:spacing w:after="0" w:line="143"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We may in the future enter into additional license agreements with third parties for other intellectual property rights or assets to advance our research or allow commercialization of CNTY-101 and our other product candidates, and we cannot provide any assurances that third-party patents do not exist which might be enforced against CNTY-101 and our other product candidates in the absence of such a license. We may fail to obtain any of these licenses on commercially reasonable terms, if at all. Even if we are able to obtain a license, it may be non-exclusive or may not provide exclusive rights to use such intellectual property and technology in all relevant fields of use and in all territories, thereby giving our competitors access to the same technologies licensed to us. In that event, we may be required to expend significant time and resources to develop or license replacement technology, which may not be feasible on a technical or commercial basis.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211" w:lineRule="exact"/>
        <w:rPr>
          <w:sz w:val="20"/>
          <w:szCs w:val="20"/>
          <w:color w:val="auto"/>
        </w:rPr>
      </w:pPr>
    </w:p>
    <w:p>
      <w:pPr>
        <w:ind w:left="720" w:right="20" w:hanging="353"/>
        <w:spacing w:after="0" w:line="254" w:lineRule="auto"/>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scope of rights granted under the license agreement and other interpretation-related issues, the resolution of which could narrow what we believe to be the scope of our rights to the relevant intellectual property or technology, or increase what we believe to be our financial or other obligations under the relevant agreement;</w:t>
      </w:r>
    </w:p>
    <w:p>
      <w:pPr>
        <w:spacing w:after="0" w:line="200" w:lineRule="exact"/>
        <w:rPr>
          <w:rFonts w:ascii="Arial" w:cs="Arial" w:eastAsia="Arial" w:hAnsi="Arial"/>
          <w:sz w:val="20"/>
          <w:szCs w:val="20"/>
          <w:color w:val="auto"/>
        </w:rPr>
      </w:pPr>
    </w:p>
    <w:p>
      <w:pPr>
        <w:ind w:left="720" w:right="80" w:hanging="353"/>
        <w:spacing w:after="0" w:line="283" w:lineRule="auto"/>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whether and the extent to which our technology and processes infringe, misappropriate, or otherwise violate intellectual property of the licensor that is not subject to the licensing agreement;</w:t>
      </w:r>
    </w:p>
    <w:p>
      <w:pPr>
        <w:spacing w:after="0" w:line="170" w:lineRule="exact"/>
        <w:rPr>
          <w:rFonts w:ascii="Arial" w:cs="Arial" w:eastAsia="Arial" w:hAnsi="Arial"/>
          <w:sz w:val="20"/>
          <w:szCs w:val="20"/>
          <w:color w:val="auto"/>
        </w:rPr>
      </w:pPr>
    </w:p>
    <w:p>
      <w:pPr>
        <w:ind w:left="720" w:hanging="352"/>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our right to sublicense patents and other intellectual property rights to third parties;</w:t>
      </w:r>
    </w:p>
    <w:p>
      <w:pPr>
        <w:spacing w:after="0" w:line="253" w:lineRule="exact"/>
        <w:rPr>
          <w:rFonts w:ascii="Arial" w:cs="Arial" w:eastAsia="Arial" w:hAnsi="Arial"/>
          <w:sz w:val="20"/>
          <w:szCs w:val="20"/>
          <w:color w:val="auto"/>
        </w:rPr>
      </w:pPr>
    </w:p>
    <w:p>
      <w:pPr>
        <w:ind w:left="720" w:right="640" w:hanging="352"/>
        <w:spacing w:after="0" w:line="262" w:lineRule="auto"/>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our diligence obligations with respect to the use of the licensed technology in relation to our development and commercialization of CNTY-101 and our other product candidates, and what activities satisfy those diligence obligations;</w:t>
      </w:r>
    </w:p>
    <w:p>
      <w:pPr>
        <w:spacing w:after="0" w:line="190" w:lineRule="exact"/>
        <w:rPr>
          <w:rFonts w:ascii="Arial" w:cs="Arial" w:eastAsia="Arial" w:hAnsi="Arial"/>
          <w:sz w:val="20"/>
          <w:szCs w:val="20"/>
          <w:color w:val="auto"/>
        </w:rPr>
      </w:pPr>
    </w:p>
    <w:p>
      <w:pPr>
        <w:ind w:left="720" w:hanging="352"/>
        <w:spacing w:after="0"/>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our right to transfer or assign the license; and</w:t>
      </w:r>
    </w:p>
    <w:p>
      <w:pPr>
        <w:spacing w:after="0" w:line="253" w:lineRule="exact"/>
        <w:rPr>
          <w:rFonts w:ascii="Arial" w:cs="Arial" w:eastAsia="Arial" w:hAnsi="Arial"/>
          <w:sz w:val="20"/>
          <w:szCs w:val="20"/>
          <w:color w:val="auto"/>
        </w:rPr>
      </w:pPr>
    </w:p>
    <w:p>
      <w:pPr>
        <w:ind w:left="720" w:hanging="352"/>
        <w:spacing w:after="0" w:line="283" w:lineRule="auto"/>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ownership of inventions, know-how, and other intellectual property resulting from the joint creation or use of intellectual property by our licensors and us and our partners.</w:t>
      </w:r>
    </w:p>
    <w:p>
      <w:pPr>
        <w:spacing w:after="0" w:line="157" w:lineRule="exact"/>
        <w:rPr>
          <w:sz w:val="20"/>
          <w:szCs w:val="20"/>
          <w:color w:val="auto"/>
        </w:rPr>
      </w:pPr>
    </w:p>
    <w:p>
      <w:pPr>
        <w:jc w:val="both"/>
        <w:ind w:right="40"/>
        <w:spacing w:after="0" w:line="262" w:lineRule="auto"/>
        <w:rPr>
          <w:sz w:val="20"/>
          <w:szCs w:val="20"/>
          <w:color w:val="auto"/>
        </w:rPr>
      </w:pPr>
      <w:r>
        <w:rPr>
          <w:rFonts w:ascii="Arial" w:cs="Arial" w:eastAsia="Arial" w:hAnsi="Arial"/>
          <w:sz w:val="20"/>
          <w:szCs w:val="20"/>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177"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agreements with respect to any licensed product, we may be required to pay a specified percentage of all revenue to be received in connection with such transaction.</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Under one of the FCDI Licenses and certain other in-licenses under which we sublicense certain rights related to our technology, we rely on FCDI and our other sub-licensors to comply with their obligations under their upstream license agreements where we may have no relationship with the original licensor of such rights. If our sub-licensors fail to comply with their obligations under their upstream license agreements, and</w:t>
      </w:r>
    </w:p>
    <w:p>
      <w:pPr>
        <w:sectPr>
          <w:pgSz w:w="11880" w:h="15480" w:orient="portrait"/>
          <w:cols w:equalWidth="0" w:num="1">
            <w:col w:w="9700"/>
          </w:cols>
          <w:pgMar w:left="1080" w:top="1071" w:right="1100"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95</w:t>
      </w:r>
    </w:p>
    <w:p>
      <w:pPr>
        <w:sectPr>
          <w:pgSz w:w="11880" w:h="15480" w:orient="portrait"/>
          <w:cols w:equalWidth="0" w:num="1">
            <w:col w:w="9700"/>
          </w:cols>
          <w:pgMar w:left="1080" w:top="1071" w:right="1100" w:bottom="542" w:gutter="0" w:footer="0" w:header="0"/>
          <w:type w:val="continuous"/>
        </w:sectPr>
      </w:pPr>
    </w:p>
    <w:bookmarkStart w:id="95" w:name="page96"/>
    <w:bookmarkEnd w:id="95"/>
    <w:p>
      <w:pPr>
        <w:ind w:right="20"/>
        <w:spacing w:after="0" w:line="283" w:lineRule="auto"/>
        <w:rPr>
          <w:sz w:val="20"/>
          <w:szCs w:val="20"/>
          <w:color w:val="auto"/>
        </w:rPr>
      </w:pPr>
      <w:r>
        <w:rPr>
          <w:rFonts w:ascii="Arial" w:cs="Arial" w:eastAsia="Arial" w:hAnsi="Arial"/>
          <w:sz w:val="20"/>
          <w:szCs w:val="20"/>
          <w:color w:val="auto"/>
        </w:rPr>
        <w:t>the upstream license agreements are consequently terminated, such termination may result in the termination of our sublicenses and loss of such rights.</w:t>
      </w:r>
    </w:p>
    <w:p>
      <w:pPr>
        <w:spacing w:after="0" w:line="162" w:lineRule="exact"/>
        <w:rPr>
          <w:sz w:val="20"/>
          <w:szCs w:val="20"/>
          <w:color w:val="auto"/>
        </w:rPr>
      </w:pPr>
    </w:p>
    <w:p>
      <w:pPr>
        <w:ind w:right="100"/>
        <w:spacing w:after="0" w:line="289" w:lineRule="auto"/>
        <w:rPr>
          <w:sz w:val="20"/>
          <w:szCs w:val="20"/>
          <w:color w:val="auto"/>
        </w:rPr>
      </w:pPr>
      <w:r>
        <w:rPr>
          <w:rFonts w:ascii="Arial" w:cs="Arial" w:eastAsia="Arial" w:hAnsi="Arial"/>
          <w:sz w:val="20"/>
          <w:szCs w:val="20"/>
          <w:b w:val="1"/>
          <w:bCs w:val="1"/>
          <w:i w:val="1"/>
          <w:iCs w:val="1"/>
          <w:color w:val="auto"/>
        </w:rPr>
        <w:t>Our success depends on our ability to obtain, maintain, protect, and enforce our intellectual property and our proprietary technologies.</w:t>
      </w:r>
    </w:p>
    <w:p>
      <w:pPr>
        <w:spacing w:after="0" w:line="14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Our commercial success depends in part on our ability to obtain, maintain, protect, and enforce our intellectual property and proprietary technologies, including patent protection and trade secret protection for CNTY-101 and our other product candidates, proprietary technologies and their uses as well as our ability to operate without infringing, misappropriating, or otherwise violating the intellectual property or proprietary rights of others. If we are unable to obtain, maintain, protect, or enforce our intellectual property rights or if our intellectual property rights are inadequate for our technology or our product candidates, our competitive position could be harmed, which could have a material adverse impact on our business, results of operations, financial conditions, and prospects. Although we have filed patent applications with respect to CNTY-101 and other aspects of our product technology, our patent portfolio is in an earlier stage of prosecution. We own few issued patents related to some of our product candidates. Our patent applications cannot be enforced against third parties practicing the technology claimed in such applications unless, and until, patents are issued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if issued will not be infringed, misappropriated, violated, designed around or invalidated by third parties. Even issued patents may later be found invalid or unenforceable or may be modified or revoked in proceedings instituted by third parties before various patent offices or in courts. The degree of future protection for our intellectual property and proprietary rights is uncertain. Only limited protection may be available and may not adequately obtain, maintain, protect, and enforce our rights or permit us to gain or keep any competitive advantage. These uncertainties and/or limitations in our ability to properly obtain, maintain, protect, and enforce the intellectual property rights relating to CNTY- 101 and our other product candidates could have a material adverse effect on our financial condition and results of operations.</w:t>
      </w:r>
    </w:p>
    <w:p>
      <w:pPr>
        <w:spacing w:after="0" w:line="199"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color w:val="auto"/>
        </w:rPr>
        <w:t>We cannot be certain that the claims in our pending patent applications will be considered patentable by the United States Patent and Trademark Office, or USPTO, courts in the United States or by the patent offices and courts in foreign countries, nor can we be certain that claims that may ultimately issue from our patent applications will not be found invalid or unenforceable if challenged. If we are unable to obtain or maintain patent protection with respect to our product candidates, our business, financial condition, results of operations, and prospects could be materially harmed.</w:t>
      </w:r>
    </w:p>
    <w:p>
      <w:pPr>
        <w:spacing w:after="0" w:line="194"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The patent application process is subject to numerous risks and uncertainties, and there can be no assurance that we or any of our potential future collaborators will be successful in protecting CNTY-101 and our other product candidates by obtaining and defending patents. These risks and uncertainties include the following:</w:t>
      </w:r>
    </w:p>
    <w:p>
      <w:pPr>
        <w:spacing w:after="0" w:line="190" w:lineRule="exact"/>
        <w:rPr>
          <w:sz w:val="20"/>
          <w:szCs w:val="20"/>
          <w:color w:val="auto"/>
        </w:rPr>
      </w:pPr>
    </w:p>
    <w:p>
      <w:pPr>
        <w:ind w:left="720" w:right="180" w:hanging="353"/>
        <w:spacing w:after="0" w:line="254"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00" w:lineRule="exact"/>
        <w:rPr>
          <w:rFonts w:ascii="Arial" w:cs="Arial" w:eastAsia="Arial" w:hAnsi="Arial"/>
          <w:sz w:val="20"/>
          <w:szCs w:val="20"/>
          <w:color w:val="auto"/>
        </w:rPr>
      </w:pPr>
    </w:p>
    <w:p>
      <w:pPr>
        <w:ind w:left="720" w:hanging="353"/>
        <w:spacing w:after="0"/>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patent applications may not result in any patents being issued;</w:t>
      </w:r>
    </w:p>
    <w:p>
      <w:pPr>
        <w:spacing w:after="0" w:line="253" w:lineRule="exact"/>
        <w:rPr>
          <w:rFonts w:ascii="Arial" w:cs="Arial" w:eastAsia="Arial" w:hAnsi="Arial"/>
          <w:sz w:val="20"/>
          <w:szCs w:val="20"/>
          <w:color w:val="auto"/>
        </w:rPr>
      </w:pPr>
    </w:p>
    <w:p>
      <w:pPr>
        <w:ind w:left="720" w:right="40" w:hanging="353"/>
        <w:spacing w:after="0" w:line="283"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patents may be challenged, invalidated, modified, revoked, circumvented, found to be unenforceable, or otherwise may not provide any competitive advantage;</w:t>
      </w:r>
    </w:p>
    <w:p>
      <w:pPr>
        <w:spacing w:after="0" w:line="171" w:lineRule="exact"/>
        <w:rPr>
          <w:rFonts w:ascii="Arial" w:cs="Arial" w:eastAsia="Arial" w:hAnsi="Arial"/>
          <w:sz w:val="20"/>
          <w:szCs w:val="20"/>
          <w:color w:val="auto"/>
        </w:rPr>
      </w:pPr>
    </w:p>
    <w:p>
      <w:pPr>
        <w:ind w:left="720" w:right="40" w:hanging="353"/>
        <w:spacing w:after="0" w:line="254"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CNTY-101 and our other product candidates;</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96</w:t>
      </w:r>
    </w:p>
    <w:p>
      <w:pPr>
        <w:sectPr>
          <w:pgSz w:w="11880" w:h="15480" w:orient="portrait"/>
          <w:cols w:equalWidth="0" w:num="1">
            <w:col w:w="9700"/>
          </w:cols>
          <w:pgMar w:left="1080" w:top="1067" w:right="1100" w:bottom="542" w:gutter="0" w:footer="0" w:header="0"/>
          <w:type w:val="continuous"/>
        </w:sectPr>
      </w:pPr>
    </w:p>
    <w:bookmarkStart w:id="96" w:name="page97"/>
    <w:bookmarkEnd w:id="96"/>
    <w:p>
      <w:pPr>
        <w:ind w:left="720" w:right="260" w:hanging="353"/>
        <w:spacing w:after="0" w:line="254" w:lineRule="auto"/>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200" w:lineRule="exact"/>
        <w:rPr>
          <w:rFonts w:ascii="Arial" w:cs="Arial" w:eastAsia="Arial" w:hAnsi="Arial"/>
          <w:sz w:val="20"/>
          <w:szCs w:val="20"/>
          <w:color w:val="auto"/>
        </w:rPr>
      </w:pPr>
    </w:p>
    <w:p>
      <w:pPr>
        <w:jc w:val="both"/>
        <w:ind w:left="720" w:right="200" w:hanging="353"/>
        <w:spacing w:after="0" w:line="261" w:lineRule="auto"/>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countries other than the United States may have patent laws less favorable to patentees than those upheld by United States courts, allowing foreign competitors a better opportunity to create, develop, and market competing products.</w:t>
      </w:r>
    </w:p>
    <w:p>
      <w:pPr>
        <w:spacing w:after="0" w:line="179"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auto"/>
        </w:rPr>
        <w:t>The patent prosecution process is also expensive and time-consuming,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93"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In addition, although we enter into non-disclosure and confidentiality agreements with parties who have access to patentable aspects of our research and development output, such as our employees, outside scientific collaborators, CROs, CMOs, consultants, advisors, and other third parties, any of these parties may breach such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licensed patents or pending patent applications, or that we were the first to file for patent protection of such inventions.</w:t>
      </w:r>
    </w:p>
    <w:p>
      <w:pPr>
        <w:spacing w:after="0" w:line="201" w:lineRule="exact"/>
        <w:rPr>
          <w:sz w:val="20"/>
          <w:szCs w:val="20"/>
          <w:color w:val="auto"/>
        </w:rPr>
      </w:pPr>
    </w:p>
    <w:p>
      <w:pPr>
        <w:ind w:right="40"/>
        <w:spacing w:after="0" w:line="265" w:lineRule="auto"/>
        <w:rPr>
          <w:sz w:val="20"/>
          <w:szCs w:val="20"/>
          <w:color w:val="auto"/>
        </w:rPr>
      </w:pPr>
      <w:r>
        <w:rPr>
          <w:rFonts w:ascii="Arial" w:cs="Arial" w:eastAsia="Arial" w:hAnsi="Arial"/>
          <w:sz w:val="20"/>
          <w:szCs w:val="20"/>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64"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which effectively prevent others from commercializing competitive product candidates.</w:t>
      </w:r>
    </w:p>
    <w:p>
      <w:pPr>
        <w:spacing w:after="0" w:line="19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Moreover, the coverage claimed in a patent application can be significantly reduced before the patent is issued, and its scope can be reinterpreted after issuance. Even if patent applications we own or 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CNTY-101 and our other product candidates will be protectable or remain protected by valid and enforceable patents. Our competitors or other third parties may be able to circumvent our patents by developing similar or alternative technologies or products in a non-infringing, misappropriating, or violating manner which could materially adversely affect our business, financial condition, results of operations and prospects.</w:t>
      </w:r>
    </w:p>
    <w:p>
      <w:pPr>
        <w:spacing w:after="0" w:line="198" w:lineRule="exact"/>
        <w:rPr>
          <w:sz w:val="20"/>
          <w:szCs w:val="20"/>
          <w:color w:val="auto"/>
        </w:rPr>
      </w:pPr>
    </w:p>
    <w:p>
      <w:pPr>
        <w:ind w:right="420"/>
        <w:spacing w:after="0" w:line="311" w:lineRule="auto"/>
        <w:rPr>
          <w:sz w:val="20"/>
          <w:szCs w:val="20"/>
          <w:color w:val="auto"/>
        </w:rPr>
      </w:pPr>
      <w:r>
        <w:rPr>
          <w:rFonts w:ascii="Arial" w:cs="Arial" w:eastAsia="Arial" w:hAnsi="Arial"/>
          <w:sz w:val="19"/>
          <w:szCs w:val="19"/>
          <w:color w:val="auto"/>
        </w:rPr>
        <w:t>The issuance of a patent is not conclusive as to its inventorship, scope, validity, or enforceability, and our patents may not cover CNTY-101 and our other product candidates or may be challenged in the courts or</w:t>
      </w:r>
    </w:p>
    <w:p>
      <w:pPr>
        <w:sectPr>
          <w:pgSz w:w="11880" w:h="15480" w:orient="portrait"/>
          <w:cols w:equalWidth="0" w:num="1">
            <w:col w:w="9720"/>
          </w:cols>
          <w:pgMar w:left="1080" w:top="1081" w:right="1080" w:bottom="542"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880" w:h="15480" w:orient="portrait"/>
          <w:cols w:equalWidth="0" w:num="1">
            <w:col w:w="9720"/>
          </w:cols>
          <w:pgMar w:left="1080" w:top="1081" w:right="1080" w:bottom="542" w:gutter="0" w:footer="0" w:header="0"/>
          <w:type w:val="continuous"/>
        </w:sectPr>
      </w:pPr>
    </w:p>
    <w:bookmarkStart w:id="97" w:name="page98"/>
    <w:bookmarkEnd w:id="97"/>
    <w:p>
      <w:pPr>
        <w:ind w:right="20"/>
        <w:spacing w:after="0" w:line="241" w:lineRule="auto"/>
        <w:rPr>
          <w:sz w:val="20"/>
          <w:szCs w:val="20"/>
          <w:color w:val="auto"/>
        </w:rPr>
      </w:pPr>
      <w:r>
        <w:rPr>
          <w:rFonts w:ascii="Arial" w:cs="Arial" w:eastAsia="Arial" w:hAnsi="Arial"/>
          <w:sz w:val="20"/>
          <w:szCs w:val="20"/>
          <w:color w:val="auto"/>
        </w:rPr>
        <w:t>patent offices in the United States and abroad. We may be subject to a third-party pre-issuance submission of prior art to the USPTO, or become involved in opposition, derivation, revocation, reexamination, post-grant review, or PGR, and inter parties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patents and patent applications or those of our licensors has been found. There is also no assurance that there is not prior art of which we, our predecessors or licensors are aware, but which we do not believe affects the validity or enforceability of a claim in our patents and patent applications or those of our licensors,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CNTY-101 and our other product candidates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or our licensors’ ability to stop others from using or commercializing similar or identical technology and products, or limit the duration of the patent protection of CNTY-101 and our other product candidates. Such proceedings also may result in substantial costs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223" w:lineRule="exact"/>
        <w:rPr>
          <w:sz w:val="20"/>
          <w:szCs w:val="20"/>
          <w:color w:val="auto"/>
        </w:rPr>
      </w:pPr>
    </w:p>
    <w:p>
      <w:pPr>
        <w:ind w:right="160"/>
        <w:spacing w:after="0" w:line="289" w:lineRule="auto"/>
        <w:rPr>
          <w:sz w:val="20"/>
          <w:szCs w:val="20"/>
          <w:color w:val="auto"/>
        </w:rPr>
      </w:pPr>
      <w:r>
        <w:rPr>
          <w:rFonts w:ascii="Arial" w:cs="Arial" w:eastAsia="Arial" w:hAnsi="Arial"/>
          <w:sz w:val="20"/>
          <w:szCs w:val="20"/>
          <w:b w:val="1"/>
          <w:bCs w:val="1"/>
          <w:i w:val="1"/>
          <w:iCs w:val="1"/>
          <w:color w:val="auto"/>
        </w:rPr>
        <w:t>The patent protection and patent prosecution for some of our product candidates may be dependent on third parties.</w:t>
      </w:r>
    </w:p>
    <w:p>
      <w:pPr>
        <w:spacing w:after="0" w:line="142" w:lineRule="exact"/>
        <w:rPr>
          <w:sz w:val="20"/>
          <w:szCs w:val="20"/>
          <w:color w:val="auto"/>
        </w:rPr>
      </w:pPr>
    </w:p>
    <w:p>
      <w:pPr>
        <w:ind w:firstLine="1"/>
        <w:spacing w:after="0" w:line="243" w:lineRule="auto"/>
        <w:rPr>
          <w:sz w:val="20"/>
          <w:szCs w:val="20"/>
          <w:color w:val="auto"/>
        </w:rPr>
      </w:pPr>
      <w:r>
        <w:rPr>
          <w:rFonts w:ascii="Arial" w:cs="Arial" w:eastAsia="Arial" w:hAnsi="Arial"/>
          <w:sz w:val="20"/>
          <w:szCs w:val="20"/>
          <w:color w:val="auto"/>
        </w:rPr>
        <w:t>We or our licensors or collaborators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our collaborators or our licensors, whether current or future, fail to establish, maintain, or protect such patents and other intellectual property rights, such rights may be reduced or eliminated. If our licensors or collaborators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204"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w:t>
      </w:r>
    </w:p>
    <w:p>
      <w:pPr>
        <w:sectPr>
          <w:pgSz w:w="11880" w:h="15480" w:orient="portrait"/>
          <w:cols w:equalWidth="0" w:num="1">
            <w:col w:w="9720"/>
          </w:cols>
          <w:pgMar w:left="1080" w:top="1067" w:right="1080" w:bottom="542"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880" w:h="15480" w:orient="portrait"/>
          <w:cols w:equalWidth="0" w:num="1">
            <w:col w:w="9720"/>
          </w:cols>
          <w:pgMar w:left="1080" w:top="1067" w:right="1080" w:bottom="542" w:gutter="0" w:footer="0" w:header="0"/>
          <w:type w:val="continuous"/>
        </w:sectPr>
      </w:pPr>
    </w:p>
    <w:bookmarkStart w:id="98" w:name="page99"/>
    <w:bookmarkEnd w:id="98"/>
    <w:p>
      <w:pPr>
        <w:ind w:right="20"/>
        <w:spacing w:after="0" w:line="250" w:lineRule="auto"/>
        <w:rPr>
          <w:sz w:val="20"/>
          <w:szCs w:val="20"/>
          <w:color w:val="auto"/>
        </w:rPr>
      </w:pPr>
      <w:r>
        <w:rPr>
          <w:rFonts w:ascii="Arial" w:cs="Arial" w:eastAsia="Arial" w:hAnsi="Arial"/>
          <w:sz w:val="20"/>
          <w:szCs w:val="20"/>
          <w:color w:val="auto"/>
        </w:rPr>
        <w:t>intellectual property that we may need to operate our business. If any of our licensors or any of our future licensors or future collaborators fail to appropriately prosecute and maintain patent protection for patents covering CNTY- 101 and our other product candidates, our ability to develop and commercialize those product candidates may be adversely affected and we may not be able to prevent competitors from making, using, and selling competing products.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86"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94"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In addition, the research resulting in certain of our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United States government also has the right to take title to these inventions if the applicable licensor fails to disclose the invention to the government or fails to file an application to register the intellectual property within specified time limits.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98"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color w:val="auto"/>
        </w:rPr>
        <w:t>If we are limited in our ability to utilize acquired or licensed technologies, or if we lose our rights to critical in - 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CNTY-101 and our other product candidates.</w:t>
      </w:r>
    </w:p>
    <w:p>
      <w:pPr>
        <w:spacing w:after="0" w:line="198" w:lineRule="exact"/>
        <w:rPr>
          <w:sz w:val="20"/>
          <w:szCs w:val="20"/>
          <w:color w:val="auto"/>
        </w:rPr>
      </w:pPr>
    </w:p>
    <w:p>
      <w:pPr>
        <w:ind w:right="860"/>
        <w:spacing w:after="0" w:line="289" w:lineRule="auto"/>
        <w:rPr>
          <w:sz w:val="20"/>
          <w:szCs w:val="20"/>
          <w:color w:val="auto"/>
        </w:rPr>
      </w:pPr>
      <w:r>
        <w:rPr>
          <w:rFonts w:ascii="Arial" w:cs="Arial" w:eastAsia="Arial" w:hAnsi="Arial"/>
          <w:sz w:val="20"/>
          <w:szCs w:val="20"/>
          <w:b w:val="1"/>
          <w:bCs w:val="1"/>
          <w:i w:val="1"/>
          <w:iCs w:val="1"/>
          <w:color w:val="auto"/>
        </w:rPr>
        <w:t>Intellectual property rights do not necessarily address all potential threats to our competitive advantage.</w:t>
      </w:r>
    </w:p>
    <w:p>
      <w:pPr>
        <w:spacing w:after="0" w:line="142" w:lineRule="exact"/>
        <w:rPr>
          <w:sz w:val="20"/>
          <w:szCs w:val="20"/>
          <w:color w:val="auto"/>
        </w:rPr>
      </w:pPr>
    </w:p>
    <w:p>
      <w:pPr>
        <w:jc w:val="both"/>
        <w:ind w:right="320"/>
        <w:spacing w:after="0" w:line="262" w:lineRule="auto"/>
        <w:rPr>
          <w:sz w:val="20"/>
          <w:szCs w:val="20"/>
          <w:color w:val="auto"/>
        </w:rPr>
      </w:pPr>
      <w:r>
        <w:rPr>
          <w:rFonts w:ascii="Arial" w:cs="Arial" w:eastAsia="Arial" w:hAnsi="Arial"/>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0" w:lineRule="exact"/>
        <w:rPr>
          <w:sz w:val="20"/>
          <w:szCs w:val="20"/>
          <w:color w:val="auto"/>
        </w:rPr>
      </w:pPr>
    </w:p>
    <w:p>
      <w:pPr>
        <w:ind w:left="720" w:right="920" w:hanging="354"/>
        <w:spacing w:after="0" w:line="283"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others may be able to develop products that are similar to CNTY-101 and our other product candidates but that are not covered by the claims of the patents that we own or license;</w:t>
      </w:r>
    </w:p>
    <w:p>
      <w:pPr>
        <w:spacing w:after="0" w:line="171" w:lineRule="exact"/>
        <w:rPr>
          <w:rFonts w:ascii="Arial" w:cs="Arial" w:eastAsia="Arial" w:hAnsi="Arial"/>
          <w:sz w:val="20"/>
          <w:szCs w:val="20"/>
          <w:color w:val="auto"/>
        </w:rPr>
      </w:pPr>
    </w:p>
    <w:p>
      <w:pPr>
        <w:ind w:left="720" w:right="140" w:hanging="354"/>
        <w:spacing w:after="0" w:line="283"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we or our licensors or predecessors might not have been the first to make the inventions covered by the issued patents or patent application that we own or license;</w:t>
      </w:r>
    </w:p>
    <w:p>
      <w:pPr>
        <w:sectPr>
          <w:pgSz w:w="11880" w:h="15480" w:orient="portrait"/>
          <w:cols w:equalWidth="0" w:num="1">
            <w:col w:w="9700"/>
          </w:cols>
          <w:pgMar w:left="1080" w:top="1067" w:right="1100" w:bottom="542"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99</w:t>
      </w:r>
    </w:p>
    <w:p>
      <w:pPr>
        <w:sectPr>
          <w:pgSz w:w="11880" w:h="15480" w:orient="portrait"/>
          <w:cols w:equalWidth="0" w:num="1">
            <w:col w:w="9700"/>
          </w:cols>
          <w:pgMar w:left="1080" w:top="1067" w:right="1100" w:bottom="542" w:gutter="0" w:footer="0" w:header="0"/>
          <w:type w:val="continuous"/>
        </w:sectPr>
      </w:pPr>
    </w:p>
    <w:bookmarkStart w:id="99" w:name="page100"/>
    <w:bookmarkEnd w:id="99"/>
    <w:p>
      <w:pPr>
        <w:ind w:left="720" w:right="160" w:hanging="353"/>
        <w:spacing w:after="0" w:line="283" w:lineRule="auto"/>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we or our licensors or predecessors might not have been the first to file patent applications covering certain of our inventions;</w:t>
      </w:r>
    </w:p>
    <w:p>
      <w:pPr>
        <w:spacing w:after="0" w:line="170" w:lineRule="exact"/>
        <w:rPr>
          <w:rFonts w:ascii="Arial" w:cs="Arial" w:eastAsia="Arial" w:hAnsi="Arial"/>
          <w:sz w:val="20"/>
          <w:szCs w:val="20"/>
          <w:color w:val="auto"/>
        </w:rPr>
      </w:pPr>
    </w:p>
    <w:p>
      <w:pPr>
        <w:ind w:left="720" w:right="580" w:hanging="353"/>
        <w:spacing w:after="0" w:line="262" w:lineRule="auto"/>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others may independently develop similar or alternative technologies or duplicate any of our technologies without infringing, misappropriating, or otherwise violating our intellectual property rights;</w:t>
      </w:r>
    </w:p>
    <w:p>
      <w:pPr>
        <w:spacing w:after="0" w:line="191" w:lineRule="exact"/>
        <w:rPr>
          <w:rFonts w:ascii="Arial" w:cs="Arial" w:eastAsia="Arial" w:hAnsi="Arial"/>
          <w:sz w:val="20"/>
          <w:szCs w:val="20"/>
          <w:color w:val="auto"/>
        </w:rPr>
      </w:pPr>
    </w:p>
    <w:p>
      <w:pPr>
        <w:ind w:left="720" w:hanging="353"/>
        <w:spacing w:after="0"/>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it is possible that our pending patent applications will not lead to issued patents;</w:t>
      </w:r>
    </w:p>
    <w:p>
      <w:pPr>
        <w:spacing w:after="0" w:line="252" w:lineRule="exact"/>
        <w:rPr>
          <w:rFonts w:ascii="Arial" w:cs="Arial" w:eastAsia="Arial" w:hAnsi="Arial"/>
          <w:sz w:val="20"/>
          <w:szCs w:val="20"/>
          <w:color w:val="auto"/>
        </w:rPr>
      </w:pPr>
    </w:p>
    <w:p>
      <w:pPr>
        <w:ind w:left="720" w:right="600" w:hanging="353"/>
        <w:spacing w:after="0" w:line="283" w:lineRule="auto"/>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issued patents that we own or license may be held invalid or unenforceable, as a result of legal challenges by our competitors;</w:t>
      </w:r>
    </w:p>
    <w:p>
      <w:pPr>
        <w:spacing w:after="0" w:line="171" w:lineRule="exact"/>
        <w:rPr>
          <w:rFonts w:ascii="Arial" w:cs="Arial" w:eastAsia="Arial" w:hAnsi="Arial"/>
          <w:sz w:val="20"/>
          <w:szCs w:val="20"/>
          <w:color w:val="auto"/>
        </w:rPr>
      </w:pPr>
    </w:p>
    <w:p>
      <w:pPr>
        <w:ind w:left="720" w:right="260" w:hanging="353"/>
        <w:spacing w:after="0" w:line="261" w:lineRule="auto"/>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92" w:lineRule="exact"/>
        <w:rPr>
          <w:rFonts w:ascii="Arial" w:cs="Arial" w:eastAsia="Arial" w:hAnsi="Arial"/>
          <w:sz w:val="20"/>
          <w:szCs w:val="20"/>
          <w:color w:val="auto"/>
        </w:rPr>
      </w:pPr>
    </w:p>
    <w:p>
      <w:pPr>
        <w:ind w:left="720" w:hanging="353"/>
        <w:spacing w:after="0"/>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we may not develop additional proprietary technologies that are patentable; and</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patents of others may have an adverse effect on our business.</w:t>
      </w:r>
    </w:p>
    <w:p>
      <w:pPr>
        <w:spacing w:after="0" w:line="240" w:lineRule="exact"/>
        <w:rPr>
          <w:sz w:val="20"/>
          <w:szCs w:val="20"/>
          <w:color w:val="auto"/>
        </w:rPr>
      </w:pPr>
    </w:p>
    <w:p>
      <w:pPr>
        <w:ind w:right="840"/>
        <w:spacing w:after="0" w:line="283" w:lineRule="auto"/>
        <w:rPr>
          <w:sz w:val="20"/>
          <w:szCs w:val="20"/>
          <w:color w:val="auto"/>
        </w:rPr>
      </w:pPr>
      <w:r>
        <w:rPr>
          <w:rFonts w:ascii="Arial" w:cs="Arial" w:eastAsia="Arial" w:hAnsi="Arial"/>
          <w:sz w:val="20"/>
          <w:szCs w:val="20"/>
          <w:color w:val="auto"/>
        </w:rPr>
        <w:t>Should any of these events occur, it could significantly harm our business, results of operations, and prospects.</w:t>
      </w:r>
    </w:p>
    <w:p>
      <w:pPr>
        <w:spacing w:after="0" w:line="161" w:lineRule="exact"/>
        <w:rPr>
          <w:sz w:val="20"/>
          <w:szCs w:val="20"/>
          <w:color w:val="auto"/>
        </w:rPr>
      </w:pPr>
    </w:p>
    <w:p>
      <w:pPr>
        <w:ind w:right="300"/>
        <w:spacing w:after="0" w:line="252" w:lineRule="auto"/>
        <w:rPr>
          <w:sz w:val="20"/>
          <w:szCs w:val="20"/>
          <w:color w:val="auto"/>
        </w:rPr>
      </w:pPr>
      <w:r>
        <w:rPr>
          <w:rFonts w:ascii="Arial" w:cs="Arial" w:eastAsia="Arial" w:hAnsi="Arial"/>
          <w:sz w:val="20"/>
          <w:szCs w:val="20"/>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violate their intellectual property or proprietary rights may result in liability for damages or prevent or delay our development and commercialization efforts.</w:t>
      </w:r>
    </w:p>
    <w:p>
      <w:pPr>
        <w:spacing w:after="0" w:line="17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Our commercial success depends in part on avoiding infringement, misappropriation, or other violation of the patents, intellectual property, or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other intellectual property or proprietary rights that could limit our ability to make, use, sell, offer for sale, or import CNTY-101 or our other product candidates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 party United States and foreign issued patents and pending patent applications exist in the fields in which we are developing product candidates, including patents and patent applications held by our competitors. There may be third-party patents or patent applications with claims to materials, formulations, methods of manufacture, or methods for treatment related to the use or manufacture of CNTY-101 and our other product candidates.</w:t>
      </w:r>
    </w:p>
    <w:p>
      <w:pPr>
        <w:spacing w:after="0" w:line="200"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As the biopharmaceutical industry expands and more patents are issued, the risk increases that CNTY-101 and our other product candidates may be subject to claims of infringement, misappropriation, or other violation of the patent rights of third parties. Because patent applications are maintained as confidential for a certain period of time, until the relevant application is published we may be unaware of third-party patents that may be infringed by commercialization of CNTY-101 and our other product candidates, and we cannot be certain that we were the first to file a patent application related to CNTY-101 and our other product candidates. Moreover, because patent applications can take many years to issue, there may be currently pending patent applications that may later result in issued patents that CNTY-101 and our other product candidates may infringe. In addition, identification of third-party patent rights that may be relevant to our</w:t>
      </w:r>
    </w:p>
    <w:p>
      <w:pPr>
        <w:sectPr>
          <w:pgSz w:w="11880" w:h="15480" w:orient="portrait"/>
          <w:cols w:equalWidth="0" w:num="1">
            <w:col w:w="9700"/>
          </w:cols>
          <w:pgMar w:left="1080" w:top="1081"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100</w:t>
      </w:r>
    </w:p>
    <w:p>
      <w:pPr>
        <w:sectPr>
          <w:pgSz w:w="11880" w:h="15480" w:orient="portrait"/>
          <w:cols w:equalWidth="0" w:num="1">
            <w:col w:w="9700"/>
          </w:cols>
          <w:pgMar w:left="1080" w:top="1081" w:right="1100" w:bottom="554" w:gutter="0" w:footer="0" w:header="0"/>
          <w:type w:val="continuous"/>
        </w:sectPr>
      </w:pPr>
    </w:p>
    <w:bookmarkStart w:id="100" w:name="page101"/>
    <w:bookmarkEnd w:id="100"/>
    <w:p>
      <w:pPr>
        <w:ind w:right="60"/>
        <w:spacing w:after="0" w:line="254" w:lineRule="auto"/>
        <w:rPr>
          <w:sz w:val="20"/>
          <w:szCs w:val="20"/>
          <w:color w:val="auto"/>
        </w:rPr>
      </w:pPr>
      <w:r>
        <w:rPr>
          <w:rFonts w:ascii="Arial" w:cs="Arial" w:eastAsia="Arial" w:hAnsi="Arial"/>
          <w:sz w:val="20"/>
          <w:szCs w:val="20"/>
          <w:color w:val="auto"/>
        </w:rPr>
        <w:t>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misappropriates, or otherwise violates these patents. Any claims asserted by third parties would be time-consuming and could:</w:t>
      </w:r>
    </w:p>
    <w:p>
      <w:pPr>
        <w:spacing w:after="0" w:line="200" w:lineRule="exact"/>
        <w:rPr>
          <w:sz w:val="20"/>
          <w:szCs w:val="20"/>
          <w:color w:val="auto"/>
        </w:rPr>
      </w:pPr>
    </w:p>
    <w:p>
      <w:pPr>
        <w:ind w:left="720" w:hanging="353"/>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result in costly litigation that may cause negative publicity;</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divert the time and attention of our technical personnel and management;</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cause development delays;</w:t>
      </w:r>
    </w:p>
    <w:p>
      <w:pPr>
        <w:spacing w:after="0" w:line="253" w:lineRule="exact"/>
        <w:rPr>
          <w:rFonts w:ascii="Arial" w:cs="Arial" w:eastAsia="Arial" w:hAnsi="Arial"/>
          <w:sz w:val="20"/>
          <w:szCs w:val="20"/>
          <w:color w:val="auto"/>
        </w:rPr>
      </w:pPr>
    </w:p>
    <w:p>
      <w:pPr>
        <w:ind w:left="720" w:right="540" w:hanging="353"/>
        <w:spacing w:after="0" w:line="283"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prevent us from commercializing CNTY-101 and our other product candidates until the asserted patent expires or is held finally invalid or not infringed in a court of law;</w:t>
      </w:r>
    </w:p>
    <w:p>
      <w:pPr>
        <w:spacing w:after="0" w:line="171" w:lineRule="exact"/>
        <w:rPr>
          <w:rFonts w:ascii="Arial" w:cs="Arial" w:eastAsia="Arial" w:hAnsi="Arial"/>
          <w:sz w:val="20"/>
          <w:szCs w:val="20"/>
          <w:color w:val="auto"/>
        </w:rPr>
      </w:pPr>
    </w:p>
    <w:p>
      <w:pPr>
        <w:ind w:left="720" w:hanging="353"/>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require us to develop non-infringing technology, which may not be possible on a cost-effective basis;</w:t>
      </w:r>
    </w:p>
    <w:p>
      <w:pPr>
        <w:spacing w:after="0" w:line="252" w:lineRule="exact"/>
        <w:rPr>
          <w:rFonts w:ascii="Arial" w:cs="Arial" w:eastAsia="Arial" w:hAnsi="Arial"/>
          <w:sz w:val="20"/>
          <w:szCs w:val="20"/>
          <w:color w:val="auto"/>
        </w:rPr>
      </w:pPr>
    </w:p>
    <w:p>
      <w:pPr>
        <w:ind w:left="720" w:hanging="353"/>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subject us to significant liability to third parties; or</w:t>
      </w:r>
    </w:p>
    <w:p>
      <w:pPr>
        <w:spacing w:after="0" w:line="253" w:lineRule="exact"/>
        <w:rPr>
          <w:rFonts w:ascii="Arial" w:cs="Arial" w:eastAsia="Arial" w:hAnsi="Arial"/>
          <w:sz w:val="20"/>
          <w:szCs w:val="20"/>
          <w:color w:val="auto"/>
        </w:rPr>
      </w:pPr>
    </w:p>
    <w:p>
      <w:pPr>
        <w:ind w:left="720" w:right="160" w:hanging="353"/>
        <w:spacing w:after="0" w:line="262"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7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Third parties may hold intellectual property or proprietary rights that could prevent CNTY-101 and our other product candidates from being marketed. Any patent-related legal action against us claiming damages and seeking to enjoin activities relating to CNTY-101 and our other product candidates or processes could subject us to potential liability for damages, including treble damages if we were determined to willfully infringe, and require us to obtain a license to manufacture or develop CNTY-101 and our other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CNTY-101 and our other product candidates or processes to avoid infringement, if necessary. Accordingly, an adverse determination in a judicial or administrative proceeding, or the failure to obtain necessary licenses, could prevent us from developing and commercializing CNTY-101 and our other product candidates, which could harm our business, financial condition, and operating results.</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94"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ectPr>
          <w:pgSz w:w="11880" w:h="15480" w:orient="portrait"/>
          <w:cols w:equalWidth="0" w:num="1">
            <w:col w:w="9720"/>
          </w:cols>
          <w:pgMar w:left="1080" w:top="1067" w:right="1080" w:bottom="554" w:gutter="0" w:footer="0" w:header="0"/>
          <w:type w:val="continuous"/>
        </w:sectPr>
      </w:pPr>
    </w:p>
    <w:bookmarkStart w:id="101" w:name="page102"/>
    <w:bookmarkEnd w:id="101"/>
    <w:p>
      <w:pPr>
        <w:ind w:right="100"/>
        <w:spacing w:after="0" w:line="265" w:lineRule="auto"/>
        <w:rPr>
          <w:sz w:val="20"/>
          <w:szCs w:val="20"/>
          <w:color w:val="auto"/>
        </w:rPr>
      </w:pPr>
      <w:r>
        <w:rPr>
          <w:rFonts w:ascii="Arial" w:cs="Arial" w:eastAsia="Arial" w:hAnsi="Arial"/>
          <w:sz w:val="20"/>
          <w:szCs w:val="20"/>
          <w:b w:val="1"/>
          <w:bCs w:val="1"/>
          <w:i w:val="1"/>
          <w:iCs w:val="1"/>
          <w:color w:val="auto"/>
        </w:rPr>
        <w:t>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164"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field of gene-editing, especially in the area of CRISPR technology, is still in its infancy, and no such products have reached the market. Further, the ownership of intellectual property rights relating to CRISPR technology is not fully established. Accordingly, we may not be able to secure all the necessary rights to practice the technology.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intellectual property and proprietary rights in the future. 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biopharmaceutical and pharmaceutical industries are characterized by extensive litigation regarding patents and other intellectual property rights relating to CRISPR. For example, certain patents are currently subject to Interference Proceedings before the USPTO and Opposition Proceedings before the European Patent Office, or EPO. It is uncertain when and how the USPTO, as well as the EPO, will decide in the various proceedings, and the decisions of the respective patent offices may significantly affect the scope or may deny the validity of the respective patents involved in these proceedings. We may in the future become party to, or threatened with, adversarial proceedings or litigation regarding intellectual property rights with respect to CRISPR technology and any product candidates we may develop. Third parties may assert infringement claims against us based on existing patents or patents that may be granted in the future, regardless of their merit. If we are unable to prove that these patents are invalid or unenforceable or not infringed and we are not able to obtain or maintain a license on commercially reasonable terms, or at all, such third parties could potentially assert infringement claims against us, which could have a material adverse effect on the conduct of our business. If we are found to infringe, misappropriate, or violate such third-party patents, we and our partners may be required to pay damages, cease commercialization of the infringing technology, including our use of gene-editing technology, or obtain a license from such third parties, which may not be available on commercially reasonable terms or at all.</w:t>
      </w:r>
    </w:p>
    <w:p>
      <w:pPr>
        <w:spacing w:after="0" w:line="217"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color w:val="auto"/>
        </w:rPr>
        <w:t>We may be involved in lawsuits to protect or enforce our patents or the patents of our licensors, which could be expensive, time-consuming, and unsuccessful. Further, our issued patents could be found invalid or unenforceable if challenged in court.</w:t>
      </w:r>
    </w:p>
    <w:p>
      <w:pPr>
        <w:spacing w:after="0" w:line="177"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Competitors may infringe, misappropriate, or violate our intellectual property rights or those of our licensors. To prevent infringement, misappropriation, violation, or unauthorized use, we and/or our licensors may be required to file claims, which can be expensive and time-consuming. In addition, in a patent infringement proceeding, a court may decide that a patent we own or license is not valid, is unenforceable and/or is not infringed. If we or any of our licensors or potential future collaborators were to initiate legal proceedings against a third party to enforce a patent directed at CNTY-101 and our other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 or non-enablement. Grounds for an unenforceability assertion could include an allegation that someone connected with prosecution of the patent withheld relevant information from the USPTO or made a misleading statement during prosecution.</w:t>
      </w:r>
    </w:p>
    <w:p>
      <w:pPr>
        <w:spacing w:after="0" w:line="195"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licensors is threatened, it could dissuade companies from collaborating with us to license, develop, or commercialize current or future product candidates. Such a loss of patent protection would have a material adverse impact on our business.</w:t>
      </w:r>
    </w:p>
    <w:p>
      <w:pPr>
        <w:sectPr>
          <w:pgSz w:w="11880" w:h="15480" w:orient="portrait"/>
          <w:cols w:equalWidth="0" w:num="1">
            <w:col w:w="9700"/>
          </w:cols>
          <w:pgMar w:left="1080" w:top="1071"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102</w:t>
      </w:r>
    </w:p>
    <w:p>
      <w:pPr>
        <w:sectPr>
          <w:pgSz w:w="11880" w:h="15480" w:orient="portrait"/>
          <w:cols w:equalWidth="0" w:num="1">
            <w:col w:w="9700"/>
          </w:cols>
          <w:pgMar w:left="1080" w:top="1071" w:right="1100" w:bottom="554" w:gutter="0" w:footer="0" w:header="0"/>
          <w:type w:val="continuous"/>
        </w:sectPr>
      </w:pPr>
    </w:p>
    <w:bookmarkStart w:id="102" w:name="page103"/>
    <w:bookmarkEnd w:id="102"/>
    <w:p>
      <w:pPr>
        <w:spacing w:after="0" w:line="249" w:lineRule="auto"/>
        <w:rPr>
          <w:sz w:val="20"/>
          <w:szCs w:val="20"/>
          <w:color w:val="auto"/>
        </w:rPr>
      </w:pPr>
      <w:r>
        <w:rPr>
          <w:rFonts w:ascii="Arial" w:cs="Arial" w:eastAsia="Arial" w:hAnsi="Arial"/>
          <w:sz w:val="20"/>
          <w:szCs w:val="20"/>
          <w:color w:val="auto"/>
        </w:rPr>
        <w:t>In addition, we may in the future choose to challenge the patentability of claims in a third-party’s patent by requesting that the USPTO review the patent claims in re-examination, post-grant review, inter parties review, interference proceedings, derivation proceedings, and equivalent proceedings in foreign jurisdictions</w:t>
      </w:r>
    </w:p>
    <w:p>
      <w:pPr>
        <w:ind w:right="80"/>
        <w:spacing w:after="0" w:line="244" w:lineRule="auto"/>
        <w:rPr>
          <w:sz w:val="20"/>
          <w:szCs w:val="20"/>
          <w:color w:val="auto"/>
        </w:rPr>
      </w:pPr>
      <w:r>
        <w:rPr>
          <w:rFonts w:ascii="Arial" w:cs="Arial" w:eastAsia="Arial" w:hAnsi="Arial"/>
          <w:sz w:val="20"/>
          <w:szCs w:val="20"/>
          <w:color w:val="auto"/>
        </w:rPr>
        <w:t>(e.g., opposition proceedings). We have challenged and may in the future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we may be exposed to litigation by the third party alleging that the relevant patent may be infringed by our product candidates.</w:t>
      </w:r>
    </w:p>
    <w:p>
      <w:pPr>
        <w:spacing w:after="0" w:line="196"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compromise our ability to compete in the marketplace.</w:t>
      </w:r>
    </w:p>
    <w:p>
      <w:pPr>
        <w:spacing w:after="0" w:line="197"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91"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b w:val="1"/>
          <w:bCs w:val="1"/>
          <w:i w:val="1"/>
          <w:iCs w:val="1"/>
          <w:color w:val="auto"/>
        </w:rPr>
        <w:t>Changes in United States patent law, or laws in other countries, could diminish the value of patents in general, thereby impairing our ability to protect CNTY-101 and our other product candidates.</w:t>
      </w:r>
    </w:p>
    <w:p>
      <w:pPr>
        <w:spacing w:after="0" w:line="142" w:lineRule="exact"/>
        <w:rPr>
          <w:sz w:val="20"/>
          <w:szCs w:val="20"/>
          <w:color w:val="auto"/>
        </w:rPr>
      </w:pPr>
    </w:p>
    <w:p>
      <w:pPr>
        <w:ind w:right="160"/>
        <w:spacing w:after="0" w:line="245" w:lineRule="auto"/>
        <w:rPr>
          <w:sz w:val="20"/>
          <w:szCs w:val="20"/>
          <w:color w:val="auto"/>
        </w:rPr>
      </w:pPr>
      <w:r>
        <w:rPr>
          <w:rFonts w:ascii="Arial" w:cs="Arial" w:eastAsia="Arial" w:hAnsi="Arial"/>
          <w:sz w:val="20"/>
          <w:szCs w:val="20"/>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 party patents. In addition, Congress or other foreign legislative bodies may pass patent reform legislation that is unfavorable to us.</w:t>
      </w:r>
    </w:p>
    <w:p>
      <w:pPr>
        <w:spacing w:after="0" w:line="197"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United States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ectPr>
          <w:pgSz w:w="11880" w:h="15480" w:orient="portrait"/>
          <w:cols w:equalWidth="0" w:num="1">
            <w:col w:w="9700"/>
          </w:cols>
          <w:pgMar w:left="1080" w:top="1067"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103</w:t>
      </w:r>
    </w:p>
    <w:p>
      <w:pPr>
        <w:sectPr>
          <w:pgSz w:w="11880" w:h="15480" w:orient="portrait"/>
          <w:cols w:equalWidth="0" w:num="1">
            <w:col w:w="9700"/>
          </w:cols>
          <w:pgMar w:left="1080" w:top="1067" w:right="1100" w:bottom="554" w:gutter="0" w:footer="0" w:header="0"/>
          <w:type w:val="continuous"/>
        </w:sectPr>
      </w:pPr>
    </w:p>
    <w:bookmarkStart w:id="103" w:name="page104"/>
    <w:bookmarkEnd w:id="103"/>
    <w:p>
      <w:pPr>
        <w:ind w:right="500"/>
        <w:spacing w:after="0" w:line="289" w:lineRule="auto"/>
        <w:rPr>
          <w:sz w:val="20"/>
          <w:szCs w:val="20"/>
          <w:color w:val="auto"/>
        </w:rPr>
      </w:pPr>
      <w:r>
        <w:rPr>
          <w:rFonts w:ascii="Arial" w:cs="Arial" w:eastAsia="Arial" w:hAnsi="Arial"/>
          <w:sz w:val="20"/>
          <w:szCs w:val="20"/>
          <w:b w:val="1"/>
          <w:bCs w:val="1"/>
          <w:i w:val="1"/>
          <w:iCs w:val="1"/>
          <w:color w:val="auto"/>
        </w:rPr>
        <w:t>We may be subject to claims challenging the inventorship or ownership of our patents and other intellectual property.</w:t>
      </w:r>
    </w:p>
    <w:p>
      <w:pPr>
        <w:spacing w:after="0" w:line="143"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or our licensors fail in defending any such claims, in addition to paying monetary damages, we may lose valuable intellectual property rights, such as exclusive ownership of, or the exclusive right to use, our owned or in-licensed patents.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or of a diminished scope.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 interference proceeding or other similar priority or inventorship disputes, it could result in substantial costs and be a distraction to management and other employees. Such an outcome could have a material adverse effect on our business. Even if we are successful in defending against such claims, litigation could result in substantial costs and distraction to management and other employees.</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99" w:lineRule="exact"/>
        <w:rPr>
          <w:sz w:val="20"/>
          <w:szCs w:val="20"/>
          <w:color w:val="auto"/>
        </w:rPr>
      </w:pPr>
    </w:p>
    <w:p>
      <w:pPr>
        <w:ind w:right="600"/>
        <w:spacing w:after="0" w:line="289" w:lineRule="auto"/>
        <w:rPr>
          <w:sz w:val="20"/>
          <w:szCs w:val="20"/>
          <w:color w:val="auto"/>
        </w:rPr>
      </w:pPr>
      <w:r>
        <w:rPr>
          <w:rFonts w:ascii="Arial" w:cs="Arial" w:eastAsia="Arial" w:hAnsi="Arial"/>
          <w:sz w:val="20"/>
          <w:szCs w:val="20"/>
          <w:b w:val="1"/>
          <w:bCs w:val="1"/>
          <w:i w:val="1"/>
          <w:iCs w:val="1"/>
          <w:color w:val="auto"/>
        </w:rPr>
        <w:t>Patent terms may be inadequate to protect our competitive position on CNTY-101 and our other product candidates for an adequate amount of time.</w:t>
      </w:r>
    </w:p>
    <w:p>
      <w:pPr>
        <w:spacing w:after="0" w:line="142"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CNTY-101 and our other product candidates are obtained, once the patent life has expired, we may be open to competition from competitive products. Given the amount of time required for the development, testing, and regulatory review of product candidates, patents protecting CNTY-101 and our other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201" w:lineRule="exact"/>
        <w:rPr>
          <w:sz w:val="20"/>
          <w:szCs w:val="20"/>
          <w:color w:val="auto"/>
        </w:rPr>
      </w:pPr>
    </w:p>
    <w:p>
      <w:pPr>
        <w:ind w:right="780"/>
        <w:spacing w:after="0" w:line="289" w:lineRule="auto"/>
        <w:rPr>
          <w:sz w:val="20"/>
          <w:szCs w:val="20"/>
          <w:color w:val="auto"/>
        </w:rPr>
      </w:pPr>
      <w:r>
        <w:rPr>
          <w:rFonts w:ascii="Arial" w:cs="Arial" w:eastAsia="Arial" w:hAnsi="Arial"/>
          <w:sz w:val="20"/>
          <w:szCs w:val="20"/>
          <w:b w:val="1"/>
          <w:bCs w:val="1"/>
          <w:i w:val="1"/>
          <w:iCs w:val="1"/>
          <w:color w:val="auto"/>
        </w:rPr>
        <w:t>If we do not obtain patent term extension for CNTY-101 and our other product candidates, our business may be materially harmed.</w:t>
      </w:r>
    </w:p>
    <w:p>
      <w:pPr>
        <w:spacing w:after="0" w:line="142"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Depending upon the timing, duration, and specifics of FDA marketing approval of CNTY -101 and our other product candidates, one or more of our United States patents may be eligible for limited patent term restoration under the Drug Price Competition and Patent Term Restoration Action of 1984, or Hatch-Waxman Act. The Hatch- Waxman Act permits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w:t>
      </w:r>
    </w:p>
    <w:p>
      <w:pPr>
        <w:sectPr>
          <w:pgSz w:w="11880" w:h="15480" w:orient="portrait"/>
          <w:cols w:equalWidth="0" w:num="1">
            <w:col w:w="9680"/>
          </w:cols>
          <w:pgMar w:left="1080" w:top="1071" w:right="1120" w:bottom="554"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104</w:t>
      </w:r>
    </w:p>
    <w:p>
      <w:pPr>
        <w:sectPr>
          <w:pgSz w:w="11880" w:h="15480" w:orient="portrait"/>
          <w:cols w:equalWidth="0" w:num="1">
            <w:col w:w="9680"/>
          </w:cols>
          <w:pgMar w:left="1080" w:top="1071" w:right="1120" w:bottom="554" w:gutter="0" w:footer="0" w:header="0"/>
          <w:type w:val="continuous"/>
        </w:sectPr>
      </w:pPr>
    </w:p>
    <w:bookmarkStart w:id="104" w:name="page105"/>
    <w:bookmarkEnd w:id="104"/>
    <w:p>
      <w:pPr>
        <w:ind w:right="120"/>
        <w:spacing w:after="0" w:line="243" w:lineRule="auto"/>
        <w:rPr>
          <w:sz w:val="20"/>
          <w:szCs w:val="20"/>
          <w:color w:val="auto"/>
        </w:rPr>
      </w:pPr>
      <w:r>
        <w:rPr>
          <w:rFonts w:ascii="Arial" w:cs="Arial" w:eastAsia="Arial" w:hAnsi="Arial"/>
          <w:sz w:val="20"/>
          <w:szCs w:val="20"/>
          <w:color w:val="auto"/>
        </w:rPr>
        <w:t>years from the date of product approval, only one patent may be extended,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prior to expiration of relevant patents or otherwise failing to exercise due diligence during the testing phase or regulatory review process, failing to apply within applicable deadlines or failing to satisfy applicable requirements. Moreover, the applicable time period or the scope of patent protection afforded could be less than we request. In addition, we may be reliant on third-party licensors and collaborators in applying for such patent term extensions and we may not be able to obtain their cooperation.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not be able to protect our intellectual property rights throughout the world.</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Although we have licenses to issued patents and pending patent applications in the United States and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95"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marketing of competing products in violation of our intellectual property and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8"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105</w:t>
      </w:r>
    </w:p>
    <w:p>
      <w:pPr>
        <w:sectPr>
          <w:pgSz w:w="11880" w:h="15480" w:orient="portrait"/>
          <w:cols w:equalWidth="0" w:num="1">
            <w:col w:w="9720"/>
          </w:cols>
          <w:pgMar w:left="1080" w:top="1067" w:right="1080" w:bottom="554" w:gutter="0" w:footer="0" w:header="0"/>
          <w:type w:val="continuous"/>
        </w:sectPr>
      </w:pPr>
    </w:p>
    <w:bookmarkStart w:id="105" w:name="page106"/>
    <w:bookmarkEnd w:id="105"/>
    <w:p>
      <w:pPr>
        <w:ind w:right="100"/>
        <w:spacing w:after="0" w:line="256" w:lineRule="auto"/>
        <w:rPr>
          <w:sz w:val="20"/>
          <w:szCs w:val="20"/>
          <w:color w:val="auto"/>
        </w:rPr>
      </w:pPr>
      <w:r>
        <w:rPr>
          <w:rFonts w:ascii="Arial" w:cs="Arial" w:eastAsia="Arial" w:hAnsi="Arial"/>
          <w:sz w:val="20"/>
          <w:szCs w:val="20"/>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Periodic maintenance fees, renewal fees, annuity fees, and various other governmental fees on patents and/or applications will be due to the USPTO and various foreign patent offices at various points over the lifetime of any patents we ultimately obtain and/or applications we file.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In some cases, we are also dependent on our licensors to take the necessary action to comply with these requirements with respect to our licensed intellectual property.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have a material adverse effect on our business.</w:t>
      </w:r>
    </w:p>
    <w:p>
      <w:pPr>
        <w:spacing w:after="0" w:line="204" w:lineRule="exact"/>
        <w:rPr>
          <w:sz w:val="20"/>
          <w:szCs w:val="20"/>
          <w:color w:val="auto"/>
        </w:rPr>
      </w:pPr>
    </w:p>
    <w:p>
      <w:pPr>
        <w:ind w:right="560"/>
        <w:spacing w:after="0" w:line="289" w:lineRule="auto"/>
        <w:rPr>
          <w:sz w:val="20"/>
          <w:szCs w:val="20"/>
          <w:color w:val="auto"/>
        </w:rPr>
      </w:pPr>
      <w:r>
        <w:rPr>
          <w:rFonts w:ascii="Arial" w:cs="Arial" w:eastAsia="Arial" w:hAnsi="Arial"/>
          <w:sz w:val="20"/>
          <w:szCs w:val="20"/>
          <w:b w:val="1"/>
          <w:bCs w:val="1"/>
          <w:i w:val="1"/>
          <w:iCs w:val="1"/>
          <w:color w:val="auto"/>
        </w:rPr>
        <w:t>If we are unable to protect the confidentiality of our trade secrets, our business, and competitive position would be harmed.</w:t>
      </w:r>
    </w:p>
    <w:p>
      <w:pPr>
        <w:spacing w:after="0" w:line="142"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Trade secrets and know-how can be difficult to protect.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93"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Because we currently rely on other third parties to manufacture our product candidates and to perform quality testing, we must, at times, share our proprietary technology and confidential information, including trade secrets, with them. We seek to protect our proprietary technology and other trade secrets, in part, by entering into confidentiality agreements, consulting agreements, or other similar agreements with our advisors, employees, consultants, and other third parties prior to beginning research or disclosing proprietary information and other trade secrets. These agreements typically limit the rights of the third parties to use or disclose our confidential information, proprietary information, and other trade secrets.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w:t>
      </w:r>
    </w:p>
    <w:p>
      <w:pPr>
        <w:spacing w:after="0" w:line="198"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color w:val="auto"/>
        </w:rPr>
        <w:t>Moreover, third parties may still obtain this information or may come upon this or similar information independently, and we would have no right to prevent them from using that technology or information to compete with us. If any of these events occur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ectPr>
          <w:pgSz w:w="11880" w:h="15480" w:orient="portrait"/>
          <w:cols w:equalWidth="0" w:num="1">
            <w:col w:w="9720"/>
          </w:cols>
          <w:pgMar w:left="1080" w:top="1071"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ectPr>
          <w:pgSz w:w="11880" w:h="15480" w:orient="portrait"/>
          <w:cols w:equalWidth="0" w:num="1">
            <w:col w:w="9720"/>
          </w:cols>
          <w:pgMar w:left="1080" w:top="1071" w:right="1080" w:bottom="554" w:gutter="0" w:footer="0" w:header="0"/>
          <w:type w:val="continuous"/>
        </w:sectPr>
      </w:pPr>
    </w:p>
    <w:bookmarkStart w:id="106" w:name="page107"/>
    <w:bookmarkEnd w:id="106"/>
    <w:p>
      <w:pPr>
        <w:jc w:val="both"/>
        <w:ind w:right="40"/>
        <w:spacing w:after="0" w:line="265" w:lineRule="auto"/>
        <w:rPr>
          <w:sz w:val="20"/>
          <w:szCs w:val="20"/>
          <w:color w:val="auto"/>
        </w:rPr>
      </w:pPr>
      <w:r>
        <w:rPr>
          <w:rFonts w:ascii="Arial" w:cs="Arial" w:eastAsia="Arial" w:hAnsi="Arial"/>
          <w:sz w:val="20"/>
          <w:szCs w:val="20"/>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64"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As is common in the biopharmaceutical industry, in addition to our employees, we engage the services of consultants to assist us in the development of CNTY-101 and our other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47" w:lineRule="exact"/>
        <w:rPr>
          <w:sz w:val="20"/>
          <w:szCs w:val="20"/>
          <w:color w:val="auto"/>
        </w:rPr>
      </w:pPr>
    </w:p>
    <w:p>
      <w:pPr>
        <w:ind w:right="120"/>
        <w:spacing w:after="0" w:line="289" w:lineRule="auto"/>
        <w:rPr>
          <w:sz w:val="20"/>
          <w:szCs w:val="20"/>
          <w:color w:val="auto"/>
        </w:rPr>
      </w:pPr>
      <w:r>
        <w:rPr>
          <w:rFonts w:ascii="Arial" w:cs="Arial" w:eastAsia="Arial" w:hAnsi="Arial"/>
          <w:sz w:val="20"/>
          <w:szCs w:val="20"/>
          <w:b w:val="1"/>
          <w:bCs w:val="1"/>
          <w:i w:val="1"/>
          <w:iCs w:val="1"/>
          <w:color w:val="auto"/>
        </w:rPr>
        <w:t>The trading price of the shares of our common stock has been highly volatile, and purchasers of our common stock could incur substantial losses.</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Our stock price has been volatile since our initial public offering. The stock market in general and the market for stock of biopharmaceutical companies in particular have experienced extreme volatility that has often been unrelated to the operating performance of particular companies. The market price for our common stock may be influenced by those factors discussed in this “Risk factors” section and many others, including:</w:t>
      </w:r>
    </w:p>
    <w:p>
      <w:pPr>
        <w:spacing w:after="0" w:line="199" w:lineRule="exact"/>
        <w:rPr>
          <w:sz w:val="20"/>
          <w:szCs w:val="20"/>
          <w:color w:val="auto"/>
        </w:rPr>
      </w:pPr>
    </w:p>
    <w:p>
      <w:pPr>
        <w:jc w:val="both"/>
        <w:ind w:left="720" w:right="340" w:hanging="353"/>
        <w:spacing w:after="0" w:line="283"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commencement, enrollment, or results of our current and future preclinical studies and clinical trials, and the results of trials of our competitors or those of other companies in our market sector;</w:t>
      </w:r>
    </w:p>
    <w:p>
      <w:pPr>
        <w:spacing w:after="0" w:line="171" w:lineRule="exact"/>
        <w:rPr>
          <w:rFonts w:ascii="Arial" w:cs="Arial" w:eastAsia="Arial" w:hAnsi="Arial"/>
          <w:sz w:val="20"/>
          <w:szCs w:val="20"/>
          <w:color w:val="auto"/>
        </w:rPr>
      </w:pPr>
    </w:p>
    <w:p>
      <w:pPr>
        <w:ind w:left="720" w:right="380" w:hanging="353"/>
        <w:spacing w:after="0" w:line="283"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regulatory approval of our product candidates, or limitations to specific label indications or patient populations for its use, or changes or delays in the regulatory review process;</w:t>
      </w:r>
    </w:p>
    <w:p>
      <w:pPr>
        <w:spacing w:after="0" w:line="171" w:lineRule="exact"/>
        <w:rPr>
          <w:rFonts w:ascii="Arial" w:cs="Arial" w:eastAsia="Arial" w:hAnsi="Arial"/>
          <w:sz w:val="20"/>
          <w:szCs w:val="20"/>
          <w:color w:val="auto"/>
        </w:rPr>
      </w:pPr>
    </w:p>
    <w:p>
      <w:pPr>
        <w:ind w:left="720" w:hanging="353"/>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regulatory developments in the United States and foreign countries;</w:t>
      </w:r>
    </w:p>
    <w:p>
      <w:pPr>
        <w:spacing w:after="0" w:line="252" w:lineRule="exact"/>
        <w:rPr>
          <w:rFonts w:ascii="Arial" w:cs="Arial" w:eastAsia="Arial" w:hAnsi="Arial"/>
          <w:sz w:val="20"/>
          <w:szCs w:val="20"/>
          <w:color w:val="auto"/>
        </w:rPr>
      </w:pPr>
    </w:p>
    <w:p>
      <w:pPr>
        <w:ind w:left="720" w:right="180" w:hanging="353"/>
        <w:spacing w:after="0" w:line="283"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changes in the structure of healthcare payment systems, especially in light of current reforms to the United States healthcare system;</w:t>
      </w:r>
    </w:p>
    <w:p>
      <w:pPr>
        <w:spacing w:after="0" w:line="171" w:lineRule="exact"/>
        <w:rPr>
          <w:rFonts w:ascii="Arial" w:cs="Arial" w:eastAsia="Arial" w:hAnsi="Arial"/>
          <w:sz w:val="20"/>
          <w:szCs w:val="20"/>
          <w:color w:val="auto"/>
        </w:rPr>
      </w:pPr>
    </w:p>
    <w:p>
      <w:pPr>
        <w:ind w:left="720" w:hanging="354"/>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success or failure of our efforts to acquire, license, or develop additional product candidates;</w:t>
      </w:r>
    </w:p>
    <w:p>
      <w:pPr>
        <w:spacing w:after="0" w:line="253" w:lineRule="exact"/>
        <w:rPr>
          <w:rFonts w:ascii="Arial" w:cs="Arial" w:eastAsia="Arial" w:hAnsi="Arial"/>
          <w:sz w:val="20"/>
          <w:szCs w:val="20"/>
          <w:color w:val="auto"/>
        </w:rPr>
      </w:pPr>
    </w:p>
    <w:p>
      <w:pPr>
        <w:ind w:left="720" w:hanging="354"/>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innovations or new products developed by us or our competitors;</w:t>
      </w:r>
    </w:p>
    <w:p>
      <w:pPr>
        <w:spacing w:after="0" w:line="253" w:lineRule="exact"/>
        <w:rPr>
          <w:rFonts w:ascii="Arial" w:cs="Arial" w:eastAsia="Arial" w:hAnsi="Arial"/>
          <w:sz w:val="20"/>
          <w:szCs w:val="20"/>
          <w:color w:val="auto"/>
        </w:rPr>
      </w:pPr>
    </w:p>
    <w:p>
      <w:pPr>
        <w:ind w:left="720" w:right="560" w:hanging="354"/>
        <w:spacing w:after="0" w:line="283"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announcements by us or our competitors of significant acquisitions, strategic partnerships, joint ventures, or capital commitments;</w:t>
      </w:r>
    </w:p>
    <w:p>
      <w:pPr>
        <w:spacing w:after="0" w:line="170" w:lineRule="exact"/>
        <w:rPr>
          <w:rFonts w:ascii="Arial" w:cs="Arial" w:eastAsia="Arial" w:hAnsi="Arial"/>
          <w:sz w:val="20"/>
          <w:szCs w:val="20"/>
          <w:color w:val="auto"/>
        </w:rPr>
      </w:pPr>
    </w:p>
    <w:p>
      <w:pPr>
        <w:ind w:left="720" w:hanging="354"/>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manufacturing, supply, or distribution delays or shortages;</w:t>
      </w:r>
    </w:p>
    <w:p>
      <w:pPr>
        <w:spacing w:after="0" w:line="253" w:lineRule="exact"/>
        <w:rPr>
          <w:rFonts w:ascii="Arial" w:cs="Arial" w:eastAsia="Arial" w:hAnsi="Arial"/>
          <w:sz w:val="20"/>
          <w:szCs w:val="20"/>
          <w:color w:val="auto"/>
        </w:rPr>
      </w:pPr>
    </w:p>
    <w:p>
      <w:pPr>
        <w:ind w:left="720" w:right="1040" w:hanging="354"/>
        <w:spacing w:after="0" w:line="283"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any changes to our relationship with FCDI, any manufacturers, suppliers, licensors, future collaborators, or other strategic partners;</w:t>
      </w:r>
    </w:p>
    <w:p>
      <w:pPr>
        <w:spacing w:after="0" w:line="171" w:lineRule="exact"/>
        <w:rPr>
          <w:rFonts w:ascii="Arial" w:cs="Arial" w:eastAsia="Arial" w:hAnsi="Arial"/>
          <w:sz w:val="20"/>
          <w:szCs w:val="20"/>
          <w:color w:val="auto"/>
        </w:rPr>
      </w:pPr>
    </w:p>
    <w:p>
      <w:pPr>
        <w:ind w:left="720" w:hanging="354"/>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achievement of expected product sales and profitability;</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variations in our financial results or those of companies that are perceived to be similar to us;</w:t>
      </w:r>
    </w:p>
    <w:p>
      <w:pPr>
        <w:sectPr>
          <w:pgSz w:w="11880" w:h="15480" w:orient="portrait"/>
          <w:cols w:equalWidth="0" w:num="1">
            <w:col w:w="9680"/>
          </w:cols>
          <w:pgMar w:left="1080" w:top="1071" w:right="112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107</w:t>
      </w:r>
    </w:p>
    <w:p>
      <w:pPr>
        <w:sectPr>
          <w:pgSz w:w="11880" w:h="15480" w:orient="portrait"/>
          <w:cols w:equalWidth="0" w:num="1">
            <w:col w:w="9680"/>
          </w:cols>
          <w:pgMar w:left="1080" w:top="1071" w:right="1120" w:bottom="554" w:gutter="0" w:footer="0" w:header="0"/>
          <w:type w:val="continuous"/>
        </w:sectPr>
      </w:pPr>
    </w:p>
    <w:bookmarkStart w:id="107" w:name="page108"/>
    <w:bookmarkEnd w:id="107"/>
    <w:p>
      <w:pPr>
        <w:ind w:left="720" w:right="480" w:hanging="353"/>
        <w:spacing w:after="0" w:line="283"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market conditions in the biopharmaceutical sector and issuance of securities analysts’ reports or recommendations;</w:t>
      </w:r>
    </w:p>
    <w:p>
      <w:pPr>
        <w:spacing w:after="0" w:line="170" w:lineRule="exact"/>
        <w:rPr>
          <w:rFonts w:ascii="Arial" w:cs="Arial" w:eastAsia="Arial" w:hAnsi="Arial"/>
          <w:sz w:val="20"/>
          <w:szCs w:val="20"/>
          <w:color w:val="auto"/>
        </w:rPr>
      </w:pPr>
    </w:p>
    <w:p>
      <w:pPr>
        <w:ind w:left="720" w:hanging="353"/>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trading volume of our common stock;</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an inability to obtain additional funding;</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sales of our stock by insiders and stockholders;</w:t>
      </w:r>
    </w:p>
    <w:p>
      <w:pPr>
        <w:spacing w:after="0" w:line="253" w:lineRule="exact"/>
        <w:rPr>
          <w:rFonts w:ascii="Arial" w:cs="Arial" w:eastAsia="Arial" w:hAnsi="Arial"/>
          <w:sz w:val="20"/>
          <w:szCs w:val="20"/>
          <w:color w:val="auto"/>
        </w:rPr>
      </w:pPr>
    </w:p>
    <w:p>
      <w:pPr>
        <w:ind w:left="720" w:right="440" w:hanging="353"/>
        <w:spacing w:after="0" w:line="283"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general economic, industry, and market conditions, or other events or factors, many of which are beyond our control;</w:t>
      </w:r>
    </w:p>
    <w:p>
      <w:pPr>
        <w:spacing w:after="0" w:line="171" w:lineRule="exact"/>
        <w:rPr>
          <w:rFonts w:ascii="Arial" w:cs="Arial" w:eastAsia="Arial" w:hAnsi="Arial"/>
          <w:sz w:val="20"/>
          <w:szCs w:val="20"/>
          <w:color w:val="auto"/>
        </w:rPr>
      </w:pPr>
    </w:p>
    <w:p>
      <w:pPr>
        <w:ind w:left="720" w:hanging="353"/>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additions or departures of key personnel; and</w:t>
      </w:r>
    </w:p>
    <w:p>
      <w:pPr>
        <w:spacing w:after="0" w:line="252" w:lineRule="exact"/>
        <w:rPr>
          <w:rFonts w:ascii="Arial" w:cs="Arial" w:eastAsia="Arial" w:hAnsi="Arial"/>
          <w:sz w:val="20"/>
          <w:szCs w:val="20"/>
          <w:color w:val="auto"/>
        </w:rPr>
      </w:pPr>
    </w:p>
    <w:p>
      <w:pPr>
        <w:ind w:left="720" w:hanging="353"/>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intellectual property, product liability, or other litigation against us.</w:t>
      </w:r>
    </w:p>
    <w:p>
      <w:pPr>
        <w:spacing w:after="0" w:line="24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91" w:lineRule="exact"/>
        <w:rPr>
          <w:sz w:val="20"/>
          <w:szCs w:val="20"/>
          <w:color w:val="auto"/>
        </w:rPr>
      </w:pPr>
    </w:p>
    <w:p>
      <w:pPr>
        <w:ind w:right="100"/>
        <w:spacing w:after="0" w:line="264" w:lineRule="auto"/>
        <w:rPr>
          <w:sz w:val="20"/>
          <w:szCs w:val="20"/>
          <w:color w:val="auto"/>
        </w:rPr>
      </w:pPr>
      <w:r>
        <w:rPr>
          <w:rFonts w:ascii="Arial" w:cs="Arial" w:eastAsia="Arial" w:hAnsi="Arial"/>
          <w:sz w:val="20"/>
          <w:szCs w:val="20"/>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67"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97" w:lineRule="exact"/>
        <w:rPr>
          <w:sz w:val="20"/>
          <w:szCs w:val="20"/>
          <w:color w:val="auto"/>
        </w:rPr>
      </w:pPr>
    </w:p>
    <w:p>
      <w:pPr>
        <w:ind w:right="460"/>
        <w:spacing w:after="0" w:line="289" w:lineRule="auto"/>
        <w:rPr>
          <w:sz w:val="20"/>
          <w:szCs w:val="20"/>
          <w:color w:val="auto"/>
        </w:rPr>
      </w:pPr>
      <w:r>
        <w:rPr>
          <w:rFonts w:ascii="Arial" w:cs="Arial" w:eastAsia="Arial" w:hAnsi="Arial"/>
          <w:sz w:val="20"/>
          <w:szCs w:val="20"/>
          <w:b w:val="1"/>
          <w:bCs w:val="1"/>
          <w:i w:val="1"/>
          <w:iCs w:val="1"/>
          <w:color w:val="auto"/>
        </w:rPr>
        <w:t>Sales of a substantial number of shares of our common stock by our existing stockholders in the public market could cause our stock price to fall.</w:t>
      </w:r>
    </w:p>
    <w:p>
      <w:pPr>
        <w:spacing w:after="0" w:line="143"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Sales of a substantial number of shares of our common stock by our existing stockholders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82" w:lineRule="exact"/>
        <w:rPr>
          <w:sz w:val="20"/>
          <w:szCs w:val="20"/>
          <w:color w:val="auto"/>
        </w:rPr>
      </w:pPr>
    </w:p>
    <w:p>
      <w:pPr>
        <w:ind w:right="180"/>
        <w:spacing w:after="0" w:line="269" w:lineRule="auto"/>
        <w:rPr>
          <w:sz w:val="20"/>
          <w:szCs w:val="20"/>
          <w:color w:val="auto"/>
        </w:rPr>
      </w:pPr>
      <w:r>
        <w:rPr>
          <w:rFonts w:ascii="Arial" w:cs="Arial" w:eastAsia="Arial" w:hAnsi="Arial"/>
          <w:sz w:val="20"/>
          <w:szCs w:val="20"/>
          <w:b w:val="1"/>
          <w:bCs w:val="1"/>
          <w:color w:val="auto"/>
        </w:rPr>
        <w:t>Our executive officers, directors, principal stockholders, and affiliates have the ability to exercise significant control over our company, which will limit your ability to influence corporate matters and could delay or prevent a change in corporate control</w:t>
      </w:r>
      <w:r>
        <w:rPr>
          <w:rFonts w:ascii="Arial" w:cs="Arial" w:eastAsia="Arial" w:hAnsi="Arial"/>
          <w:sz w:val="20"/>
          <w:szCs w:val="20"/>
          <w:color w:val="auto"/>
        </w:rPr>
        <w:t>.</w:t>
      </w:r>
    </w:p>
    <w:p>
      <w:pPr>
        <w:spacing w:after="0" w:line="161"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As of December 31, 2024, the existing holdings of our executive officers, directors and affiliates, represented beneficial ownership, in the aggregate, of approximately 1.47% of our outstanding common stock.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may have interests, with respect to their common stock, that are different from your interests.</w:t>
      </w:r>
    </w:p>
    <w:p>
      <w:pPr>
        <w:sectPr>
          <w:pgSz w:w="11880" w:h="15480" w:orient="portrait"/>
          <w:cols w:equalWidth="0" w:num="1">
            <w:col w:w="9700"/>
          </w:cols>
          <w:pgMar w:left="1080" w:top="1081"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108</w:t>
      </w:r>
    </w:p>
    <w:p>
      <w:pPr>
        <w:sectPr>
          <w:pgSz w:w="11880" w:h="15480" w:orient="portrait"/>
          <w:cols w:equalWidth="0" w:num="1">
            <w:col w:w="9700"/>
          </w:cols>
          <w:pgMar w:left="1080" w:top="1081" w:right="1100" w:bottom="554" w:gutter="0" w:footer="0" w:header="0"/>
          <w:type w:val="continuous"/>
        </w:sectPr>
      </w:pPr>
    </w:p>
    <w:bookmarkStart w:id="108" w:name="page109"/>
    <w:bookmarkEnd w:id="108"/>
    <w:p>
      <w:pPr>
        <w:jc w:val="both"/>
        <w:ind w:right="100"/>
        <w:spacing w:after="0" w:line="262" w:lineRule="auto"/>
        <w:rPr>
          <w:sz w:val="20"/>
          <w:szCs w:val="20"/>
          <w:color w:val="auto"/>
        </w:rPr>
      </w:pPr>
      <w:r>
        <w:rPr>
          <w:rFonts w:ascii="Arial" w:cs="Arial" w:eastAsia="Arial" w:hAnsi="Arial"/>
          <w:sz w:val="20"/>
          <w:szCs w:val="20"/>
          <w:color w:val="auto"/>
        </w:rPr>
        <w:t>and the concentration of voting power among these stockholders may have an adverse effect on the price of our common stock. In addition, this concentration of ownership might adversely affect the market price of our common stock by:</w:t>
      </w:r>
    </w:p>
    <w:p>
      <w:pPr>
        <w:spacing w:after="0" w:line="191" w:lineRule="exact"/>
        <w:rPr>
          <w:sz w:val="20"/>
          <w:szCs w:val="20"/>
          <w:color w:val="auto"/>
        </w:rPr>
      </w:pPr>
    </w:p>
    <w:p>
      <w:pPr>
        <w:ind w:left="720" w:hanging="353"/>
        <w:spacing w:after="0"/>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delaying, deferring or preventing a change of control of us;</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impeding a merger, consolidation, takeover or other business combination involving us; or</w:t>
      </w:r>
    </w:p>
    <w:p>
      <w:pPr>
        <w:spacing w:after="0" w:line="252" w:lineRule="exact"/>
        <w:rPr>
          <w:rFonts w:ascii="Arial" w:cs="Arial" w:eastAsia="Arial" w:hAnsi="Arial"/>
          <w:sz w:val="20"/>
          <w:szCs w:val="20"/>
          <w:color w:val="auto"/>
        </w:rPr>
      </w:pPr>
    </w:p>
    <w:p>
      <w:pPr>
        <w:ind w:left="720" w:right="60" w:hanging="353"/>
        <w:spacing w:after="0" w:line="283"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discouraging a potential acquirer from making a tender offer or otherwise attempting to obtain control of us.</w:t>
      </w:r>
    </w:p>
    <w:p>
      <w:pPr>
        <w:spacing w:after="0" w:line="162" w:lineRule="exact"/>
        <w:rPr>
          <w:sz w:val="20"/>
          <w:szCs w:val="20"/>
          <w:color w:val="auto"/>
        </w:rPr>
      </w:pPr>
    </w:p>
    <w:p>
      <w:pPr>
        <w:ind w:right="20"/>
        <w:spacing w:after="0" w:line="264" w:lineRule="auto"/>
        <w:rPr>
          <w:sz w:val="20"/>
          <w:szCs w:val="20"/>
          <w:color w:val="auto"/>
        </w:rPr>
      </w:pPr>
      <w:r>
        <w:rPr>
          <w:rFonts w:ascii="Arial" w:cs="Arial" w:eastAsia="Arial" w:hAnsi="Arial"/>
          <w:sz w:val="20"/>
          <w:szCs w:val="20"/>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6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We are an emerging growth company, as defined in the Jumpstart Our Business Startups Act, or JOBS Act, and may remain an emerging growth company until December 31, 2026.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 reduced disclosure and other requirements that we may take advantage of include:</w:t>
      </w:r>
    </w:p>
    <w:p>
      <w:pPr>
        <w:spacing w:after="0" w:line="207" w:lineRule="exact"/>
        <w:rPr>
          <w:sz w:val="20"/>
          <w:szCs w:val="20"/>
          <w:color w:val="auto"/>
        </w:rPr>
      </w:pPr>
    </w:p>
    <w:p>
      <w:pPr>
        <w:ind w:left="720" w:right="80" w:hanging="353"/>
        <w:spacing w:after="0" w:line="283" w:lineRule="auto"/>
        <w:tabs>
          <w:tab w:leader="none" w:pos="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not being required to have our registered independent public accounting firm attest to management’s assessment of our internal control over financial reporting;</w:t>
      </w:r>
    </w:p>
    <w:p>
      <w:pPr>
        <w:spacing w:after="0" w:line="171" w:lineRule="exact"/>
        <w:rPr>
          <w:rFonts w:ascii="Arial" w:cs="Arial" w:eastAsia="Arial" w:hAnsi="Arial"/>
          <w:sz w:val="20"/>
          <w:szCs w:val="20"/>
          <w:color w:val="auto"/>
        </w:rPr>
      </w:pPr>
    </w:p>
    <w:p>
      <w:pPr>
        <w:ind w:left="720" w:hanging="353"/>
        <w:spacing w:after="0"/>
        <w:tabs>
          <w:tab w:leader="none" w:pos="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presenting reduced disclosure about our executive compensation arrangements;</w:t>
      </w:r>
    </w:p>
    <w:p>
      <w:pPr>
        <w:spacing w:after="0" w:line="253" w:lineRule="exact"/>
        <w:rPr>
          <w:rFonts w:ascii="Arial" w:cs="Arial" w:eastAsia="Arial" w:hAnsi="Arial"/>
          <w:sz w:val="20"/>
          <w:szCs w:val="20"/>
          <w:color w:val="auto"/>
        </w:rPr>
      </w:pPr>
    </w:p>
    <w:p>
      <w:pPr>
        <w:ind w:left="720" w:right="900" w:hanging="353"/>
        <w:spacing w:after="0" w:line="283" w:lineRule="auto"/>
        <w:tabs>
          <w:tab w:leader="none" w:pos="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not being required to hold non-binding advisory votes on executive compensation or golden parachute arrangements; and</w:t>
      </w:r>
    </w:p>
    <w:p>
      <w:pPr>
        <w:spacing w:after="0" w:line="170" w:lineRule="exact"/>
        <w:rPr>
          <w:rFonts w:ascii="Arial" w:cs="Arial" w:eastAsia="Arial" w:hAnsi="Arial"/>
          <w:sz w:val="20"/>
          <w:szCs w:val="20"/>
          <w:color w:val="auto"/>
        </w:rPr>
      </w:pPr>
    </w:p>
    <w:p>
      <w:pPr>
        <w:ind w:left="720" w:hanging="353"/>
        <w:spacing w:after="0"/>
        <w:tabs>
          <w:tab w:leader="none" w:pos="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extended transition periods for complying with new or revised accounting standards.</w:t>
      </w:r>
    </w:p>
    <w:p>
      <w:pPr>
        <w:spacing w:after="0" w:line="240"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color w:val="auto"/>
        </w:rPr>
        <w:t>We have taken advantage of reduced reporting burdens in this Annual Report on Form 10-K.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9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Reports on Form 10-K and, similar to emerging growth companies, smaller reporting companies have reduced disclosure obligations regarding executive compensation.</w:t>
      </w:r>
    </w:p>
    <w:p>
      <w:pPr>
        <w:sectPr>
          <w:pgSz w:w="11880" w:h="15480" w:orient="portrait"/>
          <w:cols w:equalWidth="0" w:num="1">
            <w:col w:w="9700"/>
          </w:cols>
          <w:pgMar w:left="1080" w:top="1067"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109</w:t>
      </w:r>
    </w:p>
    <w:p>
      <w:pPr>
        <w:sectPr>
          <w:pgSz w:w="11880" w:h="15480" w:orient="portrait"/>
          <w:cols w:equalWidth="0" w:num="1">
            <w:col w:w="9700"/>
          </w:cols>
          <w:pgMar w:left="1080" w:top="1067" w:right="1100" w:bottom="554" w:gutter="0" w:footer="0" w:header="0"/>
          <w:type w:val="continuous"/>
        </w:sectPr>
      </w:pPr>
    </w:p>
    <w:bookmarkStart w:id="109" w:name="page110"/>
    <w:bookmarkEnd w:id="109"/>
    <w:p>
      <w:pPr>
        <w:ind w:right="660"/>
        <w:spacing w:after="0" w:line="289" w:lineRule="auto"/>
        <w:rPr>
          <w:sz w:val="20"/>
          <w:szCs w:val="20"/>
          <w:color w:val="auto"/>
        </w:rPr>
      </w:pPr>
      <w:r>
        <w:rPr>
          <w:rFonts w:ascii="Arial" w:cs="Arial" w:eastAsia="Arial" w:hAnsi="Arial"/>
          <w:sz w:val="20"/>
          <w:szCs w:val="20"/>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43" w:lineRule="exact"/>
        <w:rPr>
          <w:sz w:val="20"/>
          <w:szCs w:val="20"/>
          <w:color w:val="auto"/>
        </w:rPr>
      </w:pPr>
    </w:p>
    <w:p>
      <w:pPr>
        <w:ind w:right="140"/>
        <w:spacing w:after="0" w:line="245" w:lineRule="auto"/>
        <w:rPr>
          <w:sz w:val="20"/>
          <w:szCs w:val="20"/>
          <w:color w:val="auto"/>
        </w:rPr>
      </w:pPr>
      <w:r>
        <w:rPr>
          <w:rFonts w:ascii="Arial" w:cs="Arial" w:eastAsia="Arial" w:hAnsi="Arial"/>
          <w:sz w:val="20"/>
          <w:szCs w:val="20"/>
          <w:color w:val="auto"/>
        </w:rPr>
        <w:t>We became a public company in June 2021. As a public company, and particularly after we are no longer an emerging growth company or smaller reporting company, we have and will continue to incur significant legal, accounting, and other expenses that we did not incur as a private company. In addition, the Sarbanes-Oxley Act and rules subsequently implemented by the Securities and Exchange Commission, or the SEC, and The Nasdaq Stock Market LLC, or Nasdaq, impose various requirements on public companies, including establishment and maintenance of effective disclosure and financial controls and corporate governance practices. Our management and other personnel devote a substantial amount of time to comply with these requirements. Moreover, these rules and regulations increase our legal and financial compliance costs and make some activities more time-consuming and costly.</w:t>
      </w:r>
    </w:p>
    <w:p>
      <w:pPr>
        <w:spacing w:after="0" w:line="197"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We could be an emerging growth company for up to five years. To achieve compliance with Section 404 of the Sarbanes-Oxley Act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w:t>
      </w:r>
    </w:p>
    <w:p>
      <w:pPr>
        <w:spacing w:after="0" w:line="212" w:lineRule="exact"/>
        <w:rPr>
          <w:sz w:val="20"/>
          <w:szCs w:val="20"/>
          <w:color w:val="auto"/>
        </w:rPr>
      </w:pPr>
    </w:p>
    <w:p>
      <w:pPr>
        <w:ind w:right="220"/>
        <w:spacing w:after="0" w:line="289" w:lineRule="auto"/>
        <w:rPr>
          <w:sz w:val="20"/>
          <w:szCs w:val="20"/>
          <w:color w:val="auto"/>
        </w:rPr>
      </w:pPr>
      <w:r>
        <w:rPr>
          <w:rFonts w:ascii="Arial" w:cs="Arial" w:eastAsia="Arial" w:hAnsi="Arial"/>
          <w:sz w:val="20"/>
          <w:szCs w:val="20"/>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42"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The trading market for our common stock depends in part on the research and reports that securities or industry analysts publish about us, our business, our market, or our competitors.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96" w:lineRule="exact"/>
        <w:rPr>
          <w:sz w:val="20"/>
          <w:szCs w:val="20"/>
          <w:color w:val="auto"/>
        </w:rPr>
      </w:pPr>
    </w:p>
    <w:p>
      <w:pPr>
        <w:ind w:right="180"/>
        <w:spacing w:after="0" w:line="265" w:lineRule="auto"/>
        <w:rPr>
          <w:sz w:val="20"/>
          <w:szCs w:val="20"/>
          <w:color w:val="auto"/>
        </w:rPr>
      </w:pPr>
      <w:r>
        <w:rPr>
          <w:rFonts w:ascii="Arial" w:cs="Arial" w:eastAsia="Arial" w:hAnsi="Arial"/>
          <w:sz w:val="20"/>
          <w:szCs w:val="20"/>
          <w:b w:val="1"/>
          <w:bCs w:val="1"/>
          <w:i w:val="1"/>
          <w:iCs w:val="1"/>
          <w:color w:val="auto"/>
        </w:rPr>
        <w:t>Provisions in our corporate charter documents and under Delaware law could discourage another company from acquiring us and may prevent attempts by our stockholders to replace or remove our current management.</w:t>
      </w:r>
    </w:p>
    <w:p>
      <w:pPr>
        <w:spacing w:after="0" w:line="164"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Provisions in our second amended and restated certificate of incorporation and our second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ectPr>
          <w:pgSz w:w="11880" w:h="15480" w:orient="portrait"/>
          <w:cols w:equalWidth="0" w:num="1">
            <w:col w:w="9720"/>
          </w:cols>
          <w:pgMar w:left="1080" w:top="1071" w:right="1080" w:bottom="554"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ectPr>
          <w:pgSz w:w="11880" w:h="15480" w:orient="portrait"/>
          <w:cols w:equalWidth="0" w:num="1">
            <w:col w:w="9720"/>
          </w:cols>
          <w:pgMar w:left="1080" w:top="1071" w:right="1080" w:bottom="554" w:gutter="0" w:footer="0" w:header="0"/>
          <w:type w:val="continuous"/>
        </w:sectPr>
      </w:pPr>
    </w:p>
    <w:bookmarkStart w:id="110" w:name="page111"/>
    <w:bookmarkEnd w:id="110"/>
    <w:p>
      <w:pPr>
        <w:jc w:val="both"/>
        <w:ind w:left="720" w:right="40" w:hanging="353"/>
        <w:spacing w:after="0" w:line="254"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200" w:lineRule="exact"/>
        <w:rPr>
          <w:rFonts w:ascii="Arial" w:cs="Arial" w:eastAsia="Arial" w:hAnsi="Arial"/>
          <w:sz w:val="20"/>
          <w:szCs w:val="20"/>
          <w:color w:val="auto"/>
        </w:rPr>
      </w:pPr>
    </w:p>
    <w:p>
      <w:pPr>
        <w:ind w:left="720" w:right="380" w:hanging="353"/>
        <w:spacing w:after="0" w:line="261"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192" w:lineRule="exact"/>
        <w:rPr>
          <w:rFonts w:ascii="Arial" w:cs="Arial" w:eastAsia="Arial" w:hAnsi="Arial"/>
          <w:sz w:val="20"/>
          <w:szCs w:val="20"/>
          <w:color w:val="auto"/>
        </w:rPr>
      </w:pPr>
    </w:p>
    <w:p>
      <w:pPr>
        <w:ind w:left="720" w:right="320" w:hanging="353"/>
        <w:spacing w:after="0" w:line="283"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our stockholders may not act by written consent, which forces stockholder action to be taken at an annual or special meeting of our stockholders;</w:t>
      </w:r>
    </w:p>
    <w:p>
      <w:pPr>
        <w:spacing w:after="0" w:line="170" w:lineRule="exact"/>
        <w:rPr>
          <w:rFonts w:ascii="Arial" w:cs="Arial" w:eastAsia="Arial" w:hAnsi="Arial"/>
          <w:sz w:val="20"/>
          <w:szCs w:val="20"/>
          <w:color w:val="auto"/>
        </w:rPr>
      </w:pPr>
    </w:p>
    <w:p>
      <w:pPr>
        <w:ind w:left="720" w:right="100" w:hanging="353"/>
        <w:spacing w:after="0" w:line="282" w:lineRule="auto"/>
        <w:tabs>
          <w:tab w:leader="none" w:pos="7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special meeting of stockholders may be called only by the chair of our board of directors, our chief executive officer, or a majority of our board of directors, which may delay the ability of our stockholders to force consideration of a proposal or to take action, including the removal of directors;</w:t>
      </w:r>
    </w:p>
    <w:p>
      <w:pPr>
        <w:spacing w:after="0" w:line="173" w:lineRule="exact"/>
        <w:rPr>
          <w:rFonts w:ascii="Arial" w:cs="Arial" w:eastAsia="Arial" w:hAnsi="Arial"/>
          <w:sz w:val="19"/>
          <w:szCs w:val="19"/>
          <w:color w:val="auto"/>
        </w:rPr>
      </w:pPr>
    </w:p>
    <w:p>
      <w:pPr>
        <w:ind w:left="720" w:right="540" w:hanging="353"/>
        <w:spacing w:after="0" w:line="283"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our second amended and restated certificate of incorporation prohibits cumulative voting in the election of directors, which limits the ability of minority stockholders to elect director candidates;</w:t>
      </w:r>
    </w:p>
    <w:p>
      <w:pPr>
        <w:spacing w:after="0" w:line="171" w:lineRule="exact"/>
        <w:rPr>
          <w:rFonts w:ascii="Arial" w:cs="Arial" w:eastAsia="Arial" w:hAnsi="Arial"/>
          <w:sz w:val="20"/>
          <w:szCs w:val="20"/>
          <w:color w:val="auto"/>
        </w:rPr>
      </w:pPr>
    </w:p>
    <w:p>
      <w:pPr>
        <w:ind w:left="720" w:right="600" w:hanging="353"/>
        <w:spacing w:after="0" w:line="283"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our board of directors may alter certain provisions of our second amended and restated bylaws without obtaining stockholder approval;</w:t>
      </w:r>
    </w:p>
    <w:p>
      <w:pPr>
        <w:spacing w:after="0" w:line="171" w:lineRule="exact"/>
        <w:rPr>
          <w:rFonts w:ascii="Arial" w:cs="Arial" w:eastAsia="Arial" w:hAnsi="Arial"/>
          <w:sz w:val="20"/>
          <w:szCs w:val="20"/>
          <w:color w:val="auto"/>
        </w:rPr>
      </w:pPr>
    </w:p>
    <w:p>
      <w:pPr>
        <w:ind w:left="720" w:right="120" w:hanging="353"/>
        <w:spacing w:after="0" w:line="261"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approval of the holders of at least two-thirds of the outstanding shares of our capital stock is required to adopt, amend, or repeal our second amended and restated bylaws, unless such action is recommended by our board of directors at an annual or special meeting of shareholders;</w:t>
      </w:r>
    </w:p>
    <w:p>
      <w:pPr>
        <w:spacing w:after="0" w:line="192" w:lineRule="exact"/>
        <w:rPr>
          <w:rFonts w:ascii="Arial" w:cs="Arial" w:eastAsia="Arial" w:hAnsi="Arial"/>
          <w:sz w:val="20"/>
          <w:szCs w:val="20"/>
          <w:color w:val="auto"/>
        </w:rPr>
      </w:pPr>
    </w:p>
    <w:p>
      <w:pPr>
        <w:ind w:left="720" w:right="440" w:hanging="353"/>
        <w:spacing w:after="0" w:line="248"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approval of the holders of at least two-thirds of the outstanding shares of our capital stock is required to adopt, amend, or repeal provisions in our second amended and restated certificate of incorporation relating to (i) the amendment of the second amended and restated certificate of incorporation or amendment of the second amended and restated bylaws, (ii) stockholder action, (iii) election and removal of directors, (iv) limitations on liability and (v) exclusive forum for proceedings;</w:t>
      </w:r>
    </w:p>
    <w:p>
      <w:pPr>
        <w:spacing w:after="0" w:line="207" w:lineRule="exact"/>
        <w:rPr>
          <w:rFonts w:ascii="Arial" w:cs="Arial" w:eastAsia="Arial" w:hAnsi="Arial"/>
          <w:sz w:val="20"/>
          <w:szCs w:val="20"/>
          <w:color w:val="auto"/>
        </w:rPr>
      </w:pPr>
    </w:p>
    <w:p>
      <w:pPr>
        <w:ind w:left="720" w:right="120" w:hanging="353"/>
        <w:spacing w:after="0" w:line="250"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stockholders must provide advance notice and additional disclosures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shares; and</w:t>
      </w:r>
    </w:p>
    <w:p>
      <w:pPr>
        <w:spacing w:after="0" w:line="205" w:lineRule="exact"/>
        <w:rPr>
          <w:rFonts w:ascii="Arial" w:cs="Arial" w:eastAsia="Arial" w:hAnsi="Arial"/>
          <w:sz w:val="20"/>
          <w:szCs w:val="20"/>
          <w:color w:val="auto"/>
        </w:rPr>
      </w:pPr>
    </w:p>
    <w:p>
      <w:pPr>
        <w:jc w:val="both"/>
        <w:ind w:left="720" w:right="200" w:hanging="353"/>
        <w:spacing w:after="0" w:line="262"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7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ectPr>
          <w:pgSz w:w="11880" w:h="15480" w:orient="portrait"/>
          <w:cols w:equalWidth="0" w:num="1">
            <w:col w:w="9700"/>
          </w:cols>
          <w:pgMar w:left="1080" w:top="1081"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111</w:t>
      </w:r>
    </w:p>
    <w:p>
      <w:pPr>
        <w:sectPr>
          <w:pgSz w:w="11880" w:h="15480" w:orient="portrait"/>
          <w:cols w:equalWidth="0" w:num="1">
            <w:col w:w="9700"/>
          </w:cols>
          <w:pgMar w:left="1080" w:top="1081" w:right="1100" w:bottom="554" w:gutter="0" w:footer="0" w:header="0"/>
          <w:type w:val="continuous"/>
        </w:sectPr>
      </w:pPr>
    </w:p>
    <w:bookmarkStart w:id="111" w:name="page112"/>
    <w:bookmarkEnd w:id="111"/>
    <w:p>
      <w:pPr>
        <w:ind w:right="20"/>
        <w:spacing w:after="0" w:line="274" w:lineRule="auto"/>
        <w:rPr>
          <w:sz w:val="20"/>
          <w:szCs w:val="20"/>
          <w:color w:val="auto"/>
        </w:rPr>
      </w:pPr>
      <w:r>
        <w:rPr>
          <w:rFonts w:ascii="Arial" w:cs="Arial" w:eastAsia="Arial" w:hAnsi="Arial"/>
          <w:sz w:val="19"/>
          <w:szCs w:val="19"/>
          <w:b w:val="1"/>
          <w:bCs w:val="1"/>
          <w:i w:val="1"/>
          <w:iCs w:val="1"/>
          <w:color w:val="auto"/>
        </w:rPr>
        <w:t>Our second amended and restated certificate of incorporation and second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59" w:lineRule="exact"/>
        <w:rPr>
          <w:sz w:val="20"/>
          <w:szCs w:val="20"/>
          <w:color w:val="auto"/>
        </w:rPr>
      </w:pPr>
    </w:p>
    <w:p>
      <w:pPr>
        <w:ind w:firstLine="1"/>
        <w:spacing w:after="0" w:line="242" w:lineRule="auto"/>
        <w:rPr>
          <w:sz w:val="20"/>
          <w:szCs w:val="20"/>
          <w:color w:val="auto"/>
        </w:rPr>
      </w:pPr>
      <w:r>
        <w:rPr>
          <w:rFonts w:ascii="Arial" w:cs="Arial" w:eastAsia="Arial" w:hAnsi="Arial"/>
          <w:sz w:val="20"/>
          <w:szCs w:val="20"/>
          <w:color w:val="auto"/>
        </w:rPr>
        <w:t>Our second amended and restated certificate of incorporation and second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Exchange Act of 1934, as amended, or the Exchange Act. Furthermore, our amended and restated certificate of incorporation provides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could be subject to securities class action litigation.</w:t>
      </w:r>
    </w:p>
    <w:p>
      <w:pPr>
        <w:spacing w:after="0" w:line="236"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In the past, securities class action litigation has often been brought against a company following a decline in the market price of its securities. This risk is especially relevant for us because biopharmaceutical and pharmaceutical companies have experienced significant stock price volatility in recent years. If we face such litigation, it could result in substantial costs and a diversion of management’s attention and resources, which could harm our business.</w:t>
      </w:r>
    </w:p>
    <w:p>
      <w:pPr>
        <w:sectPr>
          <w:pgSz w:w="11880" w:h="15480" w:orient="portrait"/>
          <w:cols w:equalWidth="0" w:num="1">
            <w:col w:w="9700"/>
          </w:cols>
          <w:pgMar w:left="1080" w:top="1071"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112</w:t>
      </w:r>
    </w:p>
    <w:p>
      <w:pPr>
        <w:sectPr>
          <w:pgSz w:w="11880" w:h="15480" w:orient="portrait"/>
          <w:cols w:equalWidth="0" w:num="1">
            <w:col w:w="9700"/>
          </w:cols>
          <w:pgMar w:left="1080" w:top="1071" w:right="1100" w:bottom="554" w:gutter="0" w:footer="0" w:header="0"/>
          <w:type w:val="continuous"/>
        </w:sectPr>
      </w:pPr>
    </w:p>
    <w:bookmarkStart w:id="112" w:name="page113"/>
    <w:bookmarkEnd w:id="112"/>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Cybersecurity Risk Management and Strategy</w:t>
      </w:r>
    </w:p>
    <w:p>
      <w:pPr>
        <w:spacing w:after="0" w:line="236"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At Century Therapeutics, we recognize the importance of information security practices designed to protect the confidentiality, integrity, and availability of Company information. We have implemented a cybersecurity program in accordance with our risk profile and business that is informed by recognized industry standards and frameworks, and incorporates elements of the same, including elements of the National Institute of Standards and Technology Cybersecurity Framework (“NIST CSF”).</w:t>
      </w:r>
    </w:p>
    <w:p>
      <w:pPr>
        <w:spacing w:after="0" w:line="192"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Our cybersecurity risk management program includes multiple components, including information security maturity assessments, penetration testing, and vulnerability assessments, that are conducted periodically by both internal and external resources. We also conduct employee training and leverage third- party security tools, including but not limited to access controls, threat monitoring, and endpoint protection and response. We maintain a security operations center operated by a third party that collects cybersecurity threat data from multiple internal and external sources and determines if activity is potentially suspicious or malicious. We are in the process of developing and implementing additional cybersecurity policies and procedures.</w:t>
      </w:r>
    </w:p>
    <w:p>
      <w:pPr>
        <w:spacing w:after="0" w:line="194"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We take a risk-based approach to the evaluation of third- party vendors, and apply mitigations and processes based on the nature of the data accessed by the vendor. Currently, we review System and Organization Controls (“SOC”) reports from vendors who have access to financial reporting information, and we are in the process of developing additional vendor risk management policies and procedures.</w:t>
      </w:r>
    </w:p>
    <w:p>
      <w:pPr>
        <w:spacing w:after="0" w:line="186"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experienced threats and security incidents that could affect our information or systems. For more information, please see Section 1A. Risk Factors.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Cybersecurity Governance</w:t>
      </w:r>
    </w:p>
    <w:p>
      <w:pPr>
        <w:spacing w:after="0" w:line="235"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Our Director of Cybersecurity is responsible for the strategic leadership and direction of the Company’s information security organization. The individual currently serving as the Director of Cybersecurity has over twenty years of experience working in information technology. The Director of Cybersecurity receives cybersecurity alerts from the Company’s third-party security operations center, and provides periodic updates to the Head of Information Technology who informs the Company’s executive committee, which includes the Company’s Chief Executive Officer, Chief Operating Officer and, Chief Financial Officer.</w:t>
      </w:r>
    </w:p>
    <w:p>
      <w:pPr>
        <w:spacing w:after="0" w:line="194"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Beginning last year, the Director of Cybersecurity also provides updates to the Audit Committee of the board of directors approximately on a quarterly basis. The Audit Committee, pursuant to its charter, reviews significant existing and emerging cybersecurity risks, including material cybersecurity incidents if any, the impact on the Company and its stockholders of any significant cybersecurity incident and any disclosure obligations arising from any such incidents.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43" w:lineRule="exact"/>
        <w:rPr>
          <w:sz w:val="20"/>
          <w:szCs w:val="20"/>
          <w:color w:val="auto"/>
        </w:rPr>
      </w:pPr>
    </w:p>
    <w:p>
      <w:pPr>
        <w:ind w:right="500"/>
        <w:spacing w:after="0" w:line="281" w:lineRule="auto"/>
        <w:rPr>
          <w:sz w:val="20"/>
          <w:szCs w:val="20"/>
          <w:color w:val="auto"/>
        </w:rPr>
      </w:pPr>
      <w:r>
        <w:rPr>
          <w:rFonts w:ascii="Arial" w:cs="Arial" w:eastAsia="Arial" w:hAnsi="Arial"/>
          <w:sz w:val="19"/>
          <w:szCs w:val="19"/>
          <w:color w:val="auto"/>
        </w:rPr>
        <w:t>Our principal executive offices are located in Philadelphia, Pennsylvania. We operate in three office and laboratory spaces in Philadelphia pursuant to leases that expire in December 2025, October 2031 and March 2034. Additionally, we lease office space in Seattle, Washington pursuant to a lease expiring in</w:t>
      </w:r>
    </w:p>
    <w:p>
      <w:pPr>
        <w:sectPr>
          <w:pgSz w:w="11880" w:h="15480" w:orient="portrait"/>
          <w:cols w:equalWidth="0" w:num="1">
            <w:col w:w="9660"/>
          </w:cols>
          <w:pgMar w:left="1080" w:top="1064" w:right="114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113</w:t>
      </w:r>
    </w:p>
    <w:p>
      <w:pPr>
        <w:sectPr>
          <w:pgSz w:w="11880" w:h="15480" w:orient="portrait"/>
          <w:cols w:equalWidth="0" w:num="1">
            <w:col w:w="9660"/>
          </w:cols>
          <w:pgMar w:left="1080" w:top="1064" w:right="1140" w:bottom="554" w:gutter="0" w:footer="0" w:header="0"/>
          <w:type w:val="continuous"/>
        </w:sectPr>
      </w:pPr>
    </w:p>
    <w:bookmarkStart w:id="113" w:name="page114"/>
    <w:bookmarkEnd w:id="113"/>
    <w:p>
      <w:pPr>
        <w:ind w:right="180"/>
        <w:spacing w:after="0" w:line="262" w:lineRule="auto"/>
        <w:rPr>
          <w:sz w:val="20"/>
          <w:szCs w:val="20"/>
          <w:color w:val="auto"/>
        </w:rPr>
      </w:pPr>
      <w:r>
        <w:rPr>
          <w:rFonts w:ascii="Arial" w:cs="Arial" w:eastAsia="Arial" w:hAnsi="Arial"/>
          <w:sz w:val="20"/>
          <w:szCs w:val="20"/>
          <w:color w:val="auto"/>
        </w:rPr>
        <w:t>September 2030. We also have a 53,000 square foot cell therapy manufacturing facility in Branchburg, New Jersey pursuant to a lease expiring in February 2037. We believe that our current facilities are adequate to meet our ongoing needs.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44"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We are not currently a party to any material legal proceedings. From time to time, we may become involved in other litigation or legal proceedings relating to claims arising from the ordinary course of business.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700"/>
          </w:cols>
          <w:pgMar w:left="1080" w:top="1067"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114</w:t>
      </w:r>
    </w:p>
    <w:p>
      <w:pPr>
        <w:sectPr>
          <w:pgSz w:w="11880" w:h="15480" w:orient="portrait"/>
          <w:cols w:equalWidth="0" w:num="1">
            <w:col w:w="9700"/>
          </w:cols>
          <w:pgMar w:left="1080" w:top="1067" w:right="1100" w:bottom="554"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20"/>
          <w:szCs w:val="20"/>
          <w:b w:val="1"/>
          <w:bCs w:val="1"/>
          <w:color w:val="auto"/>
        </w:rPr>
        <w:t>PART II</w:t>
      </w:r>
    </w:p>
    <w:p>
      <w:pPr>
        <w:spacing w:after="0" w:line="201" w:lineRule="exact"/>
        <w:rPr>
          <w:sz w:val="20"/>
          <w:szCs w:val="20"/>
          <w:color w:val="auto"/>
        </w:rPr>
      </w:pPr>
    </w:p>
    <w:p>
      <w:pPr>
        <w:ind w:right="120"/>
        <w:spacing w:after="0" w:line="297"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publicly traded on the Nasdaq Global Market under the symbol “IPSC.”</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As of February 28, 2025, we had approximately 128 record holders of our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05"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We have never declared or paid any dividends on our capital or common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05"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Information about our equity compensation plans is incorporated herein by reference to Part III, Item 12 of this Annual Report on Form 10-K.</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05" w:lineRule="exact"/>
        <w:rPr>
          <w:sz w:val="20"/>
          <w:szCs w:val="20"/>
          <w:color w:val="auto"/>
        </w:rPr>
      </w:pPr>
    </w:p>
    <w:p>
      <w:pPr>
        <w:ind w:right="580"/>
        <w:spacing w:after="0" w:line="282" w:lineRule="auto"/>
        <w:rPr>
          <w:sz w:val="20"/>
          <w:szCs w:val="20"/>
          <w:color w:val="auto"/>
        </w:rPr>
      </w:pPr>
      <w:r>
        <w:rPr>
          <w:rFonts w:ascii="Arial" w:cs="Arial" w:eastAsia="Arial" w:hAnsi="Arial"/>
          <w:sz w:val="20"/>
          <w:szCs w:val="20"/>
          <w:color w:val="auto"/>
        </w:rPr>
        <w:t>There were no sales of unregistered securities during the year ended December 31, 2024 that were not previously reported on a Current Report on Form 8-K.</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ectPr>
          <w:pgSz w:w="11880" w:h="15480" w:orient="portrait"/>
          <w:cols w:equalWidth="0" w:num="1">
            <w:col w:w="9720"/>
          </w:cols>
          <w:pgMar w:left="1080" w:top="1063"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115</w:t>
      </w:r>
    </w:p>
    <w:p>
      <w:pPr>
        <w:sectPr>
          <w:pgSz w:w="11880" w:h="15480" w:orient="portrait"/>
          <w:cols w:equalWidth="0" w:num="1">
            <w:col w:w="9720"/>
          </w:cols>
          <w:pgMar w:left="1080" w:top="1063" w:right="1080" w:bottom="554" w:gutter="0" w:footer="0" w:header="0"/>
          <w:type w:val="continuous"/>
        </w:sectPr>
      </w:pPr>
    </w:p>
    <w:bookmarkStart w:id="115" w:name="page116"/>
    <w:bookmarkEnd w:id="115"/>
    <w:p>
      <w:pPr>
        <w:ind w:right="320"/>
        <w:spacing w:after="0" w:line="298"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discussion and analysis of financial condition and results of operations</w:t>
      </w:r>
    </w:p>
    <w:p>
      <w:pPr>
        <w:spacing w:after="0" w:line="251"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i w:val="1"/>
          <w:iCs w:val="1"/>
          <w:color w:val="auto"/>
        </w:rPr>
        <w:t>The following discussion and analysis of our financial condition and results of operations should be read in conjunction with our audited consolidated financial statements and related notes included elsewhere in this Annual Report on Form 10-K and our audited consolidated financial statements and the related notes thereto.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“Cautionary Note Regarding Forward-Looking Statements” and “Risk Factors” in this Annual Report on Form 10-K. You should review the disclosure under the heading “Risk Factors” herein for a discussion of important factors that could cause our actual results to differ materially from those anticipated in these forward-looking statements.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3"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We are a clinical-stage biotechnology company harnessing the power of allogeneic pluripotent stem cell therapies to develop potentially curative cell therapy products for autoimmune diseases and cancer. Our natural killer, or NK, T, and beta cell programs are allogeneic, meaning they are derived from healthy donors for use in any patient, rather than being sourced from an individual for their own specific use, as is the case with autologous T cells. As a result, we believe such “off-the-shelf" therapies have the potential to overcome the limitations of first-generation cell therapies by providing readily available treatments more quickly, reliably, at greater scale, and to a broader patient population. What we believe further sets us apart from other allogeneic approaches is our focus on induced pluripotent stem cells, or iPSCs, which possess the unique ability to self-renew indefinitely and differentiate into any cell type, enabling virtually unlimited genetic editing, consistent reproducibility, and scalable manufacturing. We have created a comprehensive, genetically engineered allogeneic cell therapy platform that includes:</w:t>
      </w:r>
    </w:p>
    <w:p>
      <w:pPr>
        <w:spacing w:after="0" w:line="202" w:lineRule="exact"/>
        <w:rPr>
          <w:sz w:val="20"/>
          <w:szCs w:val="20"/>
          <w:color w:val="auto"/>
        </w:rPr>
      </w:pPr>
    </w:p>
    <w:p>
      <w:pPr>
        <w:ind w:left="720" w:right="200" w:hanging="353"/>
        <w:spacing w:after="0" w:line="283" w:lineRule="auto"/>
        <w:tabs>
          <w:tab w:leader="none" w:pos="7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Industry-leading iPSCs and differentiation know-how to generate immune effector cells from iPSCs, or iPSC-derived cells;</w:t>
      </w:r>
    </w:p>
    <w:p>
      <w:pPr>
        <w:spacing w:after="0" w:line="161" w:lineRule="exact"/>
        <w:rPr>
          <w:rFonts w:ascii="Arial" w:cs="Arial" w:eastAsia="Arial" w:hAnsi="Arial"/>
          <w:sz w:val="20"/>
          <w:szCs w:val="20"/>
          <w:color w:val="auto"/>
        </w:rPr>
      </w:pPr>
    </w:p>
    <w:p>
      <w:pPr>
        <w:ind w:left="720" w:hanging="353"/>
        <w:spacing w:after="0" w:line="261" w:lineRule="auto"/>
        <w:tabs>
          <w:tab w:leader="none" w:pos="7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Clustered regularly interspaced short palindromic repeats, or CRISPR mediated precision gene editing that allows us to incorporate multiple transgenes and disrupt target genes intended to optimize cell product performance;</w:t>
      </w:r>
    </w:p>
    <w:p>
      <w:pPr>
        <w:spacing w:after="0" w:line="183" w:lineRule="exact"/>
        <w:rPr>
          <w:rFonts w:ascii="Arial" w:cs="Arial" w:eastAsia="Arial" w:hAnsi="Arial"/>
          <w:sz w:val="20"/>
          <w:szCs w:val="20"/>
          <w:color w:val="auto"/>
        </w:rPr>
      </w:pPr>
    </w:p>
    <w:p>
      <w:pPr>
        <w:ind w:left="720" w:right="20" w:hanging="353"/>
        <w:spacing w:after="0" w:line="283" w:lineRule="auto"/>
        <w:tabs>
          <w:tab w:leader="none" w:pos="7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Sophisticated protein engineering capabilities to develop proprietary next generation chimeric antigen receptors, or CARs;</w:t>
      </w:r>
    </w:p>
    <w:p>
      <w:pPr>
        <w:spacing w:after="0" w:line="161" w:lineRule="exact"/>
        <w:rPr>
          <w:rFonts w:ascii="Arial" w:cs="Arial" w:eastAsia="Arial" w:hAnsi="Arial"/>
          <w:sz w:val="20"/>
          <w:szCs w:val="20"/>
          <w:color w:val="auto"/>
        </w:rPr>
      </w:pPr>
    </w:p>
    <w:p>
      <w:pPr>
        <w:ind w:left="720" w:right="320" w:hanging="353"/>
        <w:spacing w:after="0" w:line="283" w:lineRule="auto"/>
        <w:tabs>
          <w:tab w:leader="none" w:pos="7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Our proprietary Allo-Evasion™ technology intended to prevent rejection of our cell products by the host immune system, enabling the potential for persistence and re-dosing of therapy; and</w:t>
      </w:r>
    </w:p>
    <w:p>
      <w:pPr>
        <w:spacing w:after="0" w:line="161" w:lineRule="exact"/>
        <w:rPr>
          <w:rFonts w:ascii="Arial" w:cs="Arial" w:eastAsia="Arial" w:hAnsi="Arial"/>
          <w:sz w:val="20"/>
          <w:szCs w:val="20"/>
          <w:color w:val="auto"/>
        </w:rPr>
      </w:pPr>
    </w:p>
    <w:p>
      <w:pPr>
        <w:ind w:left="720" w:right="20" w:hanging="353"/>
        <w:spacing w:after="0" w:line="283" w:lineRule="auto"/>
        <w:tabs>
          <w:tab w:leader="none" w:pos="7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Cutting-edge manufacturing capabilities intended to drive scale advantages and reduce cost of goods sold, or COGs, while minimizing product development and supply risk.</w:t>
      </w:r>
    </w:p>
    <w:p>
      <w:pPr>
        <w:spacing w:after="0" w:line="148"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 xml:space="preserve">We are leveraging our expertise in cellular reprogramming, differentiation, genetic engineering, and manufacturing to develop therapies with the potential to provide enhanced clinical outcomes compared to existing cell therapy technologies and available therapeutic options. We are unique in the breadth of immune effector cell types we can generate from iPSCs, including iPSC-derived natural killer cells, or iNK cells, iPSC-derived </w:t>
      </w:r>
      <w:r>
        <w:rPr>
          <w:rFonts w:ascii="Arial" w:cs="Arial" w:eastAsia="Arial" w:hAnsi="Arial"/>
          <w:sz w:val="20"/>
          <w:szCs w:val="20"/>
          <w:color w:val="auto"/>
        </w:rPr>
        <w:t>γδ</w:t>
      </w:r>
      <w:r>
        <w:rPr>
          <w:rFonts w:ascii="Arial" w:cs="Arial" w:eastAsia="Arial" w:hAnsi="Arial"/>
          <w:sz w:val="20"/>
          <w:szCs w:val="20"/>
          <w:color w:val="auto"/>
        </w:rPr>
        <w:t xml:space="preserve"> T cells, or </w:t>
      </w:r>
      <w:r>
        <w:rPr>
          <w:rFonts w:ascii="Arial" w:cs="Arial" w:eastAsia="Arial" w:hAnsi="Arial"/>
          <w:sz w:val="20"/>
          <w:szCs w:val="20"/>
          <w:color w:val="auto"/>
        </w:rPr>
        <w:t>γδ</w:t>
      </w:r>
      <w:r>
        <w:rPr>
          <w:rFonts w:ascii="Arial" w:cs="Arial" w:eastAsia="Arial" w:hAnsi="Arial"/>
          <w:sz w:val="20"/>
          <w:szCs w:val="20"/>
          <w:color w:val="auto"/>
        </w:rPr>
        <w:t xml:space="preserve"> IT cells and iPSC-derived CD4+ and CD8+ </w:t>
      </w:r>
      <w:r>
        <w:rPr>
          <w:rFonts w:ascii="Arial" w:cs="Arial" w:eastAsia="Arial" w:hAnsi="Arial"/>
          <w:sz w:val="20"/>
          <w:szCs w:val="20"/>
          <w:color w:val="auto"/>
        </w:rPr>
        <w:t>αβ</w:t>
      </w:r>
      <w:r>
        <w:rPr>
          <w:rFonts w:ascii="Arial" w:cs="Arial" w:eastAsia="Arial" w:hAnsi="Arial"/>
          <w:sz w:val="20"/>
          <w:szCs w:val="20"/>
          <w:color w:val="auto"/>
        </w:rPr>
        <w:t xml:space="preserve"> T cells, or </w:t>
      </w:r>
      <w:r>
        <w:rPr>
          <w:rFonts w:ascii="Arial" w:cs="Arial" w:eastAsia="Arial" w:hAnsi="Arial"/>
          <w:sz w:val="20"/>
          <w:szCs w:val="20"/>
          <w:color w:val="auto"/>
        </w:rPr>
        <w:t>αβ</w:t>
      </w:r>
      <w:r>
        <w:rPr>
          <w:rFonts w:ascii="Arial" w:cs="Arial" w:eastAsia="Arial" w:hAnsi="Arial"/>
          <w:sz w:val="20"/>
          <w:szCs w:val="20"/>
          <w:color w:val="auto"/>
        </w:rPr>
        <w:t xml:space="preserve"> iT cells, and iPSC-derived </w:t>
      </w:r>
      <w:r>
        <w:rPr>
          <w:rFonts w:ascii="Arial" w:cs="Arial" w:eastAsia="Arial" w:hAnsi="Arial"/>
          <w:sz w:val="20"/>
          <w:szCs w:val="20"/>
          <w:color w:val="auto"/>
        </w:rPr>
        <w:t>β</w:t>
      </w:r>
      <w:r>
        <w:rPr>
          <w:rFonts w:ascii="Arial" w:cs="Arial" w:eastAsia="Arial" w:hAnsi="Arial"/>
          <w:sz w:val="20"/>
          <w:szCs w:val="20"/>
          <w:color w:val="auto"/>
        </w:rPr>
        <w:t xml:space="preserve"> cells. We believe this capability enables optimal matching of cell characteristics to indication, ensuring we target the right cell for the right indication. Further, we have developed a feeder -free, scalable process that recapitulates normal T cell development in a dish, allowing for what we believe to be the</w:t>
      </w:r>
    </w:p>
    <w:p>
      <w:pPr>
        <w:sectPr>
          <w:pgSz w:w="11880" w:h="15480" w:orient="portrait"/>
          <w:cols w:equalWidth="0" w:num="1">
            <w:col w:w="9700"/>
          </w:cols>
          <w:pgMar w:left="1080" w:top="1063"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116</w:t>
      </w:r>
    </w:p>
    <w:p>
      <w:pPr>
        <w:sectPr>
          <w:pgSz w:w="11880" w:h="15480" w:orient="portrait"/>
          <w:cols w:equalWidth="0" w:num="1">
            <w:col w:w="9700"/>
          </w:cols>
          <w:pgMar w:left="1080" w:top="1063" w:right="1100" w:bottom="554" w:gutter="0" w:footer="0" w:header="0"/>
          <w:type w:val="continuous"/>
        </w:sectPr>
      </w:pPr>
    </w:p>
    <w:bookmarkStart w:id="116" w:name="page117"/>
    <w:bookmarkEnd w:id="116"/>
    <w:p>
      <w:pPr>
        <w:ind w:right="580"/>
        <w:spacing w:after="0" w:line="283" w:lineRule="auto"/>
        <w:rPr>
          <w:sz w:val="20"/>
          <w:szCs w:val="20"/>
          <w:color w:val="auto"/>
        </w:rPr>
      </w:pPr>
      <w:r>
        <w:rPr>
          <w:rFonts w:ascii="Arial" w:cs="Arial" w:eastAsia="Arial" w:hAnsi="Arial"/>
          <w:sz w:val="20"/>
          <w:szCs w:val="20"/>
          <w:color w:val="auto"/>
        </w:rPr>
        <w:t xml:space="preserve">industry- first presentation of iPSC-derived CD4+ and CD8+ CAR-T cells that demonstrate </w:t>
      </w:r>
      <w:r>
        <w:rPr>
          <w:rFonts w:ascii="Arial" w:cs="Arial" w:eastAsia="Arial" w:hAnsi="Arial"/>
          <w:sz w:val="20"/>
          <w:szCs w:val="20"/>
          <w:color w:val="auto"/>
        </w:rPr>
        <w:t>αβ</w:t>
      </w:r>
      <w:r>
        <w:rPr>
          <w:rFonts w:ascii="Arial" w:cs="Arial" w:eastAsia="Arial" w:hAnsi="Arial"/>
          <w:sz w:val="20"/>
          <w:szCs w:val="20"/>
          <w:color w:val="auto"/>
        </w:rPr>
        <w:t>-like T cell function.</w:t>
      </w:r>
    </w:p>
    <w:p>
      <w:pPr>
        <w:spacing w:after="0" w:line="148"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Our lead product candidate, CNTY-101, is a CAR -iNK cell therapy with six precision gene edits currently being tested in a Phase 1 clinical trial for patients with B-cell mediated autoimmune diseases. In March 2025, we announced that we have discontinued CNTY-101 evaluation in a Phase 1 clinical trial for patients with lymphoma for strategic reasons. While we remain encouraged by tolerability and clinical activity of CNTY-101 in late-stage R/R NHL, emerging data from ELiPSE-1 did not meet our threshold to be considered transformational in this</w:t>
      </w:r>
      <w:r>
        <w:rPr>
          <w:rFonts w:ascii="Arial" w:cs="Arial" w:eastAsia="Arial" w:hAnsi="Arial"/>
          <w:sz w:val="20"/>
          <w:szCs w:val="20"/>
          <w:color w:val="auto"/>
        </w:rPr>
        <w:t> </w:t>
      </w:r>
      <w:r>
        <w:rPr>
          <w:rFonts w:ascii="Arial" w:cs="Arial" w:eastAsia="Arial" w:hAnsi="Arial"/>
          <w:sz w:val="20"/>
          <w:szCs w:val="20"/>
          <w:color w:val="auto"/>
        </w:rPr>
        <w:t>patient population.</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March 2025, we also announced a re-prioritized pre-clinical pipeline intended to further leverage the unique capabilities and technologies we have towards transformative treatments holding strong commercial potential to treat serious diseases with high unmet need. Accordingly, in addition to our clinical stage programs, we will be focusing on three core pre-clinical programs built on our industry leading iT cell platform. We believe these programs have significant potential for differentiation in their respective categories.</w:t>
      </w:r>
    </w:p>
    <w:p>
      <w:pPr>
        <w:spacing w:after="0" w:line="205" w:lineRule="exact"/>
        <w:rPr>
          <w:sz w:val="20"/>
          <w:szCs w:val="20"/>
          <w:color w:val="auto"/>
        </w:rPr>
      </w:pPr>
    </w:p>
    <w:p>
      <w:pPr>
        <w:ind w:left="720" w:hanging="353"/>
        <w:spacing w:after="0" w:line="262" w:lineRule="auto"/>
        <w:tabs>
          <w:tab w:leader="none" w:pos="7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CNTY-308: A CD19-targeted CAR-iT cell therapy engineered with Allo-Evasion™ 5.0 demonstrating preclinical efficacy comparable to autologous CD19 CAR-T cells. It is being developed primarily for B-cell mediated autoimmune diseases and malignancies.</w:t>
      </w:r>
    </w:p>
    <w:p>
      <w:pPr>
        <w:spacing w:after="0" w:line="191" w:lineRule="exact"/>
        <w:rPr>
          <w:rFonts w:ascii="Arial" w:cs="Arial" w:eastAsia="Arial" w:hAnsi="Arial"/>
          <w:sz w:val="20"/>
          <w:szCs w:val="20"/>
          <w:color w:val="auto"/>
        </w:rPr>
      </w:pPr>
    </w:p>
    <w:p>
      <w:pPr>
        <w:ind w:left="720" w:right="380" w:hanging="353"/>
        <w:spacing w:after="0" w:line="261" w:lineRule="auto"/>
        <w:tabs>
          <w:tab w:leader="none" w:pos="7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CNTY-341: A CD19/CD22 dual-targeted CAR-iT cell therapy engineered with Allo-Evasion™ 5.0 which pairs dual targeting and primary T-cell-like functionality in an allogeneic cell with the goal of providing a differentiated therapy for B cell malignancies.</w:t>
      </w:r>
    </w:p>
    <w:p>
      <w:pPr>
        <w:spacing w:after="0" w:line="192" w:lineRule="exact"/>
        <w:rPr>
          <w:rFonts w:ascii="Arial" w:cs="Arial" w:eastAsia="Arial" w:hAnsi="Arial"/>
          <w:sz w:val="20"/>
          <w:szCs w:val="20"/>
          <w:color w:val="auto"/>
        </w:rPr>
      </w:pPr>
    </w:p>
    <w:p>
      <w:pPr>
        <w:ind w:left="720" w:right="20" w:hanging="353"/>
        <w:spacing w:after="0" w:line="261" w:lineRule="auto"/>
        <w:tabs>
          <w:tab w:leader="none" w:pos="7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Our first solid tumor CAR iT program exploiting Nectin-4 CAR and other validated targets, engineered with Allo-Evasion™ 5.0 and additional engineering aimed at overcoming the key barriers to success in solid tumors.</w:t>
      </w:r>
    </w:p>
    <w:p>
      <w:pPr>
        <w:spacing w:after="0" w:line="192" w:lineRule="exact"/>
        <w:rPr>
          <w:rFonts w:ascii="Arial" w:cs="Arial" w:eastAsia="Arial" w:hAnsi="Arial"/>
          <w:sz w:val="20"/>
          <w:szCs w:val="20"/>
          <w:color w:val="auto"/>
        </w:rPr>
      </w:pPr>
    </w:p>
    <w:p>
      <w:pPr>
        <w:ind w:left="720" w:right="820" w:hanging="353"/>
        <w:spacing w:after="0" w:line="262" w:lineRule="auto"/>
        <w:tabs>
          <w:tab w:leader="none" w:pos="7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We are also selectively expanding to non-immune effector cells where we believe there are opportunities to potentially accelerate in high-impact therapeutic areas where we believe our technology and capabilities can provide meaningful differentiation.</w:t>
      </w:r>
    </w:p>
    <w:p>
      <w:pPr>
        <w:spacing w:after="0" w:line="177"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Our vision is to become a premier, fully integrated biotechnology company by developing and ultimately commercializing off-the-shelf allogeneic cell therapies that dramatically and positively transform the lives of patients suffering from life-threatening autoimmune diseases and cancers. To achieve our vision, we have assembled a world- class team with decades of collective experience in cell therapy and drug development, manufacturing, and commercialization.</w:t>
      </w:r>
    </w:p>
    <w:p>
      <w:pPr>
        <w:spacing w:after="0" w:line="183"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Based on our current business plans, we believe our cash, cash equivalents and investments as of December 31, 2024, will be sufficient for us to fund our operating expenses and capital expenditures requirements into the fourth quarter of 2026.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p>
      <w:pPr>
        <w:spacing w:after="0" w:line="168" w:lineRule="exact"/>
        <w:rPr>
          <w:sz w:val="20"/>
          <w:szCs w:val="20"/>
          <w:color w:val="auto"/>
        </w:rPr>
      </w:pPr>
    </w:p>
    <w:p>
      <w:pPr>
        <w:ind w:left="720" w:hanging="353"/>
        <w:spacing w:after="0"/>
        <w:tabs>
          <w:tab w:leader="none" w:pos="7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continue to advance our iPSC cell therapy platforms;</w:t>
      </w:r>
    </w:p>
    <w:p>
      <w:pPr>
        <w:spacing w:after="0" w:line="212" w:lineRule="exact"/>
        <w:rPr>
          <w:rFonts w:ascii="Arial" w:cs="Arial" w:eastAsia="Arial" w:hAnsi="Arial"/>
          <w:sz w:val="20"/>
          <w:szCs w:val="20"/>
          <w:color w:val="auto"/>
        </w:rPr>
      </w:pPr>
    </w:p>
    <w:p>
      <w:pPr>
        <w:ind w:left="720" w:right="700" w:hanging="353"/>
        <w:spacing w:after="0" w:line="282" w:lineRule="auto"/>
        <w:tabs>
          <w:tab w:leader="none" w:pos="7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progress clinical development of CNTY-101 and continue preclinical development of our other product candidates;</w:t>
      </w:r>
    </w:p>
    <w:p>
      <w:pPr>
        <w:spacing w:after="0" w:line="134" w:lineRule="exact"/>
        <w:rPr>
          <w:rFonts w:ascii="Arial" w:cs="Arial" w:eastAsia="Arial" w:hAnsi="Arial"/>
          <w:sz w:val="20"/>
          <w:szCs w:val="20"/>
          <w:color w:val="auto"/>
        </w:rPr>
      </w:pPr>
    </w:p>
    <w:p>
      <w:pPr>
        <w:ind w:left="720" w:hanging="353"/>
        <w:spacing w:after="0"/>
        <w:tabs>
          <w:tab w:leader="none" w:pos="7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seek to discover and develop additional product candidates;</w:t>
      </w:r>
    </w:p>
    <w:p>
      <w:pPr>
        <w:spacing w:after="0" w:line="212" w:lineRule="exact"/>
        <w:rPr>
          <w:rFonts w:ascii="Arial" w:cs="Arial" w:eastAsia="Arial" w:hAnsi="Arial"/>
          <w:sz w:val="20"/>
          <w:szCs w:val="20"/>
          <w:color w:val="auto"/>
        </w:rPr>
      </w:pPr>
    </w:p>
    <w:p>
      <w:pPr>
        <w:ind w:left="720" w:hanging="353"/>
        <w:spacing w:after="0"/>
        <w:tabs>
          <w:tab w:leader="none" w:pos="7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expand and validate our own clinical-scale current good manufacturing practices, or cGMP, facilities;</w:t>
      </w:r>
    </w:p>
    <w:p>
      <w:pPr>
        <w:sectPr>
          <w:pgSz w:w="11880" w:h="15480" w:orient="portrait"/>
          <w:cols w:equalWidth="0" w:num="1">
            <w:col w:w="9700"/>
          </w:cols>
          <w:pgMar w:left="1080" w:top="1067"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117</w:t>
      </w:r>
    </w:p>
    <w:p>
      <w:pPr>
        <w:sectPr>
          <w:pgSz w:w="11880" w:h="15480" w:orient="portrait"/>
          <w:cols w:equalWidth="0" w:num="1">
            <w:col w:w="9700"/>
          </w:cols>
          <w:pgMar w:left="1080" w:top="1067" w:right="1100" w:bottom="554" w:gutter="0" w:footer="0" w:header="0"/>
          <w:type w:val="continuous"/>
        </w:sectPr>
      </w:pPr>
    </w:p>
    <w:bookmarkStart w:id="117" w:name="page118"/>
    <w:bookmarkEnd w:id="117"/>
    <w:p>
      <w:pPr>
        <w:ind w:left="720" w:hanging="353"/>
        <w:spacing w:after="0"/>
        <w:tabs>
          <w:tab w:leader="none" w:pos="7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seek regulatory approvals for any of our product candidates that successfully complete clinical trials;</w:t>
      </w:r>
    </w:p>
    <w:p>
      <w:pPr>
        <w:spacing w:after="0" w:line="212" w:lineRule="exact"/>
        <w:rPr>
          <w:rFonts w:ascii="Arial" w:cs="Arial" w:eastAsia="Arial" w:hAnsi="Arial"/>
          <w:sz w:val="20"/>
          <w:szCs w:val="20"/>
          <w:color w:val="auto"/>
        </w:rPr>
      </w:pPr>
    </w:p>
    <w:p>
      <w:pPr>
        <w:ind w:left="720" w:hanging="353"/>
        <w:spacing w:after="0"/>
        <w:tabs>
          <w:tab w:leader="none" w:pos="7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maintain, expand, protect, and enforce our intellectual property portfolio;</w:t>
      </w:r>
    </w:p>
    <w:p>
      <w:pPr>
        <w:spacing w:after="0" w:line="214" w:lineRule="exact"/>
        <w:rPr>
          <w:rFonts w:ascii="Arial" w:cs="Arial" w:eastAsia="Arial" w:hAnsi="Arial"/>
          <w:sz w:val="20"/>
          <w:szCs w:val="20"/>
          <w:color w:val="auto"/>
        </w:rPr>
      </w:pPr>
    </w:p>
    <w:p>
      <w:pPr>
        <w:ind w:left="720" w:hanging="353"/>
        <w:spacing w:after="0"/>
        <w:tabs>
          <w:tab w:leader="none" w:pos="7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continue to incur costs associated with operating as a public company;</w:t>
      </w:r>
    </w:p>
    <w:p>
      <w:pPr>
        <w:spacing w:after="0" w:line="212" w:lineRule="exact"/>
        <w:rPr>
          <w:rFonts w:ascii="Arial" w:cs="Arial" w:eastAsia="Arial" w:hAnsi="Arial"/>
          <w:sz w:val="20"/>
          <w:szCs w:val="20"/>
          <w:color w:val="auto"/>
        </w:rPr>
      </w:pPr>
    </w:p>
    <w:p>
      <w:pPr>
        <w:ind w:left="720" w:hanging="353"/>
        <w:spacing w:after="0"/>
        <w:tabs>
          <w:tab w:leader="none" w:pos="7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acquire or in-license other product candidates and technologies;</w:t>
      </w:r>
    </w:p>
    <w:p>
      <w:pPr>
        <w:spacing w:after="0" w:line="214" w:lineRule="exact"/>
        <w:rPr>
          <w:rFonts w:ascii="Arial" w:cs="Arial" w:eastAsia="Arial" w:hAnsi="Arial"/>
          <w:sz w:val="20"/>
          <w:szCs w:val="20"/>
          <w:color w:val="auto"/>
        </w:rPr>
      </w:pPr>
    </w:p>
    <w:p>
      <w:pPr>
        <w:ind w:left="720" w:right="340" w:hanging="353"/>
        <w:spacing w:after="0" w:line="261" w:lineRule="auto"/>
        <w:tabs>
          <w:tab w:leader="none" w:pos="7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incur additional costs associated with operating as a public company, which will require us to add operational, financial and management information systems and personnel, including personnel to support our drug development and any future commercialization efforts; and</w:t>
      </w:r>
    </w:p>
    <w:p>
      <w:pPr>
        <w:spacing w:after="0" w:line="153" w:lineRule="exact"/>
        <w:rPr>
          <w:rFonts w:ascii="Arial" w:cs="Arial" w:eastAsia="Arial" w:hAnsi="Arial"/>
          <w:sz w:val="20"/>
          <w:szCs w:val="20"/>
          <w:color w:val="auto"/>
        </w:rPr>
      </w:pPr>
    </w:p>
    <w:p>
      <w:pPr>
        <w:ind w:left="720" w:hanging="353"/>
        <w:spacing w:after="0"/>
        <w:tabs>
          <w:tab w:leader="none" w:pos="7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increase our employee headcount and related expenses to support these activities.</w:t>
      </w:r>
    </w:p>
    <w:p>
      <w:pPr>
        <w:spacing w:after="0" w:line="200"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We are also investing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19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including our preclinical and clinical development of CNTY-101, and our other product candidates. Until such time, if ever, as we can generate significant product revenue, we expect to finance our operations with our existing cash and cash equivalents, investments, any future equity or debt financings, and upfront and milestone and royalty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License and collaboration agreements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Bristol-Myers Squibb</w:t>
      </w:r>
    </w:p>
    <w:p>
      <w:pPr>
        <w:spacing w:after="0" w:line="235"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On January 7, 2022, we entered into a Research, Collaboration and License Agreement with Bristol-Myers Squibb Company to collaborate on the research, development and commercialization of induced pluripotent stem cell derived, engineered natural killer cell and/or gamma delta T cell programs for hematologic malignancies, initially focused on acute myeloid leukemia, and multiple myeloma, or the Collaboration Agreement.</w:t>
      </w:r>
    </w:p>
    <w:p>
      <w:pPr>
        <w:spacing w:after="0" w:line="183"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color w:val="auto"/>
        </w:rPr>
        <w:t>Under the terms of the Collaboration Agreement, Bristol-Myers Squibb made a non- refundable, upfront cash payment of $100 million and purchased 2,160,760 shares of our common stock at a price per share of $23.14, for an aggregate purchase price of $50.0 million.</w:t>
      </w:r>
    </w:p>
    <w:p>
      <w:pPr>
        <w:spacing w:after="0" w:line="167"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auto"/>
        </w:rPr>
        <w:t>Following an internal corporate portfolio prioritization process, Bristol-Myers Squibb notified the Company on December 12, 2024 that it would be terminating the Collaboration Agreement in its entirety without cause. The termination was effective as of March 12, 2025.</w:t>
      </w:r>
    </w:p>
    <w:p>
      <w:pPr>
        <w:sectPr>
          <w:pgSz w:w="11880" w:h="15480" w:orient="portrait"/>
          <w:cols w:equalWidth="0" w:num="1">
            <w:col w:w="9720"/>
          </w:cols>
          <w:pgMar w:left="1080" w:top="1081"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118</w:t>
      </w:r>
    </w:p>
    <w:p>
      <w:pPr>
        <w:sectPr>
          <w:pgSz w:w="11880" w:h="15480" w:orient="portrait"/>
          <w:cols w:equalWidth="0" w:num="1">
            <w:col w:w="9720"/>
          </w:cols>
          <w:pgMar w:left="1080" w:top="1081" w:right="1080" w:bottom="554" w:gutter="0" w:footer="0" w:header="0"/>
          <w:type w:val="continuous"/>
        </w:sectPr>
      </w:pPr>
    </w:p>
    <w:bookmarkStart w:id="118" w:name="page119"/>
    <w:bookmarkEnd w:id="118"/>
    <w:p>
      <w:pPr>
        <w:spacing w:after="0"/>
        <w:rPr>
          <w:sz w:val="20"/>
          <w:szCs w:val="20"/>
          <w:color w:val="auto"/>
        </w:rPr>
      </w:pPr>
      <w:r>
        <w:rPr>
          <w:rFonts w:ascii="Arial" w:cs="Arial" w:eastAsia="Arial" w:hAnsi="Arial"/>
          <w:sz w:val="20"/>
          <w:szCs w:val="20"/>
          <w:b w:val="1"/>
          <w:bCs w:val="1"/>
          <w:i w:val="1"/>
          <w:iCs w:val="1"/>
          <w:color w:val="auto"/>
        </w:rPr>
        <w:t>Fujifilm Cellular Dynamics, Inc. (FCDI)</w:t>
      </w:r>
    </w:p>
    <w:p>
      <w:pPr>
        <w:spacing w:after="0" w:line="235"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On September 18, 2018, we entered into a license agreement, or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FCDI received 2,980,803 shares of common stock in connection with the Reorganization.</w:t>
      </w:r>
    </w:p>
    <w:p>
      <w:pPr>
        <w:spacing w:after="0" w:line="19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Also on September 18, 2018, we entered into the non-exclusive license, or the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In connection with the Reprogramming License, we entered into a collaboration agreement, or the FCDI Collaboration Agreement, with FCDI pursuant to which we agreed to fund research and development work at FCDI pursuant to a research plan.</w:t>
      </w:r>
    </w:p>
    <w:p>
      <w:pPr>
        <w:spacing w:after="0" w:line="195"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On October 21, 2019, we entered into the FCDI Collaboration Agreement with FCDI, whereby FCDI provides certain services to us to develop and manufacture iPSCs and immune cells derived therefrom. Under the terms of the FCDI Collaboration Agreement, as amended, FCDI will provide services in accordance with the approved research plan and related research budget. The initial research plan covers the period from the date of execution of the FCDI Collaboration Agreement through March 31, 2022. On July 29, 2022 we amended the FCDI Collaboration Agreement to extend the term through September 30, 2025.</w:t>
      </w:r>
    </w:p>
    <w:p>
      <w:pPr>
        <w:spacing w:after="0" w:line="193"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On January 7, 2022, we and FCDI entered into a letter agreement, or the Letter Agreement, which amends each of the FCDI agreements as further discussed in Note 16 to our consolidated financial statements. Pursuant to the Letter Agreement, and in consideration for amending the FCDI Agreements, we agreed to pay to FCDI (i) an upfront payment of $10 million,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194"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On September 22, 2023, we and FCDI entered into a worldwide license agreement whereby FCDI will grant non-exclusive licenses to us for certain patent rights and know-how related to cell differentiation and reprogramming for the development and commercialization of iPSC-derived therapies for the treatment of inflammatory and autoimmune diseases, or Autoimmune License. Under the terms of the Autoimmune License, FCDI will be eligible to receive certain development and regulatory milestone payments as well as low single digit royalties related to products developed in connection with the Autoimmune License. In addition, on September 22, 2023, we and FCDI amended the Reprogramming License, Differentiation License and the Collaboration Agreement to expand our existing license related to the development and commercialization of iPSC-derived cancer immunotherapeutic to also include inflammatory and autoimmune diseases. In connection with the entry into the Autoimmune License and the amendments to the Reprogramming License and Differentiation License, we recorded an upfront payment in the amount of $4.0 million which is included as In-process research and development in the consolidated statements of operations and comprehensive loss for the year ended December 31, 2023. In addition, we paid FCDI a $1.0 million milestone fee pursuant to the Autoimmune License for filing of the IND for SLE for CNTY-101 in 2023. There were no payments related to the Autoimmune License in 2024.</w:t>
      </w:r>
    </w:p>
    <w:p>
      <w:pPr>
        <w:spacing w:after="0" w:line="187"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During the years ended December 31, 2024 and 2023, we made payments of $7.4 million and $5.2 million and incurred research and development expenses of $ 6.3 million and $0.0 million, in-process research and development expenses of $0.0 million and $5.0 million and legal fees of $0.1 million and $0.2 million, respectively, related to the FCDI agreements. The legal fees are recorded within general and administrative expenses in the consolidated statements of operations and comprehensive loss.</w:t>
      </w:r>
    </w:p>
    <w:p>
      <w:pPr>
        <w:sectPr>
          <w:pgSz w:w="11880" w:h="15480" w:orient="portrait"/>
          <w:cols w:equalWidth="0" w:num="1">
            <w:col w:w="9680"/>
          </w:cols>
          <w:pgMar w:left="1080" w:top="1072" w:right="112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119</w:t>
      </w:r>
    </w:p>
    <w:p>
      <w:pPr>
        <w:sectPr>
          <w:pgSz w:w="11880" w:h="15480" w:orient="portrait"/>
          <w:cols w:equalWidth="0" w:num="1">
            <w:col w:w="9680"/>
          </w:cols>
          <w:pgMar w:left="1080" w:top="1072" w:right="1120" w:bottom="554" w:gutter="0" w:footer="0" w:header="0"/>
          <w:type w:val="continuous"/>
        </w:sectPr>
      </w:pPr>
    </w:p>
    <w:bookmarkStart w:id="119" w:name="page120"/>
    <w:bookmarkEnd w:id="119"/>
    <w:p>
      <w:pPr>
        <w:ind w:right="180"/>
        <w:spacing w:after="0" w:line="283" w:lineRule="auto"/>
        <w:rPr>
          <w:sz w:val="20"/>
          <w:szCs w:val="20"/>
          <w:color w:val="auto"/>
        </w:rPr>
      </w:pPr>
      <w:r>
        <w:rPr>
          <w:rFonts w:ascii="Arial" w:cs="Arial" w:eastAsia="Arial" w:hAnsi="Arial"/>
          <w:sz w:val="20"/>
          <w:szCs w:val="20"/>
          <w:color w:val="auto"/>
        </w:rPr>
        <w:t>From inception of the FCDI Collaboration Agreement through December 31, 2024, we incurred $42.7 million of expenses under the FCDI Collaboration Agreement.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iCell and Distributed Bio</w:t>
      </w:r>
    </w:p>
    <w:p>
      <w:pPr>
        <w:spacing w:after="0" w:line="235" w:lineRule="exact"/>
        <w:rPr>
          <w:sz w:val="20"/>
          <w:szCs w:val="20"/>
          <w:color w:val="auto"/>
        </w:rPr>
      </w:pPr>
    </w:p>
    <w:p>
      <w:pPr>
        <w:ind w:right="540"/>
        <w:spacing w:after="0" w:line="283" w:lineRule="auto"/>
        <w:rPr>
          <w:sz w:val="20"/>
          <w:szCs w:val="20"/>
          <w:color w:val="auto"/>
        </w:rPr>
      </w:pPr>
      <w:r>
        <w:rPr>
          <w:rFonts w:ascii="Arial" w:cs="Arial" w:eastAsia="Arial" w:hAnsi="Arial"/>
          <w:sz w:val="20"/>
          <w:szCs w:val="20"/>
          <w:color w:val="auto"/>
        </w:rPr>
        <w:t>We also have entered into a sublicense agreement with iCell Inc. and a master services agreement with Distributed Bio, Inc. See note 10 to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Components of operating results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Collaboration revenue</w:t>
      </w:r>
    </w:p>
    <w:p>
      <w:pPr>
        <w:spacing w:after="0" w:line="235"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We have not generated any revenue from product sales and do not expect to generate any revenue from the sale of products for the foreseeable future. Our revenues to date were generated through our collaboration, option and license agreement with Bristol-Myers Squibb, which was terminated, effective as of March 12, 2025. We recognize revenue over the expected performance period under this agreement. We expect that our revenue for the next several years will be derived primarily from this agreement and any any collaborations that we may enter into in the future. To date, we have not received any royalties under any of our existing collaboration agreements.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Research and development</w:t>
      </w:r>
    </w:p>
    <w:p>
      <w:pPr>
        <w:spacing w:after="0" w:line="23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To date, research and development expenses have related primarily to the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92" w:lineRule="exact"/>
        <w:rPr>
          <w:sz w:val="20"/>
          <w:szCs w:val="20"/>
          <w:color w:val="auto"/>
        </w:rPr>
      </w:pPr>
    </w:p>
    <w:p>
      <w:pPr>
        <w:jc w:val="both"/>
        <w:ind w:right="260"/>
        <w:spacing w:after="0" w:line="250" w:lineRule="auto"/>
        <w:rPr>
          <w:sz w:val="20"/>
          <w:szCs w:val="20"/>
          <w:color w:val="auto"/>
        </w:rPr>
      </w:pPr>
      <w:r>
        <w:rPr>
          <w:rFonts w:ascii="Arial" w:cs="Arial" w:eastAsia="Arial" w:hAnsi="Arial"/>
          <w:sz w:val="20"/>
          <w:szCs w:val="20"/>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92"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9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progressing preclinical studies and clinical trials, including for our first clinical product candidate CNTY-101,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w:t>
      </w:r>
    </w:p>
    <w:p>
      <w:pPr>
        <w:sectPr>
          <w:pgSz w:w="11880" w:h="15480" w:orient="portrait"/>
          <w:cols w:equalWidth="0" w:num="1">
            <w:col w:w="9720"/>
          </w:cols>
          <w:pgMar w:left="1080" w:top="1067" w:right="1080" w:bottom="554" w:gutter="0" w:footer="0" w:header="0"/>
          <w:type w:val="continuous"/>
        </w:sectPr>
      </w:pPr>
    </w:p>
    <w:bookmarkStart w:id="120" w:name="page121"/>
    <w:bookmarkEnd w:id="120"/>
    <w:p>
      <w:pPr>
        <w:spacing w:after="0"/>
        <w:rPr>
          <w:sz w:val="20"/>
          <w:szCs w:val="20"/>
          <w:color w:val="auto"/>
        </w:rPr>
      </w:pPr>
      <w:r>
        <w:rPr>
          <w:rFonts w:ascii="Arial" w:cs="Arial" w:eastAsia="Arial" w:hAnsi="Arial"/>
          <w:sz w:val="20"/>
          <w:szCs w:val="20"/>
          <w:i w:val="1"/>
          <w:iCs w:val="1"/>
          <w:color w:val="auto"/>
        </w:rPr>
        <w:t>General and administrative</w:t>
      </w:r>
    </w:p>
    <w:p>
      <w:pPr>
        <w:spacing w:after="0" w:line="193"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General and administrative expenses consist of personnel-related costs, including salaries, benefits, and non-cash stock- 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In-process research and development</w:t>
      </w:r>
    </w:p>
    <w:p>
      <w:pPr>
        <w:spacing w:after="0" w:line="232" w:lineRule="exact"/>
        <w:rPr>
          <w:sz w:val="20"/>
          <w:szCs w:val="20"/>
          <w:color w:val="auto"/>
        </w:rPr>
      </w:pPr>
    </w:p>
    <w:p>
      <w:pPr>
        <w:ind w:right="500"/>
        <w:spacing w:after="0" w:line="283" w:lineRule="auto"/>
        <w:rPr>
          <w:sz w:val="20"/>
          <w:szCs w:val="20"/>
          <w:color w:val="auto"/>
        </w:rPr>
      </w:pPr>
      <w:r>
        <w:rPr>
          <w:rFonts w:ascii="Arial" w:cs="Arial" w:eastAsia="Arial" w:hAnsi="Arial"/>
          <w:sz w:val="20"/>
          <w:szCs w:val="20"/>
          <w:color w:val="auto"/>
        </w:rPr>
        <w:t>We incurred $5.0 million in license fees to FCDI in 2023 for the Autoimmune License. There were no in-process research and development fees incurred in 2024.</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Impairment of long-lived assets</w:t>
      </w:r>
    </w:p>
    <w:p>
      <w:pPr>
        <w:spacing w:after="0" w:line="232"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We reviewed our property and equipment related assets for impairment by comparing the carrying values of the assets with their estimated future undiscounted cash flows. An impairment charge was calculated as the difference between asset carrying values and fair value of discounted cash flows, indicative fair market quotes received are considered level three fair value estimates. We incurred $16.4 million in impairment during the year ended December 31, 2023. There were no impairment charges incurred in 2024.</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Impairment of goodwill</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We reviewed our goodwill for impairment by comparing the fair value of a reporting unit less its carrying value. We performed our annual impairment test as of December 31, 2024. We performed a quantiative assessment of our single reporting unit and determined that the fair value is less than carrying value. Based on the quantitative test performed, we incurred a $4.3 million impairment during the year ended December 31, 2024, which represented the entire goodwill balance.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236"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Interest expense relates to interest incurred on the September 14, 2020 $10.0 million Term Loan Agreement we entered into with Hercules Capital, Inc., as well as amortization of the related deferred financing cost. The loan was repaid in full in May 2023. See Note 8 to our consolidated financial statements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income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Interest income consists of interest earned on our cash, cash equivalents and investment balances.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35"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Due to historical losses, we maintain a full valuation allowance against the unrealizable portion of our deferred tax assets. For the year ended December 31, 2024, we recorded $1.8 million in provisions for income taxes in the accompanying consolidated financial statements. The main drivers of the tax provision during the year ended December 31, 2024 are the 2023 federal and state provision-to-return adjustments and state tax revaluation of the deferred tax liability for the Clade IPR&amp;D intangible.</w:t>
      </w:r>
    </w:p>
    <w:p>
      <w:pPr>
        <w:sectPr>
          <w:pgSz w:w="11880" w:h="15480" w:orient="portrait"/>
          <w:cols w:equalWidth="0" w:num="1">
            <w:col w:w="9720"/>
          </w:cols>
          <w:pgMar w:left="1080" w:top="1075"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121</w:t>
      </w:r>
    </w:p>
    <w:p>
      <w:pPr>
        <w:sectPr>
          <w:pgSz w:w="11880" w:h="15480" w:orient="portrait"/>
          <w:cols w:equalWidth="0" w:num="1">
            <w:col w:w="9720"/>
          </w:cols>
          <w:pgMar w:left="1080" w:top="1075" w:right="1080" w:bottom="554" w:gutter="0" w:footer="0" w:header="0"/>
          <w:type w:val="continuous"/>
        </w:sectPr>
      </w:pPr>
    </w:p>
    <w:bookmarkStart w:id="121" w:name="page122"/>
    <w:bookmarkEnd w:id="121"/>
    <w:p>
      <w:pPr>
        <w:spacing w:after="0"/>
        <w:rPr>
          <w:sz w:val="20"/>
          <w:szCs w:val="20"/>
          <w:color w:val="auto"/>
        </w:rPr>
      </w:pPr>
      <w:r>
        <w:rPr>
          <w:rFonts w:ascii="Arial" w:cs="Arial" w:eastAsia="Arial" w:hAnsi="Arial"/>
          <w:sz w:val="20"/>
          <w:szCs w:val="20"/>
          <w:b w:val="1"/>
          <w:bCs w:val="1"/>
          <w:color w:val="auto"/>
        </w:rPr>
        <w:t>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Comparison of the years ended December 31, 2024 and 2023</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results of operations for the periods presented: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181"/>
              <w:spacing w:after="0" w:line="180" w:lineRule="exact"/>
              <w:rPr>
                <w:sz w:val="20"/>
                <w:szCs w:val="20"/>
                <w:color w:val="auto"/>
              </w:rPr>
            </w:pPr>
            <w:r>
              <w:rPr>
                <w:rFonts w:ascii="Arial" w:cs="Arial" w:eastAsia="Arial" w:hAnsi="Arial"/>
                <w:sz w:val="16"/>
                <w:szCs w:val="16"/>
                <w:color w:val="auto"/>
              </w:rPr>
              <w:t>Year Ended</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181"/>
              <w:spacing w:after="0" w:line="180" w:lineRule="exact"/>
              <w:rPr>
                <w:sz w:val="20"/>
                <w:szCs w:val="20"/>
                <w:color w:val="auto"/>
              </w:rPr>
            </w:pPr>
            <w:r>
              <w:rPr>
                <w:rFonts w:ascii="Arial" w:cs="Arial" w:eastAsia="Arial" w:hAnsi="Arial"/>
                <w:sz w:val="16"/>
                <w:szCs w:val="16"/>
                <w:color w:val="auto"/>
              </w:rPr>
              <w:t>Year Ended</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December 31, 2024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December 31, 2023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99"/>
              </w:rPr>
              <w:t>Change</w:t>
            </w:r>
          </w:p>
        </w:tc>
        <w:tc>
          <w:tcPr>
            <w:tcW w:w="0" w:type="dxa"/>
            <w:vAlign w:val="bottom"/>
          </w:tcPr>
          <w:p>
            <w:pPr>
              <w:spacing w:after="0"/>
              <w:rPr>
                <w:sz w:val="1"/>
                <w:szCs w:val="1"/>
                <w:color w:val="auto"/>
              </w:rPr>
            </w:pPr>
          </w:p>
        </w:tc>
      </w:tr>
      <w:tr>
        <w:trPr>
          <w:trHeight w:val="154"/>
        </w:trPr>
        <w:tc>
          <w:tcPr>
            <w:tcW w:w="5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2"/>
          </w:tcPr>
          <w:p>
            <w:pPr>
              <w:spacing w:after="0" w:line="155"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jc w:val="right"/>
              <w:ind w:right="280"/>
              <w:spacing w:after="0"/>
              <w:rPr>
                <w:sz w:val="20"/>
                <w:szCs w:val="20"/>
                <w:color w:val="auto"/>
              </w:rPr>
            </w:pPr>
            <w:r>
              <w:rPr>
                <w:rFonts w:ascii="Arial" w:cs="Arial" w:eastAsia="Arial" w:hAnsi="Arial"/>
                <w:sz w:val="20"/>
                <w:szCs w:val="20"/>
                <w:color w:val="auto"/>
                <w:w w:val="92"/>
              </w:rPr>
              <w:t>Collaboration revenue . . . . . . . . . . . . . . . . . . . . . . . . . . . . . . . . . .</w:t>
            </w:r>
          </w:p>
        </w:tc>
        <w:tc>
          <w:tcPr>
            <w:tcW w:w="200" w:type="dxa"/>
            <w:vAlign w:val="bottom"/>
          </w:tcPr>
          <w:p>
            <w:pPr>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6,589</w:t>
            </w:r>
          </w:p>
        </w:tc>
        <w:tc>
          <w:tcPr>
            <w:tcW w:w="380" w:type="dxa"/>
            <w:vAlign w:val="bottom"/>
            <w:gridSpan w:val="3"/>
          </w:tcPr>
          <w:p>
            <w:pPr>
              <w:ind w:left="18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2,235</w:t>
            </w:r>
          </w:p>
        </w:tc>
        <w:tc>
          <w:tcPr>
            <w:tcW w:w="32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4,354</w:t>
            </w:r>
          </w:p>
        </w:tc>
        <w:tc>
          <w:tcPr>
            <w:tcW w:w="0" w:type="dxa"/>
            <w:vAlign w:val="bottom"/>
          </w:tcPr>
          <w:p>
            <w:pPr>
              <w:spacing w:after="0"/>
              <w:rPr>
                <w:sz w:val="1"/>
                <w:szCs w:val="1"/>
                <w:color w:val="auto"/>
              </w:rPr>
            </w:pPr>
          </w:p>
        </w:tc>
      </w:tr>
      <w:tr>
        <w:trPr>
          <w:trHeight w:val="231"/>
        </w:trPr>
        <w:tc>
          <w:tcPr>
            <w:tcW w:w="5620" w:type="dxa"/>
            <w:vAlign w:val="bottom"/>
            <w:gridSpan w:val="2"/>
          </w:tcPr>
          <w:p>
            <w:pPr>
              <w:spacing w:after="0"/>
              <w:rPr>
                <w:sz w:val="20"/>
                <w:szCs w:val="20"/>
                <w:color w:val="auto"/>
              </w:rPr>
            </w:pPr>
            <w:r>
              <w:rPr>
                <w:rFonts w:ascii="Arial" w:cs="Arial" w:eastAsia="Arial" w:hAnsi="Arial"/>
                <w:sz w:val="20"/>
                <w:szCs w:val="20"/>
                <w:color w:val="auto"/>
              </w:rPr>
              <w:t>Operating expenses:</w:t>
            </w:r>
          </w:p>
        </w:tc>
        <w:tc>
          <w:tcPr>
            <w:tcW w:w="20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107,244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92,710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14,534</w:t>
            </w:r>
          </w:p>
        </w:tc>
        <w:tc>
          <w:tcPr>
            <w:tcW w:w="0" w:type="dxa"/>
            <w:vAlign w:val="bottom"/>
          </w:tcPr>
          <w:p>
            <w:pPr>
              <w:spacing w:after="0"/>
              <w:rPr>
                <w:sz w:val="1"/>
                <w:szCs w:val="1"/>
                <w:color w:val="auto"/>
              </w:rPr>
            </w:pPr>
          </w:p>
        </w:tc>
      </w:tr>
      <w:tr>
        <w:trPr>
          <w:trHeight w:val="229"/>
        </w:trPr>
        <w:tc>
          <w:tcPr>
            <w:tcW w:w="5620" w:type="dxa"/>
            <w:vAlign w:val="bottom"/>
            <w:gridSpan w:val="2"/>
          </w:tcPr>
          <w:p>
            <w:pPr>
              <w:jc w:val="right"/>
              <w:ind w:right="280"/>
              <w:spacing w:after="0" w:line="229" w:lineRule="exact"/>
              <w:rPr>
                <w:sz w:val="20"/>
                <w:szCs w:val="20"/>
                <w:color w:val="auto"/>
              </w:rPr>
            </w:pPr>
            <w:r>
              <w:rPr>
                <w:rFonts w:ascii="Arial" w:cs="Arial" w:eastAsia="Arial" w:hAnsi="Arial"/>
                <w:sz w:val="20"/>
                <w:szCs w:val="20"/>
                <w:color w:val="auto"/>
                <w:w w:val="95"/>
              </w:rPr>
              <w:t>Research and development . . . . . . . . . . . . . . . . . . . . . . . . . . . .</w:t>
            </w: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jc w:val="right"/>
              <w:ind w:right="280"/>
              <w:spacing w:after="0"/>
              <w:rPr>
                <w:sz w:val="20"/>
                <w:szCs w:val="20"/>
                <w:color w:val="auto"/>
              </w:rPr>
            </w:pPr>
            <w:r>
              <w:rPr>
                <w:rFonts w:ascii="Arial" w:cs="Arial" w:eastAsia="Arial" w:hAnsi="Arial"/>
                <w:sz w:val="20"/>
                <w:szCs w:val="20"/>
                <w:color w:val="auto"/>
                <w:w w:val="96"/>
              </w:rPr>
              <w:t>General and administrative . . . . . . . . . . . . . . . . . . . . . . . . . . . .</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33,155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34,706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(1,551)</w:t>
            </w:r>
          </w:p>
        </w:tc>
        <w:tc>
          <w:tcPr>
            <w:tcW w:w="0" w:type="dxa"/>
            <w:vAlign w:val="bottom"/>
          </w:tcPr>
          <w:p>
            <w:pPr>
              <w:spacing w:after="0"/>
              <w:rPr>
                <w:sz w:val="1"/>
                <w:szCs w:val="1"/>
                <w:color w:val="auto"/>
              </w:rPr>
            </w:pPr>
          </w:p>
        </w:tc>
      </w:tr>
      <w:tr>
        <w:trPr>
          <w:trHeight w:val="230"/>
        </w:trPr>
        <w:tc>
          <w:tcPr>
            <w:tcW w:w="5620" w:type="dxa"/>
            <w:vAlign w:val="bottom"/>
            <w:gridSpan w:val="2"/>
          </w:tcPr>
          <w:p>
            <w:pPr>
              <w:jc w:val="right"/>
              <w:ind w:right="280"/>
              <w:spacing w:after="0"/>
              <w:rPr>
                <w:sz w:val="20"/>
                <w:szCs w:val="20"/>
                <w:color w:val="auto"/>
              </w:rPr>
            </w:pPr>
            <w:r>
              <w:rPr>
                <w:rFonts w:ascii="Arial" w:cs="Arial" w:eastAsia="Arial" w:hAnsi="Arial"/>
                <w:sz w:val="20"/>
                <w:szCs w:val="20"/>
                <w:color w:val="auto"/>
                <w:w w:val="99"/>
              </w:rPr>
              <w:t>In-process research and development asset . . . . . . . . . . . . .</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(5,000)</w:t>
            </w:r>
          </w:p>
        </w:tc>
        <w:tc>
          <w:tcPr>
            <w:tcW w:w="0" w:type="dxa"/>
            <w:vAlign w:val="bottom"/>
          </w:tcPr>
          <w:p>
            <w:pPr>
              <w:spacing w:after="0"/>
              <w:rPr>
                <w:sz w:val="1"/>
                <w:szCs w:val="1"/>
                <w:color w:val="auto"/>
              </w:rPr>
            </w:pPr>
          </w:p>
        </w:tc>
      </w:tr>
      <w:tr>
        <w:trPr>
          <w:trHeight w:val="229"/>
        </w:trPr>
        <w:tc>
          <w:tcPr>
            <w:tcW w:w="5620" w:type="dxa"/>
            <w:vAlign w:val="bottom"/>
            <w:gridSpan w:val="2"/>
          </w:tcPr>
          <w:p>
            <w:pPr>
              <w:jc w:val="right"/>
              <w:ind w:right="280"/>
              <w:spacing w:after="0"/>
              <w:rPr>
                <w:sz w:val="20"/>
                <w:szCs w:val="20"/>
                <w:color w:val="auto"/>
              </w:rPr>
            </w:pPr>
            <w:r>
              <w:rPr>
                <w:rFonts w:ascii="Arial" w:cs="Arial" w:eastAsia="Arial" w:hAnsi="Arial"/>
                <w:sz w:val="20"/>
                <w:szCs w:val="20"/>
                <w:color w:val="auto"/>
                <w:w w:val="97"/>
              </w:rPr>
              <w:t>Impairment of long-lived assets . . . . . . . . . . . . . . . . . . . . . . . .</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16,365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(16,365)</w:t>
            </w:r>
          </w:p>
        </w:tc>
        <w:tc>
          <w:tcPr>
            <w:tcW w:w="0" w:type="dxa"/>
            <w:vAlign w:val="bottom"/>
          </w:tcPr>
          <w:p>
            <w:pPr>
              <w:spacing w:after="0"/>
              <w:rPr>
                <w:sz w:val="1"/>
                <w:szCs w:val="1"/>
                <w:color w:val="auto"/>
              </w:rPr>
            </w:pPr>
          </w:p>
        </w:tc>
      </w:tr>
      <w:tr>
        <w:trPr>
          <w:trHeight w:val="250"/>
        </w:trPr>
        <w:tc>
          <w:tcPr>
            <w:tcW w:w="5620" w:type="dxa"/>
            <w:vAlign w:val="bottom"/>
            <w:gridSpan w:val="2"/>
          </w:tcPr>
          <w:p>
            <w:pPr>
              <w:jc w:val="right"/>
              <w:ind w:right="280"/>
              <w:spacing w:after="0"/>
              <w:rPr>
                <w:sz w:val="20"/>
                <w:szCs w:val="20"/>
                <w:color w:val="auto"/>
              </w:rPr>
            </w:pPr>
            <w:r>
              <w:rPr>
                <w:rFonts w:ascii="Arial" w:cs="Arial" w:eastAsia="Arial" w:hAnsi="Arial"/>
                <w:sz w:val="20"/>
                <w:szCs w:val="20"/>
                <w:color w:val="auto"/>
                <w:w w:val="95"/>
              </w:rPr>
              <w:t>Impairment of goodwill . . . . . . . . . . . . . . . . . . . . . . . . . . . . . . . .</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4,327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4,327</w:t>
            </w:r>
          </w:p>
        </w:tc>
        <w:tc>
          <w:tcPr>
            <w:tcW w:w="0" w:type="dxa"/>
            <w:vAlign w:val="bottom"/>
          </w:tcPr>
          <w:p>
            <w:pPr>
              <w:spacing w:after="0"/>
              <w:rPr>
                <w:sz w:val="1"/>
                <w:szCs w:val="1"/>
                <w:color w:val="auto"/>
              </w:rPr>
            </w:pPr>
          </w:p>
        </w:tc>
      </w:tr>
      <w:tr>
        <w:trPr>
          <w:trHeight w:val="220"/>
        </w:trPr>
        <w:tc>
          <w:tcPr>
            <w:tcW w:w="5620" w:type="dxa"/>
            <w:vAlign w:val="bottom"/>
            <w:gridSpan w:val="2"/>
          </w:tcPr>
          <w:p>
            <w:pPr>
              <w:jc w:val="right"/>
              <w:ind w:right="280"/>
              <w:spacing w:after="0" w:line="220" w:lineRule="exact"/>
              <w:rPr>
                <w:sz w:val="20"/>
                <w:szCs w:val="20"/>
                <w:color w:val="auto"/>
              </w:rPr>
            </w:pPr>
            <w:r>
              <w:rPr>
                <w:rFonts w:ascii="Arial" w:cs="Arial" w:eastAsia="Arial" w:hAnsi="Arial"/>
                <w:sz w:val="20"/>
                <w:szCs w:val="20"/>
                <w:color w:val="auto"/>
              </w:rPr>
              <w:t>. . . . . . . . . . . . . . . . . . . . . . . . . . . .Totaloperatingexpenses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144,726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148,781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(4,055)</w:t>
            </w:r>
          </w:p>
        </w:tc>
        <w:tc>
          <w:tcPr>
            <w:tcW w:w="0" w:type="dxa"/>
            <w:vAlign w:val="bottom"/>
          </w:tcPr>
          <w:p>
            <w:pPr>
              <w:spacing w:after="0"/>
              <w:rPr>
                <w:sz w:val="1"/>
                <w:szCs w:val="1"/>
                <w:color w:val="auto"/>
              </w:rPr>
            </w:pPr>
          </w:p>
        </w:tc>
      </w:tr>
      <w:tr>
        <w:trPr>
          <w:trHeight w:val="229"/>
        </w:trPr>
        <w:tc>
          <w:tcPr>
            <w:tcW w:w="5620" w:type="dxa"/>
            <w:vAlign w:val="bottom"/>
            <w:gridSpan w:val="2"/>
          </w:tcPr>
          <w:p>
            <w:pPr>
              <w:jc w:val="right"/>
              <w:ind w:right="280"/>
              <w:spacing w:after="0" w:line="220" w:lineRule="exact"/>
              <w:rPr>
                <w:sz w:val="20"/>
                <w:szCs w:val="20"/>
                <w:color w:val="auto"/>
              </w:rPr>
            </w:pPr>
            <w:r>
              <w:rPr>
                <w:rFonts w:ascii="Arial" w:cs="Arial" w:eastAsia="Arial" w:hAnsi="Arial"/>
                <w:sz w:val="20"/>
                <w:szCs w:val="20"/>
                <w:color w:val="auto"/>
                <w:w w:val="97"/>
              </w:rPr>
              <w:t>. . . . . . . . . . . . . . . . . . . . . . . . . . . . . . . . . .Lossfromoperations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(138,137)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(146,546)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8,409</w:t>
            </w:r>
          </w:p>
        </w:tc>
        <w:tc>
          <w:tcPr>
            <w:tcW w:w="0" w:type="dxa"/>
            <w:vAlign w:val="bottom"/>
          </w:tcPr>
          <w:p>
            <w:pPr>
              <w:spacing w:after="0"/>
              <w:rPr>
                <w:sz w:val="1"/>
                <w:szCs w:val="1"/>
                <w:color w:val="auto"/>
              </w:rPr>
            </w:pPr>
          </w:p>
        </w:tc>
      </w:tr>
      <w:tr>
        <w:trPr>
          <w:trHeight w:val="213"/>
        </w:trPr>
        <w:tc>
          <w:tcPr>
            <w:tcW w:w="5620" w:type="dxa"/>
            <w:vAlign w:val="bottom"/>
            <w:gridSpan w:val="2"/>
          </w:tcPr>
          <w:p>
            <w:pPr>
              <w:spacing w:after="0" w:line="212" w:lineRule="exact"/>
              <w:rPr>
                <w:sz w:val="20"/>
                <w:szCs w:val="20"/>
                <w:color w:val="auto"/>
              </w:rPr>
            </w:pPr>
            <w:r>
              <w:rPr>
                <w:rFonts w:ascii="Arial" w:cs="Arial" w:eastAsia="Arial" w:hAnsi="Arial"/>
                <w:sz w:val="20"/>
                <w:szCs w:val="20"/>
                <w:color w:val="auto"/>
              </w:rPr>
              <w:t>Other income (expense):</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(540)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jc w:val="right"/>
              <w:ind w:right="280"/>
              <w:spacing w:after="0"/>
              <w:rPr>
                <w:sz w:val="20"/>
                <w:szCs w:val="20"/>
                <w:color w:val="auto"/>
              </w:rPr>
            </w:pPr>
            <w:r>
              <w:rPr>
                <w:rFonts w:ascii="Arial" w:cs="Arial" w:eastAsia="Arial" w:hAnsi="Arial"/>
                <w:sz w:val="20"/>
                <w:szCs w:val="20"/>
                <w:color w:val="auto"/>
                <w:w w:val="93"/>
              </w:rPr>
              <w:t>Interest expense . . . . . . . . . . . . . . . . . . . . . . . . . . . . . . . . . . . . . .</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540</w:t>
            </w:r>
          </w:p>
        </w:tc>
        <w:tc>
          <w:tcPr>
            <w:tcW w:w="0" w:type="dxa"/>
            <w:vAlign w:val="bottom"/>
          </w:tcPr>
          <w:p>
            <w:pPr>
              <w:spacing w:after="0"/>
              <w:rPr>
                <w:sz w:val="1"/>
                <w:szCs w:val="1"/>
                <w:color w:val="auto"/>
              </w:rPr>
            </w:pPr>
          </w:p>
        </w:tc>
      </w:tr>
      <w:tr>
        <w:trPr>
          <w:trHeight w:val="230"/>
        </w:trPr>
        <w:tc>
          <w:tcPr>
            <w:tcW w:w="5620" w:type="dxa"/>
            <w:vAlign w:val="bottom"/>
            <w:gridSpan w:val="2"/>
          </w:tcPr>
          <w:p>
            <w:pPr>
              <w:jc w:val="right"/>
              <w:ind w:right="280"/>
              <w:spacing w:after="0"/>
              <w:rPr>
                <w:sz w:val="20"/>
                <w:szCs w:val="20"/>
                <w:color w:val="auto"/>
              </w:rPr>
            </w:pPr>
            <w:r>
              <w:rPr>
                <w:rFonts w:ascii="Arial" w:cs="Arial" w:eastAsia="Arial" w:hAnsi="Arial"/>
                <w:sz w:val="20"/>
                <w:szCs w:val="20"/>
                <w:color w:val="auto"/>
                <w:w w:val="93"/>
              </w:rPr>
              <w:t>Interest income . . . . . . . . . . . . . . . . . . . . . . . . . . . . . . . . . . . . . . .</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13,007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12,677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330</w:t>
            </w:r>
          </w:p>
        </w:tc>
        <w:tc>
          <w:tcPr>
            <w:tcW w:w="0" w:type="dxa"/>
            <w:vAlign w:val="bottom"/>
          </w:tcPr>
          <w:p>
            <w:pPr>
              <w:spacing w:after="0"/>
              <w:rPr>
                <w:sz w:val="1"/>
                <w:szCs w:val="1"/>
                <w:color w:val="auto"/>
              </w:rPr>
            </w:pPr>
          </w:p>
        </w:tc>
      </w:tr>
      <w:tr>
        <w:trPr>
          <w:trHeight w:val="250"/>
        </w:trPr>
        <w:tc>
          <w:tcPr>
            <w:tcW w:w="5620" w:type="dxa"/>
            <w:vAlign w:val="bottom"/>
            <w:gridSpan w:val="2"/>
          </w:tcPr>
          <w:p>
            <w:pPr>
              <w:jc w:val="right"/>
              <w:ind w:right="280"/>
              <w:spacing w:after="0"/>
              <w:rPr>
                <w:sz w:val="20"/>
                <w:szCs w:val="20"/>
                <w:color w:val="auto"/>
              </w:rPr>
            </w:pPr>
            <w:r>
              <w:rPr>
                <w:rFonts w:ascii="Arial" w:cs="Arial" w:eastAsia="Arial" w:hAnsi="Arial"/>
                <w:sz w:val="20"/>
                <w:szCs w:val="20"/>
                <w:color w:val="auto"/>
                <w:w w:val="93"/>
              </w:rPr>
              <w:t>Other income, net . . . . . . . . . . . . . . . . . . . . . . . . . . . . . . . . . . . . .</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737</w:t>
            </w:r>
          </w:p>
        </w:tc>
        <w:tc>
          <w:tcPr>
            <w:tcW w:w="0" w:type="dxa"/>
            <w:vAlign w:val="bottom"/>
          </w:tcPr>
          <w:p>
            <w:pPr>
              <w:spacing w:after="0"/>
              <w:rPr>
                <w:sz w:val="1"/>
                <w:szCs w:val="1"/>
                <w:color w:val="auto"/>
              </w:rPr>
            </w:pPr>
          </w:p>
        </w:tc>
      </w:tr>
      <w:tr>
        <w:trPr>
          <w:trHeight w:val="220"/>
        </w:trPr>
        <w:tc>
          <w:tcPr>
            <w:tcW w:w="5620" w:type="dxa"/>
            <w:vAlign w:val="bottom"/>
            <w:gridSpan w:val="2"/>
          </w:tcPr>
          <w:p>
            <w:pPr>
              <w:jc w:val="right"/>
              <w:ind w:right="280"/>
              <w:spacing w:after="0" w:line="220" w:lineRule="exact"/>
              <w:rPr>
                <w:sz w:val="20"/>
                <w:szCs w:val="20"/>
                <w:color w:val="auto"/>
              </w:rPr>
            </w:pPr>
            <w:r>
              <w:rPr>
                <w:rFonts w:ascii="Arial" w:cs="Arial" w:eastAsia="Arial" w:hAnsi="Arial"/>
                <w:sz w:val="20"/>
                <w:szCs w:val="20"/>
                <w:color w:val="auto"/>
              </w:rPr>
              <w:t>. . . . . . . . . . . . . . . . . . . . . . . . . .Totalotherincome(expense)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13,361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11,754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1,607</w:t>
            </w:r>
          </w:p>
        </w:tc>
        <w:tc>
          <w:tcPr>
            <w:tcW w:w="0" w:type="dxa"/>
            <w:vAlign w:val="bottom"/>
          </w:tcPr>
          <w:p>
            <w:pPr>
              <w:spacing w:after="0"/>
              <w:rPr>
                <w:sz w:val="1"/>
                <w:szCs w:val="1"/>
                <w:color w:val="auto"/>
              </w:rPr>
            </w:pPr>
          </w:p>
        </w:tc>
      </w:tr>
      <w:tr>
        <w:trPr>
          <w:trHeight w:val="199"/>
        </w:trPr>
        <w:tc>
          <w:tcPr>
            <w:tcW w:w="5620" w:type="dxa"/>
            <w:vAlign w:val="bottom"/>
            <w:gridSpan w:val="2"/>
          </w:tcPr>
          <w:p>
            <w:pPr>
              <w:jc w:val="right"/>
              <w:ind w:right="280"/>
              <w:spacing w:after="0" w:line="199" w:lineRule="exact"/>
              <w:rPr>
                <w:sz w:val="20"/>
                <w:szCs w:val="20"/>
                <w:color w:val="auto"/>
              </w:rPr>
            </w:pPr>
            <w:r>
              <w:rPr>
                <w:rFonts w:ascii="Arial" w:cs="Arial" w:eastAsia="Arial" w:hAnsi="Arial"/>
                <w:sz w:val="20"/>
                <w:szCs w:val="20"/>
                <w:color w:val="auto"/>
              </w:rPr>
              <w:t>. . . . . . . . . . . . . . . . . . .Lossbeforeprovisionforincometaxes</w:t>
            </w:r>
          </w:p>
        </w:tc>
        <w:tc>
          <w:tcPr>
            <w:tcW w:w="200" w:type="dxa"/>
            <w:vAlign w:val="bottom"/>
          </w:tcPr>
          <w:p>
            <w:pPr>
              <w:spacing w:after="0"/>
              <w:rPr>
                <w:sz w:val="17"/>
                <w:szCs w:val="17"/>
                <w:color w:val="auto"/>
              </w:rPr>
            </w:pPr>
          </w:p>
        </w:tc>
        <w:tc>
          <w:tcPr>
            <w:tcW w:w="1200" w:type="dxa"/>
            <w:vAlign w:val="bottom"/>
          </w:tcPr>
          <w:p>
            <w:pPr>
              <w:jc w:val="right"/>
              <w:spacing w:after="0" w:line="199" w:lineRule="exact"/>
              <w:rPr>
                <w:sz w:val="20"/>
                <w:szCs w:val="20"/>
                <w:color w:val="auto"/>
              </w:rPr>
            </w:pPr>
            <w:r>
              <w:rPr>
                <w:rFonts w:ascii="Arial" w:cs="Arial" w:eastAsia="Arial" w:hAnsi="Arial"/>
                <w:sz w:val="20"/>
                <w:szCs w:val="20"/>
                <w:color w:val="auto"/>
              </w:rPr>
              <w:t>(124,776)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line="199" w:lineRule="exact"/>
              <w:rPr>
                <w:sz w:val="20"/>
                <w:szCs w:val="20"/>
                <w:color w:val="auto"/>
              </w:rPr>
            </w:pPr>
            <w:r>
              <w:rPr>
                <w:rFonts w:ascii="Arial" w:cs="Arial" w:eastAsia="Arial" w:hAnsi="Arial"/>
                <w:sz w:val="20"/>
                <w:szCs w:val="20"/>
                <w:color w:val="auto"/>
              </w:rPr>
              <w:t>(134,792)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9" w:lineRule="exact"/>
              <w:rPr>
                <w:sz w:val="20"/>
                <w:szCs w:val="20"/>
                <w:color w:val="auto"/>
              </w:rPr>
            </w:pPr>
            <w:r>
              <w:rPr>
                <w:rFonts w:ascii="Arial" w:cs="Arial" w:eastAsia="Arial" w:hAnsi="Arial"/>
                <w:sz w:val="20"/>
                <w:szCs w:val="20"/>
                <w:color w:val="auto"/>
              </w:rPr>
              <w:t>10,016</w:t>
            </w:r>
          </w:p>
        </w:tc>
        <w:tc>
          <w:tcPr>
            <w:tcW w:w="0" w:type="dxa"/>
            <w:vAlign w:val="bottom"/>
          </w:tcPr>
          <w:p>
            <w:pPr>
              <w:spacing w:after="0"/>
              <w:rPr>
                <w:sz w:val="1"/>
                <w:szCs w:val="1"/>
                <w:color w:val="auto"/>
              </w:rPr>
            </w:pPr>
          </w:p>
        </w:tc>
      </w:tr>
      <w:tr>
        <w:trPr>
          <w:trHeight w:val="250"/>
        </w:trPr>
        <w:tc>
          <w:tcPr>
            <w:tcW w:w="5620" w:type="dxa"/>
            <w:vAlign w:val="bottom"/>
            <w:gridSpan w:val="2"/>
          </w:tcPr>
          <w:p>
            <w:pPr>
              <w:jc w:val="right"/>
              <w:ind w:right="280"/>
              <w:spacing w:after="0"/>
              <w:rPr>
                <w:sz w:val="20"/>
                <w:szCs w:val="20"/>
                <w:color w:val="auto"/>
              </w:rPr>
            </w:pPr>
            <w:r>
              <w:rPr>
                <w:rFonts w:ascii="Arial" w:cs="Arial" w:eastAsia="Arial" w:hAnsi="Arial"/>
                <w:sz w:val="20"/>
                <w:szCs w:val="20"/>
                <w:color w:val="auto"/>
                <w:w w:val="95"/>
              </w:rPr>
              <w:t>Provision for income taxes . . . . . . . . . . . . . . . . . . . . . . . . . . . . .</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30"/>
        </w:trPr>
        <w:tc>
          <w:tcPr>
            <w:tcW w:w="5600" w:type="dxa"/>
            <w:vAlign w:val="bottom"/>
          </w:tcPr>
          <w:p>
            <w:pPr>
              <w:jc w:val="right"/>
              <w:ind w:right="160"/>
              <w:spacing w:after="0" w:line="221" w:lineRule="exact"/>
              <w:rPr>
                <w:sz w:val="20"/>
                <w:szCs w:val="20"/>
                <w:color w:val="auto"/>
              </w:rPr>
            </w:pPr>
            <w:r>
              <w:rPr>
                <w:rFonts w:ascii="Arial" w:cs="Arial" w:eastAsia="Arial" w:hAnsi="Arial"/>
                <w:sz w:val="20"/>
                <w:szCs w:val="20"/>
                <w:color w:val="auto"/>
                <w:w w:val="91"/>
              </w:rPr>
              <w:t>Net loss . . . . . . . . . . . . . . . . . . . . . . . . . . . . . . . . . . . . . . . . . . . . . .</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(126,566)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(136,673)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10,107</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Collaboration revenue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For the year ended December 31, 2024 and 2023, we recognized revenue of $6.6 million and $2.2 million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under the Collaboration Agreement with Bristol-Myers Squibb, respectively. Revenue recognized under</w:t>
      </w:r>
    </w:p>
    <w:p>
      <w:pPr>
        <w:spacing w:after="0"/>
        <w:rPr>
          <w:sz w:val="20"/>
          <w:szCs w:val="20"/>
          <w:color w:val="auto"/>
        </w:rPr>
      </w:pPr>
      <w:r>
        <w:rPr>
          <w:rFonts w:ascii="Arial" w:cs="Arial" w:eastAsia="Arial" w:hAnsi="Arial"/>
          <w:sz w:val="20"/>
          <w:szCs w:val="20"/>
          <w:color w:val="auto"/>
        </w:rPr>
        <w:t>Collaboration Agreement fluctuated based on the amount and timing of expenses incurred under the</w:t>
      </w:r>
    </w:p>
    <w:p>
      <w:pPr>
        <w:spacing w:after="0"/>
        <w:rPr>
          <w:sz w:val="20"/>
          <w:szCs w:val="20"/>
          <w:color w:val="auto"/>
        </w:rPr>
      </w:pPr>
      <w:r>
        <w:rPr>
          <w:rFonts w:ascii="Arial" w:cs="Arial" w:eastAsia="Arial" w:hAnsi="Arial"/>
          <w:sz w:val="20"/>
          <w:szCs w:val="20"/>
          <w:color w:val="auto"/>
        </w:rPr>
        <w:t>agreement. See Notes 9 and 19 to our consolidated financial statements for additional information. The</w:t>
      </w:r>
    </w:p>
    <w:p>
      <w:pPr>
        <w:spacing w:after="0"/>
        <w:rPr>
          <w:sz w:val="20"/>
          <w:szCs w:val="20"/>
          <w:color w:val="auto"/>
        </w:rPr>
      </w:pPr>
      <w:r>
        <w:rPr>
          <w:rFonts w:ascii="Arial" w:cs="Arial" w:eastAsia="Arial" w:hAnsi="Arial"/>
          <w:sz w:val="20"/>
          <w:szCs w:val="20"/>
          <w:color w:val="auto"/>
        </w:rPr>
        <w:t>Collaboration Agreement was terminated, effective as of March 12, 2025. As such, we expect to recognize</w:t>
      </w:r>
    </w:p>
    <w:p>
      <w:pPr>
        <w:spacing w:after="0"/>
        <w:rPr>
          <w:sz w:val="20"/>
          <w:szCs w:val="20"/>
          <w:color w:val="auto"/>
        </w:rPr>
      </w:pPr>
      <w:r>
        <w:rPr>
          <w:rFonts w:ascii="Arial" w:cs="Arial" w:eastAsia="Arial" w:hAnsi="Arial"/>
          <w:sz w:val="20"/>
          <w:szCs w:val="20"/>
          <w:color w:val="auto"/>
        </w:rPr>
        <w:t>$109.2 million of collaboration for the quarter ended March 31, 2025, and thereafter our collaboration revenue</w:t>
      </w:r>
    </w:p>
    <w:p>
      <w:pPr>
        <w:spacing w:after="0"/>
        <w:rPr>
          <w:sz w:val="20"/>
          <w:szCs w:val="20"/>
          <w:color w:val="auto"/>
        </w:rPr>
      </w:pPr>
      <w:r>
        <w:rPr>
          <w:rFonts w:ascii="Arial" w:cs="Arial" w:eastAsia="Arial" w:hAnsi="Arial"/>
          <w:sz w:val="20"/>
          <w:szCs w:val="20"/>
          <w:color w:val="auto"/>
        </w:rPr>
        <w:t>is expected to reduce significantly for the foreseeable future unless we enter into new collaborations or similar</w:t>
      </w:r>
    </w:p>
    <w:p>
      <w:pPr>
        <w:spacing w:after="0"/>
        <w:rPr>
          <w:sz w:val="20"/>
          <w:szCs w:val="20"/>
          <w:color w:val="auto"/>
        </w:rPr>
      </w:pPr>
      <w:r>
        <w:rPr>
          <w:rFonts w:ascii="Arial" w:cs="Arial" w:eastAsia="Arial" w:hAnsi="Arial"/>
          <w:sz w:val="20"/>
          <w:szCs w:val="20"/>
          <w:color w:val="auto"/>
        </w:rPr>
        <w:t>arrangements, or obtain new sources of revenue.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expenses</w:t>
      </w:r>
    </w:p>
    <w:p>
      <w:pPr>
        <w:spacing w:after="0" w:line="226" w:lineRule="exact"/>
        <w:rPr>
          <w:sz w:val="20"/>
          <w:szCs w:val="20"/>
          <w:color w:val="auto"/>
        </w:rPr>
      </w:pPr>
    </w:p>
    <w:p>
      <w:pPr>
        <w:ind w:right="200"/>
        <w:spacing w:after="0" w:line="283" w:lineRule="auto"/>
        <w:rPr>
          <w:sz w:val="20"/>
          <w:szCs w:val="20"/>
          <w:color w:val="auto"/>
        </w:rPr>
      </w:pPr>
      <w:r>
        <w:rPr>
          <w:rFonts w:ascii="Arial" w:cs="Arial" w:eastAsia="Arial" w:hAnsi="Arial"/>
          <w:sz w:val="20"/>
          <w:szCs w:val="20"/>
          <w:color w:val="auto"/>
        </w:rPr>
        <w:t>The following table summarizes the components of our research and development expenses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177"/>
              <w:spacing w:after="0" w:line="180" w:lineRule="exact"/>
              <w:rPr>
                <w:sz w:val="20"/>
                <w:szCs w:val="20"/>
                <w:color w:val="auto"/>
              </w:rPr>
            </w:pPr>
            <w:r>
              <w:rPr>
                <w:rFonts w:ascii="Arial" w:cs="Arial" w:eastAsia="Arial" w:hAnsi="Arial"/>
                <w:sz w:val="16"/>
                <w:szCs w:val="16"/>
                <w:color w:val="auto"/>
              </w:rPr>
              <w:t>Year Ended</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197"/>
              <w:spacing w:after="0" w:line="180" w:lineRule="exact"/>
              <w:rPr>
                <w:sz w:val="20"/>
                <w:szCs w:val="20"/>
                <w:color w:val="auto"/>
              </w:rPr>
            </w:pPr>
            <w:r>
              <w:rPr>
                <w:rFonts w:ascii="Arial" w:cs="Arial" w:eastAsia="Arial" w:hAnsi="Arial"/>
                <w:sz w:val="16"/>
                <w:szCs w:val="16"/>
                <w:color w:val="auto"/>
              </w:rPr>
              <w:t>Year Ended</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198"/>
        </w:trPr>
        <w:tc>
          <w:tcPr>
            <w:tcW w:w="5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December 31, 2024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9"/>
              </w:rPr>
              <w:t>December 31, 2023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w w:val="99"/>
              </w:rPr>
              <w:t>Change</w:t>
            </w:r>
          </w:p>
        </w:tc>
      </w:tr>
      <w:tr>
        <w:trPr>
          <w:trHeight w:val="154"/>
        </w:trPr>
        <w:tc>
          <w:tcPr>
            <w:tcW w:w="5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ind w:left="20"/>
              <w:spacing w:after="0" w:line="154" w:lineRule="exact"/>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52"/>
        </w:trPr>
        <w:tc>
          <w:tcPr>
            <w:tcW w:w="5680" w:type="dxa"/>
            <w:vAlign w:val="bottom"/>
            <w:gridSpan w:val="2"/>
          </w:tcPr>
          <w:p>
            <w:pPr>
              <w:jc w:val="right"/>
              <w:ind w:right="240"/>
              <w:spacing w:after="0"/>
              <w:rPr>
                <w:sz w:val="20"/>
                <w:szCs w:val="20"/>
                <w:color w:val="auto"/>
              </w:rPr>
            </w:pPr>
            <w:r>
              <w:rPr>
                <w:rFonts w:ascii="Arial" w:cs="Arial" w:eastAsia="Arial" w:hAnsi="Arial"/>
                <w:sz w:val="20"/>
                <w:szCs w:val="20"/>
                <w:color w:val="auto"/>
                <w:w w:val="95"/>
              </w:rPr>
              <w:t>Personnel and related costs . . . . . . . . . . . . . . . . . . . . . . . . . . . . .</w:t>
            </w:r>
          </w:p>
        </w:tc>
        <w:tc>
          <w:tcPr>
            <w:tcW w:w="200" w:type="dxa"/>
            <w:vAlign w:val="bottom"/>
          </w:tcPr>
          <w:p>
            <w:pPr>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42,398</w:t>
            </w:r>
          </w:p>
        </w:tc>
        <w:tc>
          <w:tcPr>
            <w:tcW w:w="380" w:type="dxa"/>
            <w:vAlign w:val="bottom"/>
            <w:gridSpan w:val="3"/>
          </w:tcPr>
          <w:p>
            <w:pPr>
              <w:ind w:left="18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41,826</w:t>
            </w:r>
          </w:p>
        </w:tc>
        <w:tc>
          <w:tcPr>
            <w:tcW w:w="30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2"/>
                <w:szCs w:val="22"/>
                <w:color w:val="auto"/>
              </w:rPr>
              <w:t>572</w:t>
            </w:r>
          </w:p>
        </w:tc>
      </w:tr>
      <w:tr>
        <w:trPr>
          <w:trHeight w:val="253"/>
        </w:trPr>
        <w:tc>
          <w:tcPr>
            <w:tcW w:w="5680" w:type="dxa"/>
            <w:vAlign w:val="bottom"/>
            <w:gridSpan w:val="2"/>
          </w:tcPr>
          <w:p>
            <w:pPr>
              <w:jc w:val="right"/>
              <w:ind w:right="240"/>
              <w:spacing w:after="0"/>
              <w:rPr>
                <w:sz w:val="20"/>
                <w:szCs w:val="20"/>
                <w:color w:val="auto"/>
              </w:rPr>
            </w:pPr>
            <w:r>
              <w:rPr>
                <w:rFonts w:ascii="Arial" w:cs="Arial" w:eastAsia="Arial" w:hAnsi="Arial"/>
                <w:sz w:val="20"/>
                <w:szCs w:val="20"/>
                <w:color w:val="auto"/>
                <w:w w:val="95"/>
              </w:rPr>
              <w:t>Facility and other allocated costs . . . . . . . . . . . . . . . . . . . . . . . . .</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22,485</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24,411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(1,926)</w:t>
            </w:r>
          </w:p>
        </w:tc>
      </w:tr>
      <w:tr>
        <w:trPr>
          <w:trHeight w:val="253"/>
        </w:trPr>
        <w:tc>
          <w:tcPr>
            <w:tcW w:w="5680" w:type="dxa"/>
            <w:vAlign w:val="bottom"/>
            <w:gridSpan w:val="2"/>
          </w:tcPr>
          <w:p>
            <w:pPr>
              <w:jc w:val="right"/>
              <w:ind w:right="240"/>
              <w:spacing w:after="0"/>
              <w:rPr>
                <w:sz w:val="20"/>
                <w:szCs w:val="20"/>
                <w:color w:val="auto"/>
              </w:rPr>
            </w:pPr>
            <w:r>
              <w:rPr>
                <w:rFonts w:ascii="Arial" w:cs="Arial" w:eastAsia="Arial" w:hAnsi="Arial"/>
                <w:sz w:val="20"/>
                <w:szCs w:val="20"/>
                <w:color w:val="auto"/>
                <w:w w:val="94"/>
              </w:rPr>
              <w:t>Research and laboratory . . . . . . . . . . . . . . . . . . . . . . . . . . . . . . . .</w:t>
            </w: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30,655</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23,816</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6,839</w:t>
            </w:r>
          </w:p>
        </w:tc>
      </w:tr>
      <w:tr>
        <w:trPr>
          <w:trHeight w:val="274"/>
        </w:trPr>
        <w:tc>
          <w:tcPr>
            <w:tcW w:w="5680" w:type="dxa"/>
            <w:vAlign w:val="bottom"/>
            <w:gridSpan w:val="2"/>
          </w:tcPr>
          <w:p>
            <w:pPr>
              <w:jc w:val="right"/>
              <w:ind w:right="240"/>
              <w:spacing w:after="0"/>
              <w:rPr>
                <w:sz w:val="20"/>
                <w:szCs w:val="20"/>
                <w:color w:val="auto"/>
              </w:rPr>
            </w:pPr>
            <w:r>
              <w:rPr>
                <w:rFonts w:ascii="Arial" w:cs="Arial" w:eastAsia="Arial" w:hAnsi="Arial"/>
                <w:sz w:val="20"/>
                <w:szCs w:val="20"/>
                <w:color w:val="auto"/>
                <w:w w:val="91"/>
              </w:rPr>
              <w:t>Other . . . . . . . . . . . . . . . . . . . . . . . . . . . . . . . . . . . . . . . . . . . . . . . . .</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11,706</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2,657</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9,049</w:t>
            </w:r>
          </w:p>
        </w:tc>
      </w:tr>
      <w:tr>
        <w:trPr>
          <w:trHeight w:val="230"/>
        </w:trPr>
        <w:tc>
          <w:tcPr>
            <w:tcW w:w="5660" w:type="dxa"/>
            <w:vAlign w:val="bottom"/>
          </w:tcPr>
          <w:p>
            <w:pPr>
              <w:jc w:val="right"/>
              <w:ind w:right="120"/>
              <w:spacing w:after="0" w:line="221" w:lineRule="exact"/>
              <w:rPr>
                <w:sz w:val="20"/>
                <w:szCs w:val="20"/>
                <w:color w:val="auto"/>
              </w:rPr>
            </w:pPr>
            <w:r>
              <w:rPr>
                <w:rFonts w:ascii="Arial" w:cs="Arial" w:eastAsia="Arial" w:hAnsi="Arial"/>
                <w:sz w:val="20"/>
                <w:szCs w:val="20"/>
                <w:color w:val="auto"/>
                <w:w w:val="99"/>
              </w:rPr>
              <w:t>Total research and development expense . . . . . . . . . . . . . . . .</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107,244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92,710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14,534</w:t>
            </w:r>
          </w:p>
        </w:tc>
      </w:tr>
    </w:tbl>
    <w:p>
      <w:pPr>
        <w:spacing w:after="0" w:line="200" w:lineRule="exact"/>
        <w:rPr>
          <w:sz w:val="20"/>
          <w:szCs w:val="20"/>
          <w:color w:val="auto"/>
        </w:rPr>
      </w:pPr>
    </w:p>
    <w:p>
      <w:pPr>
        <w:sectPr>
          <w:pgSz w:w="11880" w:h="15480" w:orient="portrait"/>
          <w:cols w:equalWidth="0" w:num="1">
            <w:col w:w="9720"/>
          </w:cols>
          <w:pgMar w:left="1080" w:top="1064"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122</w:t>
      </w:r>
    </w:p>
    <w:p>
      <w:pPr>
        <w:sectPr>
          <w:pgSz w:w="11880" w:h="15480" w:orient="portrait"/>
          <w:cols w:equalWidth="0" w:num="1">
            <w:col w:w="9720"/>
          </w:cols>
          <w:pgMar w:left="1080" w:top="1064" w:right="1080" w:bottom="554" w:gutter="0" w:footer="0" w:header="0"/>
          <w:type w:val="continuous"/>
        </w:sectPr>
      </w:pPr>
    </w:p>
    <w:bookmarkStart w:id="122" w:name="page123"/>
    <w:bookmarkEnd w:id="122"/>
    <w:p>
      <w:pPr>
        <w:spacing w:after="0"/>
        <w:rPr>
          <w:sz w:val="20"/>
          <w:szCs w:val="20"/>
          <w:color w:val="auto"/>
        </w:rPr>
      </w:pPr>
      <w:r>
        <w:rPr>
          <w:rFonts w:ascii="Arial" w:cs="Arial" w:eastAsia="Arial" w:hAnsi="Arial"/>
          <w:sz w:val="20"/>
          <w:szCs w:val="20"/>
          <w:color w:val="auto"/>
        </w:rPr>
        <w:t>Research and development expenses were $107.2 million and $92.7 million for the years ended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2024 and 2023, respectively. The increase of $14.5 million was primarily due to:</w:t>
      </w:r>
    </w:p>
    <w:p>
      <w:pPr>
        <w:spacing w:after="0" w:line="228" w:lineRule="exact"/>
        <w:rPr>
          <w:sz w:val="20"/>
          <w:szCs w:val="20"/>
          <w:color w:val="auto"/>
        </w:rPr>
      </w:pPr>
    </w:p>
    <w:p>
      <w:pPr>
        <w:ind w:left="720" w:right="200" w:hanging="353"/>
        <w:spacing w:after="0" w:line="283" w:lineRule="auto"/>
        <w:tabs>
          <w:tab w:leader="none" w:pos="7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 increase in research and laboratory costs of $6.8 million due to progression of the ELiPSE-1 trial and start-up costs relating to the CALiPSO-1 trial;</w:t>
      </w:r>
    </w:p>
    <w:p>
      <w:pPr>
        <w:spacing w:after="0" w:line="171" w:lineRule="exact"/>
        <w:rPr>
          <w:rFonts w:ascii="Arial" w:cs="Arial" w:eastAsia="Arial" w:hAnsi="Arial"/>
          <w:sz w:val="20"/>
          <w:szCs w:val="20"/>
          <w:color w:val="auto"/>
        </w:rPr>
      </w:pPr>
    </w:p>
    <w:p>
      <w:pPr>
        <w:ind w:left="720" w:right="500" w:hanging="353"/>
        <w:spacing w:after="0" w:line="283" w:lineRule="auto"/>
        <w:tabs>
          <w:tab w:leader="none" w:pos="7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 increase in other from collaboration costs of $7.9 million due to manufacturing our CNTY-101 product candidate performed under our collaboration with FCDI; and</w:t>
      </w:r>
    </w:p>
    <w:p>
      <w:pPr>
        <w:spacing w:after="0" w:line="170" w:lineRule="exact"/>
        <w:rPr>
          <w:rFonts w:ascii="Arial" w:cs="Arial" w:eastAsia="Arial" w:hAnsi="Arial"/>
          <w:sz w:val="20"/>
          <w:szCs w:val="20"/>
          <w:color w:val="auto"/>
        </w:rPr>
      </w:pPr>
    </w:p>
    <w:p>
      <w:pPr>
        <w:ind w:left="720" w:hanging="353"/>
        <w:spacing w:after="0" w:line="250" w:lineRule="auto"/>
        <w:tabs>
          <w:tab w:leader="none" w:pos="7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these increases were offset by a decrease of $1.9 million of facility and other allocated costs, including a decrease in rent expense of $1.3 million, and a decrease in facilities supplies and services of $1.7 million, offset by an increase in repairs and maintenance of $0.2 million, an increase in depreciation of $0.3 million, and an increase in common area maintenance and real estate taxes of $0.4 million.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and administrative expenses</w:t>
      </w:r>
    </w:p>
    <w:p>
      <w:pPr>
        <w:spacing w:after="0" w:line="235"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General and administrative expenses were $33.2 million and $34.7 million for the years ended December 31, 2024 and 2023, respectively. The decrease of $1.5 million was primarily due to a decrease in employee headcount during the 2024 fiscal year.</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In-process research and development</w:t>
      </w:r>
    </w:p>
    <w:p>
      <w:pPr>
        <w:spacing w:after="0" w:line="226"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In-process research and development expenses were $0.0 million and $5.0 million for the years ended December 31, 2024 and 2023, respectively. In 2023, $4.0 million of our in-process research and development expense was a result of entering into a worldwide license agreement whereby FCDI granted non-exclusive licenses to us for certain patent rights and know-how related to cell differentiation and reprogramming for the development and commercialization of IPSC-derived therapies for treatment of autoimmune diseases, and $1.0 million related to a milestone fee paid pursuant to the Autoimmune License for filing the CNTY-101 IND for SLE.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on long-lived assets and goodwill</w:t>
      </w:r>
    </w:p>
    <w:p>
      <w:pPr>
        <w:spacing w:after="0" w:line="226"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Impairment on long-lived assets were $0.0 million and $16.4 million for the year ended December 31, 2024 and 2023, respectively. In 2023, this was a result of consolidating our leased lab facilities in Philadelphia. We concluded we would exit multiple leases early and as a result we completed an impairment analysis of our asset group related to this lease along with the related property and equipment at this facility. We reviewed the asset group for impairment following Financial Accounting Standards Board’s Accounting Standards Codification, or ASC 360 for Property, Plant, and Equipment. We evaluated our long- lived assets for recoverability due to changes in circumstances that indicated that the carry amounts may not be recoverable.</w:t>
      </w:r>
    </w:p>
    <w:p>
      <w:pPr>
        <w:spacing w:after="0" w:line="185" w:lineRule="exact"/>
        <w:rPr>
          <w:sz w:val="20"/>
          <w:szCs w:val="20"/>
          <w:color w:val="auto"/>
        </w:rPr>
      </w:pPr>
    </w:p>
    <w:p>
      <w:pPr>
        <w:ind w:right="240"/>
        <w:spacing w:after="0" w:line="262" w:lineRule="auto"/>
        <w:rPr>
          <w:sz w:val="20"/>
          <w:szCs w:val="20"/>
          <w:color w:val="auto"/>
        </w:rPr>
      </w:pPr>
      <w:r>
        <w:rPr>
          <w:rFonts w:ascii="Arial" w:cs="Arial" w:eastAsia="Arial" w:hAnsi="Arial"/>
          <w:sz w:val="20"/>
          <w:szCs w:val="20"/>
          <w:color w:val="auto"/>
        </w:rPr>
        <w:t>On December 31, 2024, the Company performed its annual impairment test of goodwill, and based on the result this test, we recorded a goodwill impairment charge of $ 4.3 million to write off goodwill. There was no similar expense associated with the impairment of goodwill for the year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235"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auto"/>
        </w:rPr>
        <w:t>Interest expense was $0.0 million and $0.5 million for the years ended December 31, 2024 and 2023, respectively, which related to our Loan Agreement with Hercules. On May 1, 2023, we repaid the loan in its entirety and thus expect our interest expenses to decrease accordingly in subsequent periods.</w:t>
      </w: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123</w:t>
      </w:r>
    </w:p>
    <w:p>
      <w:pPr>
        <w:sectPr>
          <w:pgSz w:w="11880" w:h="15480" w:orient="portrait"/>
          <w:cols w:equalWidth="0" w:num="1">
            <w:col w:w="9720"/>
          </w:cols>
          <w:pgMar w:left="1080" w:top="1067" w:right="1080" w:bottom="554" w:gutter="0" w:footer="0" w:header="0"/>
          <w:type w:val="continuous"/>
        </w:sectPr>
      </w:pPr>
    </w:p>
    <w:bookmarkStart w:id="123" w:name="page124"/>
    <w:bookmarkEnd w:id="123"/>
    <w:p>
      <w:pPr>
        <w:spacing w:after="0"/>
        <w:rPr>
          <w:sz w:val="20"/>
          <w:szCs w:val="20"/>
          <w:color w:val="auto"/>
        </w:rPr>
      </w:pPr>
      <w:r>
        <w:rPr>
          <w:rFonts w:ascii="Arial" w:cs="Arial" w:eastAsia="Arial" w:hAnsi="Arial"/>
          <w:sz w:val="20"/>
          <w:szCs w:val="20"/>
          <w:b w:val="1"/>
          <w:bCs w:val="1"/>
          <w:i w:val="1"/>
          <w:iCs w:val="1"/>
          <w:color w:val="auto"/>
        </w:rPr>
        <w:t>Interest income</w:t>
      </w:r>
    </w:p>
    <w:p>
      <w:pPr>
        <w:spacing w:after="0" w:line="197" w:lineRule="exact"/>
        <w:rPr>
          <w:sz w:val="20"/>
          <w:szCs w:val="20"/>
          <w:color w:val="auto"/>
        </w:rPr>
      </w:pPr>
    </w:p>
    <w:p>
      <w:pPr>
        <w:jc w:val="both"/>
        <w:ind w:right="640"/>
        <w:spacing w:after="0" w:line="309" w:lineRule="auto"/>
        <w:rPr>
          <w:sz w:val="20"/>
          <w:szCs w:val="20"/>
          <w:color w:val="auto"/>
        </w:rPr>
      </w:pPr>
      <w:r>
        <w:rPr>
          <w:rFonts w:ascii="Arial" w:cs="Arial" w:eastAsia="Arial" w:hAnsi="Arial"/>
          <w:sz w:val="19"/>
          <w:szCs w:val="19"/>
          <w:color w:val="auto"/>
        </w:rPr>
        <w:t>Interest income was $13.0 million and $12.7 million for the years ended December 31, 2024 and 2023, respectively, which related to interest earned on our cash, cash equivalents, and investment balances.</w:t>
      </w:r>
    </w:p>
    <w:p>
      <w:pPr>
        <w:spacing w:after="0" w:line="92" w:lineRule="exact"/>
        <w:rPr>
          <w:sz w:val="20"/>
          <w:szCs w:val="20"/>
          <w:color w:val="auto"/>
        </w:rPr>
      </w:pPr>
    </w:p>
    <w:p>
      <w:pPr>
        <w:ind w:right="4620"/>
        <w:spacing w:after="0" w:line="451" w:lineRule="auto"/>
        <w:rPr>
          <w:sz w:val="20"/>
          <w:szCs w:val="20"/>
          <w:color w:val="auto"/>
        </w:rPr>
      </w:pPr>
      <w:r>
        <w:rPr>
          <w:rFonts w:ascii="Arial" w:cs="Arial" w:eastAsia="Arial" w:hAnsi="Arial"/>
          <w:sz w:val="20"/>
          <w:szCs w:val="20"/>
          <w:b w:val="1"/>
          <w:bCs w:val="1"/>
          <w:color w:val="auto"/>
        </w:rPr>
        <w:t xml:space="preserve">Liquidity, capital resources, and capital requirements </w:t>
      </w:r>
      <w:r>
        <w:rPr>
          <w:rFonts w:ascii="Arial" w:cs="Arial" w:eastAsia="Arial" w:hAnsi="Arial"/>
          <w:sz w:val="20"/>
          <w:szCs w:val="20"/>
          <w:b w:val="1"/>
          <w:bCs w:val="1"/>
          <w:i w:val="1"/>
          <w:iCs w:val="1"/>
          <w:color w:val="auto"/>
        </w:rPr>
        <w:t>Sources of liquidity</w:t>
      </w:r>
    </w:p>
    <w:p>
      <w:pPr>
        <w:ind w:right="40"/>
        <w:spacing w:after="0" w:line="245" w:lineRule="auto"/>
        <w:rPr>
          <w:sz w:val="20"/>
          <w:szCs w:val="20"/>
          <w:color w:val="auto"/>
        </w:rPr>
      </w:pPr>
      <w:r>
        <w:rPr>
          <w:rFonts w:ascii="Arial" w:cs="Arial" w:eastAsia="Arial" w:hAnsi="Arial"/>
          <w:sz w:val="20"/>
          <w:szCs w:val="20"/>
          <w:color w:val="auto"/>
        </w:rPr>
        <w:t>To date, we have funded our operations from public and private issuances and sales of our equity securities, debt financing and collaboration revenues. Since our inception, we have raised approximately $666 million in net proceeds from the sales of our equity securities. As of December 31, 2024, we had cash, and cash equivalents of $58.4 million and investments of $161.7 million. Based on our research and development plans, we believe our existing cash, cash equivalents and investments, will be sufficient to fund our operating expenses and capital expenditures requirements into the fourth quarter of 2026. Since our inception, we have incurred significant operating losses. We have not yet commercialized any products and we do not expect to generate revenue from sales of any product candidates for a number of years, if ever. We had an accumulated deficit of $782.3 million as of December 31, 2024.</w:t>
      </w:r>
    </w:p>
    <w:p>
      <w:pPr>
        <w:spacing w:after="0" w:line="197"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In July 2022, we entered into a Sales Agreement, or the Sales Agreement, with Cowen and Company, LLC, or Cowen, under which we may offer and sell, from time to time in our sole discretion, shares of our common stock, having an aggregate offering price of up to $150 million through Cowen as sales agent. During the year ended December 31, 2024, 4,084,502 shares of common stock were issued and sold pursuant to the Sales Agreement at a weighted-average price of $4.50 per share, resulting in approximately $ 18.4 million in gross proceeds. During the fiscal year ended December 31, 2023, there were no sales made under the Sales Agreement.</w:t>
      </w:r>
    </w:p>
    <w:p>
      <w:pPr>
        <w:spacing w:after="0" w:line="183"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In April 2024, we entered into a securities purchase agreement, or the Securities Purchase Agreement with certain institutional accredited investors, or the Investors, pursuant to which we issued and sold to the Investors in a private placement an aggregate of 15,873,011 shares of common stock at a price of $3.78 per share, or the Private Placement. We received aggregate gross proceeds from the Private Placement of approximately $60 million, before deducting placement agent fees and offering expenses.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Future funding requirements</w:t>
      </w:r>
    </w:p>
    <w:p>
      <w:pPr>
        <w:spacing w:after="0" w:line="193" w:lineRule="exact"/>
        <w:rPr>
          <w:sz w:val="20"/>
          <w:szCs w:val="20"/>
          <w:color w:val="auto"/>
        </w:rPr>
      </w:pPr>
    </w:p>
    <w:p>
      <w:pPr>
        <w:ind w:right="300"/>
        <w:spacing w:after="0" w:line="247" w:lineRule="auto"/>
        <w:rPr>
          <w:sz w:val="20"/>
          <w:szCs w:val="20"/>
          <w:color w:val="auto"/>
        </w:rPr>
      </w:pPr>
      <w:r>
        <w:rPr>
          <w:rFonts w:ascii="Arial" w:cs="Arial" w:eastAsia="Arial" w:hAnsi="Arial"/>
          <w:sz w:val="20"/>
          <w:szCs w:val="20"/>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Our future capital requirements will depend on many factors, including:</w:t>
      </w:r>
    </w:p>
    <w:p>
      <w:pPr>
        <w:spacing w:after="0" w:line="252" w:lineRule="exact"/>
        <w:rPr>
          <w:sz w:val="20"/>
          <w:szCs w:val="20"/>
          <w:color w:val="auto"/>
        </w:rPr>
      </w:pPr>
    </w:p>
    <w:p>
      <w:pPr>
        <w:ind w:left="720" w:hanging="353"/>
        <w:spacing w:after="0" w:line="283" w:lineRule="auto"/>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scope, timing, progress, costs, and results of discovery, preclinical development, and clinical trials for our current and future product candidates;</w:t>
      </w:r>
    </w:p>
    <w:p>
      <w:pPr>
        <w:spacing w:after="0" w:line="171" w:lineRule="exact"/>
        <w:rPr>
          <w:rFonts w:ascii="Arial" w:cs="Arial" w:eastAsia="Arial" w:hAnsi="Arial"/>
          <w:sz w:val="20"/>
          <w:szCs w:val="20"/>
          <w:color w:val="auto"/>
        </w:rPr>
      </w:pPr>
    </w:p>
    <w:p>
      <w:pPr>
        <w:ind w:left="720" w:right="840" w:hanging="353"/>
        <w:spacing w:after="0" w:line="283" w:lineRule="auto"/>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number of clinical trials required for regulatory approval of our current and future product candidates;</w:t>
      </w:r>
    </w:p>
    <w:p>
      <w:pPr>
        <w:spacing w:after="0" w:line="170" w:lineRule="exact"/>
        <w:rPr>
          <w:rFonts w:ascii="Arial" w:cs="Arial" w:eastAsia="Arial" w:hAnsi="Arial"/>
          <w:sz w:val="20"/>
          <w:szCs w:val="20"/>
          <w:color w:val="auto"/>
        </w:rPr>
      </w:pPr>
    </w:p>
    <w:p>
      <w:pPr>
        <w:ind w:left="720" w:right="940" w:hanging="353"/>
        <w:spacing w:after="0" w:line="283" w:lineRule="auto"/>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costs, timing, and outcome of regulatory review of any of our current and future product candidates;</w:t>
      </w:r>
    </w:p>
    <w:p>
      <w:pPr>
        <w:sectPr>
          <w:pgSz w:w="11880" w:h="15480" w:orient="portrait"/>
          <w:cols w:equalWidth="0" w:num="1">
            <w:col w:w="9700"/>
          </w:cols>
          <w:pgMar w:left="1080" w:top="1071"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124</w:t>
      </w:r>
    </w:p>
    <w:p>
      <w:pPr>
        <w:sectPr>
          <w:pgSz w:w="11880" w:h="15480" w:orient="portrait"/>
          <w:cols w:equalWidth="0" w:num="1">
            <w:col w:w="9700"/>
          </w:cols>
          <w:pgMar w:left="1080" w:top="1071" w:right="1100" w:bottom="554" w:gutter="0" w:footer="0" w:header="0"/>
          <w:type w:val="continuous"/>
        </w:sectPr>
      </w:pPr>
    </w:p>
    <w:bookmarkStart w:id="124" w:name="page125"/>
    <w:bookmarkEnd w:id="124"/>
    <w:p>
      <w:pPr>
        <w:ind w:left="720" w:right="820" w:hanging="353"/>
        <w:spacing w:after="0" w:line="283" w:lineRule="auto"/>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cost of manufacturing clinical and commercial supplies of our current and future product candidates;</w:t>
      </w:r>
    </w:p>
    <w:p>
      <w:pPr>
        <w:spacing w:after="0" w:line="170" w:lineRule="exact"/>
        <w:rPr>
          <w:rFonts w:ascii="Arial" w:cs="Arial" w:eastAsia="Arial" w:hAnsi="Arial"/>
          <w:sz w:val="20"/>
          <w:szCs w:val="20"/>
          <w:color w:val="auto"/>
        </w:rPr>
      </w:pPr>
    </w:p>
    <w:p>
      <w:pPr>
        <w:ind w:left="720" w:hanging="353"/>
        <w:spacing w:after="0" w:line="283" w:lineRule="auto"/>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costs and timing of future commercialization activities, including manufacturing, marketing, sales, and distribution, for any of our product candidates for which we receive marketing approval;</w:t>
      </w:r>
    </w:p>
    <w:p>
      <w:pPr>
        <w:spacing w:after="0" w:line="171" w:lineRule="exact"/>
        <w:rPr>
          <w:rFonts w:ascii="Arial" w:cs="Arial" w:eastAsia="Arial" w:hAnsi="Arial"/>
          <w:sz w:val="20"/>
          <w:szCs w:val="20"/>
          <w:color w:val="auto"/>
        </w:rPr>
      </w:pPr>
    </w:p>
    <w:p>
      <w:pPr>
        <w:ind w:left="720" w:right="100" w:hanging="353"/>
        <w:spacing w:after="0" w:line="254" w:lineRule="auto"/>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200" w:lineRule="exact"/>
        <w:rPr>
          <w:rFonts w:ascii="Arial" w:cs="Arial" w:eastAsia="Arial" w:hAnsi="Arial"/>
          <w:sz w:val="20"/>
          <w:szCs w:val="20"/>
          <w:color w:val="auto"/>
        </w:rPr>
      </w:pPr>
    </w:p>
    <w:p>
      <w:pPr>
        <w:ind w:left="720" w:right="240" w:hanging="353"/>
        <w:spacing w:after="0" w:line="261" w:lineRule="auto"/>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92" w:lineRule="exact"/>
        <w:rPr>
          <w:rFonts w:ascii="Arial" w:cs="Arial" w:eastAsia="Arial" w:hAnsi="Arial"/>
          <w:sz w:val="20"/>
          <w:szCs w:val="20"/>
          <w:color w:val="auto"/>
        </w:rPr>
      </w:pPr>
    </w:p>
    <w:p>
      <w:pPr>
        <w:ind w:left="720" w:right="140" w:hanging="353"/>
        <w:spacing w:after="0" w:line="283" w:lineRule="auto"/>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revenue, if any, received from commercial sales of our product candidates for which we receive marketing approval;</w:t>
      </w:r>
    </w:p>
    <w:p>
      <w:pPr>
        <w:spacing w:after="0" w:line="170" w:lineRule="exact"/>
        <w:rPr>
          <w:rFonts w:ascii="Arial" w:cs="Arial" w:eastAsia="Arial" w:hAnsi="Arial"/>
          <w:sz w:val="20"/>
          <w:szCs w:val="20"/>
          <w:color w:val="auto"/>
        </w:rPr>
      </w:pPr>
    </w:p>
    <w:p>
      <w:pPr>
        <w:ind w:left="720" w:hanging="353"/>
        <w:spacing w:after="0"/>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expenses to attract, hire and retain, skilled personnel;</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costs of operating as a public company;</w:t>
      </w:r>
    </w:p>
    <w:p>
      <w:pPr>
        <w:spacing w:after="0" w:line="253" w:lineRule="exact"/>
        <w:rPr>
          <w:rFonts w:ascii="Arial" w:cs="Arial" w:eastAsia="Arial" w:hAnsi="Arial"/>
          <w:sz w:val="20"/>
          <w:szCs w:val="20"/>
          <w:color w:val="auto"/>
        </w:rPr>
      </w:pPr>
    </w:p>
    <w:p>
      <w:pPr>
        <w:ind w:left="720" w:right="160" w:hanging="353"/>
        <w:spacing w:after="0" w:line="283" w:lineRule="auto"/>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our ability to establish a commercially viable pricing structure and obtain approval for coverage and adequate reimbursement from third-party and government payors;</w:t>
      </w:r>
    </w:p>
    <w:p>
      <w:pPr>
        <w:spacing w:after="0" w:line="171" w:lineRule="exact"/>
        <w:rPr>
          <w:rFonts w:ascii="Arial" w:cs="Arial" w:eastAsia="Arial" w:hAnsi="Arial"/>
          <w:sz w:val="20"/>
          <w:szCs w:val="20"/>
          <w:color w:val="auto"/>
        </w:rPr>
      </w:pPr>
    </w:p>
    <w:p>
      <w:pPr>
        <w:ind w:left="720" w:hanging="353"/>
        <w:spacing w:after="0"/>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effect of competing technological and market developments; and</w:t>
      </w:r>
    </w:p>
    <w:p>
      <w:pPr>
        <w:spacing w:after="0" w:line="253" w:lineRule="exact"/>
        <w:rPr>
          <w:rFonts w:ascii="Arial" w:cs="Arial" w:eastAsia="Arial" w:hAnsi="Arial"/>
          <w:sz w:val="20"/>
          <w:szCs w:val="20"/>
          <w:color w:val="auto"/>
        </w:rPr>
      </w:pPr>
    </w:p>
    <w:p>
      <w:pPr>
        <w:ind w:left="720" w:hanging="353"/>
        <w:spacing w:after="0"/>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extent to which we acquire or invest in businesses, products, and technologies.</w:t>
      </w:r>
    </w:p>
    <w:p>
      <w:pPr>
        <w:spacing w:after="0" w:line="23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effects of pandemics, inflationary pressures, disruptions of financial institutions,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ectPr>
          <w:pgSz w:w="11880" w:h="15480" w:orient="portrait"/>
          <w:cols w:equalWidth="0" w:num="1">
            <w:col w:w="9620"/>
          </w:cols>
          <w:pgMar w:left="1080" w:top="1081" w:right="11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125</w:t>
      </w:r>
    </w:p>
    <w:p>
      <w:pPr>
        <w:sectPr>
          <w:pgSz w:w="11880" w:h="15480" w:orient="portrait"/>
          <w:cols w:equalWidth="0" w:num="1">
            <w:col w:w="9620"/>
          </w:cols>
          <w:pgMar w:left="1080" w:top="1081" w:right="1180" w:bottom="554" w:gutter="0" w:footer="0" w:header="0"/>
          <w:type w:val="continuous"/>
        </w:sectPr>
      </w:pPr>
    </w:p>
    <w:bookmarkStart w:id="125" w:name="page126"/>
    <w:bookmarkEnd w:id="125"/>
    <w:p>
      <w:pPr>
        <w:spacing w:after="0"/>
        <w:rPr>
          <w:sz w:val="20"/>
          <w:szCs w:val="20"/>
          <w:color w:val="auto"/>
        </w:rPr>
      </w:pPr>
      <w:r>
        <w:rPr>
          <w:rFonts w:ascii="Arial" w:cs="Arial" w:eastAsia="Arial" w:hAnsi="Arial"/>
          <w:sz w:val="20"/>
          <w:szCs w:val="20"/>
          <w:b w:val="1"/>
          <w:bCs w:val="1"/>
          <w:i w:val="1"/>
          <w:iCs w:val="1"/>
          <w:color w:val="auto"/>
        </w:rPr>
        <w:t>Cash flows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cash flows for the periods indicated: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187"/>
              <w:spacing w:after="0" w:line="180" w:lineRule="exact"/>
              <w:rPr>
                <w:sz w:val="20"/>
                <w:szCs w:val="20"/>
                <w:color w:val="auto"/>
              </w:rPr>
            </w:pPr>
            <w:r>
              <w:rPr>
                <w:rFonts w:ascii="Arial" w:cs="Arial" w:eastAsia="Arial" w:hAnsi="Arial"/>
                <w:sz w:val="16"/>
                <w:szCs w:val="16"/>
                <w:color w:val="auto"/>
              </w:rPr>
              <w:t>Year Ended</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184"/>
              <w:spacing w:after="0" w:line="180" w:lineRule="exact"/>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198"/>
        </w:trPr>
        <w:tc>
          <w:tcPr>
            <w:tcW w:w="6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December 31, 2024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December 31, 2023</w:t>
            </w:r>
          </w:p>
        </w:tc>
        <w:tc>
          <w:tcPr>
            <w:tcW w:w="0" w:type="dxa"/>
            <w:vAlign w:val="bottom"/>
          </w:tcPr>
          <w:p>
            <w:pPr>
              <w:spacing w:after="0"/>
              <w:rPr>
                <w:sz w:val="1"/>
                <w:szCs w:val="1"/>
                <w:color w:val="auto"/>
              </w:rPr>
            </w:pPr>
          </w:p>
        </w:tc>
      </w:tr>
      <w:tr>
        <w:trPr>
          <w:trHeight w:val="204"/>
        </w:trPr>
        <w:tc>
          <w:tcPr>
            <w:tcW w:w="6740" w:type="dxa"/>
            <w:vAlign w:val="bottom"/>
            <w:gridSpan w:val="2"/>
            <w:vMerge w:val="restart"/>
          </w:tcPr>
          <w:p>
            <w:pPr>
              <w:spacing w:after="0"/>
              <w:rPr>
                <w:sz w:val="20"/>
                <w:szCs w:val="20"/>
                <w:color w:val="auto"/>
              </w:rPr>
            </w:pPr>
            <w:r>
              <w:rPr>
                <w:rFonts w:ascii="Arial" w:cs="Arial" w:eastAsia="Arial" w:hAnsi="Arial"/>
                <w:sz w:val="20"/>
                <w:szCs w:val="20"/>
                <w:color w:val="auto"/>
              </w:rPr>
              <w:t>Net cash provided by (used in):</w:t>
            </w:r>
          </w:p>
        </w:tc>
        <w:tc>
          <w:tcPr>
            <w:tcW w:w="180" w:type="dxa"/>
            <w:vAlign w:val="bottom"/>
          </w:tcPr>
          <w:p>
            <w:pPr>
              <w:spacing w:after="0"/>
              <w:rPr>
                <w:sz w:val="17"/>
                <w:szCs w:val="17"/>
                <w:color w:val="auto"/>
              </w:rPr>
            </w:pPr>
          </w:p>
        </w:tc>
        <w:tc>
          <w:tcPr>
            <w:tcW w:w="1220" w:type="dxa"/>
            <w:vAlign w:val="bottom"/>
          </w:tcPr>
          <w:p>
            <w:pPr>
              <w:jc w:val="right"/>
              <w:ind w:right="147"/>
              <w:spacing w:after="0"/>
              <w:rPr>
                <w:sz w:val="20"/>
                <w:szCs w:val="20"/>
                <w:color w:val="auto"/>
              </w:rPr>
            </w:pPr>
            <w:r>
              <w:rPr>
                <w:rFonts w:ascii="Arial" w:cs="Arial" w:eastAsia="Arial" w:hAnsi="Arial"/>
                <w:sz w:val="16"/>
                <w:szCs w:val="16"/>
                <w:color w:val="auto"/>
              </w:rPr>
              <w:t>(in</w:t>
            </w:r>
          </w:p>
        </w:tc>
        <w:tc>
          <w:tcPr>
            <w:tcW w:w="1580" w:type="dxa"/>
            <w:vAlign w:val="bottom"/>
            <w:gridSpan w:val="4"/>
          </w:tcPr>
          <w:p>
            <w:pPr>
              <w:jc w:val="right"/>
              <w:ind w:right="884"/>
              <w:spacing w:after="0"/>
              <w:rPr>
                <w:sz w:val="20"/>
                <w:szCs w:val="20"/>
                <w:color w:val="auto"/>
              </w:rPr>
            </w:pPr>
            <w:r>
              <w:rPr>
                <w:rFonts w:ascii="Arial" w:cs="Arial" w:eastAsia="Arial" w:hAnsi="Arial"/>
                <w:sz w:val="16"/>
                <w:szCs w:val="16"/>
                <w:color w:val="auto"/>
                <w:w w:val="73"/>
              </w:rPr>
              <w:t>thousands)</w:t>
            </w:r>
          </w:p>
        </w:tc>
        <w:tc>
          <w:tcPr>
            <w:tcW w:w="0" w:type="dxa"/>
            <w:vAlign w:val="bottom"/>
          </w:tcPr>
          <w:p>
            <w:pPr>
              <w:spacing w:after="0"/>
              <w:rPr>
                <w:sz w:val="1"/>
                <w:szCs w:val="1"/>
                <w:color w:val="auto"/>
              </w:rPr>
            </w:pPr>
          </w:p>
        </w:tc>
      </w:tr>
      <w:tr>
        <w:trPr>
          <w:trHeight w:val="180"/>
        </w:trPr>
        <w:tc>
          <w:tcPr>
            <w:tcW w:w="67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20"/>
                <w:szCs w:val="20"/>
                <w:color w:val="auto"/>
                <w:w w:val="97"/>
              </w:rPr>
              <w:t>Operating activities . . . . . . . . . . . . . . . . . . . . . . . . . . . . . . . . . . . . . . . . . . . . . . .</w:t>
            </w: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(110,135)</w:t>
            </w:r>
          </w:p>
        </w:tc>
        <w:tc>
          <w:tcPr>
            <w:tcW w:w="380" w:type="dxa"/>
            <w:vAlign w:val="bottom"/>
            <w:gridSpan w:val="3"/>
          </w:tcPr>
          <w:p>
            <w:pPr>
              <w:ind w:left="18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(88,348)</w:t>
            </w:r>
          </w:p>
        </w:tc>
        <w:tc>
          <w:tcPr>
            <w:tcW w:w="0" w:type="dxa"/>
            <w:vAlign w:val="bottom"/>
          </w:tcPr>
          <w:p>
            <w:pPr>
              <w:spacing w:after="0"/>
              <w:rPr>
                <w:sz w:val="1"/>
                <w:szCs w:val="1"/>
                <w:color w:val="auto"/>
              </w:rPr>
            </w:pPr>
          </w:p>
        </w:tc>
      </w:tr>
      <w:tr>
        <w:trPr>
          <w:trHeight w:val="229"/>
        </w:trPr>
        <w:tc>
          <w:tcPr>
            <w:tcW w:w="6740" w:type="dxa"/>
            <w:vAlign w:val="bottom"/>
            <w:gridSpan w:val="2"/>
          </w:tcPr>
          <w:p>
            <w:pPr>
              <w:spacing w:after="0"/>
              <w:rPr>
                <w:sz w:val="20"/>
                <w:szCs w:val="20"/>
                <w:color w:val="auto"/>
              </w:rPr>
            </w:pPr>
            <w:r>
              <w:rPr>
                <w:rFonts w:ascii="Arial" w:cs="Arial" w:eastAsia="Arial" w:hAnsi="Arial"/>
                <w:sz w:val="20"/>
                <w:szCs w:val="20"/>
                <w:color w:val="auto"/>
                <w:w w:val="96"/>
              </w:rPr>
              <w:t>Investing activities . . . . . . . . . . . . . . . . . . . . . . . . . . . . . . . . . . . . . . . . . . . . . . . .</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47,482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61,132</w:t>
            </w:r>
          </w:p>
        </w:tc>
        <w:tc>
          <w:tcPr>
            <w:tcW w:w="0" w:type="dxa"/>
            <w:vAlign w:val="bottom"/>
          </w:tcPr>
          <w:p>
            <w:pPr>
              <w:spacing w:after="0"/>
              <w:rPr>
                <w:sz w:val="1"/>
                <w:szCs w:val="1"/>
                <w:color w:val="auto"/>
              </w:rPr>
            </w:pPr>
          </w:p>
        </w:tc>
      </w:tr>
      <w:tr>
        <w:trPr>
          <w:trHeight w:val="250"/>
        </w:trPr>
        <w:tc>
          <w:tcPr>
            <w:tcW w:w="6740" w:type="dxa"/>
            <w:vAlign w:val="bottom"/>
            <w:gridSpan w:val="2"/>
          </w:tcPr>
          <w:p>
            <w:pPr>
              <w:spacing w:after="0"/>
              <w:rPr>
                <w:sz w:val="20"/>
                <w:szCs w:val="20"/>
                <w:color w:val="auto"/>
              </w:rPr>
            </w:pPr>
            <w:r>
              <w:rPr>
                <w:rFonts w:ascii="Arial" w:cs="Arial" w:eastAsia="Arial" w:hAnsi="Arial"/>
                <w:sz w:val="20"/>
                <w:szCs w:val="20"/>
                <w:color w:val="auto"/>
                <w:w w:val="97"/>
              </w:rPr>
              <w:t>Financing activities . . . . . . . . . . . . . . . . . . . . . . . . . . . . . . . . . . . . . . . . . . . . . . .</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74,563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(9,725)</w:t>
            </w:r>
          </w:p>
        </w:tc>
        <w:tc>
          <w:tcPr>
            <w:tcW w:w="0" w:type="dxa"/>
            <w:vAlign w:val="bottom"/>
          </w:tcPr>
          <w:p>
            <w:pPr>
              <w:spacing w:after="0"/>
              <w:rPr>
                <w:sz w:val="1"/>
                <w:szCs w:val="1"/>
                <w:color w:val="auto"/>
              </w:rPr>
            </w:pPr>
          </w:p>
        </w:tc>
      </w:tr>
      <w:tr>
        <w:trPr>
          <w:trHeight w:val="201"/>
        </w:trPr>
        <w:tc>
          <w:tcPr>
            <w:tcW w:w="6740" w:type="dxa"/>
            <w:vAlign w:val="bottom"/>
            <w:gridSpan w:val="2"/>
          </w:tcPr>
          <w:p>
            <w:pPr>
              <w:spacing w:after="0" w:line="201" w:lineRule="exact"/>
              <w:rPr>
                <w:sz w:val="20"/>
                <w:szCs w:val="20"/>
                <w:color w:val="auto"/>
              </w:rPr>
            </w:pPr>
            <w:r>
              <w:rPr>
                <w:rFonts w:ascii="Arial" w:cs="Arial" w:eastAsia="Arial" w:hAnsi="Arial"/>
                <w:sz w:val="20"/>
                <w:szCs w:val="20"/>
                <w:color w:val="auto"/>
              </w:rPr>
              <w:t>Net increase (decrease) in cash, cash equivalents, and restricted</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(36,941)</w:t>
            </w:r>
          </w:p>
        </w:tc>
        <w:tc>
          <w:tcPr>
            <w:tcW w:w="0" w:type="dxa"/>
            <w:vAlign w:val="bottom"/>
          </w:tcPr>
          <w:p>
            <w:pPr>
              <w:spacing w:after="0"/>
              <w:rPr>
                <w:sz w:val="1"/>
                <w:szCs w:val="1"/>
                <w:color w:val="auto"/>
              </w:rPr>
            </w:pPr>
          </w:p>
        </w:tc>
      </w:tr>
      <w:tr>
        <w:trPr>
          <w:trHeight w:val="259"/>
        </w:trPr>
        <w:tc>
          <w:tcPr>
            <w:tcW w:w="6720" w:type="dxa"/>
            <w:vAlign w:val="bottom"/>
          </w:tcPr>
          <w:p>
            <w:pPr>
              <w:spacing w:after="0"/>
              <w:rPr>
                <w:sz w:val="20"/>
                <w:szCs w:val="20"/>
                <w:color w:val="auto"/>
              </w:rPr>
            </w:pPr>
            <w:r>
              <w:rPr>
                <w:rFonts w:ascii="Arial" w:cs="Arial" w:eastAsia="Arial" w:hAnsi="Arial"/>
                <w:sz w:val="20"/>
                <w:szCs w:val="20"/>
                <w:color w:val="auto"/>
                <w:w w:val="94"/>
              </w:rPr>
              <w:t>cash . . . . . . . . . . . . . . . . . . . . . . . . . . . . . . . . . . . . . . . . . . . . . . . . . . . . . . . . . . . .</w:t>
            </w: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11,910</w:t>
            </w:r>
          </w:p>
        </w:tc>
        <w:tc>
          <w:tcPr>
            <w:tcW w:w="160" w:type="dxa"/>
            <w:vAlign w:val="bottom"/>
          </w:tcPr>
          <w:p>
            <w:pPr>
              <w:spacing w:after="0"/>
              <w:rPr>
                <w:sz w:val="22"/>
                <w:szCs w:val="22"/>
                <w:color w:val="auto"/>
              </w:rPr>
            </w:pPr>
          </w:p>
        </w:tc>
        <w:tc>
          <w:tcPr>
            <w:tcW w:w="22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w:t>
      </w:r>
    </w:p>
    <w:p>
      <w:pPr>
        <w:spacing w:after="0" w:line="193"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Net cash used in operating activities was $110.1 million and $88.3 million for the years ended December 31, 2024 and 2023, respectively. Net cash used in operating activities during the year ended December 31, 2024 consisted primarily of a net loss of $126.6 million. The non-cash charges of $25.7 million consisted primarily of $13.3 million for depreciation, stock-based compensation expense of $12.7 million, and impairment of goodwill of $4.3 million. These charges were offset by amortization of marketable securities of $4.8 million and gain on contingent consideration liability of $1.4 million.</w:t>
      </w:r>
    </w:p>
    <w:p>
      <w:pPr>
        <w:spacing w:after="0" w:line="183"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Net cash used in operating activities was $88.3 million for the year ended December 31, 2023. Net cash used in operating activities during the year ended December 31, 2023 consisted primarily of a net loss of $136.7 million. The non-cash charges of $38.9 million consisted primarily of $ 13.0 million for depreciation, stock-based compensation expense of $14.6 million, and impairment of long lived assets of $16.4 million. Changes in operating lease liability of $1.2 million, net were primarily driven by the receipt of $11.9 million of tenant reimbursement.</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Investing activities</w:t>
      </w:r>
    </w:p>
    <w:p>
      <w:pPr>
        <w:spacing w:after="0" w:line="232" w:lineRule="exact"/>
        <w:rPr>
          <w:sz w:val="20"/>
          <w:szCs w:val="20"/>
          <w:color w:val="auto"/>
        </w:rPr>
      </w:pPr>
    </w:p>
    <w:p>
      <w:pPr>
        <w:ind w:right="240"/>
        <w:spacing w:after="0" w:line="254" w:lineRule="auto"/>
        <w:rPr>
          <w:sz w:val="20"/>
          <w:szCs w:val="20"/>
          <w:color w:val="auto"/>
        </w:rPr>
      </w:pPr>
      <w:r>
        <w:rPr>
          <w:rFonts w:ascii="Arial" w:cs="Arial" w:eastAsia="Arial" w:hAnsi="Arial"/>
          <w:sz w:val="20"/>
          <w:szCs w:val="20"/>
          <w:color w:val="auto"/>
        </w:rPr>
        <w:t>Cash provided by investing activities was $47.5 million and $61.1 million for the years ended December 31, 2024 and 2023, respectively. Cash provided by investing activities for the year ended December 31, 2024 consisted primarily of the sale of fixed maturity securities of $176.8 million, which was partially offset by purchases of fixed maturity securities of $119.5 million and acquisition of Clade $9.6 million.</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Cash provided by investing activities was $61.1 million for the year ended December 31, 2023. Cash provided by investing activities for the year ended December 31, 2023 consisted primarily of the sale of fixed maturity securities of $283.9 million, which was partially offset by purchases of fixed maturity securities of $212.7 million and acquisition of property and equipment of $13.7 million.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Financing activities</w:t>
      </w:r>
    </w:p>
    <w:p>
      <w:pPr>
        <w:spacing w:after="0" w:line="232" w:lineRule="exact"/>
        <w:rPr>
          <w:sz w:val="20"/>
          <w:szCs w:val="20"/>
          <w:color w:val="auto"/>
        </w:rPr>
      </w:pPr>
    </w:p>
    <w:p>
      <w:pPr>
        <w:ind w:right="460"/>
        <w:spacing w:after="0" w:line="250" w:lineRule="auto"/>
        <w:rPr>
          <w:sz w:val="20"/>
          <w:szCs w:val="20"/>
          <w:color w:val="auto"/>
        </w:rPr>
      </w:pPr>
      <w:r>
        <w:rPr>
          <w:rFonts w:ascii="Arial" w:cs="Arial" w:eastAsia="Arial" w:hAnsi="Arial"/>
          <w:sz w:val="20"/>
          <w:szCs w:val="20"/>
          <w:color w:val="auto"/>
        </w:rPr>
        <w:t>Cash provided by (used in) financing activities was $74.6 million and ($9.7) million for the years ended December 31, 2024, and 2023, respectively. Cash provided by financing activities for the year ended December 31, 2024 consisted of $17.8 million from proceeds from our at-the-market capital raise, $56.6 million from proceeds from our PIPE financing, and $0.1 million from issuance of our common stock from equity incentive plans pursuant to the exercise of employee stock options.</w:t>
      </w:r>
    </w:p>
    <w:p>
      <w:pPr>
        <w:spacing w:after="0" w:line="192"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Cash (used in) financing activities was $9.7 million for the year ended December 31, 2023 consisted of $10.2 million for payments on long-term debt, partially offset by $0.5 million from issuance of our common stock from equity incentive plans pursuant to the exercise of employee stock options and purchases through the Employee Stock Purchase Plan, or ESPP.</w:t>
      </w:r>
    </w:p>
    <w:p>
      <w:pPr>
        <w:sectPr>
          <w:pgSz w:w="11880" w:h="15480" w:orient="portrait"/>
          <w:cols w:equalWidth="0" w:num="1">
            <w:col w:w="9720"/>
          </w:cols>
          <w:pgMar w:left="1080" w:top="1071"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126</w:t>
      </w:r>
    </w:p>
    <w:p>
      <w:pPr>
        <w:sectPr>
          <w:pgSz w:w="11880" w:h="15480" w:orient="portrait"/>
          <w:cols w:equalWidth="0" w:num="1">
            <w:col w:w="9720"/>
          </w:cols>
          <w:pgMar w:left="1080" w:top="1071" w:right="1080" w:bottom="554" w:gutter="0" w:footer="0" w:header="0"/>
          <w:type w:val="continuous"/>
        </w:sectPr>
      </w:pPr>
    </w:p>
    <w:bookmarkStart w:id="126" w:name="page127"/>
    <w:bookmarkEnd w:id="126"/>
    <w:p>
      <w:pP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243" w:lineRule="exact"/>
        <w:rPr>
          <w:sz w:val="20"/>
          <w:szCs w:val="20"/>
          <w:color w:val="auto"/>
        </w:rPr>
      </w:pPr>
    </w:p>
    <w:p>
      <w:pPr>
        <w:ind w:right="140"/>
        <w:spacing w:after="0" w:line="283" w:lineRule="auto"/>
        <w:rPr>
          <w:sz w:val="20"/>
          <w:szCs w:val="20"/>
          <w:color w:val="auto"/>
        </w:rPr>
      </w:pPr>
      <w:r>
        <w:rPr>
          <w:rFonts w:ascii="Arial" w:cs="Arial" w:eastAsia="Arial" w:hAnsi="Arial"/>
          <w:sz w:val="20"/>
          <w:szCs w:val="20"/>
          <w:color w:val="auto"/>
        </w:rPr>
        <w:t>The following table summarizes our significant contractual obligations and commitments as of December 31,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2640" w:type="dxa"/>
            <w:vAlign w:val="bottom"/>
            <w:tcBorders>
              <w:top w:val="single" w:sz="8" w:color="auto"/>
              <w:bottom w:val="single" w:sz="8" w:color="auto"/>
            </w:tcBorders>
            <w:gridSpan w:val="5"/>
          </w:tcPr>
          <w:p>
            <w:pPr>
              <w:jc w:val="center"/>
              <w:ind w:left="620"/>
              <w:spacing w:after="0"/>
              <w:rPr>
                <w:sz w:val="20"/>
                <w:szCs w:val="20"/>
                <w:color w:val="auto"/>
              </w:rPr>
            </w:pPr>
            <w:r>
              <w:rPr>
                <w:rFonts w:ascii="Arial" w:cs="Arial" w:eastAsia="Arial" w:hAnsi="Arial"/>
                <w:sz w:val="16"/>
                <w:szCs w:val="16"/>
                <w:color w:val="auto"/>
              </w:rPr>
              <w:t>Payments Due by Period</w:t>
            </w:r>
          </w:p>
        </w:tc>
        <w:tc>
          <w:tcPr>
            <w:tcW w:w="76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00"/>
              <w:spacing w:after="0" w:line="175" w:lineRule="exact"/>
              <w:rPr>
                <w:sz w:val="20"/>
                <w:szCs w:val="20"/>
                <w:color w:val="auto"/>
              </w:rPr>
            </w:pPr>
            <w:r>
              <w:rPr>
                <w:rFonts w:ascii="Arial" w:cs="Arial" w:eastAsia="Arial" w:hAnsi="Arial"/>
                <w:sz w:val="16"/>
                <w:szCs w:val="16"/>
                <w:color w:val="auto"/>
              </w:rPr>
              <w:t>1 Year</w:t>
            </w:r>
          </w:p>
        </w:tc>
        <w:tc>
          <w:tcPr>
            <w:tcW w:w="180" w:type="dxa"/>
            <w:vAlign w:val="bottom"/>
          </w:tcPr>
          <w:p>
            <w:pPr>
              <w:spacing w:after="0"/>
              <w:rPr>
                <w:sz w:val="15"/>
                <w:szCs w:val="15"/>
                <w:color w:val="auto"/>
              </w:rPr>
            </w:pPr>
          </w:p>
        </w:tc>
        <w:tc>
          <w:tcPr>
            <w:tcW w:w="860" w:type="dxa"/>
            <w:vAlign w:val="bottom"/>
          </w:tcPr>
          <w:p>
            <w:pPr>
              <w:spacing w:after="0" w:line="175" w:lineRule="exact"/>
              <w:rPr>
                <w:sz w:val="20"/>
                <w:szCs w:val="20"/>
                <w:color w:val="auto"/>
              </w:rPr>
            </w:pPr>
            <w:r>
              <w:rPr>
                <w:rFonts w:ascii="Arial" w:cs="Arial" w:eastAsia="Arial" w:hAnsi="Arial"/>
                <w:sz w:val="16"/>
                <w:szCs w:val="16"/>
                <w:color w:val="auto"/>
                <w:w w:val="97"/>
              </w:rPr>
              <w:t>1 to 3 Years</w:t>
            </w:r>
          </w:p>
        </w:tc>
        <w:tc>
          <w:tcPr>
            <w:tcW w:w="1040" w:type="dxa"/>
            <w:vAlign w:val="bottom"/>
            <w:gridSpan w:val="2"/>
          </w:tcPr>
          <w:p>
            <w:pPr>
              <w:ind w:left="180"/>
              <w:spacing w:after="0" w:line="175" w:lineRule="exact"/>
              <w:rPr>
                <w:sz w:val="20"/>
                <w:szCs w:val="20"/>
                <w:color w:val="auto"/>
              </w:rPr>
            </w:pPr>
            <w:r>
              <w:rPr>
                <w:rFonts w:ascii="Arial" w:cs="Arial" w:eastAsia="Arial" w:hAnsi="Arial"/>
                <w:sz w:val="16"/>
                <w:szCs w:val="16"/>
                <w:color w:val="auto"/>
                <w:w w:val="97"/>
              </w:rPr>
              <w:t>3 to 5 Years</w:t>
            </w:r>
          </w:p>
        </w:tc>
        <w:tc>
          <w:tcPr>
            <w:tcW w:w="180" w:type="dxa"/>
            <w:vAlign w:val="bottom"/>
          </w:tcPr>
          <w:p>
            <w:pPr>
              <w:spacing w:after="0"/>
              <w:rPr>
                <w:sz w:val="15"/>
                <w:szCs w:val="15"/>
                <w:color w:val="auto"/>
              </w:rPr>
            </w:pPr>
          </w:p>
        </w:tc>
        <w:tc>
          <w:tcPr>
            <w:tcW w:w="1320" w:type="dxa"/>
            <w:vAlign w:val="bottom"/>
            <w:gridSpan w:val="2"/>
          </w:tcPr>
          <w:p>
            <w:pPr>
              <w:spacing w:after="0" w:line="175" w:lineRule="exact"/>
              <w:rPr>
                <w:sz w:val="20"/>
                <w:szCs w:val="20"/>
                <w:color w:val="auto"/>
              </w:rPr>
            </w:pPr>
            <w:r>
              <w:rPr>
                <w:rFonts w:ascii="Arial" w:cs="Arial" w:eastAsia="Arial" w:hAnsi="Arial"/>
                <w:sz w:val="16"/>
                <w:szCs w:val="16"/>
                <w:color w:val="auto"/>
                <w:w w:val="98"/>
              </w:rPr>
              <w:t>More than 5 Years</w:t>
            </w:r>
          </w:p>
        </w:tc>
        <w:tc>
          <w:tcPr>
            <w:tcW w:w="180" w:type="dxa"/>
            <w:vAlign w:val="bottom"/>
          </w:tcPr>
          <w:p>
            <w:pPr>
              <w:spacing w:after="0"/>
              <w:rPr>
                <w:sz w:val="15"/>
                <w:szCs w:val="15"/>
                <w:color w:val="auto"/>
              </w:rPr>
            </w:pPr>
          </w:p>
        </w:tc>
        <w:tc>
          <w:tcPr>
            <w:tcW w:w="840" w:type="dxa"/>
            <w:vAlign w:val="bottom"/>
          </w:tcPr>
          <w:p>
            <w:pPr>
              <w:jc w:val="right"/>
              <w:ind w:right="180"/>
              <w:spacing w:after="0" w:line="175"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160" w:type="dxa"/>
            <w:vAlign w:val="bottom"/>
            <w:vMerge w:val="restart"/>
          </w:tcPr>
          <w:p>
            <w:pPr>
              <w:jc w:val="right"/>
              <w:ind w:right="2540"/>
              <w:spacing w:after="0"/>
              <w:rPr>
                <w:sz w:val="20"/>
                <w:szCs w:val="20"/>
                <w:color w:val="auto"/>
              </w:rPr>
            </w:pPr>
            <w:r>
              <w:rPr>
                <w:rFonts w:ascii="Arial" w:cs="Arial" w:eastAsia="Arial" w:hAnsi="Arial"/>
                <w:sz w:val="20"/>
                <w:szCs w:val="20"/>
                <w:color w:val="auto"/>
                <w:w w:val="99"/>
              </w:rPr>
              <w:t>Operating leases</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600" w:type="dxa"/>
            <w:vAlign w:val="bottom"/>
            <w:gridSpan w:val="3"/>
          </w:tcPr>
          <w:p>
            <w:pPr>
              <w:jc w:val="center"/>
              <w:ind w:right="260"/>
              <w:spacing w:after="0" w:line="155" w:lineRule="exact"/>
              <w:rPr>
                <w:sz w:val="20"/>
                <w:szCs w:val="20"/>
                <w:color w:val="auto"/>
              </w:rPr>
            </w:pPr>
            <w:r>
              <w:rPr>
                <w:rFonts w:ascii="Arial" w:cs="Arial" w:eastAsia="Arial" w:hAnsi="Arial"/>
                <w:sz w:val="16"/>
                <w:szCs w:val="16"/>
                <w:color w:val="auto"/>
              </w:rPr>
              <w:t>(in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4160" w:type="dxa"/>
            <w:vAlign w:val="bottom"/>
            <w:vMerge w:val="continue"/>
          </w:tcPr>
          <w:p>
            <w:pPr>
              <w:jc w:val="right"/>
              <w:ind w:right="20"/>
              <w:spacing w:after="0" w:line="207" w:lineRule="exact"/>
              <w:rPr>
                <w:sz w:val="20"/>
                <w:szCs w:val="20"/>
                <w:color w:val="auto"/>
              </w:rPr>
            </w:pPr>
            <w:r>
              <w:rPr>
                <w:rFonts w:ascii="Arial" w:cs="Arial" w:eastAsia="Arial" w:hAnsi="Arial"/>
                <w:sz w:val="20"/>
                <w:szCs w:val="20"/>
                <w:color w:val="auto"/>
              </w:rPr>
              <w:t>. . . . . . . . . . . . . . . . . . . . . . . . .</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  9,766</w:t>
            </w:r>
          </w:p>
        </w:tc>
        <w:tc>
          <w:tcPr>
            <w:tcW w:w="1040" w:type="dxa"/>
            <w:vAlign w:val="bottom"/>
            <w:gridSpan w:val="2"/>
          </w:tcPr>
          <w:p>
            <w:pPr>
              <w:ind w:left="180"/>
              <w:spacing w:after="0"/>
              <w:rPr>
                <w:sz w:val="20"/>
                <w:szCs w:val="20"/>
                <w:color w:val="auto"/>
              </w:rPr>
            </w:pPr>
            <w:r>
              <w:rPr>
                <w:rFonts w:ascii="Arial" w:cs="Arial" w:eastAsia="Arial" w:hAnsi="Arial"/>
                <w:sz w:val="20"/>
                <w:szCs w:val="20"/>
                <w:color w:val="auto"/>
              </w:rPr>
              <w:t>$ 18,899</w:t>
            </w:r>
          </w:p>
        </w:tc>
        <w:tc>
          <w:tcPr>
            <w:tcW w:w="1040" w:type="dxa"/>
            <w:vAlign w:val="bottom"/>
            <w:gridSpan w:val="2"/>
          </w:tcPr>
          <w:p>
            <w:pPr>
              <w:ind w:left="180"/>
              <w:spacing w:after="0"/>
              <w:rPr>
                <w:sz w:val="20"/>
                <w:szCs w:val="20"/>
                <w:color w:val="auto"/>
              </w:rPr>
            </w:pPr>
            <w:r>
              <w:rPr>
                <w:rFonts w:ascii="Arial" w:cs="Arial" w:eastAsia="Arial" w:hAnsi="Arial"/>
                <w:sz w:val="20"/>
                <w:szCs w:val="20"/>
                <w:color w:val="auto"/>
              </w:rPr>
              <w:t>$ 19,911</w:t>
            </w:r>
          </w:p>
        </w:tc>
        <w:tc>
          <w:tcPr>
            <w:tcW w:w="740" w:type="dxa"/>
            <w:vAlign w:val="bottom"/>
            <w:gridSpan w:val="2"/>
          </w:tcPr>
          <w:p>
            <w:pPr>
              <w:ind w:left="18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36,029</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$ 84,606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Other than as disclosed in the table above, the payment obligations under our license, collaboration, and acquisition and merger agreements as of December 31, 2024 are contingent upon future events such as our achievement of pre- specified development, regulatory, and commercial milestones, or royalties on net product sales. As of December 31, 2024, the timing and likelihood of achieving the milestones and success payments and generating future product sales are uncertain and therefore, any related payments are not included in the table above. 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10 “Commitments and contingencies” for additional information.</w:t>
      </w:r>
    </w:p>
    <w:p>
      <w:pPr>
        <w:spacing w:after="0" w:line="156" w:lineRule="exact"/>
        <w:rPr>
          <w:sz w:val="20"/>
          <w:szCs w:val="20"/>
          <w:color w:val="auto"/>
        </w:rPr>
      </w:pPr>
    </w:p>
    <w:p>
      <w:pPr>
        <w:ind w:right="1780"/>
        <w:spacing w:after="0" w:line="470" w:lineRule="auto"/>
        <w:rPr>
          <w:sz w:val="20"/>
          <w:szCs w:val="20"/>
          <w:color w:val="auto"/>
        </w:rPr>
      </w:pPr>
      <w:r>
        <w:rPr>
          <w:rFonts w:ascii="Arial" w:cs="Arial" w:eastAsia="Arial" w:hAnsi="Arial"/>
          <w:sz w:val="20"/>
          <w:szCs w:val="20"/>
          <w:color w:val="auto"/>
        </w:rPr>
        <w:t xml:space="preserve">We have commitments under operating leases for certain facilities used in our operations. </w:t>
      </w:r>
      <w:r>
        <w:rPr>
          <w:rFonts w:ascii="Arial" w:cs="Arial" w:eastAsia="Arial" w:hAnsi="Arial"/>
          <w:sz w:val="20"/>
          <w:szCs w:val="20"/>
          <w:b w:val="1"/>
          <w:bCs w:val="1"/>
          <w:color w:val="auto"/>
        </w:rPr>
        <w:t>JOBS Act accounting election</w:t>
      </w:r>
    </w:p>
    <w:p>
      <w:pPr>
        <w:ind w:right="180"/>
        <w:spacing w:after="0" w:line="250" w:lineRule="auto"/>
        <w:rPr>
          <w:sz w:val="20"/>
          <w:szCs w:val="20"/>
          <w:color w:val="auto"/>
        </w:rPr>
      </w:pPr>
      <w:r>
        <w:rPr>
          <w:rFonts w:ascii="Arial" w:cs="Arial" w:eastAsia="Arial" w:hAnsi="Arial"/>
          <w:sz w:val="20"/>
          <w:szCs w:val="20"/>
          <w:color w:val="auto"/>
        </w:rPr>
        <w:t>As a company with less than $1.235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205" w:lineRule="exact"/>
        <w:rPr>
          <w:sz w:val="20"/>
          <w:szCs w:val="20"/>
          <w:color w:val="auto"/>
        </w:rPr>
      </w:pPr>
    </w:p>
    <w:p>
      <w:pPr>
        <w:ind w:left="720" w:right="100" w:hanging="353"/>
        <w:spacing w:after="0" w:line="283" w:lineRule="auto"/>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not being required to have our registered independent public accounting firm attest to management’s assessment of our internal control over financial reporting;</w:t>
      </w:r>
    </w:p>
    <w:p>
      <w:pPr>
        <w:spacing w:after="0" w:line="171" w:lineRule="exact"/>
        <w:rPr>
          <w:rFonts w:ascii="Arial" w:cs="Arial" w:eastAsia="Arial" w:hAnsi="Arial"/>
          <w:sz w:val="20"/>
          <w:szCs w:val="20"/>
          <w:color w:val="auto"/>
        </w:rPr>
      </w:pPr>
    </w:p>
    <w:p>
      <w:pPr>
        <w:ind w:left="720" w:hanging="353"/>
        <w:spacing w:after="0"/>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presenting reduced disclosure about our executive compensation arrangements;</w:t>
      </w:r>
    </w:p>
    <w:p>
      <w:pPr>
        <w:spacing w:after="0" w:line="253" w:lineRule="exact"/>
        <w:rPr>
          <w:rFonts w:ascii="Arial" w:cs="Arial" w:eastAsia="Arial" w:hAnsi="Arial"/>
          <w:sz w:val="20"/>
          <w:szCs w:val="20"/>
          <w:color w:val="auto"/>
        </w:rPr>
      </w:pPr>
    </w:p>
    <w:p>
      <w:pPr>
        <w:ind w:left="720" w:right="160" w:hanging="353"/>
        <w:spacing w:after="0" w:line="261" w:lineRule="auto"/>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92" w:lineRule="exact"/>
        <w:rPr>
          <w:rFonts w:ascii="Arial" w:cs="Arial" w:eastAsia="Arial" w:hAnsi="Arial"/>
          <w:sz w:val="20"/>
          <w:szCs w:val="20"/>
          <w:color w:val="auto"/>
        </w:rPr>
      </w:pPr>
    </w:p>
    <w:p>
      <w:pPr>
        <w:ind w:left="720" w:right="920" w:hanging="353"/>
        <w:spacing w:after="0" w:line="283" w:lineRule="auto"/>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not being required to hold non-binding advisory votes on executive compensation or golden parachute arrangements; and</w:t>
      </w:r>
    </w:p>
    <w:p>
      <w:pPr>
        <w:spacing w:after="0" w:line="171" w:lineRule="exact"/>
        <w:rPr>
          <w:rFonts w:ascii="Arial" w:cs="Arial" w:eastAsia="Arial" w:hAnsi="Arial"/>
          <w:sz w:val="20"/>
          <w:szCs w:val="20"/>
          <w:color w:val="auto"/>
        </w:rPr>
      </w:pPr>
    </w:p>
    <w:p>
      <w:pPr>
        <w:ind w:left="720" w:hanging="353"/>
        <w:spacing w:after="0"/>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extended transition periods for complying with new or revised accounting standards.</w:t>
      </w:r>
    </w:p>
    <w:p>
      <w:pPr>
        <w:spacing w:after="0" w:line="239"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w:t>
      </w:r>
    </w:p>
    <w:p>
      <w:pPr>
        <w:spacing w:after="0" w:line="3" w:lineRule="exact"/>
        <w:rPr>
          <w:sz w:val="20"/>
          <w:szCs w:val="20"/>
          <w:color w:val="auto"/>
        </w:rPr>
      </w:pPr>
    </w:p>
    <w:p>
      <w:pPr>
        <w:ind w:right="480" w:firstLine="7"/>
        <w:spacing w:after="0" w:line="256" w:lineRule="auto"/>
        <w:tabs>
          <w:tab w:leader="none" w:pos="233" w:val="left"/>
        </w:tabs>
        <w:numPr>
          <w:ilvl w:val="0"/>
          <w:numId w:val="70"/>
        </w:numPr>
        <w:rPr>
          <w:rFonts w:ascii="Arial" w:cs="Arial" w:eastAsia="Arial" w:hAnsi="Arial"/>
          <w:sz w:val="20"/>
          <w:szCs w:val="20"/>
          <w:color w:val="auto"/>
        </w:rPr>
      </w:pPr>
      <w:r>
        <w:rPr>
          <w:rFonts w:ascii="Arial" w:cs="Arial" w:eastAsia="Arial" w:hAnsi="Arial"/>
          <w:sz w:val="20"/>
          <w:szCs w:val="20"/>
          <w:color w:val="auto"/>
        </w:rPr>
        <w:t>irrevocably elect to “opt out” of such extended transition period or (ii) no longer qualify as an emerging growth company.</w:t>
      </w:r>
    </w:p>
    <w:p>
      <w:pPr>
        <w:sectPr>
          <w:pgSz w:w="11880" w:h="15480" w:orient="portrait"/>
          <w:cols w:equalWidth="0" w:num="1">
            <w:col w:w="9720"/>
          </w:cols>
          <w:pgMar w:left="1080" w:top="1064"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127</w:t>
      </w:r>
    </w:p>
    <w:p>
      <w:pPr>
        <w:sectPr>
          <w:pgSz w:w="11880" w:h="15480" w:orient="portrait"/>
          <w:cols w:equalWidth="0" w:num="1">
            <w:col w:w="9720"/>
          </w:cols>
          <w:pgMar w:left="1080" w:top="1064" w:right="1080" w:bottom="554" w:gutter="0" w:footer="0" w:header="0"/>
          <w:type w:val="continuous"/>
        </w:sectPr>
      </w:pPr>
    </w:p>
    <w:bookmarkStart w:id="127" w:name="page128"/>
    <w:bookmarkEnd w:id="127"/>
    <w:p>
      <w:pPr>
        <w:spacing w:after="0" w:line="247" w:lineRule="auto"/>
        <w:rPr>
          <w:sz w:val="20"/>
          <w:szCs w:val="20"/>
          <w:color w:val="auto"/>
        </w:rPr>
      </w:pPr>
      <w:r>
        <w:rPr>
          <w:rFonts w:ascii="Arial" w:cs="Arial" w:eastAsia="Arial" w:hAnsi="Arial"/>
          <w:sz w:val="20"/>
          <w:szCs w:val="20"/>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Securities Exchange Act of 1934, as amended, or the Exchange Act, which would occur if the market value of our common stock held by non -affiliates exceeded $700 million as of the last business day of the second fiscal quarter of such year or (iv) the date on which we have issued more than $1 billion in non-convertible debt securities during the prior three-year period.</w:t>
      </w:r>
    </w:p>
    <w:p>
      <w:pPr>
        <w:spacing w:after="0" w:line="134"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 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judgments and estimates</w:t>
      </w:r>
    </w:p>
    <w:p>
      <w:pPr>
        <w:spacing w:after="0" w:line="183"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Our audited consolidated financial statements are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described in more detail in the notes to our audited consolidated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Collaboration Revenue</w:t>
      </w:r>
    </w:p>
    <w:p>
      <w:pPr>
        <w:spacing w:after="0" w:line="175" w:lineRule="exact"/>
        <w:rPr>
          <w:sz w:val="20"/>
          <w:szCs w:val="20"/>
          <w:color w:val="auto"/>
        </w:rPr>
      </w:pPr>
    </w:p>
    <w:p>
      <w:pPr>
        <w:ind w:right="360"/>
        <w:spacing w:after="0" w:line="250" w:lineRule="auto"/>
        <w:rPr>
          <w:sz w:val="20"/>
          <w:szCs w:val="20"/>
          <w:color w:val="auto"/>
        </w:rPr>
      </w:pPr>
      <w:r>
        <w:rPr>
          <w:rFonts w:ascii="Arial" w:cs="Arial" w:eastAsia="Arial" w:hAnsi="Arial"/>
          <w:sz w:val="20"/>
          <w:szCs w:val="20"/>
          <w:color w:val="auto"/>
        </w:rPr>
        <w:t>We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We recognize revenue in accordance with ASC Topic 606, Revenue from Contracts with Customers, or ASC</w:t>
      </w:r>
    </w:p>
    <w:p>
      <w:pPr>
        <w:spacing w:after="0" w:line="26" w:lineRule="exact"/>
        <w:rPr>
          <w:sz w:val="20"/>
          <w:szCs w:val="20"/>
          <w:color w:val="auto"/>
        </w:rPr>
      </w:pPr>
    </w:p>
    <w:p>
      <w:pPr>
        <w:ind w:right="40" w:firstLine="8"/>
        <w:spacing w:after="0" w:line="244" w:lineRule="auto"/>
        <w:tabs>
          <w:tab w:leader="none" w:pos="445"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This standard applies to all contracts with customers. When an agreement falls under the scope of other standards, such as ASC Topic 808, Collaborative Arrangements, or ASC 808, we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135"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we perform the following steps: (i) identification of the promised goods or services in the contract; (ii) determination of whether the promised goods or services are</w:t>
      </w:r>
    </w:p>
    <w:p>
      <w:pPr>
        <w:sectPr>
          <w:pgSz w:w="11880" w:h="15480" w:orient="portrait"/>
          <w:cols w:equalWidth="0" w:num="1">
            <w:col w:w="9680"/>
          </w:cols>
          <w:pgMar w:left="1080" w:top="1067" w:right="1120" w:bottom="554"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128</w:t>
      </w:r>
    </w:p>
    <w:p>
      <w:pPr>
        <w:sectPr>
          <w:pgSz w:w="11880" w:h="15480" w:orient="portrait"/>
          <w:cols w:equalWidth="0" w:num="1">
            <w:col w:w="9680"/>
          </w:cols>
          <w:pgMar w:left="1080" w:top="1067" w:right="1120" w:bottom="554" w:gutter="0" w:footer="0" w:header="0"/>
          <w:type w:val="continuous"/>
        </w:sectPr>
      </w:pPr>
    </w:p>
    <w:bookmarkStart w:id="128" w:name="page129"/>
    <w:bookmarkEnd w:id="128"/>
    <w:p>
      <w:pPr>
        <w:ind w:right="60"/>
        <w:spacing w:after="0" w:line="254" w:lineRule="auto"/>
        <w:rPr>
          <w:sz w:val="20"/>
          <w:szCs w:val="20"/>
          <w:color w:val="auto"/>
        </w:rPr>
      </w:pPr>
      <w:r>
        <w:rPr>
          <w:rFonts w:ascii="Arial" w:cs="Arial" w:eastAsia="Arial" w:hAnsi="Arial"/>
          <w:sz w:val="20"/>
          <w:szCs w:val="20"/>
          <w:color w:val="auto"/>
        </w:rPr>
        <w:t>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we satisfy each performance obligation.</w:t>
      </w:r>
    </w:p>
    <w:p>
      <w:pPr>
        <w:spacing w:after="0" w:line="147"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As part of the accounting for these arrangements, we must use our judgment to determine the stand- 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We also apply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non-current.</w:t>
      </w:r>
    </w:p>
    <w:p>
      <w:pPr>
        <w:spacing w:after="0" w:line="166"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not determined to represent a material right, no transaction price is allocated to these options and we will account for these options at that time they are exercised. If the customer options are determined to represent a material right, the material right is recognized as a separate performance obligation at the outset of the arrangement.</w:t>
      </w:r>
    </w:p>
    <w:p>
      <w:pPr>
        <w:spacing w:after="0" w:line="155"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obligations under our collaboration agreements may include research and development services to be performed by us for or on behalf of the customer. Amounts allocated to these performance obligations are recognized as we perform these obligations, and revenue is measures based on an inputs method of costs incurred to date of budgeted costs. Under certain circumstances, we may be reimbursed for certain expenses incurred under the research and development services.</w:t>
      </w:r>
    </w:p>
    <w:p>
      <w:pPr>
        <w:spacing w:after="0" w:line="152"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At the inception of each arrangement that includes development milestone payments, we evaluate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us or the licensee,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expenses</w:t>
      </w:r>
    </w:p>
    <w:p>
      <w:pPr>
        <w:spacing w:after="0" w:line="197"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We record research and development costs in the periods in which they are incurred. We accrue for research and development costs based on the estimated services performed, but not yet invoiced, pursuant to contracts with research institutions or other service providers that conduct and manage preclinical studies and other research services on our behalf and record these costs in accrued and other current liabilities. We make judgments and estimates in determining the accrued liabilities balance at each reporting period. Payments made prior to the receipt of goods or services to be used in research and development are recorded as prepaid expenses until the goods or services are received.</w:t>
      </w: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129</w:t>
      </w:r>
    </w:p>
    <w:p>
      <w:pPr>
        <w:sectPr>
          <w:pgSz w:w="11880" w:h="15480" w:orient="portrait"/>
          <w:cols w:equalWidth="0" w:num="1">
            <w:col w:w="9720"/>
          </w:cols>
          <w:pgMar w:left="1080" w:top="1067" w:right="1080" w:bottom="554" w:gutter="0" w:footer="0" w:header="0"/>
          <w:type w:val="continuous"/>
        </w:sectPr>
      </w:pPr>
    </w:p>
    <w:bookmarkStart w:id="129" w:name="page130"/>
    <w:bookmarkEnd w:id="129"/>
    <w:p>
      <w:pPr>
        <w:spacing w:after="0" w:line="250" w:lineRule="auto"/>
        <w:rPr>
          <w:sz w:val="20"/>
          <w:szCs w:val="20"/>
          <w:color w:val="auto"/>
        </w:rPr>
      </w:pPr>
      <w:r>
        <w:rPr>
          <w:rFonts w:ascii="Arial" w:cs="Arial" w:eastAsia="Arial" w:hAnsi="Arial"/>
          <w:sz w:val="20"/>
          <w:szCs w:val="20"/>
          <w:color w:val="auto"/>
        </w:rPr>
        <w:t>Clinical trial costs are a component of research and development expenses. We expense costs for our clinical trial activities performed by third parties, including clinical research organizations and other service providers, as they are incurred, based upon estimates of the work completed over the life of the individual study in accordance with associated agreements. We use information it receives from internal personnel and outside service providers to estimate the clinical trial costs incurred.</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To date, we have not experienced any material differences between accrued costs and actual costs incurred. However, the status and timing of actual services performed may vary from our estimates, resulting in adjustments to expenses in future periods. Changes in these estimates that result in material changes to our accruals could materially affect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235"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We recognize compensation costs related to restricted stock awards, restricted stock shares, and stock options granted to employees and nonemployees based on the estimated fair value of the awards on the date of grant, and we recognize forfeitures as they occur. For restricted stock awards the fair value of our common stock is used to determine the resulting stock-based compensation expense. For stock options we estimate the grant date fair value, and the resulting stock-based compensation expense, using the Black -Scholes option pricing model. The fair value of the stock -based awards is recognized as an expense on a straight-line basis over the requisite service period, which is generally the vesting period.</w:t>
      </w:r>
    </w:p>
    <w:p>
      <w:pPr>
        <w:spacing w:after="0" w:line="194" w:lineRule="exact"/>
        <w:rPr>
          <w:sz w:val="20"/>
          <w:szCs w:val="20"/>
          <w:color w:val="auto"/>
        </w:rPr>
      </w:pPr>
    </w:p>
    <w:p>
      <w:pPr>
        <w:ind w:right="260"/>
        <w:spacing w:after="0" w:line="283" w:lineRule="auto"/>
        <w:rPr>
          <w:sz w:val="20"/>
          <w:szCs w:val="20"/>
          <w:color w:val="auto"/>
        </w:rPr>
      </w:pPr>
      <w:r>
        <w:rPr>
          <w:rFonts w:ascii="Arial" w:cs="Arial" w:eastAsia="Arial" w:hAnsi="Arial"/>
          <w:sz w:val="20"/>
          <w:szCs w:val="20"/>
          <w:color w:val="auto"/>
        </w:rPr>
        <w:t>The Black-Scholes option pricing model requires the use of highly subjective assumptions to determine the fair value of stock-based awards. These assumptions include:</w:t>
      </w:r>
    </w:p>
    <w:p>
      <w:pPr>
        <w:spacing w:after="0" w:line="170" w:lineRule="exact"/>
        <w:rPr>
          <w:sz w:val="20"/>
          <w:szCs w:val="20"/>
          <w:color w:val="auto"/>
        </w:rPr>
      </w:pPr>
    </w:p>
    <w:p>
      <w:pPr>
        <w:ind w:left="720" w:right="60" w:hanging="353"/>
        <w:spacing w:after="0" w:line="244" w:lineRule="auto"/>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Fair Value of Common Stock-After our IPO in June 2021, the fair value of stock-based awards was determined on the grant date using the closing price of our common stock. As there was no public market for our common stock before the IPO, the estimated fair value of our common stock was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Third-party valuations of our common stock were performed in accordance with the guidance outlined in the American Institute of Certified Public Accountants’ Accounting and Valuation Guide, Valuation of Privately-Held-Company Equity Securities Issued as Compensation.</w:t>
      </w:r>
    </w:p>
    <w:p>
      <w:pPr>
        <w:spacing w:after="0" w:line="215" w:lineRule="exact"/>
        <w:rPr>
          <w:rFonts w:ascii="Arial" w:cs="Arial" w:eastAsia="Arial" w:hAnsi="Arial"/>
          <w:sz w:val="20"/>
          <w:szCs w:val="20"/>
          <w:color w:val="auto"/>
        </w:rPr>
      </w:pPr>
    </w:p>
    <w:p>
      <w:pPr>
        <w:ind w:left="720" w:right="40" w:hanging="353"/>
        <w:spacing w:after="0" w:line="261" w:lineRule="auto"/>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Expected Term—The expected term represents the period that the stock-based awards are expected to be outstanding. We use the simplified method to determine the expected term, which is based on the average of the time-to-vesting and the contractual life of the options.</w:t>
      </w:r>
    </w:p>
    <w:p>
      <w:pPr>
        <w:spacing w:after="0" w:line="192" w:lineRule="exact"/>
        <w:rPr>
          <w:rFonts w:ascii="Arial" w:cs="Arial" w:eastAsia="Arial" w:hAnsi="Arial"/>
          <w:sz w:val="20"/>
          <w:szCs w:val="20"/>
          <w:color w:val="auto"/>
        </w:rPr>
      </w:pPr>
    </w:p>
    <w:p>
      <w:pPr>
        <w:ind w:left="720" w:right="120" w:hanging="353"/>
        <w:spacing w:after="0" w:line="248" w:lineRule="auto"/>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Expected Volatility—Due to lack of trading history for our common stock, the expected volatility is estimated based on the average historical volatilities of common stock of comparable publicly traded entities over a time period equal to the expected term of the stock option grants. The comparable companies are chosen based on their size, stage in the product development cycle, and area of specialty. Starting in June of 2023, we had sufficient historical information regarding stock trading history, and started to use our own stock volatility.</w:t>
      </w:r>
    </w:p>
    <w:p>
      <w:pPr>
        <w:spacing w:after="0" w:line="207" w:lineRule="exact"/>
        <w:rPr>
          <w:rFonts w:ascii="Arial" w:cs="Arial" w:eastAsia="Arial" w:hAnsi="Arial"/>
          <w:sz w:val="20"/>
          <w:szCs w:val="20"/>
          <w:color w:val="auto"/>
        </w:rPr>
      </w:pPr>
    </w:p>
    <w:p>
      <w:pPr>
        <w:ind w:left="720" w:hanging="353"/>
        <w:spacing w:after="0" w:line="262" w:lineRule="auto"/>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Risk-Free Interest Rate—The risk-free interest rate is based on the U.S. Treasury yield in effect at the time of grant for zero-coupon U.S. Treasury notes with maturities approximately equal to the expected term of the awards.</w:t>
      </w:r>
    </w:p>
    <w:p>
      <w:pPr>
        <w:spacing w:after="0" w:line="190" w:lineRule="exact"/>
        <w:rPr>
          <w:rFonts w:ascii="Arial" w:cs="Arial" w:eastAsia="Arial" w:hAnsi="Arial"/>
          <w:sz w:val="20"/>
          <w:szCs w:val="20"/>
          <w:color w:val="auto"/>
        </w:rPr>
      </w:pPr>
    </w:p>
    <w:p>
      <w:pPr>
        <w:ind w:left="720" w:right="120" w:hanging="353"/>
        <w:spacing w:after="0" w:line="283" w:lineRule="auto"/>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Expected Dividend— We have never paid dividends on our common stock and have no plans to pay dividends on our common stock. Therefore, we used an expected dividend yield of zero.</w:t>
      </w:r>
    </w:p>
    <w:p>
      <w:pPr>
        <w:sectPr>
          <w:pgSz w:w="11880" w:h="15480" w:orient="portrait"/>
          <w:cols w:equalWidth="0" w:num="1">
            <w:col w:w="9700"/>
          </w:cols>
          <w:pgMar w:left="1080" w:top="1067"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130</w:t>
      </w:r>
    </w:p>
    <w:p>
      <w:pPr>
        <w:sectPr>
          <w:pgSz w:w="11880" w:h="15480" w:orient="portrait"/>
          <w:cols w:equalWidth="0" w:num="1">
            <w:col w:w="9700"/>
          </w:cols>
          <w:pgMar w:left="1080" w:top="1067" w:right="1100" w:bottom="554" w:gutter="0" w:footer="0" w:header="0"/>
          <w:type w:val="continuous"/>
        </w:sectPr>
      </w:pPr>
    </w:p>
    <w:bookmarkStart w:id="130" w:name="page131"/>
    <w:bookmarkEnd w:id="130"/>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43" w:lineRule="exact"/>
        <w:rPr>
          <w:sz w:val="20"/>
          <w:szCs w:val="20"/>
          <w:color w:val="auto"/>
        </w:rPr>
      </w:pPr>
    </w:p>
    <w:p>
      <w:pPr>
        <w:jc w:val="both"/>
        <w:ind w:right="140"/>
        <w:spacing w:after="0" w:line="262" w:lineRule="auto"/>
        <w:rPr>
          <w:sz w:val="20"/>
          <w:szCs w:val="20"/>
          <w:color w:val="auto"/>
        </w:rPr>
      </w:pPr>
      <w:r>
        <w:rPr>
          <w:rFonts w:ascii="Arial" w:cs="Arial" w:eastAsia="Arial" w:hAnsi="Arial"/>
          <w:sz w:val="20"/>
          <w:szCs w:val="20"/>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and liquidity risk</w:t>
      </w:r>
    </w:p>
    <w:p>
      <w:pPr>
        <w:spacing w:after="0" w:line="236"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We had cash, cash equivalents, and restricted cash of $61.2 million as of December 31, 2024, which consisted of bank deposits and money market funds. We also had investments of $161.7 million as of December 31, 2024. 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Banking Instability</w:t>
      </w:r>
    </w:p>
    <w:p>
      <w:pPr>
        <w:spacing w:after="0" w:line="22" w:lineRule="exact"/>
        <w:rPr>
          <w:sz w:val="20"/>
          <w:szCs w:val="20"/>
          <w:color w:val="auto"/>
        </w:rPr>
      </w:pPr>
    </w:p>
    <w:p>
      <w:pPr>
        <w:ind w:right="260"/>
        <w:spacing w:after="0" w:line="247" w:lineRule="auto"/>
        <w:rPr>
          <w:sz w:val="20"/>
          <w:szCs w:val="20"/>
          <w:color w:val="auto"/>
        </w:rPr>
      </w:pPr>
      <w:r>
        <w:rPr>
          <w:rFonts w:ascii="Arial" w:cs="Arial" w:eastAsia="Arial" w:hAnsi="Arial"/>
          <w:sz w:val="20"/>
          <w:szCs w:val="20"/>
          <w:color w:val="auto"/>
        </w:rPr>
        <w:t>Future disruptions of financial institutions where we bank or have credit arrangements, or disruptions of the financial service industry in general, could adversely affect our ability to access our cash and cash equivalents.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Effects of Inflation</w:t>
      </w:r>
    </w:p>
    <w:p>
      <w:pPr>
        <w:spacing w:after="0" w:line="235" w:lineRule="exact"/>
        <w:rPr>
          <w:sz w:val="20"/>
          <w:szCs w:val="20"/>
          <w:color w:val="auto"/>
        </w:rPr>
      </w:pPr>
    </w:p>
    <w:p>
      <w:pPr>
        <w:ind w:right="440"/>
        <w:spacing w:after="0" w:line="283" w:lineRule="auto"/>
        <w:rPr>
          <w:sz w:val="20"/>
          <w:szCs w:val="20"/>
          <w:color w:val="auto"/>
        </w:rPr>
      </w:pPr>
      <w:r>
        <w:rPr>
          <w:rFonts w:ascii="Arial" w:cs="Arial" w:eastAsia="Arial" w:hAnsi="Arial"/>
          <w:sz w:val="20"/>
          <w:szCs w:val="20"/>
          <w:color w:val="auto"/>
        </w:rPr>
        <w:t>Inflation generally affects us by increasing our cost of labor and laboratory consumables. We believe that inflation has not had a material effect on our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40"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CENTURY THERAPEUTICS, INC.</w:t>
      </w:r>
    </w:p>
    <w:p>
      <w:pPr>
        <w:spacing w:after="0" w:line="24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 No.</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Report of Ernst &amp; Young, LLP, Independent Registered Public Accounting Firm, Philadelphia,</w:t>
      </w:r>
    </w:p>
    <w:p>
      <w:pPr>
        <w:spacing w:after="0" w:line="15" w:lineRule="exact"/>
        <w:rPr>
          <w:sz w:val="20"/>
          <w:szCs w:val="20"/>
          <w:color w:val="auto"/>
        </w:rPr>
      </w:pPr>
    </w:p>
    <w:p>
      <w:pPr>
        <w:spacing w:after="0"/>
        <w:tabs>
          <w:tab w:leader="none" w:pos="9080" w:val="left"/>
        </w:tabs>
        <w:rPr>
          <w:sz w:val="20"/>
          <w:szCs w:val="20"/>
          <w:color w:val="auto"/>
        </w:rPr>
      </w:pPr>
      <w:r>
        <w:rPr>
          <w:rFonts w:ascii="Arial" w:cs="Arial" w:eastAsia="Arial" w:hAnsi="Arial"/>
          <w:sz w:val="20"/>
          <w:szCs w:val="20"/>
          <w:color w:val="auto"/>
        </w:rPr>
        <w:t>Pennsylvania, (PCAOB ID:42) . . . . . . . . . . . . . . . . . . . . . . . . . . . . . . . . . . . . . . . . . . . . . . . . . . . . . . . . .</w:t>
      </w:r>
      <w:r>
        <w:rPr>
          <w:sz w:val="20"/>
          <w:szCs w:val="20"/>
          <w:color w:val="auto"/>
        </w:rPr>
        <w:tab/>
      </w:r>
      <w:r>
        <w:rPr>
          <w:rFonts w:ascii="Arial" w:cs="Arial" w:eastAsia="Arial" w:hAnsi="Arial"/>
          <w:sz w:val="20"/>
          <w:szCs w:val="20"/>
          <w:color w:val="auto"/>
        </w:rPr>
        <w:t>132</w:t>
      </w:r>
    </w:p>
    <w:p>
      <w:pPr>
        <w:spacing w:after="0" w:line="15" w:lineRule="exact"/>
        <w:rPr>
          <w:sz w:val="20"/>
          <w:szCs w:val="20"/>
          <w:color w:val="auto"/>
        </w:rPr>
      </w:pPr>
    </w:p>
    <w:p>
      <w:pPr>
        <w:spacing w:after="0"/>
        <w:tabs>
          <w:tab w:leader="none" w:pos="9080" w:val="left"/>
        </w:tabs>
        <w:rPr>
          <w:sz w:val="20"/>
          <w:szCs w:val="20"/>
          <w:color w:val="auto"/>
        </w:rPr>
      </w:pPr>
      <w:r>
        <w:rPr>
          <w:rFonts w:ascii="Arial" w:cs="Arial" w:eastAsia="Arial" w:hAnsi="Arial"/>
          <w:sz w:val="20"/>
          <w:szCs w:val="20"/>
          <w:color w:val="auto"/>
        </w:rPr>
        <w:t>Consolidated Balance Sheets . . . . . . . . . . . . . . . . . . . . . . . . . . . . . . . . . . . . . . . . . . . . . . . . . . . . . . . . . .</w:t>
      </w:r>
      <w:r>
        <w:rPr>
          <w:sz w:val="20"/>
          <w:szCs w:val="20"/>
          <w:color w:val="auto"/>
        </w:rPr>
        <w:tab/>
      </w:r>
      <w:r>
        <w:rPr>
          <w:rFonts w:ascii="Arial" w:cs="Arial" w:eastAsia="Arial" w:hAnsi="Arial"/>
          <w:sz w:val="20"/>
          <w:szCs w:val="20"/>
          <w:color w:val="auto"/>
        </w:rPr>
        <w:t>133</w:t>
      </w:r>
    </w:p>
    <w:p>
      <w:pPr>
        <w:spacing w:after="0" w:line="15" w:lineRule="exact"/>
        <w:rPr>
          <w:sz w:val="20"/>
          <w:szCs w:val="20"/>
          <w:color w:val="auto"/>
        </w:rPr>
      </w:pPr>
    </w:p>
    <w:p>
      <w:pPr>
        <w:spacing w:after="0"/>
        <w:tabs>
          <w:tab w:leader="none" w:pos="9080" w:val="left"/>
        </w:tabs>
        <w:rPr>
          <w:sz w:val="20"/>
          <w:szCs w:val="20"/>
          <w:color w:val="auto"/>
        </w:rPr>
      </w:pPr>
      <w:r>
        <w:rPr>
          <w:rFonts w:ascii="Arial" w:cs="Arial" w:eastAsia="Arial" w:hAnsi="Arial"/>
          <w:sz w:val="20"/>
          <w:szCs w:val="20"/>
          <w:color w:val="auto"/>
        </w:rPr>
        <w:t>Consolidated Statements of Operations and Comprehensive Loss . . . . . . . . . . . . . . . . . . . . . . . . . .</w:t>
      </w:r>
      <w:r>
        <w:rPr>
          <w:sz w:val="20"/>
          <w:szCs w:val="20"/>
          <w:color w:val="auto"/>
        </w:rPr>
        <w:tab/>
      </w:r>
      <w:r>
        <w:rPr>
          <w:rFonts w:ascii="Arial" w:cs="Arial" w:eastAsia="Arial" w:hAnsi="Arial"/>
          <w:sz w:val="20"/>
          <w:szCs w:val="20"/>
          <w:color w:val="auto"/>
        </w:rPr>
        <w:t>134</w:t>
      </w:r>
    </w:p>
    <w:p>
      <w:pPr>
        <w:spacing w:after="0" w:line="15" w:lineRule="exact"/>
        <w:rPr>
          <w:sz w:val="20"/>
          <w:szCs w:val="20"/>
          <w:color w:val="auto"/>
        </w:rPr>
      </w:pPr>
    </w:p>
    <w:p>
      <w:pPr>
        <w:spacing w:after="0"/>
        <w:tabs>
          <w:tab w:leader="none" w:pos="9080" w:val="left"/>
        </w:tabs>
        <w:rPr>
          <w:sz w:val="20"/>
          <w:szCs w:val="20"/>
          <w:color w:val="auto"/>
        </w:rPr>
      </w:pPr>
      <w:r>
        <w:rPr>
          <w:rFonts w:ascii="Arial" w:cs="Arial" w:eastAsia="Arial" w:hAnsi="Arial"/>
          <w:sz w:val="20"/>
          <w:szCs w:val="20"/>
          <w:color w:val="auto"/>
        </w:rPr>
        <w:t>Consolidated Statements of Changes in Stockholders’ Equity . . . . . . . . . . . . . . . . . . . . . . . . . . . . . .</w:t>
      </w:r>
      <w:r>
        <w:rPr>
          <w:sz w:val="20"/>
          <w:szCs w:val="20"/>
          <w:color w:val="auto"/>
        </w:rPr>
        <w:tab/>
      </w:r>
      <w:r>
        <w:rPr>
          <w:rFonts w:ascii="Arial" w:cs="Arial" w:eastAsia="Arial" w:hAnsi="Arial"/>
          <w:sz w:val="20"/>
          <w:szCs w:val="20"/>
          <w:color w:val="auto"/>
        </w:rPr>
        <w:t>135</w:t>
      </w:r>
    </w:p>
    <w:p>
      <w:pPr>
        <w:spacing w:after="0" w:line="15" w:lineRule="exact"/>
        <w:rPr>
          <w:sz w:val="20"/>
          <w:szCs w:val="20"/>
          <w:color w:val="auto"/>
        </w:rPr>
      </w:pPr>
    </w:p>
    <w:p>
      <w:pPr>
        <w:spacing w:after="0"/>
        <w:tabs>
          <w:tab w:leader="none" w:pos="9080" w:val="left"/>
        </w:tabs>
        <w:rPr>
          <w:sz w:val="20"/>
          <w:szCs w:val="20"/>
          <w:color w:val="auto"/>
        </w:rPr>
      </w:pPr>
      <w:r>
        <w:rPr>
          <w:rFonts w:ascii="Arial" w:cs="Arial" w:eastAsia="Arial" w:hAnsi="Arial"/>
          <w:sz w:val="20"/>
          <w:szCs w:val="20"/>
          <w:color w:val="auto"/>
        </w:rPr>
        <w:t>Consolidated Statements of Cash Flows . . . . . . . . . . . . . . . . . . . . . . . . . . . . . . . . . . . . . . . . . . . . . . . . .</w:t>
      </w:r>
      <w:r>
        <w:rPr>
          <w:sz w:val="20"/>
          <w:szCs w:val="20"/>
          <w:color w:val="auto"/>
        </w:rPr>
        <w:tab/>
      </w:r>
      <w:r>
        <w:rPr>
          <w:rFonts w:ascii="Arial" w:cs="Arial" w:eastAsia="Arial" w:hAnsi="Arial"/>
          <w:sz w:val="20"/>
          <w:szCs w:val="20"/>
          <w:color w:val="auto"/>
        </w:rPr>
        <w:t>136</w:t>
      </w:r>
    </w:p>
    <w:p>
      <w:pPr>
        <w:spacing w:after="0" w:line="15" w:lineRule="exact"/>
        <w:rPr>
          <w:sz w:val="20"/>
          <w:szCs w:val="20"/>
          <w:color w:val="auto"/>
        </w:rPr>
      </w:pPr>
    </w:p>
    <w:p>
      <w:pPr>
        <w:spacing w:after="0"/>
        <w:tabs>
          <w:tab w:leader="none" w:pos="9080" w:val="left"/>
        </w:tabs>
        <w:rPr>
          <w:sz w:val="20"/>
          <w:szCs w:val="20"/>
          <w:color w:val="auto"/>
        </w:rPr>
      </w:pPr>
      <w:r>
        <w:rPr>
          <w:rFonts w:ascii="Arial" w:cs="Arial" w:eastAsia="Arial" w:hAnsi="Arial"/>
          <w:sz w:val="20"/>
          <w:szCs w:val="20"/>
          <w:color w:val="auto"/>
        </w:rPr>
        <w:t>Notes to Consolidated Financial Statements . . . . . . . . . . . . . . . . . . . . . . . . . . . . . . . . . . . . . . . . . . . . .</w:t>
      </w:r>
      <w:r>
        <w:rPr>
          <w:sz w:val="20"/>
          <w:szCs w:val="20"/>
          <w:color w:val="auto"/>
        </w:rPr>
        <w:tab/>
      </w:r>
      <w:r>
        <w:rPr>
          <w:rFonts w:ascii="Arial" w:cs="Arial" w:eastAsia="Arial" w:hAnsi="Arial"/>
          <w:sz w:val="20"/>
          <w:szCs w:val="20"/>
          <w:color w:val="auto"/>
        </w:rPr>
        <w:t>137</w:t>
      </w:r>
    </w:p>
    <w:p>
      <w:pPr>
        <w:sectPr>
          <w:pgSz w:w="11880" w:h="15480" w:orient="portrait"/>
          <w:cols w:equalWidth="0" w:num="1">
            <w:col w:w="9700"/>
          </w:cols>
          <w:pgMar w:left="1080" w:top="1064"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131</w:t>
      </w:r>
    </w:p>
    <w:p>
      <w:pPr>
        <w:sectPr>
          <w:pgSz w:w="11880" w:h="15480" w:orient="portrait"/>
          <w:cols w:equalWidth="0" w:num="1">
            <w:col w:w="9700"/>
          </w:cols>
          <w:pgMar w:left="1080" w:top="1064" w:right="1100" w:bottom="554" w:gutter="0" w:footer="0" w:header="0"/>
          <w:type w:val="continuous"/>
        </w:sectPr>
      </w:pPr>
    </w:p>
    <w:bookmarkStart w:id="131" w:name="page132"/>
    <w:bookmarkEnd w:id="131"/>
    <w:p>
      <w:pPr>
        <w:ind w:left="1960"/>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color w:val="auto"/>
        </w:rPr>
        <w:t>To the Shareholders and the Board of Directors of Century Therapeutics, Inc.</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Opinion on the Financial Statements</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have audited the accompanying consolidated balance sheets of Century Therapeutics, Inc. (the Company) as of December 31, 2024 and 2023, the related consolidated statements of operations and comprehensive loss, changes in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Basis for Opinion</w:t>
      </w:r>
    </w:p>
    <w:p>
      <w:pPr>
        <w:spacing w:after="0" w:line="24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/s/ Ernst &amp; Young LLP</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We have served as the Company’s auditor since 2019.</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Philadelphia, Pennsylvania</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March 19, 2025</w:t>
      </w:r>
    </w:p>
    <w:p>
      <w:pPr>
        <w:sectPr>
          <w:pgSz w:w="11880" w:h="15480" w:orient="portrait"/>
          <w:cols w:equalWidth="0" w:num="1">
            <w:col w:w="9720"/>
          </w:cols>
          <w:pgMar w:left="1080" w:top="1063"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132</w:t>
      </w:r>
    </w:p>
    <w:p>
      <w:pPr>
        <w:sectPr>
          <w:pgSz w:w="11880" w:h="15480" w:orient="portrait"/>
          <w:cols w:equalWidth="0" w:num="1">
            <w:col w:w="9720"/>
          </w:cols>
          <w:pgMar w:left="1080" w:top="1063" w:right="1080" w:bottom="554"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24"/>
          <w:szCs w:val="24"/>
          <w:b w:val="1"/>
          <w:bCs w:val="1"/>
          <w:color w:val="auto"/>
        </w:rPr>
        <w:t>CENTURY THERAPEUTICS,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w:t>
      </w:r>
      <w:r>
        <w:rPr>
          <w:rFonts w:ascii="Arial" w:cs="Arial" w:eastAsia="Arial" w:hAnsi="Arial"/>
          <w:sz w:val="24"/>
          <w:szCs w:val="24"/>
          <w:b w:val="1"/>
          <w:bCs w:val="1"/>
          <w:color w:val="auto"/>
        </w:rPr>
        <w:t>In thousands, except share and per share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Assets</w:t>
            </w:r>
          </w:p>
        </w:tc>
        <w:tc>
          <w:tcPr>
            <w:tcW w:w="38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4"/>
          </w:tcPr>
          <w:p>
            <w:pPr>
              <w:ind w:left="40"/>
              <w:spacing w:after="0"/>
              <w:rPr>
                <w:sz w:val="20"/>
                <w:szCs w:val="20"/>
                <w:color w:val="auto"/>
              </w:rPr>
            </w:pPr>
            <w:r>
              <w:rPr>
                <w:rFonts w:ascii="Arial" w:cs="Arial" w:eastAsia="Arial" w:hAnsi="Arial"/>
                <w:sz w:val="14"/>
                <w:szCs w:val="14"/>
                <w:color w:val="auto"/>
              </w:rPr>
              <w:t>December 31, 2024</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172"/>
        </w:trPr>
        <w:tc>
          <w:tcPr>
            <w:tcW w:w="3060" w:type="dxa"/>
            <w:vAlign w:val="bottom"/>
            <w:tcBorders>
              <w:top w:val="single" w:sz="8" w:color="auto"/>
            </w:tcBorders>
            <w:vMerge w:val="continue"/>
          </w:tcPr>
          <w:p>
            <w:pPr>
              <w:spacing w:after="0"/>
              <w:rPr>
                <w:sz w:val="14"/>
                <w:szCs w:val="14"/>
                <w:color w:val="auto"/>
              </w:rPr>
            </w:pPr>
          </w:p>
        </w:tc>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3060" w:type="dxa"/>
            <w:vAlign w:val="bottom"/>
          </w:tcPr>
          <w:p>
            <w:pPr>
              <w:spacing w:after="0"/>
              <w:rPr>
                <w:sz w:val="20"/>
                <w:szCs w:val="20"/>
                <w:color w:val="auto"/>
              </w:rPr>
            </w:pPr>
            <w:r>
              <w:rPr>
                <w:rFonts w:ascii="Arial" w:cs="Arial" w:eastAsia="Arial" w:hAnsi="Arial"/>
                <w:sz w:val="14"/>
                <w:szCs w:val="14"/>
                <w:color w:val="auto"/>
              </w:rPr>
              <w:t>Current assets</w:t>
            </w: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60" w:type="dxa"/>
            <w:vAlign w:val="bottom"/>
          </w:tcPr>
          <w:p>
            <w:pPr>
              <w:jc w:val="right"/>
              <w:spacing w:after="0"/>
              <w:rPr>
                <w:sz w:val="20"/>
                <w:szCs w:val="20"/>
                <w:color w:val="auto"/>
              </w:rPr>
            </w:pPr>
            <w:r>
              <w:rPr>
                <w:rFonts w:ascii="Arial" w:cs="Arial" w:eastAsia="Arial" w:hAnsi="Arial"/>
                <w:sz w:val="14"/>
                <w:szCs w:val="14"/>
                <w:color w:val="auto"/>
              </w:rPr>
              <w:t>Cash and cash equivalents . . . . . . . . . . . . . . .</w:t>
            </w:r>
          </w:p>
        </w:tc>
        <w:tc>
          <w:tcPr>
            <w:tcW w:w="4220" w:type="dxa"/>
            <w:vAlign w:val="bottom"/>
            <w:gridSpan w:val="3"/>
          </w:tcPr>
          <w:p>
            <w:pPr>
              <w:ind w:left="20"/>
              <w:spacing w:after="0"/>
              <w:rPr>
                <w:sz w:val="20"/>
                <w:szCs w:val="20"/>
                <w:color w:val="auto"/>
              </w:rPr>
            </w:pPr>
            <w:r>
              <w:rPr>
                <w:rFonts w:ascii="Arial" w:cs="Arial" w:eastAsia="Arial" w:hAnsi="Arial"/>
                <w:sz w:val="14"/>
                <w:szCs w:val="14"/>
                <w:color w:val="auto"/>
              </w:rPr>
              <w:t>. . . . . . . . . . . . . . . . . . . . . . . . . . . . . . . . . . . . . . . . . .    $</w:t>
            </w:r>
          </w:p>
        </w:tc>
        <w:tc>
          <w:tcPr>
            <w:tcW w:w="920" w:type="dxa"/>
            <w:vAlign w:val="bottom"/>
          </w:tcPr>
          <w:p>
            <w:pPr>
              <w:jc w:val="right"/>
              <w:spacing w:after="0"/>
              <w:rPr>
                <w:sz w:val="20"/>
                <w:szCs w:val="20"/>
                <w:color w:val="auto"/>
              </w:rPr>
            </w:pPr>
            <w:r>
              <w:rPr>
                <w:rFonts w:ascii="Arial" w:cs="Arial" w:eastAsia="Arial" w:hAnsi="Arial"/>
                <w:sz w:val="14"/>
                <w:szCs w:val="14"/>
                <w:color w:val="auto"/>
              </w:rPr>
              <w:t>58,441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47,324</w:t>
            </w:r>
          </w:p>
        </w:tc>
        <w:tc>
          <w:tcPr>
            <w:tcW w:w="0" w:type="dxa"/>
            <w:vAlign w:val="bottom"/>
          </w:tcPr>
          <w:p>
            <w:pPr>
              <w:spacing w:after="0"/>
              <w:rPr>
                <w:sz w:val="1"/>
                <w:szCs w:val="1"/>
                <w:color w:val="auto"/>
              </w:rPr>
            </w:pPr>
          </w:p>
        </w:tc>
      </w:tr>
      <w:tr>
        <w:trPr>
          <w:trHeight w:val="162"/>
        </w:trPr>
        <w:tc>
          <w:tcPr>
            <w:tcW w:w="3060" w:type="dxa"/>
            <w:vAlign w:val="bottom"/>
          </w:tcPr>
          <w:p>
            <w:pPr>
              <w:jc w:val="right"/>
              <w:spacing w:after="0"/>
              <w:rPr>
                <w:sz w:val="20"/>
                <w:szCs w:val="20"/>
                <w:color w:val="auto"/>
              </w:rPr>
            </w:pPr>
            <w:r>
              <w:rPr>
                <w:rFonts w:ascii="Arial" w:cs="Arial" w:eastAsia="Arial" w:hAnsi="Arial"/>
                <w:sz w:val="14"/>
                <w:szCs w:val="14"/>
                <w:color w:val="auto"/>
              </w:rPr>
              <w:t>Short-term investments . . . . . .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130,851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125,414</w:t>
            </w:r>
          </w:p>
        </w:tc>
        <w:tc>
          <w:tcPr>
            <w:tcW w:w="0" w:type="dxa"/>
            <w:vAlign w:val="bottom"/>
          </w:tcPr>
          <w:p>
            <w:pPr>
              <w:spacing w:after="0"/>
              <w:rPr>
                <w:sz w:val="1"/>
                <w:szCs w:val="1"/>
                <w:color w:val="auto"/>
              </w:rPr>
            </w:pPr>
          </w:p>
        </w:tc>
      </w:tr>
      <w:tr>
        <w:trPr>
          <w:trHeight w:val="176"/>
        </w:trPr>
        <w:tc>
          <w:tcPr>
            <w:tcW w:w="3060" w:type="dxa"/>
            <w:vAlign w:val="bottom"/>
          </w:tcPr>
          <w:p>
            <w:pPr>
              <w:jc w:val="right"/>
              <w:spacing w:after="0"/>
              <w:rPr>
                <w:sz w:val="20"/>
                <w:szCs w:val="20"/>
                <w:color w:val="auto"/>
              </w:rPr>
            </w:pPr>
            <w:r>
              <w:rPr>
                <w:rFonts w:ascii="Arial" w:cs="Arial" w:eastAsia="Arial" w:hAnsi="Arial"/>
                <w:sz w:val="14"/>
                <w:szCs w:val="14"/>
                <w:color w:val="auto"/>
              </w:rPr>
              <w:t>Prepaid expenses and other current assets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4,256</w:t>
            </w:r>
          </w:p>
        </w:tc>
        <w:tc>
          <w:tcPr>
            <w:tcW w:w="0" w:type="dxa"/>
            <w:vAlign w:val="bottom"/>
          </w:tcPr>
          <w:p>
            <w:pPr>
              <w:spacing w:after="0"/>
              <w:rPr>
                <w:sz w:val="1"/>
                <w:szCs w:val="1"/>
                <w:color w:val="auto"/>
              </w:rPr>
            </w:pPr>
          </w:p>
        </w:tc>
      </w:tr>
      <w:tr>
        <w:trPr>
          <w:trHeight w:val="179"/>
        </w:trPr>
        <w:tc>
          <w:tcPr>
            <w:tcW w:w="3060" w:type="dxa"/>
            <w:vAlign w:val="bottom"/>
          </w:tcPr>
          <w:p>
            <w:pPr>
              <w:jc w:val="right"/>
              <w:spacing w:after="0"/>
              <w:rPr>
                <w:sz w:val="20"/>
                <w:szCs w:val="20"/>
                <w:color w:val="auto"/>
              </w:rPr>
            </w:pPr>
            <w:r>
              <w:rPr>
                <w:rFonts w:ascii="Arial" w:cs="Arial" w:eastAsia="Arial" w:hAnsi="Arial"/>
                <w:sz w:val="14"/>
                <w:szCs w:val="14"/>
                <w:color w:val="auto"/>
              </w:rPr>
              <w:t>. . . . . . . . . . . . . . . . . . . . .Totalcurrentassets</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194,051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176,994</w:t>
            </w:r>
          </w:p>
        </w:tc>
        <w:tc>
          <w:tcPr>
            <w:tcW w:w="0" w:type="dxa"/>
            <w:vAlign w:val="bottom"/>
          </w:tcPr>
          <w:p>
            <w:pPr>
              <w:spacing w:after="0"/>
              <w:rPr>
                <w:sz w:val="1"/>
                <w:szCs w:val="1"/>
                <w:color w:val="auto"/>
              </w:rPr>
            </w:pPr>
          </w:p>
        </w:tc>
      </w:tr>
      <w:tr>
        <w:trPr>
          <w:trHeight w:val="284"/>
        </w:trPr>
        <w:tc>
          <w:tcPr>
            <w:tcW w:w="3060" w:type="dxa"/>
            <w:vAlign w:val="bottom"/>
          </w:tcPr>
          <w:p>
            <w:pPr>
              <w:jc w:val="right"/>
              <w:spacing w:after="0"/>
              <w:rPr>
                <w:sz w:val="20"/>
                <w:szCs w:val="20"/>
                <w:color w:val="auto"/>
              </w:rPr>
            </w:pPr>
            <w:r>
              <w:rPr>
                <w:rFonts w:ascii="Arial" w:cs="Arial" w:eastAsia="Arial" w:hAnsi="Arial"/>
                <w:sz w:val="14"/>
                <w:szCs w:val="14"/>
                <w:color w:val="auto"/>
              </w:rPr>
              <w:t>Property and equipment, net . . . .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62,141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71,705</w:t>
            </w:r>
          </w:p>
        </w:tc>
        <w:tc>
          <w:tcPr>
            <w:tcW w:w="0" w:type="dxa"/>
            <w:vAlign w:val="bottom"/>
          </w:tcPr>
          <w:p>
            <w:pPr>
              <w:spacing w:after="0"/>
              <w:rPr>
                <w:sz w:val="1"/>
                <w:szCs w:val="1"/>
                <w:color w:val="auto"/>
              </w:rPr>
            </w:pPr>
          </w:p>
        </w:tc>
      </w:tr>
      <w:tr>
        <w:trPr>
          <w:trHeight w:val="162"/>
        </w:trPr>
        <w:tc>
          <w:tcPr>
            <w:tcW w:w="3060" w:type="dxa"/>
            <w:vAlign w:val="bottom"/>
          </w:tcPr>
          <w:p>
            <w:pPr>
              <w:jc w:val="right"/>
              <w:spacing w:after="0"/>
              <w:rPr>
                <w:sz w:val="20"/>
                <w:szCs w:val="20"/>
                <w:color w:val="auto"/>
              </w:rPr>
            </w:pPr>
            <w:r>
              <w:rPr>
                <w:rFonts w:ascii="Arial" w:cs="Arial" w:eastAsia="Arial" w:hAnsi="Arial"/>
                <w:sz w:val="14"/>
                <w:szCs w:val="14"/>
                <w:color w:val="auto"/>
              </w:rPr>
              <w:t>Operating lease right-of-use assets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28,706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20,376</w:t>
            </w:r>
          </w:p>
        </w:tc>
        <w:tc>
          <w:tcPr>
            <w:tcW w:w="0" w:type="dxa"/>
            <w:vAlign w:val="bottom"/>
          </w:tcPr>
          <w:p>
            <w:pPr>
              <w:spacing w:after="0"/>
              <w:rPr>
                <w:sz w:val="1"/>
                <w:szCs w:val="1"/>
                <w:color w:val="auto"/>
              </w:rPr>
            </w:pPr>
          </w:p>
        </w:tc>
      </w:tr>
      <w:tr>
        <w:trPr>
          <w:trHeight w:val="162"/>
        </w:trPr>
        <w:tc>
          <w:tcPr>
            <w:tcW w:w="3060" w:type="dxa"/>
            <w:vAlign w:val="bottom"/>
          </w:tcPr>
          <w:p>
            <w:pPr>
              <w:jc w:val="right"/>
              <w:spacing w:after="0"/>
              <w:rPr>
                <w:sz w:val="20"/>
                <w:szCs w:val="20"/>
                <w:color w:val="auto"/>
              </w:rPr>
            </w:pPr>
            <w:r>
              <w:rPr>
                <w:rFonts w:ascii="Arial" w:cs="Arial" w:eastAsia="Arial" w:hAnsi="Arial"/>
                <w:sz w:val="14"/>
                <w:szCs w:val="14"/>
                <w:color w:val="auto"/>
              </w:rPr>
              <w:t>Restricted cash . . . . . . . . . . . . .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2,772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1,979</w:t>
            </w:r>
          </w:p>
        </w:tc>
        <w:tc>
          <w:tcPr>
            <w:tcW w:w="0" w:type="dxa"/>
            <w:vAlign w:val="bottom"/>
          </w:tcPr>
          <w:p>
            <w:pPr>
              <w:spacing w:after="0"/>
              <w:rPr>
                <w:sz w:val="1"/>
                <w:szCs w:val="1"/>
                <w:color w:val="auto"/>
              </w:rPr>
            </w:pPr>
          </w:p>
        </w:tc>
      </w:tr>
      <w:tr>
        <w:trPr>
          <w:trHeight w:val="162"/>
        </w:trPr>
        <w:tc>
          <w:tcPr>
            <w:tcW w:w="3060" w:type="dxa"/>
            <w:vAlign w:val="bottom"/>
          </w:tcPr>
          <w:p>
            <w:pPr>
              <w:jc w:val="right"/>
              <w:spacing w:after="0"/>
              <w:rPr>
                <w:sz w:val="20"/>
                <w:szCs w:val="20"/>
                <w:color w:val="auto"/>
              </w:rPr>
            </w:pPr>
            <w:r>
              <w:rPr>
                <w:rFonts w:ascii="Arial" w:cs="Arial" w:eastAsia="Arial" w:hAnsi="Arial"/>
                <w:sz w:val="14"/>
                <w:szCs w:val="14"/>
                <w:color w:val="auto"/>
              </w:rPr>
              <w:t>Long-term investments . . . . . . . .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30,818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89,096</w:t>
            </w:r>
          </w:p>
        </w:tc>
        <w:tc>
          <w:tcPr>
            <w:tcW w:w="0" w:type="dxa"/>
            <w:vAlign w:val="bottom"/>
          </w:tcPr>
          <w:p>
            <w:pPr>
              <w:spacing w:after="0"/>
              <w:rPr>
                <w:sz w:val="1"/>
                <w:szCs w:val="1"/>
                <w:color w:val="auto"/>
              </w:rPr>
            </w:pPr>
          </w:p>
        </w:tc>
      </w:tr>
      <w:tr>
        <w:trPr>
          <w:trHeight w:val="162"/>
        </w:trPr>
        <w:tc>
          <w:tcPr>
            <w:tcW w:w="3060" w:type="dxa"/>
            <w:vAlign w:val="bottom"/>
          </w:tcPr>
          <w:p>
            <w:pPr>
              <w:jc w:val="right"/>
              <w:spacing w:after="0"/>
              <w:rPr>
                <w:sz w:val="20"/>
                <w:szCs w:val="20"/>
                <w:color w:val="auto"/>
              </w:rPr>
            </w:pPr>
            <w:r>
              <w:rPr>
                <w:rFonts w:ascii="Arial" w:cs="Arial" w:eastAsia="Arial" w:hAnsi="Arial"/>
                <w:sz w:val="14"/>
                <w:szCs w:val="14"/>
                <w:color w:val="auto"/>
              </w:rPr>
              <w:t>Intangible assets . . . . . . . . . . . .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34,200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60" w:type="dxa"/>
            <w:vAlign w:val="bottom"/>
          </w:tcPr>
          <w:p>
            <w:pPr>
              <w:jc w:val="right"/>
              <w:spacing w:after="0"/>
              <w:rPr>
                <w:sz w:val="20"/>
                <w:szCs w:val="20"/>
                <w:color w:val="auto"/>
              </w:rPr>
            </w:pPr>
            <w:r>
              <w:rPr>
                <w:rFonts w:ascii="Arial" w:cs="Arial" w:eastAsia="Arial" w:hAnsi="Arial"/>
                <w:sz w:val="14"/>
                <w:szCs w:val="14"/>
                <w:color w:val="auto"/>
              </w:rPr>
              <w:t>Security deposits and non-current assets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60"/>
        </w:trPr>
        <w:tc>
          <w:tcPr>
            <w:tcW w:w="3060" w:type="dxa"/>
            <w:vAlign w:val="bottom"/>
          </w:tcPr>
          <w:p>
            <w:pPr>
              <w:jc w:val="right"/>
              <w:spacing w:after="0" w:line="151" w:lineRule="exact"/>
              <w:rPr>
                <w:sz w:val="20"/>
                <w:szCs w:val="20"/>
                <w:color w:val="auto"/>
              </w:rPr>
            </w:pPr>
            <w:r>
              <w:rPr>
                <w:rFonts w:ascii="Arial" w:cs="Arial" w:eastAsia="Arial" w:hAnsi="Arial"/>
                <w:sz w:val="14"/>
                <w:szCs w:val="14"/>
                <w:color w:val="auto"/>
              </w:rPr>
              <w:t>. . . . . . . . . . . . . . . . . . . . . . . . . .</w:t>
            </w:r>
            <w:r>
              <w:rPr>
                <w:rFonts w:ascii="Arial" w:cs="Arial" w:eastAsia="Arial" w:hAnsi="Arial"/>
                <w:sz w:val="14"/>
                <w:szCs w:val="14"/>
                <w:b w:val="1"/>
                <w:bCs w:val="1"/>
                <w:color w:val="auto"/>
              </w:rPr>
              <w:t>Totalassets</w:t>
            </w:r>
          </w:p>
        </w:tc>
        <w:tc>
          <w:tcPr>
            <w:tcW w:w="3800" w:type="dxa"/>
            <w:vAlign w:val="bottom"/>
          </w:tcPr>
          <w:p>
            <w:pPr>
              <w:ind w:left="20"/>
              <w:spacing w:after="0" w:line="121" w:lineRule="exact"/>
              <w:rPr>
                <w:sz w:val="20"/>
                <w:szCs w:val="20"/>
                <w:color w:val="auto"/>
              </w:rPr>
            </w:pPr>
            <w:r>
              <w:rPr>
                <w:rFonts w:ascii="Arial" w:cs="Arial" w:eastAsia="Arial" w:hAnsi="Arial"/>
                <w:sz w:val="13"/>
                <w:szCs w:val="13"/>
                <w:color w:val="auto"/>
              </w:rPr>
              <w:t>. . . . . . . . . . . . . . . . . . . . . . . . . . . . . . . . . . . . . . . . . .</w:t>
            </w:r>
          </w:p>
        </w:tc>
        <w:tc>
          <w:tcPr>
            <w:tcW w:w="20" w:type="dxa"/>
            <w:vAlign w:val="bottom"/>
          </w:tcPr>
          <w:p>
            <w:pPr>
              <w:spacing w:after="0"/>
              <w:rPr>
                <w:sz w:val="13"/>
                <w:szCs w:val="13"/>
                <w:color w:val="auto"/>
              </w:rPr>
            </w:pPr>
          </w:p>
        </w:tc>
        <w:tc>
          <w:tcPr>
            <w:tcW w:w="400" w:type="dxa"/>
            <w:vAlign w:val="bottom"/>
            <w:tcBorders>
              <w:bottom w:val="single" w:sz="8" w:color="auto"/>
            </w:tcBorders>
          </w:tcPr>
          <w:p>
            <w:pPr>
              <w:jc w:val="right"/>
              <w:ind w:right="250"/>
              <w:spacing w:after="0" w:line="151"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353,216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bottom w:val="single" w:sz="8" w:color="auto"/>
            </w:tcBorders>
          </w:tcPr>
          <w:p>
            <w:pPr>
              <w:jc w:val="right"/>
              <w:ind w:right="250"/>
              <w:spacing w:after="0" w:line="151"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360,691</w:t>
            </w:r>
          </w:p>
        </w:tc>
        <w:tc>
          <w:tcPr>
            <w:tcW w:w="0" w:type="dxa"/>
            <w:vAlign w:val="bottom"/>
          </w:tcPr>
          <w:p>
            <w:pPr>
              <w:spacing w:after="0"/>
              <w:rPr>
                <w:sz w:val="1"/>
                <w:szCs w:val="1"/>
                <w:color w:val="auto"/>
              </w:rPr>
            </w:pPr>
          </w:p>
        </w:tc>
      </w:tr>
      <w:tr>
        <w:trPr>
          <w:trHeight w:val="346"/>
        </w:trPr>
        <w:tc>
          <w:tcPr>
            <w:tcW w:w="306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060" w:type="dxa"/>
            <w:vAlign w:val="bottom"/>
          </w:tcPr>
          <w:p>
            <w:pPr>
              <w:spacing w:after="0"/>
              <w:rPr>
                <w:sz w:val="20"/>
                <w:szCs w:val="20"/>
                <w:color w:val="auto"/>
              </w:rPr>
            </w:pPr>
            <w:r>
              <w:rPr>
                <w:rFonts w:ascii="Arial" w:cs="Arial" w:eastAsia="Arial" w:hAnsi="Arial"/>
                <w:sz w:val="14"/>
                <w:szCs w:val="14"/>
                <w:color w:val="auto"/>
              </w:rPr>
              <w:t>Current liabilities</w:t>
            </w: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60" w:type="dxa"/>
            <w:vAlign w:val="bottom"/>
          </w:tcPr>
          <w:p>
            <w:pPr>
              <w:jc w:val="right"/>
              <w:spacing w:after="0"/>
              <w:rPr>
                <w:sz w:val="20"/>
                <w:szCs w:val="20"/>
                <w:color w:val="auto"/>
              </w:rPr>
            </w:pPr>
            <w:r>
              <w:rPr>
                <w:rFonts w:ascii="Arial" w:cs="Arial" w:eastAsia="Arial" w:hAnsi="Arial"/>
                <w:sz w:val="14"/>
                <w:szCs w:val="14"/>
                <w:color w:val="auto"/>
              </w:rPr>
              <w:t>Accounts payable . . . . . . . . . . . . . . . . . . . . .</w:t>
            </w:r>
          </w:p>
        </w:tc>
        <w:tc>
          <w:tcPr>
            <w:tcW w:w="4220" w:type="dxa"/>
            <w:vAlign w:val="bottom"/>
            <w:gridSpan w:val="3"/>
          </w:tcPr>
          <w:p>
            <w:pPr>
              <w:ind w:left="20"/>
              <w:spacing w:after="0"/>
              <w:rPr>
                <w:sz w:val="20"/>
                <w:szCs w:val="20"/>
                <w:color w:val="auto"/>
              </w:rPr>
            </w:pPr>
            <w:r>
              <w:rPr>
                <w:rFonts w:ascii="Arial" w:cs="Arial" w:eastAsia="Arial" w:hAnsi="Arial"/>
                <w:sz w:val="14"/>
                <w:szCs w:val="14"/>
                <w:color w:val="auto"/>
              </w:rPr>
              <w:t>. . . . . . . . . . . . . . . . . . . . . . . . . . . . . . . . . . . . . . . . . .    $</w:t>
            </w:r>
          </w:p>
        </w:tc>
        <w:tc>
          <w:tcPr>
            <w:tcW w:w="920" w:type="dxa"/>
            <w:vAlign w:val="bottom"/>
          </w:tcPr>
          <w:p>
            <w:pPr>
              <w:jc w:val="right"/>
              <w:spacing w:after="0"/>
              <w:rPr>
                <w:sz w:val="20"/>
                <w:szCs w:val="20"/>
                <w:color w:val="auto"/>
              </w:rPr>
            </w:pPr>
            <w:r>
              <w:rPr>
                <w:rFonts w:ascii="Arial" w:cs="Arial" w:eastAsia="Arial" w:hAnsi="Arial"/>
                <w:sz w:val="14"/>
                <w:szCs w:val="14"/>
                <w:color w:val="auto"/>
              </w:rPr>
              <w:t>3,075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2,741</w:t>
            </w:r>
          </w:p>
        </w:tc>
        <w:tc>
          <w:tcPr>
            <w:tcW w:w="0" w:type="dxa"/>
            <w:vAlign w:val="bottom"/>
          </w:tcPr>
          <w:p>
            <w:pPr>
              <w:spacing w:after="0"/>
              <w:rPr>
                <w:sz w:val="1"/>
                <w:szCs w:val="1"/>
                <w:color w:val="auto"/>
              </w:rPr>
            </w:pPr>
          </w:p>
        </w:tc>
      </w:tr>
      <w:tr>
        <w:trPr>
          <w:trHeight w:val="162"/>
        </w:trPr>
        <w:tc>
          <w:tcPr>
            <w:tcW w:w="3060" w:type="dxa"/>
            <w:vAlign w:val="bottom"/>
          </w:tcPr>
          <w:p>
            <w:pPr>
              <w:jc w:val="right"/>
              <w:spacing w:after="0"/>
              <w:rPr>
                <w:sz w:val="20"/>
                <w:szCs w:val="20"/>
                <w:color w:val="auto"/>
              </w:rPr>
            </w:pPr>
            <w:r>
              <w:rPr>
                <w:rFonts w:ascii="Arial" w:cs="Arial" w:eastAsia="Arial" w:hAnsi="Arial"/>
                <w:sz w:val="14"/>
                <w:szCs w:val="14"/>
                <w:color w:val="auto"/>
              </w:rPr>
              <w:t>Accrued expenses and other liabilities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17,461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10,149</w:t>
            </w:r>
          </w:p>
        </w:tc>
        <w:tc>
          <w:tcPr>
            <w:tcW w:w="0" w:type="dxa"/>
            <w:vAlign w:val="bottom"/>
          </w:tcPr>
          <w:p>
            <w:pPr>
              <w:spacing w:after="0"/>
              <w:rPr>
                <w:sz w:val="1"/>
                <w:szCs w:val="1"/>
                <w:color w:val="auto"/>
              </w:rPr>
            </w:pPr>
          </w:p>
        </w:tc>
      </w:tr>
      <w:tr>
        <w:trPr>
          <w:trHeight w:val="162"/>
        </w:trPr>
        <w:tc>
          <w:tcPr>
            <w:tcW w:w="3060" w:type="dxa"/>
            <w:vAlign w:val="bottom"/>
          </w:tcPr>
          <w:p>
            <w:pPr>
              <w:jc w:val="right"/>
              <w:spacing w:after="0"/>
              <w:rPr>
                <w:sz w:val="20"/>
                <w:szCs w:val="20"/>
                <w:color w:val="auto"/>
              </w:rPr>
            </w:pPr>
            <w:r>
              <w:rPr>
                <w:rFonts w:ascii="Arial" w:cs="Arial" w:eastAsia="Arial" w:hAnsi="Arial"/>
                <w:sz w:val="14"/>
                <w:szCs w:val="14"/>
                <w:color w:val="auto"/>
              </w:rPr>
              <w:t>Deposit liability . . . . . . . . . . . .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76"/>
        </w:trPr>
        <w:tc>
          <w:tcPr>
            <w:tcW w:w="3060" w:type="dxa"/>
            <w:vAlign w:val="bottom"/>
          </w:tcPr>
          <w:p>
            <w:pPr>
              <w:jc w:val="right"/>
              <w:spacing w:after="0"/>
              <w:rPr>
                <w:sz w:val="20"/>
                <w:szCs w:val="20"/>
                <w:color w:val="auto"/>
              </w:rPr>
            </w:pPr>
            <w:r>
              <w:rPr>
                <w:rFonts w:ascii="Arial" w:cs="Arial" w:eastAsia="Arial" w:hAnsi="Arial"/>
                <w:sz w:val="14"/>
                <w:szCs w:val="14"/>
                <w:color w:val="auto"/>
              </w:rPr>
              <w:t>Deferred revenue, current . . . .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109,164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4,372</w:t>
            </w:r>
          </w:p>
        </w:tc>
        <w:tc>
          <w:tcPr>
            <w:tcW w:w="0" w:type="dxa"/>
            <w:vAlign w:val="bottom"/>
          </w:tcPr>
          <w:p>
            <w:pPr>
              <w:spacing w:after="0"/>
              <w:rPr>
                <w:sz w:val="1"/>
                <w:szCs w:val="1"/>
                <w:color w:val="auto"/>
              </w:rPr>
            </w:pPr>
          </w:p>
        </w:tc>
      </w:tr>
      <w:tr>
        <w:trPr>
          <w:trHeight w:val="189"/>
        </w:trPr>
        <w:tc>
          <w:tcPr>
            <w:tcW w:w="3060" w:type="dxa"/>
            <w:vAlign w:val="bottom"/>
          </w:tcPr>
          <w:p>
            <w:pPr>
              <w:jc w:val="right"/>
              <w:spacing w:after="0"/>
              <w:rPr>
                <w:sz w:val="20"/>
                <w:szCs w:val="20"/>
                <w:color w:val="auto"/>
              </w:rPr>
            </w:pPr>
            <w:r>
              <w:rPr>
                <w:rFonts w:ascii="Arial" w:cs="Arial" w:eastAsia="Arial" w:hAnsi="Arial"/>
                <w:sz w:val="14"/>
                <w:szCs w:val="14"/>
                <w:color w:val="auto"/>
              </w:rPr>
              <w:t>. . . . . . . . . . . . . . . . . . . .Totalcurrentliabilities</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129,782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17,846</w:t>
            </w:r>
          </w:p>
        </w:tc>
        <w:tc>
          <w:tcPr>
            <w:tcW w:w="0" w:type="dxa"/>
            <w:vAlign w:val="bottom"/>
          </w:tcPr>
          <w:p>
            <w:pPr>
              <w:spacing w:after="0"/>
              <w:rPr>
                <w:sz w:val="1"/>
                <w:szCs w:val="1"/>
                <w:color w:val="auto"/>
              </w:rPr>
            </w:pPr>
          </w:p>
        </w:tc>
      </w:tr>
      <w:tr>
        <w:trPr>
          <w:trHeight w:val="273"/>
        </w:trPr>
        <w:tc>
          <w:tcPr>
            <w:tcW w:w="3060" w:type="dxa"/>
            <w:vAlign w:val="bottom"/>
          </w:tcPr>
          <w:p>
            <w:pPr>
              <w:jc w:val="right"/>
              <w:spacing w:after="0"/>
              <w:rPr>
                <w:sz w:val="20"/>
                <w:szCs w:val="20"/>
                <w:color w:val="auto"/>
              </w:rPr>
            </w:pPr>
            <w:r>
              <w:rPr>
                <w:rFonts w:ascii="Arial" w:cs="Arial" w:eastAsia="Arial" w:hAnsi="Arial"/>
                <w:sz w:val="14"/>
                <w:szCs w:val="14"/>
                <w:color w:val="auto"/>
              </w:rPr>
              <w:t>Operating lease liability, long term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48,960</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46,658</w:t>
            </w:r>
          </w:p>
        </w:tc>
        <w:tc>
          <w:tcPr>
            <w:tcW w:w="0" w:type="dxa"/>
            <w:vAlign w:val="bottom"/>
          </w:tcPr>
          <w:p>
            <w:pPr>
              <w:spacing w:after="0"/>
              <w:rPr>
                <w:sz w:val="1"/>
                <w:szCs w:val="1"/>
                <w:color w:val="auto"/>
              </w:rPr>
            </w:pPr>
          </w:p>
        </w:tc>
      </w:tr>
      <w:tr>
        <w:trPr>
          <w:trHeight w:val="162"/>
        </w:trPr>
        <w:tc>
          <w:tcPr>
            <w:tcW w:w="3060" w:type="dxa"/>
            <w:vAlign w:val="bottom"/>
          </w:tcPr>
          <w:p>
            <w:pPr>
              <w:jc w:val="right"/>
              <w:spacing w:after="0"/>
              <w:rPr>
                <w:sz w:val="20"/>
                <w:szCs w:val="20"/>
                <w:color w:val="auto"/>
              </w:rPr>
            </w:pPr>
            <w:r>
              <w:rPr>
                <w:rFonts w:ascii="Arial" w:cs="Arial" w:eastAsia="Arial" w:hAnsi="Arial"/>
                <w:sz w:val="14"/>
                <w:szCs w:val="14"/>
                <w:color w:val="auto"/>
              </w:rPr>
              <w:t>Deposit liability, non-current . . . .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2"/>
        </w:trPr>
        <w:tc>
          <w:tcPr>
            <w:tcW w:w="3060" w:type="dxa"/>
            <w:vAlign w:val="bottom"/>
          </w:tcPr>
          <w:p>
            <w:pPr>
              <w:jc w:val="right"/>
              <w:spacing w:after="0"/>
              <w:rPr>
                <w:sz w:val="20"/>
                <w:szCs w:val="20"/>
                <w:color w:val="auto"/>
              </w:rPr>
            </w:pPr>
            <w:r>
              <w:rPr>
                <w:rFonts w:ascii="Arial" w:cs="Arial" w:eastAsia="Arial" w:hAnsi="Arial"/>
                <w:sz w:val="14"/>
                <w:szCs w:val="14"/>
                <w:color w:val="auto"/>
              </w:rPr>
              <w:t>Deferred revenue, non-current . . .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111,381</w:t>
            </w:r>
          </w:p>
        </w:tc>
        <w:tc>
          <w:tcPr>
            <w:tcW w:w="0" w:type="dxa"/>
            <w:vAlign w:val="bottom"/>
          </w:tcPr>
          <w:p>
            <w:pPr>
              <w:spacing w:after="0"/>
              <w:rPr>
                <w:sz w:val="1"/>
                <w:szCs w:val="1"/>
                <w:color w:val="auto"/>
              </w:rPr>
            </w:pPr>
          </w:p>
        </w:tc>
      </w:tr>
      <w:tr>
        <w:trPr>
          <w:trHeight w:val="162"/>
        </w:trPr>
        <w:tc>
          <w:tcPr>
            <w:tcW w:w="3060" w:type="dxa"/>
            <w:vAlign w:val="bottom"/>
          </w:tcPr>
          <w:p>
            <w:pPr>
              <w:jc w:val="right"/>
              <w:spacing w:after="0"/>
              <w:rPr>
                <w:sz w:val="20"/>
                <w:szCs w:val="20"/>
                <w:color w:val="auto"/>
              </w:rPr>
            </w:pPr>
            <w:r>
              <w:rPr>
                <w:rFonts w:ascii="Arial" w:cs="Arial" w:eastAsia="Arial" w:hAnsi="Arial"/>
                <w:sz w:val="14"/>
                <w:szCs w:val="14"/>
                <w:color w:val="auto"/>
              </w:rPr>
              <w:t>Contingent consideration liability .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8,738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60" w:type="dxa"/>
            <w:vAlign w:val="bottom"/>
          </w:tcPr>
          <w:p>
            <w:pPr>
              <w:jc w:val="right"/>
              <w:spacing w:after="0"/>
              <w:rPr>
                <w:sz w:val="20"/>
                <w:szCs w:val="20"/>
                <w:color w:val="auto"/>
              </w:rPr>
            </w:pPr>
            <w:r>
              <w:rPr>
                <w:rFonts w:ascii="Arial" w:cs="Arial" w:eastAsia="Arial" w:hAnsi="Arial"/>
                <w:sz w:val="14"/>
                <w:szCs w:val="14"/>
                <w:color w:val="auto"/>
              </w:rPr>
              <w:t>Deferred tax liability . . . . . . . . . .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4"/>
        </w:trPr>
        <w:tc>
          <w:tcPr>
            <w:tcW w:w="3060" w:type="dxa"/>
            <w:vAlign w:val="bottom"/>
          </w:tcPr>
          <w:p>
            <w:pPr>
              <w:jc w:val="right"/>
              <w:spacing w:after="0"/>
              <w:rPr>
                <w:sz w:val="20"/>
                <w:szCs w:val="20"/>
                <w:color w:val="auto"/>
              </w:rPr>
            </w:pPr>
            <w:r>
              <w:rPr>
                <w:rFonts w:ascii="Arial" w:cs="Arial" w:eastAsia="Arial" w:hAnsi="Arial"/>
                <w:sz w:val="14"/>
                <w:szCs w:val="14"/>
                <w:b w:val="1"/>
                <w:bCs w:val="1"/>
                <w:color w:val="auto"/>
              </w:rPr>
              <w:t xml:space="preserve">Total liabilities </w:t>
            </w:r>
            <w:r>
              <w:rPr>
                <w:rFonts w:ascii="Arial" w:cs="Arial" w:eastAsia="Arial" w:hAnsi="Arial"/>
                <w:sz w:val="14"/>
                <w:szCs w:val="14"/>
                <w:color w:val="auto"/>
              </w:rPr>
              <w:t>. . . . . . . . . . . . .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191,854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175,941</w:t>
            </w:r>
          </w:p>
        </w:tc>
        <w:tc>
          <w:tcPr>
            <w:tcW w:w="0" w:type="dxa"/>
            <w:vAlign w:val="bottom"/>
          </w:tcPr>
          <w:p>
            <w:pPr>
              <w:spacing w:after="0"/>
              <w:rPr>
                <w:sz w:val="1"/>
                <w:szCs w:val="1"/>
                <w:color w:val="auto"/>
              </w:rPr>
            </w:pPr>
          </w:p>
        </w:tc>
      </w:tr>
      <w:tr>
        <w:trPr>
          <w:trHeight w:val="301"/>
        </w:trPr>
        <w:tc>
          <w:tcPr>
            <w:tcW w:w="3060" w:type="dxa"/>
            <w:vAlign w:val="bottom"/>
          </w:tcPr>
          <w:p>
            <w:pPr>
              <w:spacing w:after="0"/>
              <w:rPr>
                <w:sz w:val="20"/>
                <w:szCs w:val="20"/>
                <w:color w:val="auto"/>
              </w:rPr>
            </w:pPr>
            <w:r>
              <w:rPr>
                <w:rFonts w:ascii="Arial" w:cs="Arial" w:eastAsia="Arial" w:hAnsi="Arial"/>
                <w:sz w:val="14"/>
                <w:szCs w:val="14"/>
                <w:color w:val="auto"/>
              </w:rPr>
              <w:t>Commitments and contingencies (Note 10)</w:t>
            </w: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20"/>
                <w:szCs w:val="20"/>
                <w:color w:val="auto"/>
              </w:rPr>
            </w:pPr>
            <w:r>
              <w:rPr>
                <w:rFonts w:ascii="Arial" w:cs="Arial" w:eastAsia="Arial" w:hAnsi="Arial"/>
                <w:sz w:val="14"/>
                <w:szCs w:val="14"/>
                <w:color w:val="auto"/>
              </w:rPr>
              <w:t>Stockholders' equity:</w:t>
            </w:r>
          </w:p>
        </w:tc>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80" w:type="dxa"/>
            <w:vAlign w:val="bottom"/>
            <w:gridSpan w:val="4"/>
          </w:tcPr>
          <w:p>
            <w:pPr>
              <w:spacing w:after="0"/>
              <w:rPr>
                <w:sz w:val="20"/>
                <w:szCs w:val="20"/>
                <w:color w:val="auto"/>
              </w:rPr>
            </w:pPr>
            <w:r>
              <w:rPr>
                <w:rFonts w:ascii="Arial" w:cs="Arial" w:eastAsia="Arial" w:hAnsi="Arial"/>
                <w:sz w:val="14"/>
                <w:szCs w:val="14"/>
                <w:color w:val="auto"/>
              </w:rPr>
              <w:t>Preferred stock, $ 0.0001 par value, 10,000,000 shares authorized and 0 shares</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280" w:type="dxa"/>
            <w:vAlign w:val="bottom"/>
            <w:gridSpan w:val="4"/>
          </w:tcPr>
          <w:p>
            <w:pPr>
              <w:spacing w:after="0"/>
              <w:rPr>
                <w:sz w:val="20"/>
                <w:szCs w:val="20"/>
                <w:color w:val="auto"/>
              </w:rPr>
            </w:pPr>
            <w:r>
              <w:rPr>
                <w:rFonts w:ascii="Arial" w:cs="Arial" w:eastAsia="Arial" w:hAnsi="Arial"/>
                <w:sz w:val="14"/>
                <w:szCs w:val="14"/>
                <w:color w:val="auto"/>
              </w:rPr>
              <w:t>issued and outstanding at December 31, 2024 and December 31, 2023,</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jc w:val="right"/>
              <w:spacing w:after="0"/>
              <w:rPr>
                <w:sz w:val="20"/>
                <w:szCs w:val="20"/>
                <w:color w:val="auto"/>
              </w:rPr>
            </w:pPr>
            <w:r>
              <w:rPr>
                <w:rFonts w:ascii="Arial" w:cs="Arial" w:eastAsia="Arial" w:hAnsi="Arial"/>
                <w:sz w:val="14"/>
                <w:szCs w:val="14"/>
                <w:color w:val="auto"/>
              </w:rPr>
              <w:t>respectively . . . . . . . . . . . . . . . .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60" w:type="dxa"/>
            <w:vAlign w:val="bottom"/>
          </w:tcPr>
          <w:p>
            <w:pPr>
              <w:spacing w:after="0"/>
              <w:rPr>
                <w:sz w:val="20"/>
                <w:szCs w:val="20"/>
                <w:color w:val="auto"/>
              </w:rPr>
            </w:pPr>
            <w:r>
              <w:rPr>
                <w:rFonts w:ascii="Arial" w:cs="Arial" w:eastAsia="Arial" w:hAnsi="Arial"/>
                <w:sz w:val="14"/>
                <w:szCs w:val="14"/>
                <w:color w:val="auto"/>
              </w:rPr>
              <w:t>Common stock, $0.0001 par value, 300,000,000</w:t>
            </w:r>
          </w:p>
        </w:tc>
        <w:tc>
          <w:tcPr>
            <w:tcW w:w="4220" w:type="dxa"/>
            <w:vAlign w:val="bottom"/>
            <w:gridSpan w:val="3"/>
          </w:tcPr>
          <w:p>
            <w:pPr>
              <w:spacing w:after="0"/>
              <w:rPr>
                <w:sz w:val="20"/>
                <w:szCs w:val="20"/>
                <w:color w:val="auto"/>
              </w:rPr>
            </w:pPr>
            <w:r>
              <w:rPr>
                <w:rFonts w:ascii="Arial" w:cs="Arial" w:eastAsia="Arial" w:hAnsi="Arial"/>
                <w:sz w:val="14"/>
                <w:szCs w:val="14"/>
                <w:color w:val="auto"/>
              </w:rPr>
              <w:t>shares authorized; 85,836,429</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280" w:type="dxa"/>
            <w:vAlign w:val="bottom"/>
            <w:gridSpan w:val="4"/>
          </w:tcPr>
          <w:p>
            <w:pPr>
              <w:spacing w:after="0"/>
              <w:rPr>
                <w:sz w:val="20"/>
                <w:szCs w:val="20"/>
                <w:color w:val="auto"/>
              </w:rPr>
            </w:pPr>
            <w:r>
              <w:rPr>
                <w:rFonts w:ascii="Arial" w:cs="Arial" w:eastAsia="Arial" w:hAnsi="Arial"/>
                <w:sz w:val="14"/>
                <w:szCs w:val="14"/>
                <w:color w:val="auto"/>
              </w:rPr>
              <w:t>and 60,335,701 shares issued and outstanding at December 31, 2024 and</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60" w:type="dxa"/>
            <w:vAlign w:val="bottom"/>
          </w:tcPr>
          <w:p>
            <w:pPr>
              <w:jc w:val="right"/>
              <w:spacing w:after="0"/>
              <w:rPr>
                <w:sz w:val="20"/>
                <w:szCs w:val="20"/>
                <w:color w:val="auto"/>
              </w:rPr>
            </w:pPr>
            <w:r>
              <w:rPr>
                <w:rFonts w:ascii="Arial" w:cs="Arial" w:eastAsia="Arial" w:hAnsi="Arial"/>
                <w:sz w:val="14"/>
                <w:szCs w:val="14"/>
                <w:color w:val="auto"/>
              </w:rPr>
              <w:t>December 31, 2023, respectively .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3060" w:type="dxa"/>
            <w:vAlign w:val="bottom"/>
          </w:tcPr>
          <w:p>
            <w:pPr>
              <w:jc w:val="right"/>
              <w:spacing w:after="0"/>
              <w:rPr>
                <w:sz w:val="20"/>
                <w:szCs w:val="20"/>
                <w:color w:val="auto"/>
              </w:rPr>
            </w:pPr>
            <w:r>
              <w:rPr>
                <w:rFonts w:ascii="Arial" w:cs="Arial" w:eastAsia="Arial" w:hAnsi="Arial"/>
                <w:sz w:val="14"/>
                <w:szCs w:val="14"/>
                <w:color w:val="auto"/>
              </w:rPr>
              <w:t>Additional paid-in capital . . . . . . .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943,366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840,407</w:t>
            </w:r>
          </w:p>
        </w:tc>
        <w:tc>
          <w:tcPr>
            <w:tcW w:w="0" w:type="dxa"/>
            <w:vAlign w:val="bottom"/>
          </w:tcPr>
          <w:p>
            <w:pPr>
              <w:spacing w:after="0"/>
              <w:rPr>
                <w:sz w:val="1"/>
                <w:szCs w:val="1"/>
                <w:color w:val="auto"/>
              </w:rPr>
            </w:pPr>
          </w:p>
        </w:tc>
      </w:tr>
      <w:tr>
        <w:trPr>
          <w:trHeight w:val="162"/>
        </w:trPr>
        <w:tc>
          <w:tcPr>
            <w:tcW w:w="3060" w:type="dxa"/>
            <w:vAlign w:val="bottom"/>
          </w:tcPr>
          <w:p>
            <w:pPr>
              <w:jc w:val="right"/>
              <w:spacing w:after="0"/>
              <w:rPr>
                <w:sz w:val="20"/>
                <w:szCs w:val="20"/>
                <w:color w:val="auto"/>
              </w:rPr>
            </w:pPr>
            <w:r>
              <w:rPr>
                <w:rFonts w:ascii="Arial" w:cs="Arial" w:eastAsia="Arial" w:hAnsi="Arial"/>
                <w:sz w:val="14"/>
                <w:szCs w:val="14"/>
                <w:color w:val="auto"/>
              </w:rPr>
              <w:t>Accumulated deficit . . . . . . . . . . . . . . . .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(782,337)</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(655,771)</w:t>
            </w:r>
          </w:p>
        </w:tc>
        <w:tc>
          <w:tcPr>
            <w:tcW w:w="0" w:type="dxa"/>
            <w:vAlign w:val="bottom"/>
          </w:tcPr>
          <w:p>
            <w:pPr>
              <w:spacing w:after="0"/>
              <w:rPr>
                <w:sz w:val="1"/>
                <w:szCs w:val="1"/>
                <w:color w:val="auto"/>
              </w:rPr>
            </w:pPr>
          </w:p>
        </w:tc>
      </w:tr>
      <w:tr>
        <w:trPr>
          <w:trHeight w:val="177"/>
        </w:trPr>
        <w:tc>
          <w:tcPr>
            <w:tcW w:w="3060" w:type="dxa"/>
            <w:vAlign w:val="bottom"/>
          </w:tcPr>
          <w:p>
            <w:pPr>
              <w:jc w:val="right"/>
              <w:spacing w:after="0"/>
              <w:rPr>
                <w:sz w:val="20"/>
                <w:szCs w:val="20"/>
                <w:color w:val="auto"/>
              </w:rPr>
            </w:pPr>
            <w:r>
              <w:rPr>
                <w:rFonts w:ascii="Arial" w:cs="Arial" w:eastAsia="Arial" w:hAnsi="Arial"/>
                <w:sz w:val="14"/>
                <w:szCs w:val="14"/>
                <w:color w:val="auto"/>
                <w:w w:val="99"/>
              </w:rPr>
              <w:t>Accumulated other comprehensive Income . . . . .</w:t>
            </w:r>
          </w:p>
        </w:tc>
        <w:tc>
          <w:tcPr>
            <w:tcW w:w="3800" w:type="dxa"/>
            <w:vAlign w:val="bottom"/>
          </w:tcPr>
          <w:p>
            <w:pPr>
              <w:ind w:left="20"/>
              <w:spacing w:after="0"/>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53"/>
        </w:trPr>
        <w:tc>
          <w:tcPr>
            <w:tcW w:w="3060" w:type="dxa"/>
            <w:vAlign w:val="bottom"/>
          </w:tcPr>
          <w:p>
            <w:pPr>
              <w:jc w:val="right"/>
              <w:spacing w:after="0" w:line="153" w:lineRule="exact"/>
              <w:rPr>
                <w:sz w:val="20"/>
                <w:szCs w:val="20"/>
                <w:color w:val="auto"/>
              </w:rPr>
            </w:pPr>
            <w:r>
              <w:rPr>
                <w:rFonts w:ascii="Arial" w:cs="Arial" w:eastAsia="Arial" w:hAnsi="Arial"/>
                <w:sz w:val="14"/>
                <w:szCs w:val="14"/>
                <w:color w:val="auto"/>
              </w:rPr>
              <w:t>. . . . . . . . . . . . . . .</w:t>
            </w:r>
            <w:r>
              <w:rPr>
                <w:rFonts w:ascii="Arial" w:cs="Arial" w:eastAsia="Arial" w:hAnsi="Arial"/>
                <w:sz w:val="14"/>
                <w:szCs w:val="14"/>
                <w:b w:val="1"/>
                <w:bCs w:val="1"/>
                <w:color w:val="auto"/>
              </w:rPr>
              <w:t>Totalstockholders’equity</w:t>
            </w:r>
          </w:p>
        </w:tc>
        <w:tc>
          <w:tcPr>
            <w:tcW w:w="3800" w:type="dxa"/>
            <w:vAlign w:val="bottom"/>
          </w:tcPr>
          <w:p>
            <w:pPr>
              <w:ind w:left="20"/>
              <w:spacing w:after="0" w:line="153" w:lineRule="exact"/>
              <w:rPr>
                <w:sz w:val="20"/>
                <w:szCs w:val="20"/>
                <w:color w:val="auto"/>
              </w:rPr>
            </w:pPr>
            <w:r>
              <w:rPr>
                <w:rFonts w:ascii="Arial" w:cs="Arial" w:eastAsia="Arial" w:hAnsi="Arial"/>
                <w:sz w:val="14"/>
                <w:szCs w:val="14"/>
                <w:color w:val="auto"/>
              </w:rPr>
              <w:t>. . . . . . . . . . . . . . . . . . . . . . . . . . . . . . . . . . . . . . . . . .</w:t>
            </w:r>
          </w:p>
        </w:tc>
        <w:tc>
          <w:tcPr>
            <w:tcW w:w="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161,362</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184,750</w:t>
            </w:r>
          </w:p>
        </w:tc>
        <w:tc>
          <w:tcPr>
            <w:tcW w:w="0" w:type="dxa"/>
            <w:vAlign w:val="bottom"/>
          </w:tcPr>
          <w:p>
            <w:pPr>
              <w:spacing w:after="0"/>
              <w:rPr>
                <w:sz w:val="1"/>
                <w:szCs w:val="1"/>
                <w:color w:val="auto"/>
              </w:rPr>
            </w:pPr>
          </w:p>
        </w:tc>
      </w:tr>
      <w:tr>
        <w:trPr>
          <w:trHeight w:val="162"/>
        </w:trPr>
        <w:tc>
          <w:tcPr>
            <w:tcW w:w="3060" w:type="dxa"/>
            <w:vAlign w:val="bottom"/>
          </w:tcPr>
          <w:p>
            <w:pPr>
              <w:jc w:val="right"/>
              <w:spacing w:after="0" w:line="153" w:lineRule="exact"/>
              <w:rPr>
                <w:sz w:val="20"/>
                <w:szCs w:val="20"/>
                <w:color w:val="auto"/>
              </w:rPr>
            </w:pPr>
            <w:r>
              <w:rPr>
                <w:rFonts w:ascii="Arial" w:cs="Arial" w:eastAsia="Arial" w:hAnsi="Arial"/>
                <w:sz w:val="14"/>
                <w:szCs w:val="14"/>
                <w:color w:val="auto"/>
              </w:rPr>
              <w:t>. . . .</w:t>
            </w:r>
            <w:r>
              <w:rPr>
                <w:rFonts w:ascii="Arial" w:cs="Arial" w:eastAsia="Arial" w:hAnsi="Arial"/>
                <w:sz w:val="14"/>
                <w:szCs w:val="14"/>
                <w:b w:val="1"/>
                <w:bCs w:val="1"/>
                <w:color w:val="auto"/>
              </w:rPr>
              <w:t>Totalliabilitiesandstockholders’equity</w:t>
            </w:r>
          </w:p>
        </w:tc>
        <w:tc>
          <w:tcPr>
            <w:tcW w:w="3800" w:type="dxa"/>
            <w:vAlign w:val="bottom"/>
          </w:tcPr>
          <w:p>
            <w:pPr>
              <w:ind w:left="20"/>
              <w:spacing w:after="0" w:line="121" w:lineRule="exact"/>
              <w:rPr>
                <w:sz w:val="20"/>
                <w:szCs w:val="20"/>
                <w:color w:val="auto"/>
              </w:rPr>
            </w:pPr>
            <w:r>
              <w:rPr>
                <w:rFonts w:ascii="Arial" w:cs="Arial" w:eastAsia="Arial" w:hAnsi="Arial"/>
                <w:sz w:val="13"/>
                <w:szCs w:val="13"/>
                <w:color w:val="auto"/>
              </w:rPr>
              <w:t>. . . . . . . . . . . . . . . . . . . . . . . . . . . . . . . . . . . . . . . . . .</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50"/>
              <w:spacing w:after="0" w:line="153"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353,216</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50"/>
              <w:spacing w:after="0" w:line="153"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360,691</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ectPr>
          <w:pgSz w:w="11880" w:h="15480" w:orient="portrait"/>
          <w:cols w:equalWidth="0" w:num="1">
            <w:col w:w="9720"/>
          </w:cols>
          <w:pgMar w:left="1080" w:top="1059"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133</w:t>
      </w:r>
    </w:p>
    <w:p>
      <w:pPr>
        <w:sectPr>
          <w:pgSz w:w="11880" w:h="15480" w:orient="portrait"/>
          <w:cols w:equalWidth="0" w:num="1">
            <w:col w:w="9720"/>
          </w:cols>
          <w:pgMar w:left="1080" w:top="1059" w:right="1080" w:bottom="554"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24"/>
          <w:szCs w:val="24"/>
          <w:b w:val="1"/>
          <w:bCs w:val="1"/>
          <w:color w:val="auto"/>
        </w:rPr>
        <w:t>CENTURY THERAPEUTICS,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24"/>
          <w:szCs w:val="24"/>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3"/>
          </w:tcPr>
          <w:p>
            <w:pPr>
              <w:ind w:left="20"/>
              <w:spacing w:after="0" w:line="181" w:lineRule="exact"/>
              <w:rPr>
                <w:sz w:val="20"/>
                <w:szCs w:val="20"/>
                <w:color w:val="auto"/>
              </w:rPr>
            </w:pPr>
            <w:r>
              <w:rPr>
                <w:rFonts w:ascii="Arial" w:cs="Arial" w:eastAsia="Arial" w:hAnsi="Arial"/>
                <w:sz w:val="16"/>
                <w:szCs w:val="16"/>
                <w:color w:val="auto"/>
              </w:rPr>
              <w:t>For the Year Ended</w:t>
            </w:r>
          </w:p>
        </w:tc>
        <w:tc>
          <w:tcPr>
            <w:tcW w:w="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right"/>
              <w:spacing w:after="0" w:line="181" w:lineRule="exact"/>
              <w:rPr>
                <w:sz w:val="20"/>
                <w:szCs w:val="20"/>
                <w:color w:val="auto"/>
              </w:rPr>
            </w:pPr>
            <w:r>
              <w:rPr>
                <w:rFonts w:ascii="Arial" w:cs="Arial" w:eastAsia="Arial" w:hAnsi="Arial"/>
                <w:sz w:val="16"/>
                <w:szCs w:val="16"/>
                <w:color w:val="auto"/>
              </w:rPr>
              <w:t>For the Year Ended</w:t>
            </w:r>
          </w:p>
        </w:tc>
        <w:tc>
          <w:tcPr>
            <w:tcW w:w="20" w:type="dxa"/>
            <w:vAlign w:val="bottom"/>
          </w:tcPr>
          <w:p>
            <w:pPr>
              <w:spacing w:after="0"/>
              <w:rPr>
                <w:sz w:val="15"/>
                <w:szCs w:val="15"/>
                <w:color w:val="auto"/>
              </w:rPr>
            </w:pPr>
          </w:p>
        </w:tc>
      </w:tr>
      <w:tr>
        <w:trPr>
          <w:trHeight w:val="200"/>
        </w:trPr>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December 31, 2024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December 31, 2023</w:t>
            </w:r>
          </w:p>
        </w:tc>
        <w:tc>
          <w:tcPr>
            <w:tcW w:w="20" w:type="dxa"/>
            <w:vAlign w:val="bottom"/>
          </w:tcPr>
          <w:p>
            <w:pPr>
              <w:spacing w:after="0"/>
              <w:rPr>
                <w:sz w:val="17"/>
                <w:szCs w:val="17"/>
                <w:color w:val="auto"/>
              </w:rPr>
            </w:pPr>
          </w:p>
        </w:tc>
      </w:tr>
      <w:tr>
        <w:trPr>
          <w:trHeight w:val="436"/>
        </w:trPr>
        <w:tc>
          <w:tcPr>
            <w:tcW w:w="6560" w:type="dxa"/>
            <w:vAlign w:val="bottom"/>
            <w:gridSpan w:val="2"/>
          </w:tcPr>
          <w:p>
            <w:pPr>
              <w:spacing w:after="0"/>
              <w:rPr>
                <w:sz w:val="20"/>
                <w:szCs w:val="20"/>
                <w:color w:val="auto"/>
              </w:rPr>
            </w:pPr>
            <w:r>
              <w:rPr>
                <w:rFonts w:ascii="Arial" w:cs="Arial" w:eastAsia="Arial" w:hAnsi="Arial"/>
                <w:sz w:val="20"/>
                <w:szCs w:val="20"/>
                <w:b w:val="1"/>
                <w:bCs w:val="1"/>
                <w:color w:val="auto"/>
                <w:w w:val="98"/>
              </w:rPr>
              <w:t xml:space="preserve">Collaboration revenue </w:t>
            </w:r>
            <w:r>
              <w:rPr>
                <w:rFonts w:ascii="Arial" w:cs="Arial" w:eastAsia="Arial" w:hAnsi="Arial"/>
                <w:sz w:val="20"/>
                <w:szCs w:val="20"/>
                <w:color w:val="auto"/>
                <w:w w:val="98"/>
              </w:rPr>
              <w:t>. . . . . . . . . . . . . . . . . . . . . . . . . . . . . . . . . . . . . . . . .</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6,589</w:t>
            </w:r>
          </w:p>
        </w:tc>
        <w:tc>
          <w:tcPr>
            <w:tcW w:w="16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2,235</w:t>
            </w:r>
          </w:p>
        </w:tc>
        <w:tc>
          <w:tcPr>
            <w:tcW w:w="20" w:type="dxa"/>
            <w:vAlign w:val="bottom"/>
          </w:tcPr>
          <w:p>
            <w:pPr>
              <w:spacing w:after="0"/>
              <w:rPr>
                <w:sz w:val="24"/>
                <w:szCs w:val="24"/>
                <w:color w:val="auto"/>
              </w:rPr>
            </w:pPr>
          </w:p>
        </w:tc>
      </w:tr>
      <w:tr>
        <w:trPr>
          <w:trHeight w:val="412"/>
        </w:trPr>
        <w:tc>
          <w:tcPr>
            <w:tcW w:w="6560" w:type="dxa"/>
            <w:vAlign w:val="bottom"/>
            <w:gridSpan w:val="2"/>
          </w:tcPr>
          <w:p>
            <w:pPr>
              <w:spacing w:after="0"/>
              <w:rPr>
                <w:sz w:val="20"/>
                <w:szCs w:val="20"/>
                <w:color w:val="auto"/>
              </w:rPr>
            </w:pPr>
            <w:r>
              <w:rPr>
                <w:rFonts w:ascii="Arial" w:cs="Arial" w:eastAsia="Arial" w:hAnsi="Arial"/>
                <w:sz w:val="20"/>
                <w:szCs w:val="20"/>
                <w:b w:val="1"/>
                <w:bCs w:val="1"/>
                <w:color w:val="auto"/>
              </w:rPr>
              <w:t>Operating expenses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20"/>
                <w:szCs w:val="20"/>
                <w:color w:val="auto"/>
                <w:w w:val="98"/>
              </w:rPr>
              <w:t>Research and development . . . . . . . . . . . . . . . . . . . . . . . . . . . . . . . . . . . . . .</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107,244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92,710</w:t>
            </w:r>
          </w:p>
        </w:tc>
        <w:tc>
          <w:tcPr>
            <w:tcW w:w="20" w:type="dxa"/>
            <w:vAlign w:val="bottom"/>
          </w:tcPr>
          <w:p>
            <w:pPr>
              <w:spacing w:after="0"/>
              <w:rPr>
                <w:sz w:val="20"/>
                <w:szCs w:val="20"/>
                <w:color w:val="auto"/>
              </w:rPr>
            </w:pPr>
          </w:p>
        </w:tc>
      </w:tr>
      <w:tr>
        <w:trPr>
          <w:trHeight w:val="232"/>
        </w:trPr>
        <w:tc>
          <w:tcPr>
            <w:tcW w:w="6560" w:type="dxa"/>
            <w:vAlign w:val="bottom"/>
            <w:gridSpan w:val="2"/>
          </w:tcPr>
          <w:p>
            <w:pPr>
              <w:spacing w:after="0"/>
              <w:rPr>
                <w:sz w:val="20"/>
                <w:szCs w:val="20"/>
                <w:color w:val="auto"/>
              </w:rPr>
            </w:pPr>
            <w:r>
              <w:rPr>
                <w:rFonts w:ascii="Arial" w:cs="Arial" w:eastAsia="Arial" w:hAnsi="Arial"/>
                <w:sz w:val="20"/>
                <w:szCs w:val="20"/>
                <w:color w:val="auto"/>
                <w:w w:val="98"/>
              </w:rPr>
              <w:t>General and administrative . . . . . . . . . . . . . . . . . . . . . . . . . . . . . . . . . . . . . .</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33,155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34,706</w:t>
            </w:r>
          </w:p>
        </w:tc>
        <w:tc>
          <w:tcPr>
            <w:tcW w:w="20" w:type="dxa"/>
            <w:vAlign w:val="bottom"/>
          </w:tcPr>
          <w:p>
            <w:pPr>
              <w:spacing w:after="0"/>
              <w:rPr>
                <w:sz w:val="20"/>
                <w:szCs w:val="20"/>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20"/>
                <w:szCs w:val="20"/>
                <w:color w:val="auto"/>
                <w:w w:val="99"/>
              </w:rPr>
              <w:t>In-process research and development . . . . . . . . . . . . . . . . . . . . . . . . . . . . .</w:t>
            </w:r>
          </w:p>
        </w:tc>
        <w:tc>
          <w:tcPr>
            <w:tcW w:w="26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5,000</w:t>
            </w:r>
          </w:p>
        </w:tc>
        <w:tc>
          <w:tcPr>
            <w:tcW w:w="20" w:type="dxa"/>
            <w:vAlign w:val="bottom"/>
          </w:tcPr>
          <w:p>
            <w:pPr>
              <w:spacing w:after="0"/>
              <w:rPr>
                <w:sz w:val="20"/>
                <w:szCs w:val="20"/>
                <w:color w:val="auto"/>
              </w:rPr>
            </w:pPr>
          </w:p>
        </w:tc>
      </w:tr>
      <w:tr>
        <w:trPr>
          <w:trHeight w:val="232"/>
        </w:trPr>
        <w:tc>
          <w:tcPr>
            <w:tcW w:w="6560" w:type="dxa"/>
            <w:vAlign w:val="bottom"/>
            <w:gridSpan w:val="2"/>
          </w:tcPr>
          <w:p>
            <w:pPr>
              <w:spacing w:after="0"/>
              <w:rPr>
                <w:sz w:val="20"/>
                <w:szCs w:val="20"/>
                <w:color w:val="auto"/>
              </w:rPr>
            </w:pPr>
            <w:r>
              <w:rPr>
                <w:rFonts w:ascii="Arial" w:cs="Arial" w:eastAsia="Arial" w:hAnsi="Arial"/>
                <w:sz w:val="20"/>
                <w:szCs w:val="20"/>
                <w:color w:val="auto"/>
                <w:w w:val="99"/>
              </w:rPr>
              <w:t>Impairment of long-lived assets . . . . . . . . . . . . . . . . . . . . . . . . . . . . . . . . . .</w:t>
            </w:r>
          </w:p>
        </w:tc>
        <w:tc>
          <w:tcPr>
            <w:tcW w:w="26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16,365</w:t>
            </w:r>
          </w:p>
        </w:tc>
        <w:tc>
          <w:tcPr>
            <w:tcW w:w="20" w:type="dxa"/>
            <w:vAlign w:val="bottom"/>
          </w:tcPr>
          <w:p>
            <w:pPr>
              <w:spacing w:after="0"/>
              <w:rPr>
                <w:sz w:val="20"/>
                <w:szCs w:val="20"/>
                <w:color w:val="auto"/>
              </w:rPr>
            </w:pPr>
          </w:p>
        </w:tc>
      </w:tr>
      <w:tr>
        <w:trPr>
          <w:trHeight w:val="250"/>
        </w:trPr>
        <w:tc>
          <w:tcPr>
            <w:tcW w:w="6560" w:type="dxa"/>
            <w:vAlign w:val="bottom"/>
            <w:gridSpan w:val="2"/>
          </w:tcPr>
          <w:p>
            <w:pPr>
              <w:spacing w:after="0"/>
              <w:rPr>
                <w:sz w:val="20"/>
                <w:szCs w:val="20"/>
                <w:color w:val="auto"/>
              </w:rPr>
            </w:pPr>
            <w:r>
              <w:rPr>
                <w:rFonts w:ascii="Arial" w:cs="Arial" w:eastAsia="Arial" w:hAnsi="Arial"/>
                <w:sz w:val="20"/>
                <w:szCs w:val="20"/>
                <w:color w:val="auto"/>
                <w:w w:val="98"/>
              </w:rPr>
              <w:t>Impairment of goodwill . . . . . . . . . . . . . . . . . . . . . . . . . . . . . . . . . . . . . . . . . .</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4,327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r>
      <w:tr>
        <w:trPr>
          <w:trHeight w:val="221"/>
        </w:trPr>
        <w:tc>
          <w:tcPr>
            <w:tcW w:w="6560" w:type="dxa"/>
            <w:vAlign w:val="bottom"/>
            <w:gridSpan w:val="2"/>
          </w:tcPr>
          <w:p>
            <w:pPr>
              <w:jc w:val="right"/>
              <w:ind w:right="300"/>
              <w:spacing w:after="0" w:line="221" w:lineRule="exact"/>
              <w:rPr>
                <w:sz w:val="20"/>
                <w:szCs w:val="20"/>
                <w:color w:val="auto"/>
              </w:rPr>
            </w:pPr>
            <w:r>
              <w:rPr>
                <w:rFonts w:ascii="Arial" w:cs="Arial" w:eastAsia="Arial" w:hAnsi="Arial"/>
                <w:sz w:val="20"/>
                <w:szCs w:val="20"/>
                <w:color w:val="auto"/>
                <w:w w:val="98"/>
              </w:rPr>
              <w:t>. . . . . . . . . . . . . . . . . . . . . . . . . . . . . . . . . . . . .</w:t>
            </w:r>
            <w:r>
              <w:rPr>
                <w:rFonts w:ascii="Arial" w:cs="Arial" w:eastAsia="Arial" w:hAnsi="Arial"/>
                <w:sz w:val="20"/>
                <w:szCs w:val="20"/>
                <w:b w:val="1"/>
                <w:bCs w:val="1"/>
                <w:color w:val="auto"/>
                <w:w w:val="98"/>
              </w:rPr>
              <w:t>Totaloperatingexpenses</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144,726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148,781</w:t>
            </w:r>
          </w:p>
        </w:tc>
        <w:tc>
          <w:tcPr>
            <w:tcW w:w="20" w:type="dxa"/>
            <w:vAlign w:val="bottom"/>
          </w:tcPr>
          <w:p>
            <w:pPr>
              <w:spacing w:after="0"/>
              <w:rPr>
                <w:sz w:val="19"/>
                <w:szCs w:val="19"/>
                <w:color w:val="auto"/>
              </w:rPr>
            </w:pPr>
          </w:p>
        </w:tc>
      </w:tr>
      <w:tr>
        <w:trPr>
          <w:trHeight w:val="482"/>
        </w:trPr>
        <w:tc>
          <w:tcPr>
            <w:tcW w:w="6560" w:type="dxa"/>
            <w:vAlign w:val="bottom"/>
            <w:gridSpan w:val="2"/>
          </w:tcPr>
          <w:p>
            <w:pPr>
              <w:spacing w:after="0"/>
              <w:rPr>
                <w:sz w:val="20"/>
                <w:szCs w:val="20"/>
                <w:color w:val="auto"/>
              </w:rPr>
            </w:pPr>
            <w:r>
              <w:rPr>
                <w:rFonts w:ascii="Arial" w:cs="Arial" w:eastAsia="Arial" w:hAnsi="Arial"/>
                <w:sz w:val="20"/>
                <w:szCs w:val="20"/>
                <w:b w:val="1"/>
                <w:bCs w:val="1"/>
                <w:color w:val="auto"/>
                <w:w w:val="97"/>
              </w:rPr>
              <w:t xml:space="preserve">Loss from operations </w:t>
            </w:r>
            <w:r>
              <w:rPr>
                <w:rFonts w:ascii="Arial" w:cs="Arial" w:eastAsia="Arial" w:hAnsi="Arial"/>
                <w:sz w:val="20"/>
                <w:szCs w:val="20"/>
                <w:color w:val="auto"/>
                <w:w w:val="97"/>
              </w:rPr>
              <w:t>. . . . . . . . . . . . . . . . . . . . . . . . . . . . . . . . . . . . . . . . . .</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(138,137)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(146,546)</w:t>
            </w:r>
          </w:p>
        </w:tc>
        <w:tc>
          <w:tcPr>
            <w:tcW w:w="20" w:type="dxa"/>
            <w:vAlign w:val="bottom"/>
          </w:tcPr>
          <w:p>
            <w:pPr>
              <w:spacing w:after="0"/>
              <w:rPr>
                <w:sz w:val="24"/>
                <w:szCs w:val="24"/>
                <w:color w:val="auto"/>
              </w:rPr>
            </w:pPr>
          </w:p>
        </w:tc>
      </w:tr>
      <w:tr>
        <w:trPr>
          <w:trHeight w:val="411"/>
        </w:trPr>
        <w:tc>
          <w:tcPr>
            <w:tcW w:w="6560" w:type="dxa"/>
            <w:vAlign w:val="bottom"/>
            <w:gridSpan w:val="2"/>
          </w:tcPr>
          <w:p>
            <w:pPr>
              <w:spacing w:after="0"/>
              <w:rPr>
                <w:sz w:val="20"/>
                <w:szCs w:val="20"/>
                <w:color w:val="auto"/>
              </w:rPr>
            </w:pPr>
            <w:r>
              <w:rPr>
                <w:rFonts w:ascii="Arial" w:cs="Arial" w:eastAsia="Arial" w:hAnsi="Arial"/>
                <w:sz w:val="20"/>
                <w:szCs w:val="20"/>
                <w:color w:val="auto"/>
                <w:w w:val="97"/>
              </w:rPr>
              <w:t>Interest expense . . . . . . . . . . . . . . . . . . . . . . . . . . . . . . . . . . . . . . . . . . . . . . .</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20"/>
                <w:szCs w:val="20"/>
                <w:color w:val="auto"/>
              </w:rPr>
              <w:t>(540)</w:t>
            </w:r>
          </w:p>
        </w:tc>
      </w:tr>
      <w:tr>
        <w:trPr>
          <w:trHeight w:val="232"/>
        </w:trPr>
        <w:tc>
          <w:tcPr>
            <w:tcW w:w="6560" w:type="dxa"/>
            <w:vAlign w:val="bottom"/>
            <w:gridSpan w:val="2"/>
          </w:tcPr>
          <w:p>
            <w:pPr>
              <w:spacing w:after="0"/>
              <w:rPr>
                <w:sz w:val="20"/>
                <w:szCs w:val="20"/>
                <w:color w:val="auto"/>
              </w:rPr>
            </w:pPr>
            <w:r>
              <w:rPr>
                <w:rFonts w:ascii="Arial" w:cs="Arial" w:eastAsia="Arial" w:hAnsi="Arial"/>
                <w:sz w:val="20"/>
                <w:szCs w:val="20"/>
                <w:color w:val="auto"/>
                <w:w w:val="97"/>
              </w:rPr>
              <w:t>Interest income . . . . . . . . . . . . . . . . . . . . . . . . . . . . . . . . . . . . . . . . . . . . . . . .</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13,007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12,677</w:t>
            </w:r>
          </w:p>
        </w:tc>
        <w:tc>
          <w:tcPr>
            <w:tcW w:w="20" w:type="dxa"/>
            <w:vAlign w:val="bottom"/>
          </w:tcPr>
          <w:p>
            <w:pPr>
              <w:spacing w:after="0"/>
              <w:rPr>
                <w:sz w:val="20"/>
                <w:szCs w:val="20"/>
                <w:color w:val="auto"/>
              </w:rPr>
            </w:pPr>
          </w:p>
        </w:tc>
      </w:tr>
      <w:tr>
        <w:trPr>
          <w:trHeight w:val="250"/>
        </w:trPr>
        <w:tc>
          <w:tcPr>
            <w:tcW w:w="6560" w:type="dxa"/>
            <w:vAlign w:val="bottom"/>
            <w:gridSpan w:val="2"/>
          </w:tcPr>
          <w:p>
            <w:pPr>
              <w:spacing w:after="0"/>
              <w:rPr>
                <w:sz w:val="20"/>
                <w:szCs w:val="20"/>
                <w:color w:val="auto"/>
              </w:rPr>
            </w:pPr>
            <w:r>
              <w:rPr>
                <w:rFonts w:ascii="Arial" w:cs="Arial" w:eastAsia="Arial" w:hAnsi="Arial"/>
                <w:sz w:val="20"/>
                <w:szCs w:val="20"/>
                <w:color w:val="auto"/>
                <w:w w:val="97"/>
              </w:rPr>
              <w:t>Other income (expense) . . . . . . . . . . . . . . . . . . . . . . . . . . . . . . . . . . . . . . . . .</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354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20"/>
                <w:szCs w:val="20"/>
                <w:color w:val="auto"/>
              </w:rPr>
              <w:t>(383)</w:t>
            </w:r>
          </w:p>
        </w:tc>
      </w:tr>
      <w:tr>
        <w:trPr>
          <w:trHeight w:val="197"/>
        </w:trPr>
        <w:tc>
          <w:tcPr>
            <w:tcW w:w="6560" w:type="dxa"/>
            <w:vAlign w:val="bottom"/>
            <w:gridSpan w:val="2"/>
          </w:tcPr>
          <w:p>
            <w:pPr>
              <w:jc w:val="right"/>
              <w:ind w:right="300"/>
              <w:spacing w:after="0" w:line="197" w:lineRule="exact"/>
              <w:rPr>
                <w:sz w:val="20"/>
                <w:szCs w:val="20"/>
                <w:color w:val="auto"/>
              </w:rPr>
            </w:pPr>
            <w:r>
              <w:rPr>
                <w:rFonts w:ascii="Arial" w:cs="Arial" w:eastAsia="Arial" w:hAnsi="Arial"/>
                <w:sz w:val="20"/>
                <w:szCs w:val="20"/>
                <w:color w:val="auto"/>
                <w:w w:val="97"/>
              </w:rPr>
              <w:t>. . . . . . . . . . . . . . . . . . . . . . . . . . . . . . . . . . . . . . . . . . .</w:t>
            </w:r>
            <w:r>
              <w:rPr>
                <w:rFonts w:ascii="Arial" w:cs="Arial" w:eastAsia="Arial" w:hAnsi="Arial"/>
                <w:sz w:val="20"/>
                <w:szCs w:val="20"/>
                <w:b w:val="1"/>
                <w:bCs w:val="1"/>
                <w:color w:val="auto"/>
                <w:w w:val="97"/>
              </w:rPr>
              <w:t>Totalotherincome</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20"/>
                <w:szCs w:val="20"/>
                <w:color w:val="auto"/>
              </w:rPr>
              <w:t>13,361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20"/>
                <w:szCs w:val="20"/>
                <w:color w:val="auto"/>
              </w:rPr>
              <w:t>11,754</w:t>
            </w:r>
          </w:p>
        </w:tc>
        <w:tc>
          <w:tcPr>
            <w:tcW w:w="20" w:type="dxa"/>
            <w:vAlign w:val="bottom"/>
          </w:tcPr>
          <w:p>
            <w:pPr>
              <w:spacing w:after="0"/>
              <w:rPr>
                <w:sz w:val="17"/>
                <w:szCs w:val="17"/>
                <w:color w:val="auto"/>
              </w:rPr>
            </w:pPr>
          </w:p>
        </w:tc>
      </w:tr>
      <w:tr>
        <w:trPr>
          <w:trHeight w:val="234"/>
        </w:trPr>
        <w:tc>
          <w:tcPr>
            <w:tcW w:w="656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Loss before provision for income taxes </w:t>
            </w:r>
            <w:r>
              <w:rPr>
                <w:rFonts w:ascii="Arial" w:cs="Arial" w:eastAsia="Arial" w:hAnsi="Arial"/>
                <w:sz w:val="20"/>
                <w:szCs w:val="20"/>
                <w:color w:val="auto"/>
              </w:rPr>
              <w:t>. . . . . . . . . . . . . . . . . . . . . . . . .</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(124,776)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20"/>
                <w:szCs w:val="20"/>
                <w:color w:val="auto"/>
              </w:rPr>
              <w:t>(134,792)</w:t>
            </w:r>
          </w:p>
        </w:tc>
      </w:tr>
      <w:tr>
        <w:trPr>
          <w:trHeight w:val="252"/>
        </w:trPr>
        <w:tc>
          <w:tcPr>
            <w:tcW w:w="6560" w:type="dxa"/>
            <w:vAlign w:val="bottom"/>
            <w:gridSpan w:val="2"/>
          </w:tcPr>
          <w:p>
            <w:pPr>
              <w:spacing w:after="0"/>
              <w:rPr>
                <w:sz w:val="20"/>
                <w:szCs w:val="20"/>
                <w:color w:val="auto"/>
              </w:rPr>
            </w:pPr>
            <w:r>
              <w:rPr>
                <w:rFonts w:ascii="Arial" w:cs="Arial" w:eastAsia="Arial" w:hAnsi="Arial"/>
                <w:sz w:val="20"/>
                <w:szCs w:val="20"/>
                <w:color w:val="auto"/>
                <w:w w:val="97"/>
              </w:rPr>
              <w:t>Provision for income taxes . . . . . . . . . . . . . . . . . . . . . . . . . . . . . . . . . . . . . . .</w:t>
            </w:r>
          </w:p>
        </w:tc>
        <w:tc>
          <w:tcPr>
            <w:tcW w:w="26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20"/>
                <w:szCs w:val="20"/>
                <w:color w:val="auto"/>
              </w:rPr>
              <w:t>(1,790)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20"/>
                <w:szCs w:val="20"/>
                <w:color w:val="auto"/>
              </w:rPr>
              <w:t>(1,881)</w:t>
            </w:r>
          </w:p>
        </w:tc>
      </w:tr>
      <w:tr>
        <w:trPr>
          <w:trHeight w:val="230"/>
        </w:trPr>
        <w:tc>
          <w:tcPr>
            <w:tcW w:w="6560" w:type="dxa"/>
            <w:vAlign w:val="bottom"/>
            <w:gridSpan w:val="2"/>
          </w:tcPr>
          <w:p>
            <w:pPr>
              <w:jc w:val="right"/>
              <w:ind w:right="300"/>
              <w:spacing w:after="0" w:line="221" w:lineRule="exact"/>
              <w:rPr>
                <w:sz w:val="20"/>
                <w:szCs w:val="20"/>
                <w:color w:val="auto"/>
              </w:rPr>
            </w:pPr>
            <w:r>
              <w:rPr>
                <w:rFonts w:ascii="Arial" w:cs="Arial" w:eastAsia="Arial" w:hAnsi="Arial"/>
                <w:sz w:val="20"/>
                <w:szCs w:val="20"/>
                <w:color w:val="auto"/>
                <w:w w:val="93"/>
              </w:rPr>
              <w:t>. . . . . . . . . . . . . . . . . . . . . . . . . . . . . . . . . . . . . . . . . . . . . . . . . . . . . .</w:t>
            </w:r>
            <w:r>
              <w:rPr>
                <w:rFonts w:ascii="Arial" w:cs="Arial" w:eastAsia="Arial" w:hAnsi="Arial"/>
                <w:sz w:val="20"/>
                <w:szCs w:val="20"/>
                <w:b w:val="1"/>
                <w:bCs w:val="1"/>
                <w:color w:val="auto"/>
                <w:w w:val="93"/>
              </w:rPr>
              <w:t>Netloss</w:t>
            </w:r>
          </w:p>
        </w:tc>
        <w:tc>
          <w:tcPr>
            <w:tcW w:w="260" w:type="dxa"/>
            <w:vAlign w:val="bottom"/>
            <w:tcBorders>
              <w:top w:val="single" w:sz="8" w:color="auto"/>
              <w:bottom w:val="single" w:sz="8" w:color="auto"/>
            </w:tcBorders>
          </w:tcPr>
          <w:p>
            <w:pPr>
              <w:spacing w:after="0" w:line="221" w:lineRule="exact"/>
              <w:rPr>
                <w:sz w:val="20"/>
                <w:szCs w:val="20"/>
                <w:color w:val="auto"/>
              </w:rPr>
            </w:pPr>
            <w:r>
              <w:rPr>
                <w:rFonts w:ascii="Arial" w:cs="Arial" w:eastAsia="Arial" w:hAnsi="Arial"/>
                <w:sz w:val="20"/>
                <w:szCs w:val="20"/>
                <w:b w:val="1"/>
                <w:bCs w:val="1"/>
                <w:color w:val="auto"/>
              </w:rPr>
              <w:t>$</w:t>
            </w:r>
          </w:p>
        </w:tc>
        <w:tc>
          <w:tcPr>
            <w:tcW w:w="12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b w:val="1"/>
                <w:bCs w:val="1"/>
                <w:color w:val="auto"/>
              </w:rPr>
              <w:t>(126,566)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line="221" w:lineRule="exact"/>
              <w:rPr>
                <w:sz w:val="20"/>
                <w:szCs w:val="20"/>
                <w:color w:val="auto"/>
              </w:rPr>
            </w:pPr>
            <w:r>
              <w:rPr>
                <w:rFonts w:ascii="Arial" w:cs="Arial" w:eastAsia="Arial" w:hAnsi="Arial"/>
                <w:sz w:val="20"/>
                <w:szCs w:val="20"/>
                <w:b w:val="1"/>
                <w:bCs w:val="1"/>
                <w:color w:val="auto"/>
              </w:rPr>
              <w:t>$</w:t>
            </w:r>
          </w:p>
        </w:tc>
        <w:tc>
          <w:tcPr>
            <w:tcW w:w="12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b w:val="1"/>
                <w:bCs w:val="1"/>
                <w:color w:val="auto"/>
              </w:rPr>
              <w:t>(136,673)</w:t>
            </w:r>
          </w:p>
        </w:tc>
        <w:tc>
          <w:tcPr>
            <w:tcW w:w="20" w:type="dxa"/>
            <w:vAlign w:val="bottom"/>
          </w:tcPr>
          <w:p>
            <w:pPr>
              <w:spacing w:after="0"/>
              <w:rPr>
                <w:sz w:val="20"/>
                <w:szCs w:val="20"/>
                <w:color w:val="auto"/>
              </w:rPr>
            </w:pPr>
          </w:p>
        </w:tc>
      </w:tr>
      <w:tr>
        <w:trPr>
          <w:trHeight w:val="442"/>
        </w:trPr>
        <w:tc>
          <w:tcPr>
            <w:tcW w:w="6560" w:type="dxa"/>
            <w:vAlign w:val="bottom"/>
            <w:gridSpan w:val="2"/>
          </w:tcPr>
          <w:p>
            <w:pPr>
              <w:spacing w:after="0"/>
              <w:rPr>
                <w:sz w:val="20"/>
                <w:szCs w:val="20"/>
                <w:color w:val="auto"/>
              </w:rPr>
            </w:pPr>
            <w:r>
              <w:rPr>
                <w:rFonts w:ascii="Arial" w:cs="Arial" w:eastAsia="Arial" w:hAnsi="Arial"/>
                <w:sz w:val="20"/>
                <w:szCs w:val="20"/>
                <w:color w:val="auto"/>
              </w:rPr>
              <w:t>Net loss per common share</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6560" w:type="dxa"/>
            <w:vAlign w:val="bottom"/>
            <w:gridSpan w:val="2"/>
          </w:tcPr>
          <w:p>
            <w:pPr>
              <w:spacing w:after="0"/>
              <w:rPr>
                <w:sz w:val="20"/>
                <w:szCs w:val="20"/>
                <w:color w:val="auto"/>
              </w:rPr>
            </w:pPr>
            <w:r>
              <w:rPr>
                <w:rFonts w:ascii="Arial" w:cs="Arial" w:eastAsia="Arial" w:hAnsi="Arial"/>
                <w:sz w:val="20"/>
                <w:szCs w:val="20"/>
                <w:color w:val="auto"/>
                <w:w w:val="98"/>
              </w:rPr>
              <w:t>Basic and Diluted . . . . . . . . . . . . . . . . . . . . . . . . . . . . . . . . . . . . . . . . . . . . . .</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(1.61)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(2.30)</w:t>
            </w:r>
          </w:p>
        </w:tc>
        <w:tc>
          <w:tcPr>
            <w:tcW w:w="20" w:type="dxa"/>
            <w:vAlign w:val="bottom"/>
          </w:tcPr>
          <w:p>
            <w:pPr>
              <w:spacing w:after="0"/>
              <w:rPr>
                <w:sz w:val="20"/>
                <w:szCs w:val="20"/>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20"/>
                <w:szCs w:val="20"/>
                <w:color w:val="auto"/>
              </w:rPr>
              <w:t>Weighted average common shares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6560" w:type="dxa"/>
            <w:vAlign w:val="bottom"/>
            <w:gridSpan w:val="2"/>
          </w:tcPr>
          <w:p>
            <w:pPr>
              <w:spacing w:after="0"/>
              <w:rPr>
                <w:sz w:val="20"/>
                <w:szCs w:val="20"/>
                <w:color w:val="auto"/>
              </w:rPr>
            </w:pPr>
            <w:r>
              <w:rPr>
                <w:rFonts w:ascii="Arial" w:cs="Arial" w:eastAsia="Arial" w:hAnsi="Arial"/>
                <w:sz w:val="20"/>
                <w:szCs w:val="20"/>
                <w:color w:val="auto"/>
              </w:rPr>
              <w:t>outstanding</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20"/>
                <w:szCs w:val="20"/>
                <w:color w:val="auto"/>
                <w:w w:val="98"/>
              </w:rPr>
              <w:t>Basic and Diluted . . . . . . . . . . . . . . . . . . . . . . . . . . . . . . . . . . . . . . . . . . . . . .</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78,648,958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59,314,389</w:t>
            </w:r>
          </w:p>
        </w:tc>
        <w:tc>
          <w:tcPr>
            <w:tcW w:w="20" w:type="dxa"/>
            <w:vAlign w:val="bottom"/>
          </w:tcPr>
          <w:p>
            <w:pPr>
              <w:spacing w:after="0"/>
              <w:rPr>
                <w:sz w:val="20"/>
                <w:szCs w:val="20"/>
                <w:color w:val="auto"/>
              </w:rPr>
            </w:pPr>
          </w:p>
        </w:tc>
      </w:tr>
      <w:tr>
        <w:trPr>
          <w:trHeight w:val="232"/>
        </w:trPr>
        <w:tc>
          <w:tcPr>
            <w:tcW w:w="6560" w:type="dxa"/>
            <w:vAlign w:val="bottom"/>
            <w:gridSpan w:val="2"/>
          </w:tcPr>
          <w:p>
            <w:pPr>
              <w:spacing w:after="0"/>
              <w:rPr>
                <w:sz w:val="20"/>
                <w:szCs w:val="20"/>
                <w:color w:val="auto"/>
              </w:rPr>
            </w:pPr>
            <w:r>
              <w:rPr>
                <w:rFonts w:ascii="Arial" w:cs="Arial" w:eastAsia="Arial" w:hAnsi="Arial"/>
                <w:sz w:val="20"/>
                <w:szCs w:val="20"/>
                <w:color w:val="auto"/>
              </w:rPr>
              <w:t>Other comprehensive loss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560" w:type="dxa"/>
            <w:vAlign w:val="bottom"/>
            <w:gridSpan w:val="2"/>
          </w:tcPr>
          <w:p>
            <w:pPr>
              <w:jc w:val="right"/>
              <w:ind w:right="300"/>
              <w:spacing w:after="0"/>
              <w:rPr>
                <w:sz w:val="20"/>
                <w:szCs w:val="20"/>
                <w:color w:val="auto"/>
              </w:rPr>
            </w:pPr>
            <w:r>
              <w:rPr>
                <w:rFonts w:ascii="Arial" w:cs="Arial" w:eastAsia="Arial" w:hAnsi="Arial"/>
                <w:sz w:val="20"/>
                <w:szCs w:val="20"/>
                <w:color w:val="auto"/>
                <w:w w:val="92"/>
              </w:rPr>
              <w:t>Net loss . . . . . . . . . . . . . . . . . . . . . . . . . . . . . . . . . . . . . . . . . . . . . . . . . . . . . .</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(126,566)</w:t>
            </w:r>
          </w:p>
        </w:tc>
        <w:tc>
          <w:tcPr>
            <w:tcW w:w="16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(136,673)</w:t>
            </w:r>
          </w:p>
        </w:tc>
        <w:tc>
          <w:tcPr>
            <w:tcW w:w="20" w:type="dxa"/>
            <w:vAlign w:val="bottom"/>
          </w:tcPr>
          <w:p>
            <w:pPr>
              <w:spacing w:after="0"/>
              <w:rPr>
                <w:sz w:val="20"/>
                <w:szCs w:val="20"/>
                <w:color w:val="auto"/>
              </w:rPr>
            </w:pPr>
          </w:p>
        </w:tc>
      </w:tr>
      <w:tr>
        <w:trPr>
          <w:trHeight w:val="232"/>
        </w:trPr>
        <w:tc>
          <w:tcPr>
            <w:tcW w:w="6560" w:type="dxa"/>
            <w:vAlign w:val="bottom"/>
            <w:gridSpan w:val="2"/>
          </w:tcPr>
          <w:p>
            <w:pPr>
              <w:jc w:val="right"/>
              <w:ind w:right="300"/>
              <w:spacing w:after="0"/>
              <w:rPr>
                <w:sz w:val="20"/>
                <w:szCs w:val="20"/>
                <w:color w:val="auto"/>
              </w:rPr>
            </w:pPr>
            <w:r>
              <w:rPr>
                <w:rFonts w:ascii="Arial" w:cs="Arial" w:eastAsia="Arial" w:hAnsi="Arial"/>
                <w:sz w:val="20"/>
                <w:szCs w:val="20"/>
                <w:color w:val="auto"/>
                <w:w w:val="96"/>
              </w:rPr>
              <w:t>Unrealized gain on investments . . . . . . . . . . . . . . . . . . . . . . . . . . . . . . . . .</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2,602</w:t>
            </w:r>
          </w:p>
        </w:tc>
        <w:tc>
          <w:tcPr>
            <w:tcW w:w="20" w:type="dxa"/>
            <w:vAlign w:val="bottom"/>
          </w:tcPr>
          <w:p>
            <w:pPr>
              <w:spacing w:after="0"/>
              <w:rPr>
                <w:sz w:val="20"/>
                <w:szCs w:val="20"/>
                <w:color w:val="auto"/>
              </w:rPr>
            </w:pPr>
          </w:p>
        </w:tc>
      </w:tr>
      <w:tr>
        <w:trPr>
          <w:trHeight w:val="250"/>
        </w:trPr>
        <w:tc>
          <w:tcPr>
            <w:tcW w:w="6560" w:type="dxa"/>
            <w:vAlign w:val="bottom"/>
            <w:gridSpan w:val="2"/>
          </w:tcPr>
          <w:p>
            <w:pPr>
              <w:jc w:val="right"/>
              <w:ind w:right="300"/>
              <w:spacing w:after="0"/>
              <w:rPr>
                <w:sz w:val="20"/>
                <w:szCs w:val="20"/>
                <w:color w:val="auto"/>
              </w:rPr>
            </w:pPr>
            <w:r>
              <w:rPr>
                <w:rFonts w:ascii="Arial" w:cs="Arial" w:eastAsia="Arial" w:hAnsi="Arial"/>
                <w:sz w:val="20"/>
                <w:szCs w:val="20"/>
                <w:color w:val="auto"/>
                <w:w w:val="98"/>
              </w:rPr>
              <w:t>Foreign currency translation (loss) gain . . . . . . . . . . . . . . . . . . . . . . . . . .</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20"/>
                <w:szCs w:val="20"/>
                <w:color w:val="auto"/>
              </w:rPr>
              <w:t>(32)</w:t>
            </w:r>
          </w:p>
        </w:tc>
      </w:tr>
      <w:tr>
        <w:trPr>
          <w:trHeight w:val="231"/>
        </w:trPr>
        <w:tc>
          <w:tcPr>
            <w:tcW w:w="6540" w:type="dxa"/>
            <w:vAlign w:val="bottom"/>
          </w:tcPr>
          <w:p>
            <w:pPr>
              <w:spacing w:after="0" w:line="223" w:lineRule="exact"/>
              <w:rPr>
                <w:sz w:val="20"/>
                <w:szCs w:val="20"/>
                <w:color w:val="auto"/>
              </w:rPr>
            </w:pPr>
            <w:r>
              <w:rPr>
                <w:rFonts w:ascii="Arial" w:cs="Arial" w:eastAsia="Arial" w:hAnsi="Arial"/>
                <w:sz w:val="20"/>
                <w:szCs w:val="20"/>
                <w:color w:val="auto"/>
                <w:w w:val="97"/>
              </w:rPr>
              <w:t>Comprehensive loss . . . . . . . . . . . . . . . . . . . . . . . . . . . . . . . . . . . . . . . . . . . .</w:t>
            </w:r>
          </w:p>
        </w:tc>
        <w:tc>
          <w:tcPr>
            <w:tcW w:w="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(126,350)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(134,103)</w:t>
            </w:r>
          </w:p>
        </w:tc>
        <w:tc>
          <w:tcPr>
            <w:tcW w:w="2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ectPr>
          <w:pgSz w:w="11880" w:h="15480" w:orient="portrait"/>
          <w:cols w:equalWidth="0" w:num="1">
            <w:col w:w="9720"/>
          </w:cols>
          <w:pgMar w:left="1080" w:top="1059"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134</w:t>
      </w:r>
    </w:p>
    <w:p>
      <w:pPr>
        <w:sectPr>
          <w:pgSz w:w="11880" w:h="15480" w:orient="portrait"/>
          <w:cols w:equalWidth="0" w:num="1">
            <w:col w:w="9720"/>
          </w:cols>
          <w:pgMar w:left="1080" w:top="1059" w:right="1080" w:bottom="554" w:gutter="0" w:footer="0" w:header="0"/>
          <w:type w:val="continuous"/>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218" w:type="dxa"/>
            <w:vAlign w:val="bottom"/>
            <w:textDirection w:val="tbRl"/>
          </w:tcPr>
          <w:p>
            <w:pPr>
              <w:spacing w:after="0"/>
              <w:rPr>
                <w:sz w:val="20"/>
                <w:szCs w:val="20"/>
                <w:color w:val="auto"/>
              </w:rPr>
            </w:pPr>
            <w:r>
              <w:rPr>
                <w:rFonts w:ascii="Arial" w:cs="Arial" w:eastAsia="Arial" w:hAnsi="Arial"/>
                <w:sz w:val="19"/>
                <w:szCs w:val="19"/>
                <w:color w:val="auto"/>
              </w:rPr>
              <w:t>135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CENTURY THERAPEUTICS, INC.</w:t>
      </w:r>
    </w:p>
    <w:p>
      <w:pPr>
        <w:spacing w:after="0" w:line="67"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CONSOLIDATED STATEMENTS OF CHANGES IN STOCKHOLDERS’ EQUITY</w:t>
      </w:r>
    </w:p>
    <w:p>
      <w:pPr>
        <w:spacing w:after="0" w:line="196" w:lineRule="exact"/>
        <w:rPr>
          <w:sz w:val="20"/>
          <w:szCs w:val="20"/>
          <w:color w:val="auto"/>
        </w:rPr>
      </w:pPr>
    </w:p>
    <w:p>
      <w:pPr>
        <w:ind w:left="3780"/>
        <w:spacing w:after="0"/>
        <w:rPr>
          <w:sz w:val="20"/>
          <w:szCs w:val="20"/>
          <w:color w:val="auto"/>
        </w:rPr>
      </w:pPr>
      <w:r>
        <w:rPr>
          <w:rFonts w:ascii="Arial" w:cs="Arial" w:eastAsia="Arial" w:hAnsi="Arial"/>
          <w:sz w:val="28"/>
          <w:szCs w:val="28"/>
          <w:b w:val="1"/>
          <w:bCs w:val="1"/>
          <w:color w:val="auto"/>
        </w:rPr>
        <w:t>(In thousands, except share amounts)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5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3"/>
          </w:tcPr>
          <w:p>
            <w:pPr>
              <w:jc w:val="center"/>
              <w:ind w:right="240"/>
              <w:spacing w:after="0" w:line="160" w:lineRule="exact"/>
              <w:rPr>
                <w:sz w:val="20"/>
                <w:szCs w:val="20"/>
                <w:color w:val="auto"/>
              </w:rPr>
            </w:pPr>
            <w:r>
              <w:rPr>
                <w:rFonts w:ascii="Arial" w:cs="Arial" w:eastAsia="Arial" w:hAnsi="Arial"/>
                <w:sz w:val="16"/>
                <w:szCs w:val="16"/>
                <w:color w:val="auto"/>
                <w:w w:val="99"/>
              </w:rPr>
              <w:t>Accumulated</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6"/>
                <w:szCs w:val="16"/>
                <w:color w:val="auto"/>
              </w:rPr>
              <w:t>Additional</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6"/>
                <w:szCs w:val="16"/>
                <w:color w:val="auto"/>
                <w:w w:val="99"/>
              </w:rPr>
              <w:t>Other</w:t>
            </w:r>
          </w:p>
        </w:tc>
        <w:tc>
          <w:tcPr>
            <w:tcW w:w="16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gridSpan w:val="6"/>
          </w:tcPr>
          <w:p>
            <w:pPr>
              <w:jc w:val="right"/>
              <w:ind w:right="479"/>
              <w:spacing w:after="0"/>
              <w:rPr>
                <w:sz w:val="20"/>
                <w:szCs w:val="20"/>
                <w:color w:val="auto"/>
              </w:rPr>
            </w:pPr>
            <w:r>
              <w:rPr>
                <w:rFonts w:ascii="Arial" w:cs="Arial" w:eastAsia="Arial" w:hAnsi="Arial"/>
                <w:sz w:val="16"/>
                <w:szCs w:val="16"/>
                <w:color w:val="auto"/>
              </w:rPr>
              <w:t>Common Stock</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6"/>
                <w:szCs w:val="16"/>
                <w:color w:val="auto"/>
                <w:w w:val="96"/>
              </w:rPr>
              <w:t>Paid-in</w:t>
            </w: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color w:val="auto"/>
              </w:rPr>
              <w:t>Accumulated</w:t>
            </w:r>
          </w:p>
        </w:tc>
        <w:tc>
          <w:tcPr>
            <w:tcW w:w="1300" w:type="dxa"/>
            <w:vAlign w:val="bottom"/>
            <w:gridSpan w:val="5"/>
          </w:tcPr>
          <w:p>
            <w:pPr>
              <w:ind w:left="20"/>
              <w:spacing w:after="0"/>
              <w:rPr>
                <w:sz w:val="20"/>
                <w:szCs w:val="20"/>
                <w:color w:val="auto"/>
              </w:rPr>
            </w:pPr>
            <w:r>
              <w:rPr>
                <w:rFonts w:ascii="Arial" w:cs="Arial" w:eastAsia="Arial" w:hAnsi="Arial"/>
                <w:sz w:val="16"/>
                <w:szCs w:val="16"/>
                <w:color w:val="auto"/>
              </w:rPr>
              <w:t>Comprehensive</w:t>
            </w:r>
          </w:p>
        </w:tc>
        <w:tc>
          <w:tcPr>
            <w:tcW w:w="1000" w:type="dxa"/>
            <w:vAlign w:val="bottom"/>
            <w:gridSpan w:val="3"/>
          </w:tcPr>
          <w:p>
            <w:pPr>
              <w:spacing w:after="0"/>
              <w:rPr>
                <w:sz w:val="20"/>
                <w:szCs w:val="20"/>
                <w:color w:val="auto"/>
              </w:rPr>
            </w:pPr>
            <w:r>
              <w:rPr>
                <w:rFonts w:ascii="Arial" w:cs="Arial" w:eastAsia="Arial" w:hAnsi="Arial"/>
                <w:sz w:val="16"/>
                <w:szCs w:val="16"/>
                <w:color w:val="auto"/>
              </w:rPr>
              <w:t>Stockholders’</w:t>
            </w:r>
          </w:p>
        </w:tc>
        <w:tc>
          <w:tcPr>
            <w:tcW w:w="0" w:type="dxa"/>
            <w:vAlign w:val="bottom"/>
          </w:tcPr>
          <w:p>
            <w:pPr>
              <w:spacing w:after="0"/>
              <w:rPr>
                <w:sz w:val="1"/>
                <w:szCs w:val="1"/>
                <w:color w:val="auto"/>
              </w:rPr>
            </w:pPr>
          </w:p>
        </w:tc>
      </w:tr>
      <w:tr>
        <w:trPr>
          <w:trHeight w:val="192"/>
        </w:trPr>
        <w:tc>
          <w:tcPr>
            <w:tcW w:w="5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Balance, December 31, 2022</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Shares</w:t>
            </w: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Amount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6"/>
                <w:szCs w:val="16"/>
                <w:color w:val="auto"/>
                <w:w w:val="96"/>
              </w:rPr>
              <w:t>Capital</w:t>
            </w:r>
          </w:p>
        </w:tc>
        <w:tc>
          <w:tcPr>
            <w:tcW w:w="12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102"/>
        </w:trPr>
        <w:tc>
          <w:tcPr>
            <w:tcW w:w="5560" w:type="dxa"/>
            <w:vAlign w:val="bottom"/>
            <w:gridSpan w:val="2"/>
            <w:vMerge w:val="continue"/>
          </w:tcPr>
          <w:p>
            <w:pPr>
              <w:jc w:val="right"/>
              <w:ind w:right="220"/>
              <w:spacing w:after="0" w:line="103" w:lineRule="exact"/>
              <w:rPr>
                <w:sz w:val="20"/>
                <w:szCs w:val="20"/>
                <w:color w:val="auto"/>
              </w:rPr>
            </w:pPr>
            <w:r>
              <w:rPr>
                <w:rFonts w:ascii="Arial" w:cs="Arial" w:eastAsia="Arial" w:hAnsi="Arial"/>
                <w:sz w:val="11"/>
                <w:szCs w:val="11"/>
                <w:color w:val="auto"/>
              </w:rPr>
              <w:t>. . . . . . . . . . . . . . . . . . . . . . . . . . . . . . . . . . . . . . . . . . . . . . .</w:t>
            </w:r>
          </w:p>
        </w:tc>
        <w:tc>
          <w:tcPr>
            <w:tcW w:w="106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b w:val="1"/>
                <w:bCs w:val="1"/>
                <w:color w:val="auto"/>
              </w:rPr>
              <w:t>58,473,660</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top w:val="single" w:sz="8" w:color="auto"/>
            </w:tcBorders>
            <w:gridSpan w:val="2"/>
          </w:tcPr>
          <w:p>
            <w:pPr>
              <w:jc w:val="right"/>
              <w:ind w:right="140"/>
              <w:spacing w:after="0" w:line="103" w:lineRule="exact"/>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b w:val="1"/>
                <w:bCs w:val="1"/>
                <w:color w:val="auto"/>
              </w:rPr>
              <w:t>6</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b w:val="1"/>
                <w:bCs w:val="1"/>
                <w:color w:val="auto"/>
              </w:rPr>
              <w:t>824,292</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jc w:val="right"/>
              <w:ind w:right="10"/>
              <w:spacing w:after="0" w:line="103" w:lineRule="exact"/>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b w:val="1"/>
                <w:bCs w:val="1"/>
                <w:color w:val="auto"/>
              </w:rPr>
              <w:t>(519,098)</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line="103" w:lineRule="exact"/>
              <w:rPr>
                <w:sz w:val="20"/>
                <w:szCs w:val="20"/>
                <w:color w:val="auto"/>
              </w:rPr>
            </w:pPr>
            <w:r>
              <w:rPr>
                <w:rFonts w:ascii="Arial" w:cs="Arial" w:eastAsia="Arial" w:hAnsi="Arial"/>
                <w:sz w:val="11"/>
                <w:szCs w:val="11"/>
                <w:b w:val="1"/>
                <w:bCs w:val="1"/>
                <w:color w:val="auto"/>
                <w:w w:val="97"/>
              </w:rPr>
              <w:t>$</w:t>
            </w:r>
          </w:p>
        </w:tc>
        <w:tc>
          <w:tcPr>
            <w:tcW w:w="104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b w:val="1"/>
                <w:bCs w:val="1"/>
                <w:color w:val="auto"/>
              </w:rPr>
              <w:t>(2,462)</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top w:val="single" w:sz="8" w:color="auto"/>
            </w:tcBorders>
          </w:tcPr>
          <w:p>
            <w:pPr>
              <w:spacing w:after="0" w:line="103" w:lineRule="exact"/>
              <w:rPr>
                <w:sz w:val="20"/>
                <w:szCs w:val="20"/>
                <w:color w:val="auto"/>
              </w:rPr>
            </w:pPr>
            <w:r>
              <w:rPr>
                <w:rFonts w:ascii="Arial" w:cs="Arial" w:eastAsia="Arial" w:hAnsi="Arial"/>
                <w:sz w:val="11"/>
                <w:szCs w:val="11"/>
                <w:b w:val="1"/>
                <w:bCs w:val="1"/>
                <w:color w:val="auto"/>
              </w:rPr>
              <w:t>$</w:t>
            </w:r>
          </w:p>
        </w:tc>
        <w:tc>
          <w:tcPr>
            <w:tcW w:w="820" w:type="dxa"/>
            <w:vAlign w:val="bottom"/>
            <w:tcBorders>
              <w:top w:val="single" w:sz="8" w:color="auto"/>
            </w:tcBorders>
          </w:tcPr>
          <w:p>
            <w:pPr>
              <w:jc w:val="right"/>
              <w:spacing w:after="0" w:line="103" w:lineRule="exact"/>
              <w:rPr>
                <w:sz w:val="20"/>
                <w:szCs w:val="20"/>
                <w:color w:val="auto"/>
              </w:rPr>
            </w:pPr>
            <w:r>
              <w:rPr>
                <w:rFonts w:ascii="Arial" w:cs="Arial" w:eastAsia="Arial" w:hAnsi="Arial"/>
                <w:sz w:val="11"/>
                <w:szCs w:val="11"/>
                <w:b w:val="1"/>
                <w:bCs w:val="1"/>
                <w:color w:val="auto"/>
              </w:rPr>
              <w:t>302,738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5560" w:type="dxa"/>
            <w:vAlign w:val="bottom"/>
            <w:gridSpan w:val="2"/>
          </w:tcPr>
          <w:p>
            <w:pPr>
              <w:spacing w:after="0"/>
              <w:rPr>
                <w:sz w:val="20"/>
                <w:szCs w:val="20"/>
                <w:color w:val="auto"/>
              </w:rPr>
            </w:pPr>
            <w:r>
              <w:rPr>
                <w:rFonts w:ascii="Arial" w:cs="Arial" w:eastAsia="Arial" w:hAnsi="Arial"/>
                <w:sz w:val="12"/>
                <w:szCs w:val="12"/>
                <w:color w:val="auto"/>
              </w:rPr>
              <w:t>Issuance of common stock upon the exercise of stock options and 2021 ESPP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761,381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943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943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560" w:type="dxa"/>
            <w:vAlign w:val="bottom"/>
            <w:gridSpan w:val="2"/>
          </w:tcPr>
          <w:p>
            <w:pPr>
              <w:spacing w:after="0"/>
              <w:rPr>
                <w:sz w:val="20"/>
                <w:szCs w:val="20"/>
                <w:color w:val="auto"/>
              </w:rPr>
            </w:pPr>
            <w:r>
              <w:rPr>
                <w:rFonts w:ascii="Arial" w:cs="Arial" w:eastAsia="Arial" w:hAnsi="Arial"/>
                <w:sz w:val="12"/>
                <w:szCs w:val="12"/>
                <w:color w:val="auto"/>
              </w:rPr>
              <w:t>Vesting of restricted stock . . . . . . . . . . . . . . . . . . . . . . . . . . . . . . . . . . .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95,877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9"/>
        </w:trPr>
        <w:tc>
          <w:tcPr>
            <w:tcW w:w="5560" w:type="dxa"/>
            <w:vAlign w:val="bottom"/>
            <w:gridSpan w:val="2"/>
          </w:tcPr>
          <w:p>
            <w:pPr>
              <w:spacing w:after="0"/>
              <w:rPr>
                <w:sz w:val="20"/>
                <w:szCs w:val="20"/>
                <w:color w:val="auto"/>
              </w:rPr>
            </w:pPr>
            <w:r>
              <w:rPr>
                <w:rFonts w:ascii="Arial" w:cs="Arial" w:eastAsia="Arial" w:hAnsi="Arial"/>
                <w:sz w:val="12"/>
                <w:szCs w:val="12"/>
                <w:color w:val="auto"/>
              </w:rPr>
              <w:t>Vesting of early exercise stock options . . . . . . . . . . . . . . . . . . . . . . . . . . .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351,521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943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943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560" w:type="dxa"/>
            <w:vAlign w:val="bottom"/>
            <w:gridSpan w:val="2"/>
          </w:tcPr>
          <w:p>
            <w:pPr>
              <w:spacing w:after="0"/>
              <w:rPr>
                <w:sz w:val="20"/>
                <w:szCs w:val="20"/>
                <w:color w:val="auto"/>
              </w:rPr>
            </w:pPr>
            <w:r>
              <w:rPr>
                <w:rFonts w:ascii="Arial" w:cs="Arial" w:eastAsia="Arial" w:hAnsi="Arial"/>
                <w:sz w:val="12"/>
                <w:szCs w:val="12"/>
                <w:color w:val="auto"/>
              </w:rPr>
              <w:t>Vesting of restricted stock units . . . . . . . . . . . . . . . . . . . . . . . . . . . . . . .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653,262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(393)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b w:val="1"/>
                <w:bCs w:val="1"/>
                <w:color w:val="auto"/>
              </w:rPr>
              <w:t>(393)</w:t>
            </w:r>
          </w:p>
        </w:tc>
        <w:tc>
          <w:tcPr>
            <w:tcW w:w="0" w:type="dxa"/>
            <w:vAlign w:val="bottom"/>
          </w:tcPr>
          <w:p>
            <w:pPr>
              <w:spacing w:after="0"/>
              <w:rPr>
                <w:sz w:val="1"/>
                <w:szCs w:val="1"/>
                <w:color w:val="auto"/>
              </w:rPr>
            </w:pPr>
          </w:p>
        </w:tc>
      </w:tr>
      <w:tr>
        <w:trPr>
          <w:trHeight w:val="139"/>
        </w:trPr>
        <w:tc>
          <w:tcPr>
            <w:tcW w:w="5560" w:type="dxa"/>
            <w:vAlign w:val="bottom"/>
            <w:gridSpan w:val="2"/>
          </w:tcPr>
          <w:p>
            <w:pPr>
              <w:spacing w:after="0"/>
              <w:rPr>
                <w:sz w:val="20"/>
                <w:szCs w:val="20"/>
                <w:color w:val="auto"/>
              </w:rPr>
            </w:pPr>
            <w:r>
              <w:rPr>
                <w:rFonts w:ascii="Arial" w:cs="Arial" w:eastAsia="Arial" w:hAnsi="Arial"/>
                <w:sz w:val="12"/>
                <w:szCs w:val="12"/>
                <w:color w:val="auto"/>
              </w:rPr>
              <w:t>Unrealized loss on investments . . . . . . . . . . . . . . . . . . . . . . . . . . . . . . .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2,602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2,602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560" w:type="dxa"/>
            <w:vAlign w:val="bottom"/>
            <w:gridSpan w:val="2"/>
          </w:tcPr>
          <w:p>
            <w:pPr>
              <w:spacing w:after="0"/>
              <w:rPr>
                <w:sz w:val="20"/>
                <w:szCs w:val="20"/>
                <w:color w:val="auto"/>
              </w:rPr>
            </w:pPr>
            <w:r>
              <w:rPr>
                <w:rFonts w:ascii="Arial" w:cs="Arial" w:eastAsia="Arial" w:hAnsi="Arial"/>
                <w:sz w:val="12"/>
                <w:szCs w:val="12"/>
                <w:color w:val="auto"/>
              </w:rPr>
              <w:t>Foreign currency translation . . . . . . . . . . . . . . . . . . . . . . . . . . . . . . . . . .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(32)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(32)</w:t>
            </w:r>
          </w:p>
        </w:tc>
        <w:tc>
          <w:tcPr>
            <w:tcW w:w="0" w:type="dxa"/>
            <w:vAlign w:val="bottom"/>
          </w:tcPr>
          <w:p>
            <w:pPr>
              <w:spacing w:after="0"/>
              <w:rPr>
                <w:sz w:val="1"/>
                <w:szCs w:val="1"/>
                <w:color w:val="auto"/>
              </w:rPr>
            </w:pPr>
          </w:p>
        </w:tc>
      </w:tr>
      <w:tr>
        <w:trPr>
          <w:trHeight w:val="139"/>
        </w:trPr>
        <w:tc>
          <w:tcPr>
            <w:tcW w:w="5560" w:type="dxa"/>
            <w:vAlign w:val="bottom"/>
            <w:gridSpan w:val="2"/>
          </w:tcPr>
          <w:p>
            <w:pPr>
              <w:spacing w:after="0"/>
              <w:rPr>
                <w:sz w:val="20"/>
                <w:szCs w:val="20"/>
                <w:color w:val="auto"/>
              </w:rPr>
            </w:pPr>
            <w:r>
              <w:rPr>
                <w:rFonts w:ascii="Arial" w:cs="Arial" w:eastAsia="Arial" w:hAnsi="Arial"/>
                <w:sz w:val="12"/>
                <w:szCs w:val="12"/>
                <w:color w:val="auto"/>
              </w:rPr>
              <w:t>Stock based compensation . . . . . . . . . . . . . . . . . . . . . . . . . . . . . . . . . .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14,622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14,622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560" w:type="dxa"/>
            <w:vAlign w:val="bottom"/>
            <w:gridSpan w:val="2"/>
          </w:tcPr>
          <w:p>
            <w:pPr>
              <w:spacing w:after="0"/>
              <w:rPr>
                <w:sz w:val="20"/>
                <w:szCs w:val="20"/>
                <w:color w:val="auto"/>
              </w:rPr>
            </w:pPr>
            <w:r>
              <w:rPr>
                <w:rFonts w:ascii="Arial" w:cs="Arial" w:eastAsia="Arial" w:hAnsi="Arial"/>
                <w:sz w:val="12"/>
                <w:szCs w:val="12"/>
                <w:color w:val="auto"/>
              </w:rPr>
              <w:t>Net loss . . . . . . . . . . . . . . . . . . . . . . . . . . . . . . . . . . . . . . . . . . . . . . .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(136,673)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b w:val="1"/>
                <w:bCs w:val="1"/>
                <w:color w:val="auto"/>
              </w:rPr>
              <w:t>(136,673)</w:t>
            </w:r>
          </w:p>
        </w:tc>
        <w:tc>
          <w:tcPr>
            <w:tcW w:w="0" w:type="dxa"/>
            <w:vAlign w:val="bottom"/>
          </w:tcPr>
          <w:p>
            <w:pPr>
              <w:spacing w:after="0"/>
              <w:rPr>
                <w:sz w:val="1"/>
                <w:szCs w:val="1"/>
                <w:color w:val="auto"/>
              </w:rPr>
            </w:pPr>
          </w:p>
        </w:tc>
      </w:tr>
      <w:tr>
        <w:trPr>
          <w:trHeight w:val="138"/>
        </w:trPr>
        <w:tc>
          <w:tcPr>
            <w:tcW w:w="556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 . . . . . . . . . . . . . . . . . . . . . . . . . . . . . . . . . . . . . . . . . . . . . .</w:t>
            </w:r>
            <w:r>
              <w:rPr>
                <w:rFonts w:ascii="Arial" w:cs="Arial" w:eastAsia="Arial" w:hAnsi="Arial"/>
                <w:sz w:val="12"/>
                <w:szCs w:val="12"/>
                <w:b w:val="1"/>
                <w:bCs w:val="1"/>
                <w:color w:val="auto"/>
              </w:rPr>
              <w:t>Balance,December31,2023</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60,335,701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840,407</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(655,771)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b w:val="1"/>
                <w:bCs w:val="1"/>
                <w:color w:val="auto"/>
                <w:w w:val="89"/>
              </w:rPr>
              <w:t>$</w:t>
            </w: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108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b w:val="1"/>
                <w:bCs w:val="1"/>
                <w:color w:val="auto"/>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184,750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5560" w:type="dxa"/>
            <w:vAlign w:val="bottom"/>
            <w:gridSpan w:val="2"/>
          </w:tcPr>
          <w:p>
            <w:pPr>
              <w:jc w:val="right"/>
              <w:ind w:right="220"/>
              <w:spacing w:after="0" w:line="114" w:lineRule="exact"/>
              <w:rPr>
                <w:sz w:val="20"/>
                <w:szCs w:val="20"/>
                <w:color w:val="auto"/>
              </w:rPr>
            </w:pPr>
            <w:r>
              <w:rPr>
                <w:rFonts w:ascii="Arial" w:cs="Arial" w:eastAsia="Arial" w:hAnsi="Arial"/>
                <w:sz w:val="12"/>
                <w:szCs w:val="12"/>
                <w:color w:val="auto"/>
              </w:rPr>
              <w:t>. . . . . . . . . . . . . . .Issuanceofcommonstockupontheexerciseofstockoptionsand2021ESPP</w:t>
            </w:r>
          </w:p>
        </w:tc>
        <w:tc>
          <w:tcPr>
            <w:tcW w:w="1060" w:type="dxa"/>
            <w:vAlign w:val="bottom"/>
          </w:tcPr>
          <w:p>
            <w:pPr>
              <w:jc w:val="right"/>
              <w:spacing w:after="0" w:line="114" w:lineRule="exact"/>
              <w:rPr>
                <w:sz w:val="20"/>
                <w:szCs w:val="20"/>
                <w:color w:val="auto"/>
              </w:rPr>
            </w:pPr>
            <w:r>
              <w:rPr>
                <w:rFonts w:ascii="Arial" w:cs="Arial" w:eastAsia="Arial" w:hAnsi="Arial"/>
                <w:sz w:val="12"/>
                <w:szCs w:val="12"/>
                <w:color w:val="auto"/>
              </w:rPr>
              <w:t>635,471</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jc w:val="right"/>
              <w:spacing w:after="0" w:line="114" w:lineRule="exact"/>
              <w:rPr>
                <w:sz w:val="20"/>
                <w:szCs w:val="20"/>
                <w:color w:val="auto"/>
              </w:rPr>
            </w:pPr>
            <w:r>
              <w:rPr>
                <w:rFonts w:ascii="Arial" w:cs="Arial" w:eastAsia="Arial" w:hAnsi="Arial"/>
                <w:sz w:val="12"/>
                <w:szCs w:val="12"/>
                <w:color w:val="auto"/>
              </w:rPr>
              <w:t>1</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14" w:lineRule="exact"/>
              <w:rPr>
                <w:sz w:val="20"/>
                <w:szCs w:val="20"/>
                <w:color w:val="auto"/>
              </w:rPr>
            </w:pPr>
            <w:r>
              <w:rPr>
                <w:rFonts w:ascii="Arial" w:cs="Arial" w:eastAsia="Arial" w:hAnsi="Arial"/>
                <w:sz w:val="12"/>
                <w:szCs w:val="12"/>
                <w:color w:val="auto"/>
              </w:rPr>
              <w:t>772</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spacing w:after="0" w:line="11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spacing w:after="0" w:line="114" w:lineRule="exact"/>
              <w:rPr>
                <w:sz w:val="20"/>
                <w:szCs w:val="20"/>
                <w:color w:val="auto"/>
              </w:rPr>
            </w:pPr>
            <w:r>
              <w:rPr>
                <w:rFonts w:ascii="Arial" w:cs="Arial" w:eastAsia="Arial" w:hAnsi="Arial"/>
                <w:sz w:val="12"/>
                <w:szCs w:val="12"/>
                <w:b w:val="1"/>
                <w:bCs w:val="1"/>
                <w:color w:val="auto"/>
              </w:rPr>
              <w:t>773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5560" w:type="dxa"/>
            <w:vAlign w:val="bottom"/>
            <w:gridSpan w:val="2"/>
          </w:tcPr>
          <w:p>
            <w:pPr>
              <w:spacing w:after="0"/>
              <w:rPr>
                <w:sz w:val="20"/>
                <w:szCs w:val="20"/>
                <w:color w:val="auto"/>
              </w:rPr>
            </w:pPr>
            <w:r>
              <w:rPr>
                <w:rFonts w:ascii="Arial" w:cs="Arial" w:eastAsia="Arial" w:hAnsi="Arial"/>
                <w:sz w:val="12"/>
                <w:szCs w:val="12"/>
                <w:color w:val="auto"/>
              </w:rPr>
              <w:t>Vesting of restricted stock . . . . . . . . . . . . . . . . . . . . . . . . . . . . . . . . . . .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24,734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8"/>
        </w:trPr>
        <w:tc>
          <w:tcPr>
            <w:tcW w:w="5560" w:type="dxa"/>
            <w:vAlign w:val="bottom"/>
            <w:gridSpan w:val="2"/>
          </w:tcPr>
          <w:p>
            <w:pPr>
              <w:spacing w:after="0"/>
              <w:rPr>
                <w:sz w:val="20"/>
                <w:szCs w:val="20"/>
                <w:color w:val="auto"/>
              </w:rPr>
            </w:pPr>
            <w:r>
              <w:rPr>
                <w:rFonts w:ascii="Arial" w:cs="Arial" w:eastAsia="Arial" w:hAnsi="Arial"/>
                <w:sz w:val="12"/>
                <w:szCs w:val="12"/>
                <w:color w:val="auto"/>
              </w:rPr>
              <w:t>Vesting of early exercise stock options . . . . . . . . . . . . . . . . . . . . . . . . . . .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107,959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558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558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560" w:type="dxa"/>
            <w:vAlign w:val="bottom"/>
            <w:gridSpan w:val="2"/>
          </w:tcPr>
          <w:p>
            <w:pPr>
              <w:spacing w:after="0"/>
              <w:rPr>
                <w:sz w:val="20"/>
                <w:szCs w:val="20"/>
                <w:color w:val="auto"/>
              </w:rPr>
            </w:pPr>
            <w:r>
              <w:rPr>
                <w:rFonts w:ascii="Arial" w:cs="Arial" w:eastAsia="Arial" w:hAnsi="Arial"/>
                <w:sz w:val="12"/>
                <w:szCs w:val="12"/>
                <w:color w:val="auto"/>
              </w:rPr>
              <w:t>Vesting of restricted stock units . . . . . . . . . . . . . . . . . . . . . . . . . . . . . . .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1,033,315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(635)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b w:val="1"/>
                <w:bCs w:val="1"/>
                <w:color w:val="auto"/>
              </w:rPr>
              <w:t>(635)</w:t>
            </w:r>
          </w:p>
        </w:tc>
        <w:tc>
          <w:tcPr>
            <w:tcW w:w="0" w:type="dxa"/>
            <w:vAlign w:val="bottom"/>
          </w:tcPr>
          <w:p>
            <w:pPr>
              <w:spacing w:after="0"/>
              <w:rPr>
                <w:sz w:val="1"/>
                <w:szCs w:val="1"/>
                <w:color w:val="auto"/>
              </w:rPr>
            </w:pPr>
          </w:p>
        </w:tc>
      </w:tr>
      <w:tr>
        <w:trPr>
          <w:trHeight w:val="139"/>
        </w:trPr>
        <w:tc>
          <w:tcPr>
            <w:tcW w:w="5560" w:type="dxa"/>
            <w:vAlign w:val="bottom"/>
            <w:gridSpan w:val="2"/>
          </w:tcPr>
          <w:p>
            <w:pPr>
              <w:spacing w:after="0"/>
              <w:rPr>
                <w:sz w:val="20"/>
                <w:szCs w:val="20"/>
                <w:color w:val="auto"/>
              </w:rPr>
            </w:pPr>
            <w:r>
              <w:rPr>
                <w:rFonts w:ascii="Arial" w:cs="Arial" w:eastAsia="Arial" w:hAnsi="Arial"/>
                <w:sz w:val="12"/>
                <w:szCs w:val="12"/>
                <w:color w:val="auto"/>
              </w:rPr>
              <w:t>Issuance of common stock in connection with the acquisition of Clade (Note 3)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3,741,646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15,154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15,154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560" w:type="dxa"/>
            <w:vAlign w:val="bottom"/>
            <w:gridSpan w:val="2"/>
          </w:tcPr>
          <w:p>
            <w:pPr>
              <w:spacing w:after="0"/>
              <w:rPr>
                <w:sz w:val="20"/>
                <w:szCs w:val="20"/>
                <w:color w:val="auto"/>
              </w:rPr>
            </w:pPr>
            <w:r>
              <w:rPr>
                <w:rFonts w:ascii="Arial" w:cs="Arial" w:eastAsia="Arial" w:hAnsi="Arial"/>
                <w:sz w:val="12"/>
                <w:szCs w:val="12"/>
                <w:color w:val="auto"/>
              </w:rPr>
              <w:t>Issuance of common stock via ATM, net of underwriting discounts and commissions and</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17,829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560" w:type="dxa"/>
            <w:vAlign w:val="bottom"/>
            <w:gridSpan w:val="2"/>
          </w:tcPr>
          <w:p>
            <w:pPr>
              <w:spacing w:after="0"/>
              <w:rPr>
                <w:sz w:val="20"/>
                <w:szCs w:val="20"/>
                <w:color w:val="auto"/>
              </w:rPr>
            </w:pPr>
            <w:r>
              <w:rPr>
                <w:rFonts w:ascii="Arial" w:cs="Arial" w:eastAsia="Arial" w:hAnsi="Arial"/>
                <w:sz w:val="12"/>
                <w:szCs w:val="12"/>
                <w:color w:val="auto"/>
              </w:rPr>
              <w:t>other issuance costs . . . . . . . . . . . . . . . . . . . . . . . . . . . . . . . . . . . . . . .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4,084,502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17,829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560" w:type="dxa"/>
            <w:vAlign w:val="bottom"/>
            <w:gridSpan w:val="2"/>
          </w:tcPr>
          <w:p>
            <w:pPr>
              <w:spacing w:after="0"/>
              <w:rPr>
                <w:sz w:val="20"/>
                <w:szCs w:val="20"/>
                <w:color w:val="auto"/>
              </w:rPr>
            </w:pPr>
            <w:r>
              <w:rPr>
                <w:rFonts w:ascii="Arial" w:cs="Arial" w:eastAsia="Arial" w:hAnsi="Arial"/>
                <w:sz w:val="12"/>
                <w:szCs w:val="12"/>
                <w:color w:val="auto"/>
              </w:rPr>
              <w:t>Issuance of common stock via PIPE, net of underwriting discounts and commissions and</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56,595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560" w:type="dxa"/>
            <w:vAlign w:val="bottom"/>
            <w:gridSpan w:val="2"/>
          </w:tcPr>
          <w:p>
            <w:pPr>
              <w:spacing w:after="0"/>
              <w:rPr>
                <w:sz w:val="20"/>
                <w:szCs w:val="20"/>
                <w:color w:val="auto"/>
              </w:rPr>
            </w:pPr>
            <w:r>
              <w:rPr>
                <w:rFonts w:ascii="Arial" w:cs="Arial" w:eastAsia="Arial" w:hAnsi="Arial"/>
                <w:sz w:val="12"/>
                <w:szCs w:val="12"/>
                <w:color w:val="auto"/>
              </w:rPr>
              <w:t>other issuance costs . . . . . . . . . . . . . . . . . . . . . . . . . . . . . . . . . . . . . . .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15,873,101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56,593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560" w:type="dxa"/>
            <w:vAlign w:val="bottom"/>
            <w:gridSpan w:val="2"/>
          </w:tcPr>
          <w:p>
            <w:pPr>
              <w:spacing w:after="0"/>
              <w:rPr>
                <w:sz w:val="20"/>
                <w:szCs w:val="20"/>
                <w:color w:val="auto"/>
              </w:rPr>
            </w:pPr>
            <w:r>
              <w:rPr>
                <w:rFonts w:ascii="Arial" w:cs="Arial" w:eastAsia="Arial" w:hAnsi="Arial"/>
                <w:sz w:val="12"/>
                <w:szCs w:val="12"/>
                <w:color w:val="auto"/>
              </w:rPr>
              <w:t>Unrealized gain on investments . . . . . . . . . . . . . . . . . . . . . . . . . . . . . . .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560" w:type="dxa"/>
            <w:vAlign w:val="bottom"/>
            <w:gridSpan w:val="2"/>
          </w:tcPr>
          <w:p>
            <w:pPr>
              <w:spacing w:after="0"/>
              <w:rPr>
                <w:sz w:val="20"/>
                <w:szCs w:val="20"/>
                <w:color w:val="auto"/>
              </w:rPr>
            </w:pPr>
            <w:r>
              <w:rPr>
                <w:rFonts w:ascii="Arial" w:cs="Arial" w:eastAsia="Arial" w:hAnsi="Arial"/>
                <w:sz w:val="12"/>
                <w:szCs w:val="12"/>
                <w:color w:val="auto"/>
              </w:rPr>
              <w:t>Foreign currency translation . . . . . . . . . . . . . . . . . . . . . . . . . . . . . . . . . .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560" w:type="dxa"/>
            <w:vAlign w:val="bottom"/>
            <w:gridSpan w:val="2"/>
          </w:tcPr>
          <w:p>
            <w:pPr>
              <w:spacing w:after="0"/>
              <w:rPr>
                <w:sz w:val="20"/>
                <w:szCs w:val="20"/>
                <w:color w:val="auto"/>
              </w:rPr>
            </w:pPr>
            <w:r>
              <w:rPr>
                <w:rFonts w:ascii="Arial" w:cs="Arial" w:eastAsia="Arial" w:hAnsi="Arial"/>
                <w:sz w:val="12"/>
                <w:szCs w:val="12"/>
                <w:color w:val="auto"/>
              </w:rPr>
              <w:t>Stock based compensation . . . . . . . . . . . . . . . . . . . . . . . . . . . . . . . . . .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12,688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12,688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560" w:type="dxa"/>
            <w:vAlign w:val="bottom"/>
            <w:gridSpan w:val="2"/>
          </w:tcPr>
          <w:p>
            <w:pPr>
              <w:spacing w:after="0"/>
              <w:rPr>
                <w:sz w:val="20"/>
                <w:szCs w:val="20"/>
                <w:color w:val="auto"/>
              </w:rPr>
            </w:pPr>
            <w:r>
              <w:rPr>
                <w:rFonts w:ascii="Arial" w:cs="Arial" w:eastAsia="Arial" w:hAnsi="Arial"/>
                <w:sz w:val="12"/>
                <w:szCs w:val="12"/>
                <w:color w:val="auto"/>
              </w:rPr>
              <w:t>Net loss . . . . . . . . . . . . . . . . . . . . . . . . . . . . . . . . . . . . . . . . . . . . . . . . . . . . . . . . . . . . . .</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(126,566)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b w:val="1"/>
                <w:bCs w:val="1"/>
                <w:color w:val="auto"/>
              </w:rPr>
              <w:t>(126,566)</w:t>
            </w:r>
          </w:p>
        </w:tc>
        <w:tc>
          <w:tcPr>
            <w:tcW w:w="0" w:type="dxa"/>
            <w:vAlign w:val="bottom"/>
          </w:tcPr>
          <w:p>
            <w:pPr>
              <w:spacing w:after="0"/>
              <w:rPr>
                <w:sz w:val="1"/>
                <w:szCs w:val="1"/>
                <w:color w:val="auto"/>
              </w:rPr>
            </w:pPr>
          </w:p>
        </w:tc>
      </w:tr>
      <w:tr>
        <w:trPr>
          <w:trHeight w:val="139"/>
        </w:trPr>
        <w:tc>
          <w:tcPr>
            <w:tcW w:w="5540" w:type="dxa"/>
            <w:vAlign w:val="bottom"/>
          </w:tcPr>
          <w:p>
            <w:pPr>
              <w:spacing w:after="0" w:line="130" w:lineRule="exact"/>
              <w:rPr>
                <w:sz w:val="20"/>
                <w:szCs w:val="20"/>
                <w:color w:val="auto"/>
              </w:rPr>
            </w:pPr>
            <w:r>
              <w:rPr>
                <w:rFonts w:ascii="Arial" w:cs="Arial" w:eastAsia="Arial" w:hAnsi="Arial"/>
                <w:sz w:val="12"/>
                <w:szCs w:val="12"/>
                <w:b w:val="1"/>
                <w:bCs w:val="1"/>
                <w:color w:val="auto"/>
              </w:rPr>
              <w:t xml:space="preserve">Balance, December 31, 2024 </w:t>
            </w:r>
            <w:r>
              <w:rPr>
                <w:rFonts w:ascii="Arial" w:cs="Arial" w:eastAsia="Arial" w:hAnsi="Arial"/>
                <w:sz w:val="12"/>
                <w:szCs w:val="12"/>
                <w:color w:val="auto"/>
              </w:rPr>
              <w:t>. . . . . . . . . . . . . . . . . . . . . . . . . . . . . . . . . . . . . . . . . . . . . . .</w:t>
            </w:r>
          </w:p>
        </w:tc>
        <w:tc>
          <w:tcPr>
            <w:tcW w:w="20" w:type="dxa"/>
            <w:vAlign w:val="bottom"/>
            <w:tcBorders>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85,836,429</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9</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943,366</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(782,337)</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line="130" w:lineRule="exact"/>
              <w:rPr>
                <w:sz w:val="20"/>
                <w:szCs w:val="20"/>
                <w:color w:val="auto"/>
              </w:rPr>
            </w:pPr>
            <w:r>
              <w:rPr>
                <w:rFonts w:ascii="Arial" w:cs="Arial" w:eastAsia="Arial" w:hAnsi="Arial"/>
                <w:sz w:val="12"/>
                <w:szCs w:val="12"/>
                <w:b w:val="1"/>
                <w:bCs w:val="1"/>
                <w:color w:val="auto"/>
                <w:w w:val="89"/>
              </w:rPr>
              <w:t>$</w:t>
            </w:r>
          </w:p>
        </w:tc>
        <w:tc>
          <w:tcPr>
            <w:tcW w:w="104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324</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line="130" w:lineRule="exact"/>
              <w:rPr>
                <w:sz w:val="20"/>
                <w:szCs w:val="20"/>
                <w:color w:val="auto"/>
              </w:rPr>
            </w:pPr>
            <w:r>
              <w:rPr>
                <w:rFonts w:ascii="Arial" w:cs="Arial" w:eastAsia="Arial" w:hAnsi="Arial"/>
                <w:sz w:val="12"/>
                <w:szCs w:val="12"/>
                <w:b w:val="1"/>
                <w:bCs w:val="1"/>
                <w:color w:val="auto"/>
              </w:rPr>
              <w:t>$</w:t>
            </w:r>
          </w:p>
        </w:tc>
        <w:tc>
          <w:tcPr>
            <w:tcW w:w="82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161,362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-2317115</wp:posOffset>
            </wp:positionV>
            <wp:extent cx="609600" cy="31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609600" cy="3175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ectPr>
          <w:pgSz w:w="15480" w:h="11880" w:orient="landscape"/>
          <w:cols w:equalWidth="0" w:num="2">
            <w:col w:w="218" w:space="459"/>
            <w:col w:w="12660"/>
          </w:cols>
          <w:pgMar w:left="1123" w:top="1440" w:right="1020" w:bottom="1440" w:gutter="0" w:footer="0" w:header="0"/>
        </w:sectPr>
      </w:pPr>
    </w:p>
    <w:bookmarkStart w:id="135" w:name="page136"/>
    <w:bookmarkEnd w:id="135"/>
    <w:p>
      <w:pPr>
        <w:jc w:val="center"/>
        <w:spacing w:after="0"/>
        <w:rPr>
          <w:sz w:val="20"/>
          <w:szCs w:val="20"/>
          <w:color w:val="auto"/>
        </w:rPr>
      </w:pPr>
      <w:r>
        <w:rPr>
          <w:rFonts w:ascii="Arial" w:cs="Arial" w:eastAsia="Arial" w:hAnsi="Arial"/>
          <w:sz w:val="24"/>
          <w:szCs w:val="24"/>
          <w:b w:val="1"/>
          <w:bCs w:val="1"/>
          <w:color w:val="auto"/>
        </w:rPr>
        <w:t>CENTURY THERAPEUTICS,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00"/>
              <w:spacing w:after="0" w:line="181" w:lineRule="exact"/>
              <w:rPr>
                <w:sz w:val="20"/>
                <w:szCs w:val="20"/>
                <w:color w:val="auto"/>
              </w:rPr>
            </w:pPr>
            <w:r>
              <w:rPr>
                <w:rFonts w:ascii="Arial" w:cs="Arial" w:eastAsia="Arial" w:hAnsi="Arial"/>
                <w:sz w:val="16"/>
                <w:szCs w:val="16"/>
                <w:color w:val="auto"/>
              </w:rPr>
              <w:t>Year Ended</w:t>
            </w: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00"/>
              <w:spacing w:after="0" w:line="181" w:lineRule="exact"/>
              <w:rPr>
                <w:sz w:val="20"/>
                <w:szCs w:val="20"/>
                <w:color w:val="auto"/>
              </w:rPr>
            </w:pPr>
            <w:r>
              <w:rPr>
                <w:rFonts w:ascii="Arial" w:cs="Arial" w:eastAsia="Arial" w:hAnsi="Arial"/>
                <w:sz w:val="16"/>
                <w:szCs w:val="16"/>
                <w:color w:val="auto"/>
              </w:rPr>
              <w:t>Year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00" w:type="dxa"/>
            <w:vAlign w:val="bottom"/>
            <w:gridSpan w:val="2"/>
          </w:tcPr>
          <w:p>
            <w:pPr>
              <w:spacing w:after="0"/>
              <w:rPr>
                <w:sz w:val="20"/>
                <w:szCs w:val="20"/>
                <w:color w:val="auto"/>
              </w:rPr>
            </w:pPr>
            <w:r>
              <w:rPr>
                <w:rFonts w:ascii="Arial" w:cs="Arial" w:eastAsia="Arial" w:hAnsi="Arial"/>
                <w:sz w:val="16"/>
                <w:szCs w:val="16"/>
                <w:color w:val="auto"/>
                <w:w w:val="98"/>
              </w:rPr>
              <w:t>December 31, 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Arial" w:cs="Arial" w:eastAsia="Arial" w:hAnsi="Arial"/>
                <w:sz w:val="16"/>
                <w:szCs w:val="16"/>
                <w:color w:val="auto"/>
                <w:w w:val="99"/>
              </w:rPr>
              <w:t>December 31, 2023</w:t>
            </w:r>
          </w:p>
        </w:tc>
        <w:tc>
          <w:tcPr>
            <w:tcW w:w="0" w:type="dxa"/>
            <w:vAlign w:val="bottom"/>
          </w:tcPr>
          <w:p>
            <w:pPr>
              <w:spacing w:after="0"/>
              <w:rPr>
                <w:sz w:val="1"/>
                <w:szCs w:val="1"/>
                <w:color w:val="auto"/>
              </w:rPr>
            </w:pPr>
          </w:p>
        </w:tc>
      </w:tr>
      <w:tr>
        <w:trPr>
          <w:trHeight w:val="160"/>
        </w:trPr>
        <w:tc>
          <w:tcPr>
            <w:tcW w:w="670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700" w:type="dxa"/>
            <w:vAlign w:val="bottom"/>
            <w:gridSpan w:val="2"/>
          </w:tcPr>
          <w:p>
            <w:pPr>
              <w:ind w:left="120"/>
              <w:spacing w:after="0" w:line="181" w:lineRule="exact"/>
              <w:rPr>
                <w:sz w:val="20"/>
                <w:szCs w:val="20"/>
                <w:color w:val="auto"/>
              </w:rPr>
            </w:pPr>
            <w:r>
              <w:rPr>
                <w:rFonts w:ascii="Arial" w:cs="Arial" w:eastAsia="Arial" w:hAnsi="Arial"/>
                <w:sz w:val="16"/>
                <w:szCs w:val="16"/>
                <w:color w:val="auto"/>
              </w:rPr>
              <w:t>Net loss . . . . . . . . . . . . . . . . . . . . . . . . . . . . . . . . . . . . . . . . . . . . . . . . . . . . . . . . . . . . . . .</w:t>
            </w:r>
          </w:p>
        </w:tc>
        <w:tc>
          <w:tcPr>
            <w:tcW w:w="180" w:type="dxa"/>
            <w:vAlign w:val="bottom"/>
          </w:tcPr>
          <w:p>
            <w:pPr>
              <w:spacing w:after="0" w:line="181"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1" w:lineRule="exact"/>
              <w:rPr>
                <w:sz w:val="20"/>
                <w:szCs w:val="20"/>
                <w:color w:val="auto"/>
              </w:rPr>
            </w:pPr>
            <w:r>
              <w:rPr>
                <w:rFonts w:ascii="Arial" w:cs="Arial" w:eastAsia="Arial" w:hAnsi="Arial"/>
                <w:sz w:val="16"/>
                <w:szCs w:val="16"/>
                <w:color w:val="auto"/>
              </w:rPr>
              <w:t>(126,566)</w:t>
            </w:r>
          </w:p>
        </w:tc>
        <w:tc>
          <w:tcPr>
            <w:tcW w:w="400" w:type="dxa"/>
            <w:vAlign w:val="bottom"/>
            <w:gridSpan w:val="3"/>
          </w:tcPr>
          <w:p>
            <w:pPr>
              <w:ind w:left="200"/>
              <w:spacing w:after="0" w:line="181"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(136,673)</w:t>
            </w:r>
          </w:p>
        </w:tc>
        <w:tc>
          <w:tcPr>
            <w:tcW w:w="0" w:type="dxa"/>
            <w:vAlign w:val="bottom"/>
          </w:tcPr>
          <w:p>
            <w:pPr>
              <w:spacing w:after="0"/>
              <w:rPr>
                <w:sz w:val="1"/>
                <w:szCs w:val="1"/>
                <w:color w:val="auto"/>
              </w:rPr>
            </w:pPr>
          </w:p>
        </w:tc>
      </w:tr>
      <w:tr>
        <w:trPr>
          <w:trHeight w:val="185"/>
        </w:trPr>
        <w:tc>
          <w:tcPr>
            <w:tcW w:w="6700" w:type="dxa"/>
            <w:vAlign w:val="bottom"/>
            <w:gridSpan w:val="2"/>
          </w:tcPr>
          <w:p>
            <w:pPr>
              <w:ind w:left="120"/>
              <w:spacing w:after="0"/>
              <w:rPr>
                <w:sz w:val="20"/>
                <w:szCs w:val="20"/>
                <w:color w:val="auto"/>
              </w:rPr>
            </w:pPr>
            <w:r>
              <w:rPr>
                <w:rFonts w:ascii="Arial" w:cs="Arial" w:eastAsia="Arial" w:hAnsi="Arial"/>
                <w:sz w:val="16"/>
                <w:szCs w:val="16"/>
                <w:b w:val="1"/>
                <w:bCs w:val="1"/>
                <w:color w:val="auto"/>
              </w:rPr>
              <w:t>Adjustments to reconcile net loss to net cash used in operating</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gridSpan w:val="2"/>
          </w:tcPr>
          <w:p>
            <w:pPr>
              <w:ind w:left="120"/>
              <w:spacing w:after="0"/>
              <w:rPr>
                <w:sz w:val="20"/>
                <w:szCs w:val="20"/>
                <w:color w:val="auto"/>
              </w:rPr>
            </w:pPr>
            <w:r>
              <w:rPr>
                <w:rFonts w:ascii="Arial" w:cs="Arial" w:eastAsia="Arial" w:hAnsi="Arial"/>
                <w:sz w:val="16"/>
                <w:szCs w:val="16"/>
                <w:b w:val="1"/>
                <w:bCs w:val="1"/>
                <w:color w:val="auto"/>
              </w:rPr>
              <w:t>activities: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Depreciation . . . . . . . . . . . . . . . . . . . . . . . .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13,304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Amortization of deferred financing cost . . .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Non-cash operating lease (benefit) . . . . . .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185"/>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Stock based compensation . . . . . . . . . . . .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12,688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Impairment . . . . . . . . . . . . . . . . . . . . . . . . .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4,327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Amortization of investments . . . . . . . . . . . .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(4,812)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(3,984)</w:t>
            </w:r>
          </w:p>
        </w:tc>
        <w:tc>
          <w:tcPr>
            <w:tcW w:w="0" w:type="dxa"/>
            <w:vAlign w:val="bottom"/>
          </w:tcPr>
          <w:p>
            <w:pPr>
              <w:spacing w:after="0"/>
              <w:rPr>
                <w:sz w:val="1"/>
                <w:szCs w:val="1"/>
                <w:color w:val="auto"/>
              </w:rPr>
            </w:pPr>
          </w:p>
        </w:tc>
      </w:tr>
      <w:tr>
        <w:trPr>
          <w:trHeight w:val="185"/>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Change in fair value of contingent liabilities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(1,356)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Decrease in lease liability due to lease termination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6700" w:type="dxa"/>
            <w:vAlign w:val="bottom"/>
            <w:gridSpan w:val="2"/>
          </w:tcPr>
          <w:p>
            <w:pPr>
              <w:jc w:val="right"/>
              <w:ind w:right="360"/>
              <w:spacing w:after="0" w:line="181" w:lineRule="exact"/>
              <w:rPr>
                <w:sz w:val="20"/>
                <w:szCs w:val="20"/>
                <w:color w:val="auto"/>
              </w:rPr>
            </w:pPr>
            <w:r>
              <w:rPr>
                <w:rFonts w:ascii="Arial" w:cs="Arial" w:eastAsia="Arial" w:hAnsi="Arial"/>
                <w:sz w:val="16"/>
                <w:szCs w:val="16"/>
                <w:color w:val="auto"/>
              </w:rPr>
              <w:t>Change in deferred tax liability . . . . . . . . . . . . . . . . . . . . . . . . . . . . . . . . . . . . . . . . . . . .</w:t>
            </w:r>
          </w:p>
        </w:tc>
        <w:tc>
          <w:tcPr>
            <w:tcW w:w="180" w:type="dxa"/>
            <w:vAlign w:val="bottom"/>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Arial" w:cs="Arial" w:eastAsia="Arial" w:hAnsi="Arial"/>
                <w:sz w:val="16"/>
                <w:szCs w:val="16"/>
                <w:color w:val="auto"/>
              </w:rPr>
              <w:t>870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0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 in operating assets and liabilities: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Escrow deposit . . . . . . . . . . . . . . . . . . . . . .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Prepaid expenses and other assets . . . . . .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Operating lease liability . . . . . . . . . . . . . . .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(3,365)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Deferred revenue . . . . . . . . . . . . . . . . . . . .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(6,589)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(2,235)</w:t>
            </w:r>
          </w:p>
        </w:tc>
        <w:tc>
          <w:tcPr>
            <w:tcW w:w="0" w:type="dxa"/>
            <w:vAlign w:val="bottom"/>
          </w:tcPr>
          <w:p>
            <w:pPr>
              <w:spacing w:after="0"/>
              <w:rPr>
                <w:sz w:val="1"/>
                <w:szCs w:val="1"/>
                <w:color w:val="auto"/>
              </w:rPr>
            </w:pPr>
          </w:p>
        </w:tc>
      </w:tr>
      <w:tr>
        <w:trPr>
          <w:trHeight w:val="185"/>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Accounts payable . . . . . . . . . . . . . . . . . . . .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199"/>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Accrued expenses and other liabilities . . . . . . . . . . . . . . . . . . . . . . . . . . . . . . . . . . . . . .</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176"/>
        </w:trPr>
        <w:tc>
          <w:tcPr>
            <w:tcW w:w="6700" w:type="dxa"/>
            <w:vAlign w:val="bottom"/>
            <w:gridSpan w:val="2"/>
          </w:tcPr>
          <w:p>
            <w:pPr>
              <w:jc w:val="right"/>
              <w:ind w:right="360"/>
              <w:spacing w:after="0" w:line="176" w:lineRule="exact"/>
              <w:rPr>
                <w:sz w:val="20"/>
                <w:szCs w:val="20"/>
                <w:color w:val="auto"/>
              </w:rPr>
            </w:pPr>
            <w:r>
              <w:rPr>
                <w:rFonts w:ascii="Arial" w:cs="Arial" w:eastAsia="Arial" w:hAnsi="Arial"/>
                <w:sz w:val="16"/>
                <w:szCs w:val="16"/>
                <w:color w:val="auto"/>
              </w:rPr>
              <w:t>. . . . . . . . . . . . . . . . . . . . . . . . . . . . . . . . . . . .</w:t>
            </w:r>
            <w:r>
              <w:rPr>
                <w:rFonts w:ascii="Arial" w:cs="Arial" w:eastAsia="Arial" w:hAnsi="Arial"/>
                <w:sz w:val="16"/>
                <w:szCs w:val="16"/>
                <w:b w:val="1"/>
                <w:bCs w:val="1"/>
                <w:color w:val="auto"/>
              </w:rPr>
              <w:t>Netcashusedinoperatingactivities</w:t>
            </w:r>
          </w:p>
        </w:tc>
        <w:tc>
          <w:tcPr>
            <w:tcW w:w="1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(110,135)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(88,348)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67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Acquisition of property and equipment . . . . .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Acquisition of fixed maturity securities, available for sale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(119,548)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(209,034)</w:t>
            </w:r>
          </w:p>
        </w:tc>
        <w:tc>
          <w:tcPr>
            <w:tcW w:w="0" w:type="dxa"/>
            <w:vAlign w:val="bottom"/>
          </w:tcPr>
          <w:p>
            <w:pPr>
              <w:spacing w:after="0"/>
              <w:rPr>
                <w:sz w:val="1"/>
                <w:szCs w:val="1"/>
                <w:color w:val="auto"/>
              </w:rPr>
            </w:pPr>
          </w:p>
        </w:tc>
      </w:tr>
      <w:tr>
        <w:trPr>
          <w:trHeight w:val="185"/>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Sale of fixed maturity securities, available for sale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176,792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283,902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Acquisition of Clade Therapeutics, Inc., net of cash acquired . . . . . . . . . . . . . . . . . . . . . .</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(9,608)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700" w:type="dxa"/>
            <w:vAlign w:val="bottom"/>
            <w:gridSpan w:val="2"/>
          </w:tcPr>
          <w:p>
            <w:pPr>
              <w:jc w:val="right"/>
              <w:ind w:right="360"/>
              <w:spacing w:after="0" w:line="176" w:lineRule="exact"/>
              <w:rPr>
                <w:sz w:val="20"/>
                <w:szCs w:val="20"/>
                <w:color w:val="auto"/>
              </w:rPr>
            </w:pPr>
            <w:r>
              <w:rPr>
                <w:rFonts w:ascii="Arial" w:cs="Arial" w:eastAsia="Arial" w:hAnsi="Arial"/>
                <w:sz w:val="16"/>
                <w:szCs w:val="16"/>
                <w:color w:val="auto"/>
              </w:rPr>
              <w:t>. . . . . . . . . . . . . . . . . . . . . . . . . . . . . . . . . . . .</w:t>
            </w:r>
            <w:r>
              <w:rPr>
                <w:rFonts w:ascii="Arial" w:cs="Arial" w:eastAsia="Arial" w:hAnsi="Arial"/>
                <w:sz w:val="16"/>
                <w:szCs w:val="16"/>
                <w:b w:val="1"/>
                <w:bCs w:val="1"/>
                <w:color w:val="auto"/>
              </w:rPr>
              <w:t>Netcashprovidedbyinvestingactivities</w:t>
            </w:r>
          </w:p>
        </w:tc>
        <w:tc>
          <w:tcPr>
            <w:tcW w:w="1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47,482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61,132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67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Proceeds from issuance of common stock and ESPP . . . . . . . . . . . . . . . . . . . . . . . . . . .</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Payments on long term debt . . . . . . . . . . . . .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(10,241)</w:t>
            </w:r>
          </w:p>
        </w:tc>
        <w:tc>
          <w:tcPr>
            <w:tcW w:w="0" w:type="dxa"/>
            <w:vAlign w:val="bottom"/>
          </w:tcPr>
          <w:p>
            <w:pPr>
              <w:spacing w:after="0"/>
              <w:rPr>
                <w:sz w:val="1"/>
                <w:szCs w:val="1"/>
                <w:color w:val="auto"/>
              </w:rPr>
            </w:pPr>
          </w:p>
        </w:tc>
      </w:tr>
      <w:tr>
        <w:trPr>
          <w:trHeight w:val="185"/>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Proceeds from ATM, net of issuance costs . .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17,829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Proceeds from PIPE, net of issuance costs . . . . . . . . . . . . . . . . . . . . . . . . . . . . . . . . . . .</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56,593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6700" w:type="dxa"/>
            <w:vAlign w:val="bottom"/>
            <w:gridSpan w:val="2"/>
          </w:tcPr>
          <w:p>
            <w:pPr>
              <w:jc w:val="right"/>
              <w:ind w:right="360"/>
              <w:spacing w:after="0" w:line="175" w:lineRule="exact"/>
              <w:rPr>
                <w:sz w:val="20"/>
                <w:szCs w:val="20"/>
                <w:color w:val="auto"/>
              </w:rPr>
            </w:pPr>
            <w:r>
              <w:rPr>
                <w:rFonts w:ascii="Arial" w:cs="Arial" w:eastAsia="Arial" w:hAnsi="Arial"/>
                <w:sz w:val="16"/>
                <w:szCs w:val="16"/>
                <w:color w:val="auto"/>
              </w:rPr>
              <w:t>. . . . . . . . . . . . . . . . . . . . . . . . . . .</w:t>
            </w:r>
            <w:r>
              <w:rPr>
                <w:rFonts w:ascii="Arial" w:cs="Arial" w:eastAsia="Arial" w:hAnsi="Arial"/>
                <w:sz w:val="16"/>
                <w:szCs w:val="16"/>
                <w:b w:val="1"/>
                <w:bCs w:val="1"/>
                <w:color w:val="auto"/>
              </w:rPr>
              <w:t>Netcashprovidedby(usedin)financingactivities</w:t>
            </w:r>
          </w:p>
        </w:tc>
        <w:tc>
          <w:tcPr>
            <w:tcW w:w="1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74,563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(9,725)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67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 xml:space="preserve">Net increase (decrease) in cash, cash equivalents, and restricted cash </w:t>
            </w:r>
            <w:r>
              <w:rPr>
                <w:rFonts w:ascii="Arial" w:cs="Arial" w:eastAsia="Arial" w:hAnsi="Arial"/>
                <w:sz w:val="16"/>
                <w:szCs w:val="16"/>
                <w:color w:val="auto"/>
              </w:rPr>
              <w:t>. . . . . . .</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11,910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(36,941)</w:t>
            </w:r>
          </w:p>
        </w:tc>
        <w:tc>
          <w:tcPr>
            <w:tcW w:w="0" w:type="dxa"/>
            <w:vAlign w:val="bottom"/>
          </w:tcPr>
          <w:p>
            <w:pPr>
              <w:spacing w:after="0"/>
              <w:rPr>
                <w:sz w:val="1"/>
                <w:szCs w:val="1"/>
                <w:color w:val="auto"/>
              </w:rPr>
            </w:pPr>
          </w:p>
        </w:tc>
      </w:tr>
      <w:tr>
        <w:trPr>
          <w:trHeight w:val="344"/>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Cash, cash equivalents and restricted cash, beginning of period . . . . . . . . . . . . . . . . . . . .</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49,303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7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 xml:space="preserve">Cash, cash equivalents and restricted cash, end of period </w:t>
            </w:r>
            <w:r>
              <w:rPr>
                <w:rFonts w:ascii="Arial" w:cs="Arial" w:eastAsia="Arial" w:hAnsi="Arial"/>
                <w:sz w:val="16"/>
                <w:szCs w:val="16"/>
                <w:color w:val="auto"/>
                <w:w w:val="99"/>
              </w:rPr>
              <w:t>. . . . . . . . . . . . . . . . . . . . . .</w:t>
            </w:r>
          </w:p>
        </w:tc>
        <w:tc>
          <w:tcPr>
            <w:tcW w:w="180" w:type="dxa"/>
            <w:vAlign w:val="bottom"/>
          </w:tcPr>
          <w:p>
            <w:pPr>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61,213</w:t>
            </w:r>
          </w:p>
        </w:tc>
        <w:tc>
          <w:tcPr>
            <w:tcW w:w="400" w:type="dxa"/>
            <w:vAlign w:val="bottom"/>
            <w:gridSpan w:val="3"/>
          </w:tcPr>
          <w:p>
            <w:pPr>
              <w:ind w:left="20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49,303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700" w:type="dxa"/>
            <w:vAlign w:val="bottom"/>
            <w:gridSpan w:val="2"/>
          </w:tcPr>
          <w:p>
            <w:pPr>
              <w:spacing w:after="0"/>
              <w:rPr>
                <w:sz w:val="20"/>
                <w:szCs w:val="20"/>
                <w:color w:val="auto"/>
              </w:rPr>
            </w:pPr>
            <w:r>
              <w:rPr>
                <w:rFonts w:ascii="Arial" w:cs="Arial" w:eastAsia="Arial" w:hAnsi="Arial"/>
                <w:sz w:val="16"/>
                <w:szCs w:val="16"/>
                <w:b w:val="1"/>
                <w:bCs w:val="1"/>
                <w:color w:val="auto"/>
              </w:rPr>
              <w:t>Supplemental disclosure of cash and non-cash operating</w:t>
            </w: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gridSpan w:val="2"/>
          </w:tcPr>
          <w:p>
            <w:pPr>
              <w:spacing w:after="0"/>
              <w:rPr>
                <w:sz w:val="20"/>
                <w:szCs w:val="20"/>
                <w:color w:val="auto"/>
              </w:rPr>
            </w:pPr>
            <w:r>
              <w:rPr>
                <w:rFonts w:ascii="Arial" w:cs="Arial" w:eastAsia="Arial" w:hAnsi="Arial"/>
                <w:sz w:val="16"/>
                <w:szCs w:val="16"/>
                <w:b w:val="1"/>
                <w:bCs w:val="1"/>
                <w:color w:val="auto"/>
              </w:rPr>
              <w:t>activities:</w:t>
            </w:r>
          </w:p>
        </w:tc>
        <w:tc>
          <w:tcPr>
            <w:tcW w:w="18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gridSpan w:val="3"/>
            <w:vMerge w:val="restart"/>
          </w:tcPr>
          <w:p>
            <w:pPr>
              <w:ind w:left="200"/>
              <w:spacing w:after="0"/>
              <w:rPr>
                <w:sz w:val="20"/>
                <w:szCs w:val="20"/>
                <w:color w:val="auto"/>
              </w:rPr>
            </w:pPr>
            <w:r>
              <w:rPr>
                <w:rFonts w:ascii="Arial" w:cs="Arial" w:eastAsia="Arial" w:hAnsi="Arial"/>
                <w:sz w:val="16"/>
                <w:szCs w:val="16"/>
                <w:b w:val="1"/>
                <w:bCs w:val="1"/>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Cash paid for interest . . . . . . . . . . . . . . . . . . . . . . . . . . . . . . . . . . . . . . . . . . . . . . . . . . . .</w:t>
            </w:r>
          </w:p>
        </w:tc>
        <w:tc>
          <w:tcPr>
            <w:tcW w:w="18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 . . . . . . . . . . . . . . . . . . . . . . . . . . . . . . . . . . . . . . . . . . . . . . . .Cashpaidforincometax</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6700" w:type="dxa"/>
            <w:vAlign w:val="bottom"/>
            <w:gridSpan w:val="2"/>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8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15,154</w:t>
            </w:r>
          </w:p>
        </w:tc>
        <w:tc>
          <w:tcPr>
            <w:tcW w:w="400" w:type="dxa"/>
            <w:vAlign w:val="bottom"/>
            <w:gridSpan w:val="3"/>
            <w:vMerge w:val="restart"/>
          </w:tcPr>
          <w:p>
            <w:pPr>
              <w:ind w:left="20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Stock issued in connection with the Acquisition . . . . . . . . . . . . . . . . . . . . . . . . . . . . . . . .</w:t>
            </w:r>
          </w:p>
        </w:tc>
        <w:tc>
          <w:tcPr>
            <w:tcW w:w="18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00" w:type="dxa"/>
            <w:vAlign w:val="bottom"/>
            <w:gridSpan w:val="2"/>
          </w:tcPr>
          <w:p>
            <w:pPr>
              <w:jc w:val="right"/>
              <w:ind w:right="360"/>
              <w:spacing w:after="0"/>
              <w:rPr>
                <w:sz w:val="20"/>
                <w:szCs w:val="20"/>
                <w:color w:val="auto"/>
              </w:rPr>
            </w:pPr>
            <w:r>
              <w:rPr>
                <w:rFonts w:ascii="Arial" w:cs="Arial" w:eastAsia="Arial" w:hAnsi="Arial"/>
                <w:sz w:val="16"/>
                <w:szCs w:val="16"/>
                <w:color w:val="auto"/>
              </w:rPr>
              <w:t>. . . . . . . . . . . . . . . . . . . . . . . .Purchaseofpropertyandequipment,accruedandunpaid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Pr>
          <w:p>
            <w:pPr>
              <w:jc w:val="right"/>
              <w:ind w:right="260"/>
              <w:spacing w:after="0"/>
              <w:rPr>
                <w:sz w:val="20"/>
                <w:szCs w:val="20"/>
                <w:color w:val="auto"/>
              </w:rPr>
            </w:pPr>
            <w:r>
              <w:rPr>
                <w:rFonts w:ascii="Arial" w:cs="Arial" w:eastAsia="Arial" w:hAnsi="Arial"/>
                <w:sz w:val="16"/>
                <w:szCs w:val="16"/>
                <w:color w:val="auto"/>
              </w:rPr>
              <w:t>Landlord paid leasehold improvements . . . . . . . . . . . . . . . . . . . . . . . . . . . . . . . . . . . . . . .</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ectPr>
          <w:pgSz w:w="11880" w:h="15480" w:orient="portrait"/>
          <w:cols w:equalWidth="0" w:num="1">
            <w:col w:w="9720"/>
          </w:cols>
          <w:pgMar w:left="1080" w:top="1288" w:right="1080" w:bottom="542" w:gutter="0" w:footer="0" w:header="0"/>
        </w:sectPr>
      </w:pPr>
    </w:p>
    <w:bookmarkStart w:id="136" w:name="page137"/>
    <w:bookmarkEnd w:id="136"/>
    <w:p>
      <w:pPr>
        <w:jc w:val="center"/>
        <w:ind w:right="-99"/>
        <w:spacing w:after="0"/>
        <w:rPr>
          <w:sz w:val="20"/>
          <w:szCs w:val="20"/>
          <w:color w:val="auto"/>
        </w:rPr>
      </w:pPr>
      <w:r>
        <w:rPr>
          <w:rFonts w:ascii="Arial" w:cs="Arial" w:eastAsia="Arial" w:hAnsi="Arial"/>
          <w:sz w:val="20"/>
          <w:szCs w:val="20"/>
          <w:b w:val="1"/>
          <w:bCs w:val="1"/>
          <w:color w:val="auto"/>
        </w:rPr>
        <w:t>CENTURY THERAPEUTICS, INC.</w:t>
      </w:r>
    </w:p>
    <w:p>
      <w:pPr>
        <w:spacing w:after="0" w:line="3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Note 1—Organization and description of the business</w:t>
      </w:r>
    </w:p>
    <w:p>
      <w:pPr>
        <w:spacing w:after="0" w:line="239"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Century Therapeutics, Inc. (the “Company”) is an innovative biotechnology company developing transformative allogeneic cell therapies to create products for the treatment of both solid tumor and hematological malignancies and autoimmune diseases with significant unmet medical need. Since inception, the Company has devoted substantially all of its time and efforts to performing research and development activities, building infrastructure and raising capital. The Company is incorporated in the state of Delaware.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Principles of Consolidation</w:t>
      </w:r>
    </w:p>
    <w:p>
      <w:pPr>
        <w:spacing w:after="0" w:line="231"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The consolidated financial statements include the consolidated financial position and consolidated results of operations of the Company and the Company’s subsidiaries, Century Therapeutics Canada ULC (“Century Canada”), Clade Therapeutics (“Clade”) and Gadeta B.V. (“Gadeta”). All intercompany balances and transactions have been eliminated in consolidation.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Liquidity</w:t>
      </w:r>
    </w:p>
    <w:p>
      <w:pPr>
        <w:spacing w:after="0" w:line="231" w:lineRule="exact"/>
        <w:rPr>
          <w:sz w:val="20"/>
          <w:szCs w:val="20"/>
          <w:color w:val="auto"/>
        </w:rPr>
      </w:pPr>
    </w:p>
    <w:p>
      <w:pPr>
        <w:ind w:right="380"/>
        <w:spacing w:after="0" w:line="250" w:lineRule="auto"/>
        <w:rPr>
          <w:sz w:val="20"/>
          <w:szCs w:val="20"/>
          <w:color w:val="auto"/>
        </w:rPr>
      </w:pPr>
      <w:r>
        <w:rPr>
          <w:rFonts w:ascii="Arial" w:cs="Arial" w:eastAsia="Arial" w:hAnsi="Arial"/>
          <w:sz w:val="20"/>
          <w:szCs w:val="20"/>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 These risks include, but are not limited to, the uncertainty of availability of additional financing and the uncertainty of achieving future profitability.</w:t>
      </w:r>
    </w:p>
    <w:p>
      <w:pPr>
        <w:spacing w:after="0" w:line="19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Since inception, the Company has incurred net losses and negative cash flows from operations. During the year ended December 31, 2024, the Company incurred a net loss of $126,566 and used $110,135 of cash from operations. Cash and cash equivalents and short and long-term investments were $220,110 at December 31, 2024. Management expects to incur additional losses in the future to fund its operations and conduct product research and preclinical and clinical development and recognizes the need to raise additional capital to fully implement its business plan. The Company believes it has adequate cash and financial resources to operate for at least the next 12 months from the date of issuance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137</w:t>
      </w:r>
    </w:p>
    <w:p>
      <w:pPr>
        <w:sectPr>
          <w:pgSz w:w="11880" w:h="15480" w:orient="portrait"/>
          <w:cols w:equalWidth="0" w:num="1">
            <w:col w:w="9620"/>
          </w:cols>
          <w:pgMar w:left="1080" w:top="1316" w:right="1180" w:bottom="542" w:gutter="0" w:footer="0" w:header="0"/>
        </w:sectPr>
      </w:pPr>
    </w:p>
    <w:bookmarkStart w:id="137" w:name="page138"/>
    <w:bookmarkEnd w:id="137"/>
    <w:p>
      <w:pPr>
        <w:spacing w:after="0"/>
        <w:rPr>
          <w:sz w:val="20"/>
          <w:szCs w:val="20"/>
          <w:color w:val="auto"/>
        </w:rPr>
      </w:pPr>
      <w:r>
        <w:rPr>
          <w:rFonts w:ascii="Arial" w:cs="Arial" w:eastAsia="Arial" w:hAnsi="Arial"/>
          <w:sz w:val="20"/>
          <w:szCs w:val="20"/>
          <w:color w:val="auto"/>
        </w:rPr>
        <w:t>Note 2—Summary of significant accounting policies and basis of presentation</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Basis of presentation</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Use of estimates</w:t>
      </w:r>
    </w:p>
    <w:p>
      <w:pPr>
        <w:spacing w:after="0" w:line="231"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intangible assets acquired in business combinations, and standalone selling prices of performance obligations in collaboration agreements. If actual results differ from the Company’s estimates, or to the extent these estimates are adjusted in future periods, the Company’s results of operations could either benefit from, or be adversely affected by, any such change in estimate.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Concentration of credit risk and other risks and uncertainties</w:t>
      </w:r>
    </w:p>
    <w:p>
      <w:pPr>
        <w:spacing w:after="0" w:line="232"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December 31, 2024 and 2023, the Company has not experienced any losses on its deposits of cash and cash equivalents.</w:t>
      </w:r>
    </w:p>
    <w:p>
      <w:pPr>
        <w:spacing w:after="0" w:line="193"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9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Fair value of financial instruments</w:t>
      </w:r>
    </w:p>
    <w:p>
      <w:pPr>
        <w:spacing w:after="0" w:line="232"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93" w:lineRule="exact"/>
        <w:rPr>
          <w:sz w:val="20"/>
          <w:szCs w:val="20"/>
          <w:color w:val="auto"/>
        </w:rPr>
      </w:pPr>
    </w:p>
    <w:p>
      <w:pPr>
        <w:ind w:right="100"/>
        <w:spacing w:after="0" w:line="283" w:lineRule="auto"/>
        <w:rPr>
          <w:sz w:val="20"/>
          <w:szCs w:val="20"/>
          <w:color w:val="auto"/>
        </w:rPr>
      </w:pPr>
      <w:r>
        <w:rPr>
          <w:rFonts w:ascii="Arial" w:cs="Arial" w:eastAsia="Arial" w:hAnsi="Arial"/>
          <w:sz w:val="20"/>
          <w:szCs w:val="20"/>
          <w:color w:val="auto"/>
        </w:rPr>
        <w:t>Level 1 Inputs that reflect unadjusted quoted prices in active markets for identical assets or liabilities that the Company has the ability to access at the measurement date;</w:t>
      </w:r>
    </w:p>
    <w:p>
      <w:pPr>
        <w:sectPr>
          <w:pgSz w:w="11880" w:h="15480" w:orient="portrait"/>
          <w:cols w:equalWidth="0" w:num="1">
            <w:col w:w="9680"/>
          </w:cols>
          <w:pgMar w:left="1080" w:top="1068" w:right="1120" w:bottom="554"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138</w:t>
      </w:r>
    </w:p>
    <w:p>
      <w:pPr>
        <w:sectPr>
          <w:pgSz w:w="11880" w:h="15480" w:orient="portrait"/>
          <w:cols w:equalWidth="0" w:num="1">
            <w:col w:w="9680"/>
          </w:cols>
          <w:pgMar w:left="1080" w:top="1068" w:right="1120" w:bottom="554" w:gutter="0" w:footer="0" w:header="0"/>
          <w:type w:val="continuous"/>
        </w:sectPr>
      </w:pPr>
    </w:p>
    <w:bookmarkStart w:id="138" w:name="page139"/>
    <w:bookmarkEnd w:id="138"/>
    <w:p>
      <w:pPr>
        <w:ind w:right="40"/>
        <w:spacing w:after="0" w:line="283" w:lineRule="auto"/>
        <w:rPr>
          <w:sz w:val="20"/>
          <w:szCs w:val="20"/>
          <w:color w:val="auto"/>
        </w:rPr>
      </w:pPr>
      <w:r>
        <w:rPr>
          <w:rFonts w:ascii="Arial" w:cs="Arial" w:eastAsia="Arial" w:hAnsi="Arial"/>
          <w:sz w:val="20"/>
          <w:szCs w:val="20"/>
          <w:color w:val="auto"/>
        </w:rPr>
        <w:t>Level 2 Inputs other than quoted prices that are observable for the asset or liability either directly or indirectly, including inputs in markets that are not considered to be active;</w:t>
      </w:r>
    </w:p>
    <w:p>
      <w:pPr>
        <w:spacing w:after="0" w:line="158" w:lineRule="exact"/>
        <w:rPr>
          <w:sz w:val="20"/>
          <w:szCs w:val="20"/>
          <w:color w:val="auto"/>
        </w:rPr>
      </w:pPr>
    </w:p>
    <w:p>
      <w:pPr>
        <w:ind w:right="840"/>
        <w:spacing w:after="0" w:line="283" w:lineRule="auto"/>
        <w:rPr>
          <w:sz w:val="20"/>
          <w:szCs w:val="20"/>
          <w:color w:val="auto"/>
        </w:rPr>
      </w:pPr>
      <w:r>
        <w:rPr>
          <w:rFonts w:ascii="Arial" w:cs="Arial" w:eastAsia="Arial" w:hAnsi="Arial"/>
          <w:sz w:val="20"/>
          <w:szCs w:val="20"/>
          <w:color w:val="auto"/>
        </w:rPr>
        <w:t>Level 3 Inputs are unobservable in which there is little or no market data available, which require the reporting entity to develop its own assumptions that are unobservable.</w:t>
      </w:r>
    </w:p>
    <w:p>
      <w:pPr>
        <w:spacing w:after="0" w:line="157"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and cash equivalents</w:t>
      </w:r>
    </w:p>
    <w:p>
      <w:pPr>
        <w:spacing w:after="0" w:line="231" w:lineRule="exact"/>
        <w:rPr>
          <w:sz w:val="20"/>
          <w:szCs w:val="20"/>
          <w:color w:val="auto"/>
        </w:rPr>
      </w:pPr>
    </w:p>
    <w:p>
      <w:pPr>
        <w:ind w:right="800"/>
        <w:spacing w:after="0" w:line="283" w:lineRule="auto"/>
        <w:rPr>
          <w:sz w:val="20"/>
          <w:szCs w:val="20"/>
          <w:color w:val="auto"/>
        </w:rPr>
      </w:pPr>
      <w:r>
        <w:rPr>
          <w:rFonts w:ascii="Arial" w:cs="Arial" w:eastAsia="Arial" w:hAnsi="Arial"/>
          <w:sz w:val="20"/>
          <w:szCs w:val="20"/>
          <w:color w:val="auto"/>
        </w:rPr>
        <w:t>Management considers all highly liquid investments with an insignificant interest rate risk and original maturities of three months or less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Restricted cash</w:t>
      </w:r>
    </w:p>
    <w:p>
      <w:pPr>
        <w:spacing w:after="0" w:line="231"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auto"/>
        </w:rPr>
        <w:t>As of December 31, 2024 and 2023, the Company had $2,772 and $1,979, respectively, in cash on deposit to secure certain lease commitments. Restricted cash is recorded separately in the Company’s consolidated balance sheets.</w:t>
      </w:r>
    </w:p>
    <w:p>
      <w:pPr>
        <w:spacing w:after="0" w:line="177" w:lineRule="exact"/>
        <w:rPr>
          <w:sz w:val="20"/>
          <w:szCs w:val="20"/>
          <w:color w:val="auto"/>
        </w:rPr>
      </w:pPr>
    </w:p>
    <w:p>
      <w:pPr>
        <w:ind w:right="200"/>
        <w:spacing w:after="0" w:line="262" w:lineRule="auto"/>
        <w:rPr>
          <w:sz w:val="20"/>
          <w:szCs w:val="20"/>
          <w:color w:val="auto"/>
        </w:rPr>
      </w:pPr>
      <w:r>
        <w:rPr>
          <w:rFonts w:ascii="Arial" w:cs="Arial" w:eastAsia="Arial" w:hAnsi="Arial"/>
          <w:sz w:val="20"/>
          <w:szCs w:val="20"/>
          <w:color w:val="auto"/>
        </w:rPr>
        <w:t>The following provides a reconciliation of the Company’s cash, cash equivalents, and restricted cash as reported in the consolidated balance sheets to the amounts reported in the consolidated statements of cash flows: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20"/>
                <w:szCs w:val="20"/>
                <w:color w:val="auto"/>
              </w:rPr>
              <w:t>Cash and cash equivalents</w:t>
            </w:r>
          </w:p>
        </w:tc>
        <w:tc>
          <w:tcPr>
            <w:tcW w:w="14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w w:val="98"/>
              </w:rPr>
              <w:t>December 31, 2024</w:t>
            </w: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w w:val="98"/>
              </w:rPr>
              <w:t>December 31, 2023</w:t>
            </w:r>
          </w:p>
        </w:tc>
        <w:tc>
          <w:tcPr>
            <w:tcW w:w="0" w:type="dxa"/>
            <w:vAlign w:val="bottom"/>
          </w:tcPr>
          <w:p>
            <w:pPr>
              <w:spacing w:after="0"/>
              <w:rPr>
                <w:sz w:val="1"/>
                <w:szCs w:val="1"/>
                <w:color w:val="auto"/>
              </w:rPr>
            </w:pPr>
          </w:p>
        </w:tc>
      </w:tr>
      <w:tr>
        <w:trPr>
          <w:trHeight w:val="201"/>
        </w:trPr>
        <w:tc>
          <w:tcPr>
            <w:tcW w:w="6720" w:type="dxa"/>
            <w:vAlign w:val="bottom"/>
            <w:gridSpan w:val="2"/>
            <w:vMerge w:val="continue"/>
          </w:tcPr>
          <w:p>
            <w:pPr>
              <w:jc w:val="right"/>
              <w:ind w:right="260"/>
              <w:spacing w:after="0" w:line="177" w:lineRule="exact"/>
              <w:rPr>
                <w:sz w:val="20"/>
                <w:szCs w:val="20"/>
                <w:color w:val="auto"/>
              </w:rPr>
            </w:pPr>
            <w:r>
              <w:rPr>
                <w:rFonts w:ascii="Arial" w:cs="Arial" w:eastAsia="Arial" w:hAnsi="Arial"/>
                <w:sz w:val="20"/>
                <w:szCs w:val="20"/>
                <w:color w:val="auto"/>
              </w:rPr>
              <w:t>. . . . . . . . . . . . . . . . . . . . . . . . . . . . . . . . . . . . . . . .</w:t>
            </w:r>
          </w:p>
        </w:tc>
        <w:tc>
          <w:tcPr>
            <w:tcW w:w="420" w:type="dxa"/>
            <w:vAlign w:val="bottom"/>
          </w:tcPr>
          <w:p>
            <w:pPr>
              <w:spacing w:after="0" w:line="201"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01" w:lineRule="exact"/>
              <w:rPr>
                <w:sz w:val="20"/>
                <w:szCs w:val="20"/>
                <w:color w:val="auto"/>
              </w:rPr>
            </w:pPr>
            <w:r>
              <w:rPr>
                <w:rFonts w:ascii="Arial" w:cs="Arial" w:eastAsia="Arial" w:hAnsi="Arial"/>
                <w:sz w:val="20"/>
                <w:szCs w:val="20"/>
                <w:color w:val="auto"/>
              </w:rPr>
              <w:t>58,441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line="201"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01" w:lineRule="exact"/>
              <w:rPr>
                <w:sz w:val="20"/>
                <w:szCs w:val="20"/>
                <w:color w:val="auto"/>
              </w:rPr>
            </w:pPr>
            <w:r>
              <w:rPr>
                <w:rFonts w:ascii="Arial" w:cs="Arial" w:eastAsia="Arial" w:hAnsi="Arial"/>
                <w:sz w:val="20"/>
                <w:szCs w:val="20"/>
                <w:color w:val="auto"/>
              </w:rPr>
              <w:t>47,324</w:t>
            </w:r>
          </w:p>
        </w:tc>
        <w:tc>
          <w:tcPr>
            <w:tcW w:w="0" w:type="dxa"/>
            <w:vAlign w:val="bottom"/>
          </w:tcPr>
          <w:p>
            <w:pPr>
              <w:spacing w:after="0"/>
              <w:rPr>
                <w:sz w:val="1"/>
                <w:szCs w:val="1"/>
                <w:color w:val="auto"/>
              </w:rPr>
            </w:pPr>
          </w:p>
        </w:tc>
      </w:tr>
      <w:tr>
        <w:trPr>
          <w:trHeight w:val="251"/>
        </w:trPr>
        <w:tc>
          <w:tcPr>
            <w:tcW w:w="6720" w:type="dxa"/>
            <w:vAlign w:val="bottom"/>
            <w:gridSpan w:val="2"/>
          </w:tcPr>
          <w:p>
            <w:pPr>
              <w:jc w:val="right"/>
              <w:ind w:right="260"/>
              <w:spacing w:after="0"/>
              <w:rPr>
                <w:sz w:val="20"/>
                <w:szCs w:val="20"/>
                <w:color w:val="auto"/>
              </w:rPr>
            </w:pPr>
            <w:r>
              <w:rPr>
                <w:rFonts w:ascii="Arial" w:cs="Arial" w:eastAsia="Arial" w:hAnsi="Arial"/>
                <w:sz w:val="20"/>
                <w:szCs w:val="20"/>
                <w:color w:val="auto"/>
                <w:w w:val="92"/>
              </w:rPr>
              <w:t>Restricted cash . . . . . . . . . . . . . . . . . . . . . . . . . . . . . . . . . . . . . . . . . . . . . . . . . .</w:t>
            </w: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2,772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1,979</w:t>
            </w:r>
          </w:p>
        </w:tc>
        <w:tc>
          <w:tcPr>
            <w:tcW w:w="0" w:type="dxa"/>
            <w:vAlign w:val="bottom"/>
          </w:tcPr>
          <w:p>
            <w:pPr>
              <w:spacing w:after="0"/>
              <w:rPr>
                <w:sz w:val="1"/>
                <w:szCs w:val="1"/>
                <w:color w:val="auto"/>
              </w:rPr>
            </w:pPr>
          </w:p>
        </w:tc>
      </w:tr>
      <w:tr>
        <w:trPr>
          <w:trHeight w:val="231"/>
        </w:trPr>
        <w:tc>
          <w:tcPr>
            <w:tcW w:w="6700" w:type="dxa"/>
            <w:vAlign w:val="bottom"/>
          </w:tcPr>
          <w:p>
            <w:pPr>
              <w:jc w:val="right"/>
              <w:ind w:right="140"/>
              <w:spacing w:after="0" w:line="223" w:lineRule="exact"/>
              <w:rPr>
                <w:sz w:val="20"/>
                <w:szCs w:val="20"/>
                <w:color w:val="auto"/>
              </w:rPr>
            </w:pPr>
            <w:r>
              <w:rPr>
                <w:rFonts w:ascii="Arial" w:cs="Arial" w:eastAsia="Arial" w:hAnsi="Arial"/>
                <w:sz w:val="20"/>
                <w:szCs w:val="20"/>
                <w:color w:val="auto"/>
                <w:w w:val="95"/>
              </w:rPr>
              <w:t>Cash, cash equivalents, and restricted cash . . . . . . . . . . . . . . . . . . . . . . . . . .</w:t>
            </w: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61,213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49,303</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Investments</w:t>
      </w:r>
    </w:p>
    <w:p>
      <w:pPr>
        <w:spacing w:after="0" w:line="23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loss on the consolidate statements of operations and comprehensive loss.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Property and equipment, net</w:t>
      </w:r>
    </w:p>
    <w:p>
      <w:pPr>
        <w:spacing w:after="0" w:line="232"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w:t>
      </w: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139</w:t>
      </w:r>
    </w:p>
    <w:p>
      <w:pPr>
        <w:sectPr>
          <w:pgSz w:w="11880" w:h="15480" w:orient="portrait"/>
          <w:cols w:equalWidth="0" w:num="1">
            <w:col w:w="9720"/>
          </w:cols>
          <w:pgMar w:left="1080" w:top="1067" w:right="1080" w:bottom="554" w:gutter="0" w:footer="0" w:header="0"/>
          <w:type w:val="continuous"/>
        </w:sectPr>
      </w:pPr>
    </w:p>
    <w:bookmarkStart w:id="139" w:name="page140"/>
    <w:bookmarkEnd w:id="139"/>
    <w:p>
      <w:pPr>
        <w:ind w:right="840"/>
        <w:spacing w:after="0" w:line="283" w:lineRule="auto"/>
        <w:rPr>
          <w:sz w:val="20"/>
          <w:szCs w:val="20"/>
          <w:color w:val="auto"/>
        </w:rPr>
      </w:pPr>
      <w:r>
        <w:rPr>
          <w:rFonts w:ascii="Arial" w:cs="Arial" w:eastAsia="Arial" w:hAnsi="Arial"/>
          <w:sz w:val="20"/>
          <w:szCs w:val="20"/>
          <w:color w:val="auto"/>
        </w:rPr>
        <w:t>the asset’s useful life or the remaining term of the lease. Computer software and equipment includes implementation costs for cloud-based software and network equipment.</w:t>
      </w:r>
    </w:p>
    <w:p>
      <w:pPr>
        <w:spacing w:after="0" w:line="158"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Research and development expenses</w:t>
      </w:r>
    </w:p>
    <w:p>
      <w:pPr>
        <w:spacing w:after="0" w:line="231"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spacing w:after="0" w:line="192"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Stock-based compensation</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 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198"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Black-Scholes requires inputs based on certain subjective assumptions, including (i) the expected stock price volatility, (ii) the expected term of the award, (iii) the risk-free interest rate and (iv) expected dividends. The historical volatility is calculated based on a period of time commensurate with expected term assumption.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Warrants</w:t>
      </w:r>
    </w:p>
    <w:p>
      <w:pPr>
        <w:spacing w:after="0" w:line="231"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Derivatives and Hedging— Contracts in Entity’s Own Equity, as either derivative liabilities or as equity instruments depending on the</w:t>
      </w: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140</w:t>
      </w:r>
    </w:p>
    <w:p>
      <w:pPr>
        <w:sectPr>
          <w:pgSz w:w="11880" w:h="15480" w:orient="portrait"/>
          <w:cols w:equalWidth="0" w:num="1">
            <w:col w:w="9720"/>
          </w:cols>
          <w:pgMar w:left="1080" w:top="1067" w:right="1080" w:bottom="554" w:gutter="0" w:footer="0" w:header="0"/>
          <w:type w:val="continuous"/>
        </w:sectPr>
      </w:pPr>
    </w:p>
    <w:bookmarkStart w:id="140" w:name="page141"/>
    <w:bookmarkEnd w:id="140"/>
    <w:p>
      <w:pPr>
        <w:jc w:val="both"/>
        <w:ind w:right="60"/>
        <w:spacing w:after="0" w:line="254" w:lineRule="auto"/>
        <w:rPr>
          <w:sz w:val="20"/>
          <w:szCs w:val="20"/>
          <w:color w:val="auto"/>
        </w:rPr>
      </w:pPr>
      <w:r>
        <w:rPr>
          <w:rFonts w:ascii="Arial" w:cs="Arial" w:eastAsia="Arial" w:hAnsi="Arial"/>
          <w:sz w:val="20"/>
          <w:szCs w:val="20"/>
          <w:color w:val="auto"/>
        </w:rPr>
        <w:t>specific terms of the warrant agreement. The Company’s warrants issued are in connection with its long-term debt and in connection with services provided by consultants, and are equity classified on the accompanying consolidated balance sheets. Equity classified warrants are accounted for at fair value on the issuance date, using Black Scholes, with no changes in fair value recognized after the issuance date.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currency translation</w:t>
      </w:r>
    </w:p>
    <w:p>
      <w:pPr>
        <w:spacing w:after="0" w:line="232"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color w:val="auto"/>
        </w:rPr>
        <w:t>The reporting currency of the Company is the U.S. dollar. The functional currency of Century Canada is the Canadian dollar. The functional currency of Gadeta is the Euro. Assets and liabilities of Century Canada and Gadeta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197"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Intercompany payables and receivables are considered to be long-term in nature and any change in balance due to foreign currency fluctuation is included as a component of the Company’s consolidated comprehensive loss and accumulated other comprehensive income (loss) within the Company’s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Basic and diluted net loss per common shares</w:t>
      </w:r>
    </w:p>
    <w:p>
      <w:pPr>
        <w:spacing w:after="0" w:line="231"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weighted-average number of common shares outstanding during the period plus the potential dilutive effects of its warrants, restricted stock and stock options to purchase common shares, but such items are excluded if their effect is anti-dilutive. Because the impact of these items are anti-dilutive during periods of net loss, there were no differences between the Company’s basic and diluted net loss per common share for the years ended December 31, 2024 and 2023.</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Early exercised options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Company allowed certain of its employees and its consultants to exercise options granted under the</w:t>
      </w:r>
    </w:p>
    <w:p>
      <w:pPr>
        <w:spacing w:after="0" w:line="26"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2018 Plan (Note 15) prior to vesting and prior to its IPO.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 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stockholders’ equity until the awards vest. The deposits received are initially recorded in deposit liability. The liabilities are reclassified to common stock and additional paid-in-capital as the repurchase right lapses. At December 31, 2024 and 2023, there was $82 and $584, respectively, recorded in deposit liability related to shares held by employees and nonemployees that were subject to repurchase.</w:t>
      </w:r>
    </w:p>
    <w:p>
      <w:pPr>
        <w:sectPr>
          <w:pgSz w:w="11880" w:h="15480" w:orient="portrait"/>
          <w:cols w:equalWidth="0" w:num="1">
            <w:col w:w="9700"/>
          </w:cols>
          <w:pgMar w:left="1080" w:top="1067"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141</w:t>
      </w:r>
    </w:p>
    <w:p>
      <w:pPr>
        <w:sectPr>
          <w:pgSz w:w="11880" w:h="15480" w:orient="portrait"/>
          <w:cols w:equalWidth="0" w:num="1">
            <w:col w:w="9700"/>
          </w:cols>
          <w:pgMar w:left="1080" w:top="1067" w:right="1100" w:bottom="554" w:gutter="0" w:footer="0" w:header="0"/>
          <w:type w:val="continuous"/>
        </w:sectPr>
      </w:pPr>
    </w:p>
    <w:bookmarkStart w:id="141" w:name="page142"/>
    <w:bookmarkEnd w:id="141"/>
    <w:p>
      <w:pPr>
        <w:ind w:right="460"/>
        <w:spacing w:after="0" w:line="262" w:lineRule="auto"/>
        <w:rPr>
          <w:sz w:val="20"/>
          <w:szCs w:val="20"/>
          <w:color w:val="auto"/>
        </w:rPr>
      </w:pPr>
      <w:r>
        <w:rPr>
          <w:rFonts w:ascii="Arial" w:cs="Arial" w:eastAsia="Arial" w:hAnsi="Arial"/>
          <w:sz w:val="20"/>
          <w:szCs w:val="20"/>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80" w:type="dxa"/>
            <w:vAlign w:val="bottom"/>
            <w:tcBorders>
              <w:top w:val="single" w:sz="8" w:color="auto"/>
            </w:tcBorders>
            <w:vMerge w:val="restart"/>
          </w:tcPr>
          <w:p>
            <w:pPr>
              <w:jc w:val="right"/>
              <w:ind w:right="3660"/>
              <w:spacing w:after="0"/>
              <w:rPr>
                <w:sz w:val="20"/>
                <w:szCs w:val="20"/>
                <w:color w:val="auto"/>
              </w:rPr>
            </w:pPr>
            <w:r>
              <w:rPr>
                <w:rFonts w:ascii="Arial" w:cs="Arial" w:eastAsia="Arial" w:hAnsi="Arial"/>
                <w:sz w:val="20"/>
                <w:szCs w:val="20"/>
                <w:color w:val="auto"/>
                <w:w w:val="99"/>
              </w:rPr>
              <w:t>Total shares legally outstanding</w:t>
            </w:r>
          </w:p>
        </w:tc>
        <w:tc>
          <w:tcPr>
            <w:tcW w:w="160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color w:val="auto"/>
              </w:rPr>
              <w:t>December 31, 2024</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December 31, 2023</w:t>
            </w:r>
          </w:p>
        </w:tc>
        <w:tc>
          <w:tcPr>
            <w:tcW w:w="0" w:type="dxa"/>
            <w:vAlign w:val="bottom"/>
          </w:tcPr>
          <w:p>
            <w:pPr>
              <w:spacing w:after="0"/>
              <w:rPr>
                <w:sz w:val="1"/>
                <w:szCs w:val="1"/>
                <w:color w:val="auto"/>
              </w:rPr>
            </w:pPr>
          </w:p>
        </w:tc>
      </w:tr>
      <w:tr>
        <w:trPr>
          <w:trHeight w:val="201"/>
        </w:trPr>
        <w:tc>
          <w:tcPr>
            <w:tcW w:w="6580" w:type="dxa"/>
            <w:vAlign w:val="bottom"/>
            <w:tcBorders>
              <w:top w:val="single" w:sz="8" w:color="auto"/>
            </w:tcBorders>
            <w:vMerge w:val="continue"/>
          </w:tcPr>
          <w:p>
            <w:pPr>
              <w:jc w:val="right"/>
              <w:ind w:right="120"/>
              <w:spacing w:after="0" w:line="177" w:lineRule="exact"/>
              <w:rPr>
                <w:sz w:val="20"/>
                <w:szCs w:val="20"/>
                <w:color w:val="auto"/>
              </w:rPr>
            </w:pPr>
            <w:r>
              <w:rPr>
                <w:rFonts w:ascii="Arial" w:cs="Arial" w:eastAsia="Arial" w:hAnsi="Arial"/>
                <w:sz w:val="20"/>
                <w:szCs w:val="20"/>
                <w:color w:val="auto"/>
              </w:rPr>
              <w:t>. . . . . . . . . . . . . . . . . . . . . . . . . . . . . . . . . . .</w:t>
            </w:r>
          </w:p>
        </w:tc>
        <w:tc>
          <w:tcPr>
            <w:tcW w:w="20" w:type="dxa"/>
            <w:vAlign w:val="bottom"/>
          </w:tcPr>
          <w:p>
            <w:pPr>
              <w:spacing w:after="0"/>
              <w:rPr>
                <w:sz w:val="17"/>
                <w:szCs w:val="17"/>
                <w:color w:val="auto"/>
              </w:rPr>
            </w:pPr>
          </w:p>
        </w:tc>
        <w:tc>
          <w:tcPr>
            <w:tcW w:w="1400" w:type="dxa"/>
            <w:vAlign w:val="bottom"/>
            <w:tcBorders>
              <w:top w:val="single" w:sz="8" w:color="202020"/>
            </w:tcBorders>
          </w:tcPr>
          <w:p>
            <w:pPr>
              <w:jc w:val="right"/>
              <w:spacing w:after="0" w:line="201" w:lineRule="exact"/>
              <w:rPr>
                <w:sz w:val="20"/>
                <w:szCs w:val="20"/>
                <w:color w:val="auto"/>
              </w:rPr>
            </w:pPr>
            <w:r>
              <w:rPr>
                <w:rFonts w:ascii="Arial" w:cs="Arial" w:eastAsia="Arial" w:hAnsi="Arial"/>
                <w:sz w:val="20"/>
                <w:szCs w:val="20"/>
                <w:color w:val="auto"/>
              </w:rPr>
              <w:t>85,872,571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top w:val="single" w:sz="8" w:color="202020"/>
            </w:tcBorders>
          </w:tcPr>
          <w:p>
            <w:pPr>
              <w:jc w:val="right"/>
              <w:spacing w:after="0" w:line="201" w:lineRule="exact"/>
              <w:rPr>
                <w:sz w:val="20"/>
                <w:szCs w:val="20"/>
                <w:color w:val="auto"/>
              </w:rPr>
            </w:pPr>
            <w:r>
              <w:rPr>
                <w:rFonts w:ascii="Arial" w:cs="Arial" w:eastAsia="Arial" w:hAnsi="Arial"/>
                <w:sz w:val="20"/>
                <w:szCs w:val="20"/>
                <w:color w:val="auto"/>
              </w:rPr>
              <w:t>60,504,397</w:t>
            </w:r>
          </w:p>
        </w:tc>
        <w:tc>
          <w:tcPr>
            <w:tcW w:w="0" w:type="dxa"/>
            <w:vAlign w:val="bottom"/>
          </w:tcPr>
          <w:p>
            <w:pPr>
              <w:spacing w:after="0"/>
              <w:rPr>
                <w:sz w:val="1"/>
                <w:szCs w:val="1"/>
                <w:color w:val="auto"/>
              </w:rPr>
            </w:pPr>
          </w:p>
        </w:tc>
      </w:tr>
      <w:tr>
        <w:trPr>
          <w:trHeight w:val="230"/>
        </w:trPr>
        <w:tc>
          <w:tcPr>
            <w:tcW w:w="6580" w:type="dxa"/>
            <w:vAlign w:val="bottom"/>
          </w:tcPr>
          <w:p>
            <w:pPr>
              <w:jc w:val="right"/>
              <w:ind w:right="120"/>
              <w:spacing w:after="0"/>
              <w:rPr>
                <w:sz w:val="20"/>
                <w:szCs w:val="20"/>
                <w:color w:val="auto"/>
              </w:rPr>
            </w:pPr>
            <w:r>
              <w:rPr>
                <w:rFonts w:ascii="Arial" w:cs="Arial" w:eastAsia="Arial" w:hAnsi="Arial"/>
                <w:sz w:val="20"/>
                <w:szCs w:val="20"/>
                <w:color w:val="auto"/>
                <w:w w:val="95"/>
              </w:rPr>
              <w:t>Less: unvested early exercised shares . . . . . . . . . . . . . . . . . . . . . . . . . . . . .</w:t>
            </w:r>
          </w:p>
        </w:tc>
        <w:tc>
          <w:tcPr>
            <w:tcW w:w="1580" w:type="dxa"/>
            <w:vAlign w:val="bottom"/>
            <w:gridSpan w:val="3"/>
          </w:tcPr>
          <w:p>
            <w:pPr>
              <w:jc w:val="right"/>
              <w:ind w:right="160"/>
              <w:spacing w:after="0"/>
              <w:rPr>
                <w:sz w:val="20"/>
                <w:szCs w:val="20"/>
                <w:color w:val="auto"/>
              </w:rPr>
            </w:pPr>
            <w:r>
              <w:rPr>
                <w:rFonts w:ascii="Arial" w:cs="Arial" w:eastAsia="Arial" w:hAnsi="Arial"/>
                <w:sz w:val="20"/>
                <w:szCs w:val="20"/>
                <w:color w:val="auto"/>
              </w:rPr>
              <w:t>(11,321)</w:t>
            </w:r>
          </w:p>
        </w:tc>
        <w:tc>
          <w:tcPr>
            <w:tcW w:w="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(119,280)</w:t>
            </w:r>
          </w:p>
        </w:tc>
        <w:tc>
          <w:tcPr>
            <w:tcW w:w="0" w:type="dxa"/>
            <w:vAlign w:val="bottom"/>
          </w:tcPr>
          <w:p>
            <w:pPr>
              <w:spacing w:after="0"/>
              <w:rPr>
                <w:sz w:val="1"/>
                <w:szCs w:val="1"/>
                <w:color w:val="auto"/>
              </w:rPr>
            </w:pPr>
          </w:p>
        </w:tc>
      </w:tr>
      <w:tr>
        <w:trPr>
          <w:trHeight w:val="252"/>
        </w:trPr>
        <w:tc>
          <w:tcPr>
            <w:tcW w:w="6580" w:type="dxa"/>
            <w:vAlign w:val="bottom"/>
          </w:tcPr>
          <w:p>
            <w:pPr>
              <w:jc w:val="right"/>
              <w:ind w:right="120"/>
              <w:spacing w:after="0"/>
              <w:rPr>
                <w:sz w:val="20"/>
                <w:szCs w:val="20"/>
                <w:color w:val="auto"/>
              </w:rPr>
            </w:pPr>
            <w:r>
              <w:rPr>
                <w:rFonts w:ascii="Arial" w:cs="Arial" w:eastAsia="Arial" w:hAnsi="Arial"/>
                <w:sz w:val="20"/>
                <w:szCs w:val="20"/>
                <w:color w:val="auto"/>
                <w:w w:val="96"/>
              </w:rPr>
              <w:t>Less: unvested restricted stock awards (Note 13) . . . . . . . . . . . . . . . . . . . .</w:t>
            </w:r>
          </w:p>
        </w:tc>
        <w:tc>
          <w:tcPr>
            <w:tcW w:w="1580" w:type="dxa"/>
            <w:vAlign w:val="bottom"/>
            <w:gridSpan w:val="3"/>
          </w:tcPr>
          <w:p>
            <w:pPr>
              <w:jc w:val="right"/>
              <w:ind w:right="160"/>
              <w:spacing w:after="0"/>
              <w:rPr>
                <w:sz w:val="20"/>
                <w:szCs w:val="20"/>
                <w:color w:val="auto"/>
              </w:rPr>
            </w:pPr>
            <w:r>
              <w:rPr>
                <w:rFonts w:ascii="Arial" w:cs="Arial" w:eastAsia="Arial" w:hAnsi="Arial"/>
                <w:sz w:val="20"/>
                <w:szCs w:val="20"/>
                <w:color w:val="auto"/>
              </w:rPr>
              <w:t>(24,821)</w:t>
            </w:r>
          </w:p>
        </w:tc>
        <w:tc>
          <w:tcPr>
            <w:tcW w:w="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(49,416)</w:t>
            </w:r>
          </w:p>
        </w:tc>
        <w:tc>
          <w:tcPr>
            <w:tcW w:w="0" w:type="dxa"/>
            <w:vAlign w:val="bottom"/>
          </w:tcPr>
          <w:p>
            <w:pPr>
              <w:spacing w:after="0"/>
              <w:rPr>
                <w:sz w:val="1"/>
                <w:szCs w:val="1"/>
                <w:color w:val="auto"/>
              </w:rPr>
            </w:pPr>
          </w:p>
        </w:tc>
      </w:tr>
      <w:tr>
        <w:trPr>
          <w:trHeight w:val="231"/>
        </w:trPr>
        <w:tc>
          <w:tcPr>
            <w:tcW w:w="6580" w:type="dxa"/>
            <w:vAlign w:val="bottom"/>
          </w:tcPr>
          <w:p>
            <w:pPr>
              <w:jc w:val="right"/>
              <w:ind w:right="120"/>
              <w:spacing w:after="0" w:line="223" w:lineRule="exact"/>
              <w:rPr>
                <w:sz w:val="20"/>
                <w:szCs w:val="20"/>
                <w:color w:val="auto"/>
              </w:rPr>
            </w:pPr>
            <w:r>
              <w:rPr>
                <w:rFonts w:ascii="Arial" w:cs="Arial" w:eastAsia="Arial" w:hAnsi="Arial"/>
                <w:sz w:val="20"/>
                <w:szCs w:val="20"/>
                <w:color w:val="auto"/>
                <w:w w:val="99"/>
              </w:rPr>
              <w:t>. . . . . . . . . . . . . . . . . . . . . . . . . . . . . . .Totalsharesissuedandoutstanding</w:t>
            </w:r>
          </w:p>
        </w:tc>
        <w:tc>
          <w:tcPr>
            <w:tcW w:w="20" w:type="dxa"/>
            <w:vAlign w:val="bottom"/>
            <w:tcBorders>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85,836,429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60,335,701</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23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94"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Company recognizes deferred tax assets to the extent that the Company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the Company would be able to realize our deferred tax assets in the future in excess of their net recorded amount, the Company would make an adjustment to the deferred tax asset valuation allowance, which would reduce the provision for income taxes.</w:t>
      </w:r>
    </w:p>
    <w:p>
      <w:pPr>
        <w:spacing w:after="0" w:line="194"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Company records uncertain tax positions in accordance with ASC 740 on the basis of a two -step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w:t>
      </w:r>
    </w:p>
    <w:p>
      <w:pPr>
        <w:spacing w:after="0" w:line="192" w:lineRule="exact"/>
        <w:rPr>
          <w:sz w:val="20"/>
          <w:szCs w:val="20"/>
          <w:color w:val="auto"/>
        </w:rPr>
      </w:pPr>
    </w:p>
    <w:p>
      <w:pPr>
        <w:ind w:right="360"/>
        <w:spacing w:after="0" w:line="282" w:lineRule="auto"/>
        <w:rPr>
          <w:sz w:val="20"/>
          <w:szCs w:val="20"/>
          <w:color w:val="auto"/>
        </w:rPr>
      </w:pPr>
      <w:r>
        <w:rPr>
          <w:rFonts w:ascii="Arial" w:cs="Arial" w:eastAsia="Arial" w:hAnsi="Arial"/>
          <w:sz w:val="19"/>
          <w:szCs w:val="19"/>
          <w:color w:val="auto"/>
        </w:rPr>
        <w:t>The Company recognizes interest and penalties related to unrecognized tax benefits on the income tax expense line in the accompanying consolidated statement of operations. As of December 31, 2024, no accrued interest or penalties are included on the related tax liability line in the consolidated balance sheet.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Collaboration revenue</w:t>
      </w:r>
    </w:p>
    <w:p>
      <w:pPr>
        <w:spacing w:after="0" w:line="231"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The Company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193"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auto"/>
        </w:rPr>
        <w:t>The Company recognizes revenue in accordance with ASC Topic 606, Revenue from Contracts with Customers, or ASC 606. This standard applies to all contracts with customers. When an agreement falls under the scope of other standards, such as ASC Topic 808, Collaborative Arrangements, or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142</w:t>
      </w:r>
    </w:p>
    <w:p>
      <w:pPr>
        <w:sectPr>
          <w:pgSz w:w="11880" w:h="15480" w:orient="portrait"/>
          <w:cols w:equalWidth="0" w:num="1">
            <w:col w:w="9720"/>
          </w:cols>
          <w:pgMar w:left="1080" w:top="1067" w:right="1080" w:bottom="554" w:gutter="0" w:footer="0" w:header="0"/>
          <w:type w:val="continuous"/>
        </w:sectPr>
      </w:pPr>
    </w:p>
    <w:bookmarkStart w:id="142" w:name="page143"/>
    <w:bookmarkEnd w:id="142"/>
    <w:p>
      <w:pPr>
        <w:ind w:right="200"/>
        <w:spacing w:after="0" w:line="244" w:lineRule="auto"/>
        <w:rPr>
          <w:sz w:val="20"/>
          <w:szCs w:val="20"/>
          <w:color w:val="auto"/>
        </w:rPr>
      </w:pPr>
      <w:r>
        <w:rPr>
          <w:rFonts w:ascii="Arial" w:cs="Arial" w:eastAsia="Arial" w:hAnsi="Arial"/>
          <w:sz w:val="20"/>
          <w:szCs w:val="20"/>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the Company performs the following steps: (i) identification of the promised goods or services in the contract; (ii) determination of whether the promised goods or services are performance obligations including whether they are distinct in the context of the contract;</w:t>
      </w:r>
    </w:p>
    <w:p>
      <w:pPr>
        <w:spacing w:after="0" w:line="3" w:lineRule="exact"/>
        <w:rPr>
          <w:sz w:val="20"/>
          <w:szCs w:val="20"/>
          <w:color w:val="auto"/>
        </w:rPr>
      </w:pPr>
    </w:p>
    <w:p>
      <w:pPr>
        <w:ind w:right="140" w:firstLine="7"/>
        <w:spacing w:after="0"/>
        <w:tabs>
          <w:tab w:leader="none" w:pos="322" w:val="left"/>
        </w:tabs>
        <w:numPr>
          <w:ilvl w:val="0"/>
          <w:numId w:val="73"/>
        </w:numPr>
        <w:rPr>
          <w:rFonts w:ascii="Arial" w:cs="Arial" w:eastAsia="Arial" w:hAnsi="Arial"/>
          <w:sz w:val="20"/>
          <w:szCs w:val="20"/>
          <w:color w:val="auto"/>
        </w:rPr>
      </w:pPr>
      <w:r>
        <w:rPr>
          <w:rFonts w:ascii="Arial" w:cs="Arial" w:eastAsia="Arial" w:hAnsi="Arial"/>
          <w:sz w:val="20"/>
          <w:szCs w:val="20"/>
          <w:color w:val="auto"/>
        </w:rPr>
        <w:t>measurement of the transaction price, including the constraint on variable consideration; (iv) allocation of the transaction price to the performance obligations on a relative stand-alone selling price basis; and</w:t>
      </w:r>
    </w:p>
    <w:p>
      <w:pPr>
        <w:ind w:left="300" w:hanging="293"/>
        <w:spacing w:after="0"/>
        <w:tabs>
          <w:tab w:leader="none" w:pos="3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recognition of revenue when (or as) the Company satisfies each performance obligation.</w:t>
      </w:r>
    </w:p>
    <w:p>
      <w:pPr>
        <w:spacing w:after="0" w:line="213"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As part of the accounting for these arrangements, the Company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The Company also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w:t>
      </w:r>
    </w:p>
    <w:p>
      <w:pPr>
        <w:spacing w:after="0" w:line="1" w:lineRule="exact"/>
        <w:rPr>
          <w:sz w:val="20"/>
          <w:szCs w:val="20"/>
          <w:color w:val="auto"/>
        </w:rPr>
      </w:pPr>
    </w:p>
    <w:p>
      <w:pPr>
        <w:jc w:val="both"/>
        <w:ind w:right="20"/>
        <w:spacing w:after="0" w:line="248" w:lineRule="auto"/>
        <w:rPr>
          <w:sz w:val="20"/>
          <w:szCs w:val="20"/>
          <w:color w:val="auto"/>
        </w:rPr>
      </w:pPr>
      <w:r>
        <w:rPr>
          <w:rFonts w:ascii="Arial" w:cs="Arial" w:eastAsia="Arial" w:hAnsi="Arial"/>
          <w:sz w:val="20"/>
          <w:szCs w:val="20"/>
          <w:color w:val="auto"/>
        </w:rPr>
        <w:t>12 months following the balance sheet date are classified as current deferred revenue. Amounts not expected to be recognized as revenue within the 12 months following the balance sheet date are classified as deferred revenue, non-current.</w:t>
      </w:r>
    </w:p>
    <w:p>
      <w:pPr>
        <w:spacing w:after="0" w:line="191"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not determined to represent a material right, no transaction price is allocated to these options and the Company will account for these options at that time they are exercised. If the customer options are determined to represent a material right, the material right is recognized as a separate performance obligation at the outset of the arrangement.</w:t>
      </w:r>
    </w:p>
    <w:p>
      <w:pPr>
        <w:spacing w:after="0" w:line="194" w:lineRule="exact"/>
        <w:rPr>
          <w:sz w:val="20"/>
          <w:szCs w:val="20"/>
          <w:color w:val="auto"/>
        </w:rPr>
      </w:pPr>
    </w:p>
    <w:p>
      <w:pPr>
        <w:ind w:right="560"/>
        <w:spacing w:after="0" w:line="248" w:lineRule="auto"/>
        <w:rPr>
          <w:sz w:val="20"/>
          <w:szCs w:val="20"/>
          <w:color w:val="auto"/>
        </w:rPr>
      </w:pPr>
      <w:r>
        <w:rPr>
          <w:rFonts w:ascii="Arial" w:cs="Arial" w:eastAsia="Arial" w:hAnsi="Arial"/>
          <w:sz w:val="20"/>
          <w:szCs w:val="20"/>
          <w:color w:val="auto"/>
        </w:rPr>
        <w:t>The obligations under the Company’s collaboration agreements may include research and development services to be performed by the Company for or on behalf of the customer. Amounts allocated to these performance obligations are recognized as the Company performs these obligations, and revenue is measured based on an inputs method of costs incurred to date of budgeted costs. Under certain circumstances, the Company may be reimbursed for certain expenses incurred under the research and development services.</w:t>
      </w:r>
    </w:p>
    <w:p>
      <w:pPr>
        <w:spacing w:after="0" w:line="194" w:lineRule="exact"/>
        <w:rPr>
          <w:sz w:val="20"/>
          <w:szCs w:val="20"/>
          <w:color w:val="auto"/>
        </w:rPr>
      </w:pPr>
    </w:p>
    <w:p>
      <w:pPr>
        <w:ind w:firstLine="1"/>
        <w:spacing w:after="0" w:line="243" w:lineRule="auto"/>
        <w:rPr>
          <w:sz w:val="20"/>
          <w:szCs w:val="20"/>
          <w:color w:val="auto"/>
        </w:rPr>
      </w:pPr>
      <w:r>
        <w:rPr>
          <w:rFonts w:ascii="Arial" w:cs="Arial" w:eastAsia="Arial" w:hAnsi="Arial"/>
          <w:sz w:val="20"/>
          <w:szCs w:val="20"/>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143</w:t>
      </w:r>
    </w:p>
    <w:p>
      <w:pPr>
        <w:sectPr>
          <w:pgSz w:w="11880" w:h="15480" w:orient="portrait"/>
          <w:cols w:equalWidth="0" w:num="1">
            <w:col w:w="9720"/>
          </w:cols>
          <w:pgMar w:left="1080" w:top="1067" w:right="1080" w:bottom="554" w:gutter="0" w:footer="0" w:header="0"/>
          <w:type w:val="continuous"/>
        </w:sectPr>
      </w:pPr>
    </w:p>
    <w:bookmarkStart w:id="143" w:name="page144"/>
    <w:bookmarkEnd w:id="143"/>
    <w:p>
      <w:pPr>
        <w:spacing w:after="0"/>
        <w:rPr>
          <w:sz w:val="20"/>
          <w:szCs w:val="20"/>
          <w:color w:val="auto"/>
        </w:rPr>
      </w:pPr>
      <w:r>
        <w:rPr>
          <w:rFonts w:ascii="Arial" w:cs="Arial" w:eastAsia="Arial" w:hAnsi="Arial"/>
          <w:sz w:val="20"/>
          <w:szCs w:val="20"/>
          <w:i w:val="1"/>
          <w:iCs w:val="1"/>
          <w:color w:val="auto"/>
        </w:rPr>
        <w:t>Acquisition-Related Contingent Consideration</w:t>
      </w:r>
    </w:p>
    <w:p>
      <w:pPr>
        <w:spacing w:after="0" w:line="193"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Acquisition-related contingent consideration consist of our future obligation owed to shareholders of Clade and Gadeta and includes contingent milestone payments, earn-out obligation, and indemnification obligations. Acquisition-related contingent consideration was recorded on the acquisition date at the estimated fair value of the obligation, in accordance with the acquisition method of accounting. The fair value measurement is based on significant inputs that are unobservable in the market and thus represents a Level 3 fair value measurement. The fair value of the acquisition-related contingent consideration is remeasured each reporting period, with changes in fair value recorded in the consolidated statements of operations and comprehensive loss within general and administrative expense.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Business Combinations</w:t>
      </w:r>
    </w:p>
    <w:p>
      <w:pPr>
        <w:spacing w:after="0" w:line="222"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The Company accounts for business combinations using the acquisition method of accounting in accordance with ASC 805, Business Combinations. Identifiable assets acquired and liabilities assumed are recorded at their acquisition date fair values. The excess of the fair value of purchase consideration over the fair values of the identifiable assets and liabilities is recorded as goodwill. Acquisition related costs are expensed as incurred. Upon acquisition, the accounts and results of operations are consolidated as of and subsequent to the acquisition date.</w:t>
      </w:r>
    </w:p>
    <w:p>
      <w:pPr>
        <w:spacing w:after="0" w:line="185"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When determining the fair values of assets acquired and liabilities assumed, management makes significant estimates and assumptions, especially with respect to intangible assets. The Company utilizes commonly accepted valuation techniques, such as the income approach in establishing the fair value of intangible assets. See “Note 3 – Business combination” for additional detail.</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 and Intangible Assets</w:t>
      </w:r>
    </w:p>
    <w:p>
      <w:pPr>
        <w:spacing w:after="0" w:line="193"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Goodwill represents the excess of the purchase price over the net amount of identifiable assets acquired and liabilities assumed in a business combination measured at fair value. Goodwill is not amortized but is tested for impairment at least annually. The Company reviews goodwill for impairment annually in the fourth quarter and whenever events or changes in circumstances indicate that the fair value of a reporting unit may be less than its carrying amount “triggering events”. Triggering events may include a sustained period where the Company’s carrying value is in excess of its market capitalization or adverse changes in business climate. The Company first assesses qualitative factors to determine whether it is more likely than not that the fair value of its reporting unit is less than its carrying amount as a basis for determining whether it is necessary to perform the quantitative goodwill impairment test described in ASC Topic 350, Intangibles – Goodwill and Other. The more likely than not threshold is defined as having a likelihood of more than 50 percent. If, after assessing the totality of events or circumstances, the Company determines that it is not more likely than not that the fair value of a reporting unit is less than its carrying amount, then performing the quantitative goodwill impairment test is unnecessary and goodwill is considered to be unimpaired. However, if based on the qualitative assessment the Company concludes that it is more likely than not that the fair value of a reporting unit is less than its carrying amount, the Company will proceed with performing the quantitative goodwill impairment test. In performing the quantitative goodwill impairment test, the Company determines the fair value of its reporting unit and compares it to its carrying value. If the fair value of the reporting unit exceeds the carrying value of the net assets assigned to that unit, goodwill is not impaired. If the carrying value of the reporting unit exceeds its fair value, the Company records an impairment loss equal to the difference. For the year ended December 31, 2024, there was $4,327 in impairment related to goodwill.</w:t>
      </w:r>
    </w:p>
    <w:p>
      <w:pPr>
        <w:spacing w:after="0" w:line="162"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Indefinite-lived intangibles are carried at the initially recorded fair value less any recognized impairment. Indefinite-lived intangibles are tested at least annually for impairment. Impairment assessments are conducted more frequently if certain conditions exist, including a change in the competitive landscape, any internal decisions to pursue new or different technology strategies, or a significant change in the marketplace, including changes in the size of the market for the Company’s products. In performing the impairment test, the Company estimates the fair value of the indefinite-lived intangible asset and compares it to the carrying value. If they carrying value exceeds the estimated fair value, the Company records an impairment loss for</w:t>
      </w:r>
    </w:p>
    <w:p>
      <w:pPr>
        <w:sectPr>
          <w:pgSz w:w="11880" w:h="15480" w:orient="portrait"/>
          <w:cols w:equalWidth="0" w:num="1">
            <w:col w:w="9680"/>
          </w:cols>
          <w:pgMar w:left="1080" w:top="1075" w:right="112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144</w:t>
      </w:r>
    </w:p>
    <w:p>
      <w:pPr>
        <w:sectPr>
          <w:pgSz w:w="11880" w:h="15480" w:orient="portrait"/>
          <w:cols w:equalWidth="0" w:num="1">
            <w:col w:w="9680"/>
          </w:cols>
          <w:pgMar w:left="1080" w:top="1075" w:right="1120" w:bottom="554" w:gutter="0" w:footer="0" w:header="0"/>
          <w:type w:val="continuous"/>
        </w:sectPr>
      </w:pPr>
    </w:p>
    <w:bookmarkStart w:id="144" w:name="page145"/>
    <w:bookmarkEnd w:id="144"/>
    <w:p>
      <w:pPr>
        <w:ind w:right="700"/>
        <w:spacing w:after="0" w:line="282" w:lineRule="auto"/>
        <w:rPr>
          <w:sz w:val="20"/>
          <w:szCs w:val="20"/>
          <w:color w:val="auto"/>
        </w:rPr>
      </w:pPr>
      <w:r>
        <w:rPr>
          <w:rFonts w:ascii="Arial" w:cs="Arial" w:eastAsia="Arial" w:hAnsi="Arial"/>
          <w:sz w:val="20"/>
          <w:szCs w:val="20"/>
          <w:color w:val="auto"/>
        </w:rPr>
        <w:t>the difference. For the year ended December 31, 2024, there were no impairment charges. For further discussion of identified intangible assets, see “Note 3 – Business Combination”.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235"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In December 2023, the FASB issued ASU No. 2023-09, "Income Taxes (Topic 740): Improvements to Income Tax Disclosures ("ASU 2023-09")." ASU 2023-09 requires entities to provide additional information in their tax rate reconciliation and additional disclosures about income taxes paid by jurisdiction. ASU 2023-09 is effective for annual reporting periods beginning after December 15, 2024, with early adoption permitted. The guidance should be applied prospectively, but entities have the option to apply it retrospectively for each period presented. The company is evaluating the impact of adopting this new accounting guidance.</w:t>
      </w:r>
    </w:p>
    <w:p>
      <w:pPr>
        <w:spacing w:after="0" w:line="185"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color w:val="auto"/>
        </w:rPr>
        <w:t xml:space="preserve">In November 2023, the FASB issued ASU-2023-07, </w:t>
      </w:r>
      <w:r>
        <w:rPr>
          <w:rFonts w:ascii="Arial" w:cs="Arial" w:eastAsia="Arial" w:hAnsi="Arial"/>
          <w:sz w:val="20"/>
          <w:szCs w:val="20"/>
          <w:i w:val="1"/>
          <w:iCs w:val="1"/>
          <w:color w:val="auto"/>
        </w:rPr>
        <w:t>Segment Reporting (Topic 280): Improvements to</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Reportable Segment Disclosures, </w:t>
      </w:r>
      <w:r>
        <w:rPr>
          <w:rFonts w:ascii="Arial" w:cs="Arial" w:eastAsia="Arial" w:hAnsi="Arial"/>
          <w:sz w:val="20"/>
          <w:szCs w:val="20"/>
          <w:color w:val="auto"/>
        </w:rPr>
        <w:t>requiring public entities to disclose information about their reportable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segments’ significant expenses and other segment items on an interim and annual basis. Public entities with a single reportable segment are required to apply the disclosure requirement in ASU2023-07, as well as all existing segment disclosures and reconciliation requirements in ASC 280 on an interim and annual basis. The Company adopted ASU 2023-07 during the year ended December 31, 2024. See Note 19 </w:t>
      </w:r>
      <w:r>
        <w:rPr>
          <w:rFonts w:ascii="Arial" w:cs="Arial" w:eastAsia="Arial" w:hAnsi="Arial"/>
          <w:sz w:val="20"/>
          <w:szCs w:val="20"/>
          <w:i w:val="1"/>
          <w:iCs w:val="1"/>
          <w:color w:val="auto"/>
        </w:rPr>
        <w:t>Segment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reporting </w:t>
      </w:r>
      <w:r>
        <w:rPr>
          <w:rFonts w:ascii="Arial" w:cs="Arial" w:eastAsia="Arial" w:hAnsi="Arial"/>
          <w:sz w:val="20"/>
          <w:szCs w:val="20"/>
          <w:color w:val="auto"/>
        </w:rPr>
        <w:t>in the accompanying notes to the consolidated financial statements for further detail.</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color w:val="auto"/>
        </w:rPr>
        <w:t>Note 3—Business combination</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On April 11, 2024, the Company acquired Clade, a privately held biotechnology company focused on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discovering and delivering engineerable, off-the-shelf, scalable, and consistent stem cell-based medicines,</w:t>
      </w:r>
    </w:p>
    <w:p>
      <w:pPr>
        <w:spacing w:after="0"/>
        <w:rPr>
          <w:sz w:val="20"/>
          <w:szCs w:val="20"/>
          <w:color w:val="auto"/>
        </w:rPr>
      </w:pPr>
      <w:r>
        <w:rPr>
          <w:rFonts w:ascii="Arial" w:cs="Arial" w:eastAsia="Arial" w:hAnsi="Arial"/>
          <w:sz w:val="20"/>
          <w:szCs w:val="20"/>
          <w:color w:val="auto"/>
        </w:rPr>
        <w:t xml:space="preserve">with a focus on iPSC-derived </w:t>
      </w:r>
      <w:r>
        <w:rPr>
          <w:rFonts w:ascii="Arial" w:cs="Arial" w:eastAsia="Arial" w:hAnsi="Arial"/>
          <w:sz w:val="20"/>
          <w:szCs w:val="20"/>
          <w:color w:val="auto"/>
        </w:rPr>
        <w:t>αβ</w:t>
      </w:r>
      <w:r>
        <w:rPr>
          <w:rFonts w:ascii="Arial" w:cs="Arial" w:eastAsia="Arial" w:hAnsi="Arial"/>
          <w:sz w:val="20"/>
          <w:szCs w:val="20"/>
          <w:color w:val="auto"/>
        </w:rPr>
        <w:t xml:space="preserve"> T cells. The acquisition expanded the Company’s pipeline by</w:t>
      </w:r>
    </w:p>
    <w:p>
      <w:pPr>
        <w:spacing w:after="0"/>
        <w:rPr>
          <w:sz w:val="20"/>
          <w:szCs w:val="20"/>
          <w:color w:val="auto"/>
        </w:rPr>
      </w:pPr>
      <w:r>
        <w:rPr>
          <w:rFonts w:ascii="Arial" w:cs="Arial" w:eastAsia="Arial" w:hAnsi="Arial"/>
          <w:sz w:val="20"/>
          <w:szCs w:val="20"/>
          <w:color w:val="auto"/>
        </w:rPr>
        <w:t xml:space="preserve">incorporating three additional preclinical-stage programs from Clade’s </w:t>
      </w:r>
      <w:r>
        <w:rPr>
          <w:rFonts w:ascii="Arial" w:cs="Arial" w:eastAsia="Arial" w:hAnsi="Arial"/>
          <w:sz w:val="20"/>
          <w:szCs w:val="20"/>
          <w:color w:val="auto"/>
        </w:rPr>
        <w:t>αβ</w:t>
      </w:r>
      <w:r>
        <w:rPr>
          <w:rFonts w:ascii="Arial" w:cs="Arial" w:eastAsia="Arial" w:hAnsi="Arial"/>
          <w:sz w:val="20"/>
          <w:szCs w:val="20"/>
          <w:color w:val="auto"/>
        </w:rPr>
        <w:t xml:space="preserve"> iT platform spanning across cancer</w:t>
      </w:r>
    </w:p>
    <w:p>
      <w:pPr>
        <w:spacing w:after="0"/>
        <w:rPr>
          <w:sz w:val="20"/>
          <w:szCs w:val="20"/>
          <w:color w:val="auto"/>
        </w:rPr>
      </w:pPr>
      <w:r>
        <w:rPr>
          <w:rFonts w:ascii="Arial" w:cs="Arial" w:eastAsia="Arial" w:hAnsi="Arial"/>
          <w:sz w:val="20"/>
          <w:szCs w:val="20"/>
          <w:color w:val="auto"/>
        </w:rPr>
        <w:t>and autoimmune diseases. The results of Clade’s operations have been included in the consolidated financial</w:t>
      </w:r>
    </w:p>
    <w:p>
      <w:pPr>
        <w:spacing w:after="0"/>
        <w:rPr>
          <w:sz w:val="20"/>
          <w:szCs w:val="20"/>
          <w:color w:val="auto"/>
        </w:rPr>
      </w:pPr>
      <w:r>
        <w:rPr>
          <w:rFonts w:ascii="Arial" w:cs="Arial" w:eastAsia="Arial" w:hAnsi="Arial"/>
          <w:sz w:val="20"/>
          <w:szCs w:val="20"/>
          <w:color w:val="auto"/>
        </w:rPr>
        <w:t>statements since that date. A total of 3,741,646 common shares were issued to the Clade stockholders on the</w:t>
      </w:r>
    </w:p>
    <w:p>
      <w:pPr>
        <w:spacing w:after="0"/>
        <w:rPr>
          <w:sz w:val="20"/>
          <w:szCs w:val="20"/>
          <w:color w:val="auto"/>
        </w:rPr>
      </w:pPr>
      <w:r>
        <w:rPr>
          <w:rFonts w:ascii="Arial" w:cs="Arial" w:eastAsia="Arial" w:hAnsi="Arial"/>
          <w:sz w:val="20"/>
          <w:szCs w:val="20"/>
          <w:color w:val="auto"/>
        </w:rPr>
        <w:t>date of close, which were valued based on the closing price of common stock on that date.</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Contingent consideration was estimated at fair value on the date of the close and consists of both additional stock consideration (“Holdback Shares”) as well as a contingent milestone payment of $10,000 (“Clade Milestone”) . The Holdback Shares total up to 793,687 shares of common stock consideration which will be issued and delivered to the sellers on the eighteen- month anniversary of the Closing Date, subject to potential reduction based on indemnification claims favoring the Company, if any. This contingent consideration was recorded at fair value as of the closing date, based on the closing stock price on that date, adjusted for a discount for lack of marketability, and totaled $2,600. Contingent consideration also includes the Clade Milestone, which consists of one potential clinical development milestone payment of $ 10,000, which may be paid in cash, shares, or a combination thereof, upon the achievement of the milestone. The fair value of this contingent consideration was estimated based on the probability of milestone achievement, and an estimated discount rate, and totaled $7,100.</w:t>
      </w:r>
    </w:p>
    <w:p>
      <w:pPr>
        <w:spacing w:after="0" w:line="158" w:lineRule="exact"/>
        <w:rPr>
          <w:sz w:val="20"/>
          <w:szCs w:val="20"/>
          <w:color w:val="auto"/>
        </w:rPr>
      </w:pPr>
    </w:p>
    <w:p>
      <w:pPr>
        <w:ind w:right="60"/>
        <w:spacing w:after="0" w:line="282" w:lineRule="auto"/>
        <w:rPr>
          <w:sz w:val="20"/>
          <w:szCs w:val="20"/>
          <w:color w:val="auto"/>
        </w:rPr>
      </w:pPr>
      <w:r>
        <w:rPr>
          <w:rFonts w:ascii="Arial" w:cs="Arial" w:eastAsia="Arial" w:hAnsi="Arial"/>
          <w:sz w:val="20"/>
          <w:szCs w:val="20"/>
          <w:color w:val="auto"/>
        </w:rPr>
        <w:t>The Company recognized $ 895 of acquisition-related costs during the year ended December 31, 2024, which were expensed as incurred in the consolidated statement of operations.</w:t>
      </w: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145</w:t>
      </w:r>
    </w:p>
    <w:p>
      <w:pPr>
        <w:sectPr>
          <w:pgSz w:w="11880" w:h="15480" w:orient="portrait"/>
          <w:cols w:equalWidth="0" w:num="1">
            <w:col w:w="9720"/>
          </w:cols>
          <w:pgMar w:left="1080" w:top="1067" w:right="1080" w:bottom="554" w:gutter="0" w:footer="0" w:header="0"/>
          <w:type w:val="continuous"/>
        </w:sectPr>
      </w:pPr>
    </w:p>
    <w:bookmarkStart w:id="145" w:name="page146"/>
    <w:bookmarkEnd w:id="145"/>
    <w:p>
      <w:pPr>
        <w:ind w:right="300"/>
        <w:spacing w:after="0" w:line="282" w:lineRule="auto"/>
        <w:rPr>
          <w:sz w:val="20"/>
          <w:szCs w:val="20"/>
          <w:color w:val="auto"/>
        </w:rPr>
      </w:pPr>
      <w:r>
        <w:rPr>
          <w:rFonts w:ascii="Arial" w:cs="Arial" w:eastAsia="Arial" w:hAnsi="Arial"/>
          <w:sz w:val="20"/>
          <w:szCs w:val="20"/>
          <w:color w:val="auto"/>
        </w:rPr>
        <w:t>The following table summarizes the provisional fair values of the assets acquired and liabilities assumed at the date of the acquisition: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60" w:type="dxa"/>
            <w:vAlign w:val="bottom"/>
            <w:gridSpan w:val="2"/>
          </w:tcPr>
          <w:p>
            <w:pPr>
              <w:spacing w:after="0"/>
              <w:rPr>
                <w:sz w:val="20"/>
                <w:szCs w:val="20"/>
                <w:color w:val="auto"/>
              </w:rPr>
            </w:pPr>
            <w:r>
              <w:rPr>
                <w:rFonts w:ascii="Arial" w:cs="Arial" w:eastAsia="Arial" w:hAnsi="Arial"/>
                <w:sz w:val="22"/>
                <w:szCs w:val="22"/>
                <w:color w:val="auto"/>
              </w:rPr>
              <w:t>Consideration transferred:</w:t>
            </w: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8060" w:type="dxa"/>
            <w:vAlign w:val="bottom"/>
            <w:gridSpan w:val="2"/>
          </w:tcPr>
          <w:p>
            <w:pPr>
              <w:ind w:left="120"/>
              <w:spacing w:after="0"/>
              <w:rPr>
                <w:sz w:val="20"/>
                <w:szCs w:val="20"/>
                <w:color w:val="auto"/>
              </w:rPr>
            </w:pPr>
            <w:r>
              <w:rPr>
                <w:rFonts w:ascii="Arial" w:cs="Arial" w:eastAsia="Arial" w:hAnsi="Arial"/>
                <w:sz w:val="22"/>
                <w:szCs w:val="22"/>
                <w:color w:val="auto"/>
                <w:w w:val="94"/>
              </w:rPr>
              <w:t>Cash consideration . . . . . . . . . . . . . . . . . . . . . . . . . . . . . . . . . . . . . . . . . . . . . . . . . . . . .</w:t>
            </w:r>
          </w:p>
        </w:tc>
        <w:tc>
          <w:tcPr>
            <w:tcW w:w="520" w:type="dxa"/>
            <w:vAlign w:val="bottom"/>
          </w:tcPr>
          <w:p>
            <w:pPr>
              <w:jc w:val="right"/>
              <w:ind w:right="290"/>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14,854</w:t>
            </w:r>
          </w:p>
        </w:tc>
        <w:tc>
          <w:tcPr>
            <w:tcW w:w="0" w:type="dxa"/>
            <w:vAlign w:val="bottom"/>
          </w:tcPr>
          <w:p>
            <w:pPr>
              <w:spacing w:after="0"/>
              <w:rPr>
                <w:sz w:val="1"/>
                <w:szCs w:val="1"/>
                <w:color w:val="auto"/>
              </w:rPr>
            </w:pPr>
          </w:p>
        </w:tc>
      </w:tr>
      <w:tr>
        <w:trPr>
          <w:trHeight w:val="253"/>
        </w:trPr>
        <w:tc>
          <w:tcPr>
            <w:tcW w:w="8060" w:type="dxa"/>
            <w:vAlign w:val="bottom"/>
            <w:gridSpan w:val="2"/>
          </w:tcPr>
          <w:p>
            <w:pPr>
              <w:ind w:left="120"/>
              <w:spacing w:after="0"/>
              <w:rPr>
                <w:sz w:val="20"/>
                <w:szCs w:val="20"/>
                <w:color w:val="auto"/>
              </w:rPr>
            </w:pPr>
            <w:r>
              <w:rPr>
                <w:rFonts w:ascii="Arial" w:cs="Arial" w:eastAsia="Arial" w:hAnsi="Arial"/>
                <w:sz w:val="22"/>
                <w:szCs w:val="22"/>
                <w:color w:val="auto"/>
              </w:rPr>
              <w:t>Fair value of common stock (3,741,646 at closing price of $4.05) . . . . . . . . . . . .</w:t>
            </w:r>
          </w:p>
        </w:tc>
        <w:tc>
          <w:tcPr>
            <w:tcW w:w="5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15,154</w:t>
            </w:r>
          </w:p>
        </w:tc>
        <w:tc>
          <w:tcPr>
            <w:tcW w:w="0" w:type="dxa"/>
            <w:vAlign w:val="bottom"/>
          </w:tcPr>
          <w:p>
            <w:pPr>
              <w:spacing w:after="0"/>
              <w:rPr>
                <w:sz w:val="1"/>
                <w:szCs w:val="1"/>
                <w:color w:val="auto"/>
              </w:rPr>
            </w:pPr>
          </w:p>
        </w:tc>
      </w:tr>
      <w:tr>
        <w:trPr>
          <w:trHeight w:val="274"/>
        </w:trPr>
        <w:tc>
          <w:tcPr>
            <w:tcW w:w="8060" w:type="dxa"/>
            <w:vAlign w:val="bottom"/>
            <w:gridSpan w:val="2"/>
          </w:tcPr>
          <w:p>
            <w:pPr>
              <w:ind w:left="120"/>
              <w:spacing w:after="0"/>
              <w:rPr>
                <w:sz w:val="20"/>
                <w:szCs w:val="20"/>
                <w:color w:val="auto"/>
              </w:rPr>
            </w:pPr>
            <w:r>
              <w:rPr>
                <w:rFonts w:ascii="Arial" w:cs="Arial" w:eastAsia="Arial" w:hAnsi="Arial"/>
                <w:sz w:val="22"/>
                <w:szCs w:val="22"/>
                <w:color w:val="auto"/>
                <w:w w:val="95"/>
              </w:rPr>
              <w:t>Contingent consideration . . . . . . . . . . . . . . . . . . . . . . . . . . . . . . . . . . . . . . . . . . . . . . . .</w:t>
            </w:r>
          </w:p>
        </w:tc>
        <w:tc>
          <w:tcPr>
            <w:tcW w:w="5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9,722</w:t>
            </w:r>
          </w:p>
        </w:tc>
        <w:tc>
          <w:tcPr>
            <w:tcW w:w="0" w:type="dxa"/>
            <w:vAlign w:val="bottom"/>
          </w:tcPr>
          <w:p>
            <w:pPr>
              <w:spacing w:after="0"/>
              <w:rPr>
                <w:sz w:val="1"/>
                <w:szCs w:val="1"/>
                <w:color w:val="auto"/>
              </w:rPr>
            </w:pPr>
          </w:p>
        </w:tc>
      </w:tr>
      <w:tr>
        <w:trPr>
          <w:trHeight w:val="252"/>
        </w:trPr>
        <w:tc>
          <w:tcPr>
            <w:tcW w:w="8060" w:type="dxa"/>
            <w:vAlign w:val="bottom"/>
            <w:gridSpan w:val="2"/>
          </w:tcPr>
          <w:p>
            <w:pPr>
              <w:jc w:val="right"/>
              <w:ind w:right="400"/>
              <w:spacing w:after="0" w:line="243" w:lineRule="exact"/>
              <w:rPr>
                <w:sz w:val="20"/>
                <w:szCs w:val="20"/>
                <w:color w:val="auto"/>
              </w:rPr>
            </w:pPr>
            <w:r>
              <w:rPr>
                <w:rFonts w:ascii="Arial" w:cs="Arial" w:eastAsia="Arial" w:hAnsi="Arial"/>
                <w:sz w:val="22"/>
                <w:szCs w:val="22"/>
                <w:color w:val="auto"/>
                <w:w w:val="97"/>
              </w:rPr>
              <w:t>. . . . . . . . . . . . . . . . . . . . . . . . . . . . . . . . . . . . . . . . .Totalconsiderationtransferred</w:t>
            </w:r>
          </w:p>
        </w:tc>
        <w:tc>
          <w:tcPr>
            <w:tcW w:w="520" w:type="dxa"/>
            <w:vAlign w:val="bottom"/>
            <w:tcBorders>
              <w:bottom w:val="single" w:sz="8" w:color="auto"/>
            </w:tcBorders>
          </w:tcPr>
          <w:p>
            <w:pPr>
              <w:jc w:val="right"/>
              <w:ind w:right="290"/>
              <w:spacing w:after="0" w:line="243" w:lineRule="exact"/>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39,730</w:t>
            </w:r>
          </w:p>
        </w:tc>
        <w:tc>
          <w:tcPr>
            <w:tcW w:w="0" w:type="dxa"/>
            <w:vAlign w:val="bottom"/>
          </w:tcPr>
          <w:p>
            <w:pPr>
              <w:spacing w:after="0"/>
              <w:rPr>
                <w:sz w:val="1"/>
                <w:szCs w:val="1"/>
                <w:color w:val="auto"/>
              </w:rPr>
            </w:pPr>
          </w:p>
        </w:tc>
      </w:tr>
      <w:tr>
        <w:trPr>
          <w:trHeight w:val="486"/>
        </w:trPr>
        <w:tc>
          <w:tcPr>
            <w:tcW w:w="8060" w:type="dxa"/>
            <w:vAlign w:val="bottom"/>
            <w:gridSpan w:val="2"/>
          </w:tcPr>
          <w:p>
            <w:pPr>
              <w:ind w:left="120"/>
              <w:spacing w:after="0"/>
              <w:rPr>
                <w:sz w:val="20"/>
                <w:szCs w:val="20"/>
                <w:color w:val="auto"/>
              </w:rPr>
            </w:pPr>
            <w:r>
              <w:rPr>
                <w:rFonts w:ascii="Arial" w:cs="Arial" w:eastAsia="Arial" w:hAnsi="Arial"/>
                <w:sz w:val="22"/>
                <w:szCs w:val="22"/>
                <w:color w:val="auto"/>
              </w:rPr>
              <w:t>Assets acquired:</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060" w:type="dxa"/>
            <w:vAlign w:val="bottom"/>
            <w:gridSpan w:val="2"/>
          </w:tcPr>
          <w:p>
            <w:pPr>
              <w:ind w:left="120"/>
              <w:spacing w:after="0"/>
              <w:rPr>
                <w:sz w:val="20"/>
                <w:szCs w:val="20"/>
                <w:color w:val="auto"/>
              </w:rPr>
            </w:pPr>
            <w:r>
              <w:rPr>
                <w:rFonts w:ascii="Arial" w:cs="Arial" w:eastAsia="Arial" w:hAnsi="Arial"/>
                <w:sz w:val="22"/>
                <w:szCs w:val="22"/>
                <w:color w:val="auto"/>
                <w:w w:val="95"/>
              </w:rPr>
              <w:t>Cash and restricted cash . . . . . . . . . . . . . . . . . . . . . . . . . . . . . . . . . . . . . . . . . . . . . . . .</w:t>
            </w:r>
          </w:p>
        </w:tc>
        <w:tc>
          <w:tcPr>
            <w:tcW w:w="520" w:type="dxa"/>
            <w:vAlign w:val="bottom"/>
          </w:tcPr>
          <w:p>
            <w:pPr>
              <w:jc w:val="right"/>
              <w:ind w:right="290"/>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5,246</w:t>
            </w:r>
          </w:p>
        </w:tc>
        <w:tc>
          <w:tcPr>
            <w:tcW w:w="0" w:type="dxa"/>
            <w:vAlign w:val="bottom"/>
          </w:tcPr>
          <w:p>
            <w:pPr>
              <w:spacing w:after="0"/>
              <w:rPr>
                <w:sz w:val="1"/>
                <w:szCs w:val="1"/>
                <w:color w:val="auto"/>
              </w:rPr>
            </w:pPr>
          </w:p>
        </w:tc>
      </w:tr>
      <w:tr>
        <w:trPr>
          <w:trHeight w:val="253"/>
        </w:trPr>
        <w:tc>
          <w:tcPr>
            <w:tcW w:w="8060" w:type="dxa"/>
            <w:vAlign w:val="bottom"/>
            <w:gridSpan w:val="2"/>
          </w:tcPr>
          <w:p>
            <w:pPr>
              <w:ind w:left="120"/>
              <w:spacing w:after="0"/>
              <w:rPr>
                <w:sz w:val="20"/>
                <w:szCs w:val="20"/>
                <w:color w:val="auto"/>
              </w:rPr>
            </w:pPr>
            <w:r>
              <w:rPr>
                <w:rFonts w:ascii="Arial" w:cs="Arial" w:eastAsia="Arial" w:hAnsi="Arial"/>
                <w:sz w:val="22"/>
                <w:szCs w:val="22"/>
                <w:color w:val="auto"/>
                <w:w w:val="97"/>
              </w:rPr>
              <w:t>Prepaid expenses and other assets . . . . . . . . . . . . . . . . . . . . . . . . . . . . . . . . . . . . . .</w:t>
            </w:r>
          </w:p>
        </w:tc>
        <w:tc>
          <w:tcPr>
            <w:tcW w:w="5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400</w:t>
            </w:r>
          </w:p>
        </w:tc>
        <w:tc>
          <w:tcPr>
            <w:tcW w:w="0" w:type="dxa"/>
            <w:vAlign w:val="bottom"/>
          </w:tcPr>
          <w:p>
            <w:pPr>
              <w:spacing w:after="0"/>
              <w:rPr>
                <w:sz w:val="1"/>
                <w:szCs w:val="1"/>
                <w:color w:val="auto"/>
              </w:rPr>
            </w:pPr>
          </w:p>
        </w:tc>
      </w:tr>
      <w:tr>
        <w:trPr>
          <w:trHeight w:val="253"/>
        </w:trPr>
        <w:tc>
          <w:tcPr>
            <w:tcW w:w="8060" w:type="dxa"/>
            <w:vAlign w:val="bottom"/>
            <w:gridSpan w:val="2"/>
          </w:tcPr>
          <w:p>
            <w:pPr>
              <w:ind w:left="120"/>
              <w:spacing w:after="0"/>
              <w:rPr>
                <w:sz w:val="20"/>
                <w:szCs w:val="20"/>
                <w:color w:val="auto"/>
              </w:rPr>
            </w:pPr>
            <w:r>
              <w:rPr>
                <w:rFonts w:ascii="Arial" w:cs="Arial" w:eastAsia="Arial" w:hAnsi="Arial"/>
                <w:sz w:val="22"/>
                <w:szCs w:val="22"/>
                <w:color w:val="auto"/>
                <w:w w:val="94"/>
              </w:rPr>
              <w:t>Property and equipment . . . . . . . . . . . . . . . . . . . . . . . . . . . . . . . . . . . . . . . . . . . . . . . . .</w:t>
            </w:r>
          </w:p>
        </w:tc>
        <w:tc>
          <w:tcPr>
            <w:tcW w:w="5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2,652</w:t>
            </w:r>
          </w:p>
        </w:tc>
        <w:tc>
          <w:tcPr>
            <w:tcW w:w="0" w:type="dxa"/>
            <w:vAlign w:val="bottom"/>
          </w:tcPr>
          <w:p>
            <w:pPr>
              <w:spacing w:after="0"/>
              <w:rPr>
                <w:sz w:val="1"/>
                <w:szCs w:val="1"/>
                <w:color w:val="auto"/>
              </w:rPr>
            </w:pPr>
          </w:p>
        </w:tc>
      </w:tr>
      <w:tr>
        <w:trPr>
          <w:trHeight w:val="253"/>
        </w:trPr>
        <w:tc>
          <w:tcPr>
            <w:tcW w:w="8060" w:type="dxa"/>
            <w:vAlign w:val="bottom"/>
            <w:gridSpan w:val="2"/>
          </w:tcPr>
          <w:p>
            <w:pPr>
              <w:ind w:left="120"/>
              <w:spacing w:after="0"/>
              <w:rPr>
                <w:sz w:val="20"/>
                <w:szCs w:val="20"/>
                <w:color w:val="auto"/>
              </w:rPr>
            </w:pPr>
            <w:r>
              <w:rPr>
                <w:rFonts w:ascii="Arial" w:cs="Arial" w:eastAsia="Arial" w:hAnsi="Arial"/>
                <w:sz w:val="22"/>
                <w:szCs w:val="22"/>
                <w:color w:val="auto"/>
                <w:w w:val="95"/>
              </w:rPr>
              <w:t>Right-of-use operating lease . . . . . . . . . . . . . . . . . . . . . . . . . . . . . . . . . . . . . . . . . . . . .</w:t>
            </w:r>
          </w:p>
        </w:tc>
        <w:tc>
          <w:tcPr>
            <w:tcW w:w="5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8,065</w:t>
            </w:r>
          </w:p>
        </w:tc>
        <w:tc>
          <w:tcPr>
            <w:tcW w:w="0" w:type="dxa"/>
            <w:vAlign w:val="bottom"/>
          </w:tcPr>
          <w:p>
            <w:pPr>
              <w:spacing w:after="0"/>
              <w:rPr>
                <w:sz w:val="1"/>
                <w:szCs w:val="1"/>
                <w:color w:val="auto"/>
              </w:rPr>
            </w:pPr>
          </w:p>
        </w:tc>
      </w:tr>
      <w:tr>
        <w:trPr>
          <w:trHeight w:val="252"/>
        </w:trPr>
        <w:tc>
          <w:tcPr>
            <w:tcW w:w="8060" w:type="dxa"/>
            <w:vAlign w:val="bottom"/>
            <w:gridSpan w:val="2"/>
          </w:tcPr>
          <w:p>
            <w:pPr>
              <w:ind w:left="120"/>
              <w:spacing w:after="0" w:line="251" w:lineRule="exact"/>
              <w:rPr>
                <w:sz w:val="20"/>
                <w:szCs w:val="20"/>
                <w:color w:val="auto"/>
              </w:rPr>
            </w:pPr>
            <w:r>
              <w:rPr>
                <w:rFonts w:ascii="Arial" w:cs="Arial" w:eastAsia="Arial" w:hAnsi="Arial"/>
                <w:sz w:val="22"/>
                <w:szCs w:val="22"/>
                <w:color w:val="auto"/>
              </w:rPr>
              <w:t>In-process research and development ("IPR&amp;D") . . . . . . . . . . . . . . . . . . . . . . . . . .</w:t>
            </w:r>
          </w:p>
        </w:tc>
        <w:tc>
          <w:tcPr>
            <w:tcW w:w="52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Arial" w:cs="Arial" w:eastAsia="Arial" w:hAnsi="Arial"/>
                <w:sz w:val="22"/>
                <w:szCs w:val="22"/>
                <w:color w:val="auto"/>
              </w:rPr>
              <w:t>34,200</w:t>
            </w:r>
          </w:p>
        </w:tc>
        <w:tc>
          <w:tcPr>
            <w:tcW w:w="0" w:type="dxa"/>
            <w:vAlign w:val="bottom"/>
          </w:tcPr>
          <w:p>
            <w:pPr>
              <w:spacing w:after="0"/>
              <w:rPr>
                <w:sz w:val="1"/>
                <w:szCs w:val="1"/>
                <w:color w:val="auto"/>
              </w:rPr>
            </w:pPr>
          </w:p>
        </w:tc>
      </w:tr>
      <w:tr>
        <w:trPr>
          <w:trHeight w:val="274"/>
        </w:trPr>
        <w:tc>
          <w:tcPr>
            <w:tcW w:w="8060" w:type="dxa"/>
            <w:vAlign w:val="bottom"/>
            <w:gridSpan w:val="2"/>
          </w:tcPr>
          <w:p>
            <w:pPr>
              <w:ind w:left="120"/>
              <w:spacing w:after="0"/>
              <w:rPr>
                <w:sz w:val="20"/>
                <w:szCs w:val="20"/>
                <w:color w:val="auto"/>
              </w:rPr>
            </w:pPr>
            <w:r>
              <w:rPr>
                <w:rFonts w:ascii="Arial" w:cs="Arial" w:eastAsia="Arial" w:hAnsi="Arial"/>
                <w:sz w:val="22"/>
                <w:szCs w:val="22"/>
                <w:color w:val="auto"/>
                <w:w w:val="92"/>
              </w:rPr>
              <w:t>Goodwill . . . . . . . . . . . . . . . . . . . . . . . . . . . . . . . . . . . . . . . . . . . . . . . . . . . . . . . . . . . . . . .</w:t>
            </w:r>
          </w:p>
        </w:tc>
        <w:tc>
          <w:tcPr>
            <w:tcW w:w="5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4,327</w:t>
            </w:r>
          </w:p>
        </w:tc>
        <w:tc>
          <w:tcPr>
            <w:tcW w:w="0" w:type="dxa"/>
            <w:vAlign w:val="bottom"/>
          </w:tcPr>
          <w:p>
            <w:pPr>
              <w:spacing w:after="0"/>
              <w:rPr>
                <w:sz w:val="1"/>
                <w:szCs w:val="1"/>
                <w:color w:val="auto"/>
              </w:rPr>
            </w:pPr>
          </w:p>
        </w:tc>
      </w:tr>
      <w:tr>
        <w:trPr>
          <w:trHeight w:val="253"/>
        </w:trPr>
        <w:tc>
          <w:tcPr>
            <w:tcW w:w="8060" w:type="dxa"/>
            <w:vAlign w:val="bottom"/>
            <w:gridSpan w:val="2"/>
          </w:tcPr>
          <w:p>
            <w:pPr>
              <w:jc w:val="right"/>
              <w:ind w:right="400"/>
              <w:spacing w:after="0" w:line="244" w:lineRule="exact"/>
              <w:rPr>
                <w:sz w:val="20"/>
                <w:szCs w:val="20"/>
                <w:color w:val="auto"/>
              </w:rPr>
            </w:pPr>
            <w:r>
              <w:rPr>
                <w:rFonts w:ascii="Arial" w:cs="Arial" w:eastAsia="Arial" w:hAnsi="Arial"/>
                <w:sz w:val="22"/>
                <w:szCs w:val="22"/>
                <w:color w:val="auto"/>
                <w:w w:val="95"/>
              </w:rPr>
              <w:t>. . . . . . . . . . . . . . . . . . . . . . . . . . . . . . . . . . . . . . . . . . . . . . . . . .Totalassetsacquired</w:t>
            </w:r>
          </w:p>
        </w:tc>
        <w:tc>
          <w:tcPr>
            <w:tcW w:w="520" w:type="dxa"/>
            <w:vAlign w:val="bottom"/>
            <w:tcBorders>
              <w:bottom w:val="single" w:sz="8" w:color="auto"/>
            </w:tcBorders>
          </w:tcPr>
          <w:p>
            <w:pPr>
              <w:jc w:val="right"/>
              <w:ind w:right="290"/>
              <w:spacing w:after="0" w:line="244" w:lineRule="exact"/>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spacing w:after="0" w:line="244" w:lineRule="exact"/>
              <w:rPr>
                <w:sz w:val="20"/>
                <w:szCs w:val="20"/>
                <w:color w:val="auto"/>
              </w:rPr>
            </w:pPr>
            <w:r>
              <w:rPr>
                <w:rFonts w:ascii="Arial" w:cs="Arial" w:eastAsia="Arial" w:hAnsi="Arial"/>
                <w:sz w:val="22"/>
                <w:szCs w:val="22"/>
                <w:color w:val="auto"/>
              </w:rPr>
              <w:t>54,890</w:t>
            </w:r>
          </w:p>
        </w:tc>
        <w:tc>
          <w:tcPr>
            <w:tcW w:w="0" w:type="dxa"/>
            <w:vAlign w:val="bottom"/>
          </w:tcPr>
          <w:p>
            <w:pPr>
              <w:spacing w:after="0"/>
              <w:rPr>
                <w:sz w:val="1"/>
                <w:szCs w:val="1"/>
                <w:color w:val="auto"/>
              </w:rPr>
            </w:pPr>
          </w:p>
        </w:tc>
      </w:tr>
      <w:tr>
        <w:trPr>
          <w:trHeight w:val="486"/>
        </w:trPr>
        <w:tc>
          <w:tcPr>
            <w:tcW w:w="8060" w:type="dxa"/>
            <w:vAlign w:val="bottom"/>
            <w:gridSpan w:val="2"/>
          </w:tcPr>
          <w:p>
            <w:pPr>
              <w:ind w:left="120"/>
              <w:spacing w:after="0"/>
              <w:rPr>
                <w:sz w:val="20"/>
                <w:szCs w:val="20"/>
                <w:color w:val="auto"/>
              </w:rPr>
            </w:pPr>
            <w:r>
              <w:rPr>
                <w:rFonts w:ascii="Arial" w:cs="Arial" w:eastAsia="Arial" w:hAnsi="Arial"/>
                <w:sz w:val="22"/>
                <w:szCs w:val="22"/>
                <w:color w:val="auto"/>
              </w:rPr>
              <w:t>Liabilities assumed:</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060" w:type="dxa"/>
            <w:vAlign w:val="bottom"/>
            <w:gridSpan w:val="2"/>
          </w:tcPr>
          <w:p>
            <w:pPr>
              <w:ind w:left="120"/>
              <w:spacing w:after="0"/>
              <w:rPr>
                <w:sz w:val="20"/>
                <w:szCs w:val="20"/>
                <w:color w:val="auto"/>
              </w:rPr>
            </w:pPr>
            <w:r>
              <w:rPr>
                <w:rFonts w:ascii="Arial" w:cs="Arial" w:eastAsia="Arial" w:hAnsi="Arial"/>
                <w:sz w:val="22"/>
                <w:szCs w:val="22"/>
                <w:color w:val="auto"/>
                <w:w w:val="94"/>
              </w:rPr>
              <w:t>Accounts payable . . . . . . . . . . . . . . . . . . . . . . . . . . . . . . . . . . . . . . . . . . . . . . . . . . . . . .</w:t>
            </w:r>
          </w:p>
        </w:tc>
        <w:tc>
          <w:tcPr>
            <w:tcW w:w="520" w:type="dxa"/>
            <w:vAlign w:val="bottom"/>
          </w:tcPr>
          <w:p>
            <w:pPr>
              <w:jc w:val="right"/>
              <w:ind w:right="290"/>
              <w:spacing w:after="0"/>
              <w:rPr>
                <w:sz w:val="20"/>
                <w:szCs w:val="20"/>
                <w:color w:val="auto"/>
              </w:rPr>
            </w:pPr>
            <w:r>
              <w:rPr>
                <w:rFonts w:ascii="Arial" w:cs="Arial" w:eastAsia="Arial" w:hAnsi="Arial"/>
                <w:sz w:val="22"/>
                <w:szCs w:val="22"/>
                <w:color w:val="auto"/>
                <w:w w:val="81"/>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868</w:t>
            </w:r>
          </w:p>
        </w:tc>
        <w:tc>
          <w:tcPr>
            <w:tcW w:w="0" w:type="dxa"/>
            <w:vAlign w:val="bottom"/>
          </w:tcPr>
          <w:p>
            <w:pPr>
              <w:spacing w:after="0"/>
              <w:rPr>
                <w:sz w:val="1"/>
                <w:szCs w:val="1"/>
                <w:color w:val="auto"/>
              </w:rPr>
            </w:pPr>
          </w:p>
        </w:tc>
      </w:tr>
      <w:tr>
        <w:trPr>
          <w:trHeight w:val="253"/>
        </w:trPr>
        <w:tc>
          <w:tcPr>
            <w:tcW w:w="8060" w:type="dxa"/>
            <w:vAlign w:val="bottom"/>
            <w:gridSpan w:val="2"/>
          </w:tcPr>
          <w:p>
            <w:pPr>
              <w:ind w:left="120"/>
              <w:spacing w:after="0"/>
              <w:rPr>
                <w:sz w:val="20"/>
                <w:szCs w:val="20"/>
                <w:color w:val="auto"/>
              </w:rPr>
            </w:pPr>
            <w:r>
              <w:rPr>
                <w:rFonts w:ascii="Arial" w:cs="Arial" w:eastAsia="Arial" w:hAnsi="Arial"/>
                <w:sz w:val="22"/>
                <w:szCs w:val="22"/>
                <w:color w:val="auto"/>
                <w:w w:val="99"/>
              </w:rPr>
              <w:t>Accrued expenses and other current liabilities . . . . . . . . . . . . . . . . . . . . . . . . . . . . .</w:t>
            </w:r>
          </w:p>
        </w:tc>
        <w:tc>
          <w:tcPr>
            <w:tcW w:w="5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2,352</w:t>
            </w:r>
          </w:p>
        </w:tc>
        <w:tc>
          <w:tcPr>
            <w:tcW w:w="0" w:type="dxa"/>
            <w:vAlign w:val="bottom"/>
          </w:tcPr>
          <w:p>
            <w:pPr>
              <w:spacing w:after="0"/>
              <w:rPr>
                <w:sz w:val="1"/>
                <w:szCs w:val="1"/>
                <w:color w:val="auto"/>
              </w:rPr>
            </w:pPr>
          </w:p>
        </w:tc>
      </w:tr>
      <w:tr>
        <w:trPr>
          <w:trHeight w:val="252"/>
        </w:trPr>
        <w:tc>
          <w:tcPr>
            <w:tcW w:w="8060" w:type="dxa"/>
            <w:vAlign w:val="bottom"/>
            <w:gridSpan w:val="2"/>
          </w:tcPr>
          <w:p>
            <w:pPr>
              <w:ind w:left="120"/>
              <w:spacing w:after="0" w:line="251" w:lineRule="exact"/>
              <w:rPr>
                <w:sz w:val="20"/>
                <w:szCs w:val="20"/>
                <w:color w:val="auto"/>
              </w:rPr>
            </w:pPr>
            <w:r>
              <w:rPr>
                <w:rFonts w:ascii="Arial" w:cs="Arial" w:eastAsia="Arial" w:hAnsi="Arial"/>
                <w:sz w:val="22"/>
                <w:szCs w:val="22"/>
                <w:color w:val="auto"/>
                <w:w w:val="96"/>
              </w:rPr>
              <w:t>Lease liabilities - operating lease . . . . . . . . . . . . . . . . . . . . . . . . . . . . . . . . . . . . . . . . .</w:t>
            </w:r>
          </w:p>
        </w:tc>
        <w:tc>
          <w:tcPr>
            <w:tcW w:w="52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Arial" w:cs="Arial" w:eastAsia="Arial" w:hAnsi="Arial"/>
                <w:sz w:val="22"/>
                <w:szCs w:val="22"/>
                <w:color w:val="auto"/>
              </w:rPr>
              <w:t>8,065</w:t>
            </w:r>
          </w:p>
        </w:tc>
        <w:tc>
          <w:tcPr>
            <w:tcW w:w="0" w:type="dxa"/>
            <w:vAlign w:val="bottom"/>
          </w:tcPr>
          <w:p>
            <w:pPr>
              <w:spacing w:after="0"/>
              <w:rPr>
                <w:sz w:val="1"/>
                <w:szCs w:val="1"/>
                <w:color w:val="auto"/>
              </w:rPr>
            </w:pPr>
          </w:p>
        </w:tc>
      </w:tr>
      <w:tr>
        <w:trPr>
          <w:trHeight w:val="253"/>
        </w:trPr>
        <w:tc>
          <w:tcPr>
            <w:tcW w:w="8060" w:type="dxa"/>
            <w:vAlign w:val="bottom"/>
            <w:gridSpan w:val="2"/>
          </w:tcPr>
          <w:p>
            <w:pPr>
              <w:ind w:left="120"/>
              <w:spacing w:after="0"/>
              <w:rPr>
                <w:sz w:val="20"/>
                <w:szCs w:val="20"/>
                <w:color w:val="auto"/>
              </w:rPr>
            </w:pPr>
            <w:r>
              <w:rPr>
                <w:rFonts w:ascii="Arial" w:cs="Arial" w:eastAsia="Arial" w:hAnsi="Arial"/>
                <w:sz w:val="22"/>
                <w:szCs w:val="22"/>
                <w:color w:val="auto"/>
                <w:w w:val="95"/>
              </w:rPr>
              <w:t>Contingent consideration . . . . . . . . . . . . . . . . . . . . . . . . . . . . . . . . . . . . . . . . . . . . . . . .</w:t>
            </w:r>
          </w:p>
        </w:tc>
        <w:tc>
          <w:tcPr>
            <w:tcW w:w="5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372</w:t>
            </w:r>
          </w:p>
        </w:tc>
        <w:tc>
          <w:tcPr>
            <w:tcW w:w="0" w:type="dxa"/>
            <w:vAlign w:val="bottom"/>
          </w:tcPr>
          <w:p>
            <w:pPr>
              <w:spacing w:after="0"/>
              <w:rPr>
                <w:sz w:val="1"/>
                <w:szCs w:val="1"/>
                <w:color w:val="auto"/>
              </w:rPr>
            </w:pPr>
          </w:p>
        </w:tc>
      </w:tr>
      <w:tr>
        <w:trPr>
          <w:trHeight w:val="274"/>
        </w:trPr>
        <w:tc>
          <w:tcPr>
            <w:tcW w:w="8060" w:type="dxa"/>
            <w:vAlign w:val="bottom"/>
            <w:gridSpan w:val="2"/>
          </w:tcPr>
          <w:p>
            <w:pPr>
              <w:ind w:left="120"/>
              <w:spacing w:after="0"/>
              <w:rPr>
                <w:sz w:val="20"/>
                <w:szCs w:val="20"/>
                <w:color w:val="auto"/>
              </w:rPr>
            </w:pPr>
            <w:r>
              <w:rPr>
                <w:rFonts w:ascii="Arial" w:cs="Arial" w:eastAsia="Arial" w:hAnsi="Arial"/>
                <w:sz w:val="22"/>
                <w:szCs w:val="22"/>
                <w:color w:val="auto"/>
                <w:w w:val="95"/>
              </w:rPr>
              <w:t>Deferred tax liability . . . . . . . . . . . . . . . . . . . . . . . . . . . . . . . . . . . . . . . . . . . . . . . . . . . .</w:t>
            </w:r>
          </w:p>
        </w:tc>
        <w:tc>
          <w:tcPr>
            <w:tcW w:w="5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3,503</w:t>
            </w:r>
          </w:p>
        </w:tc>
        <w:tc>
          <w:tcPr>
            <w:tcW w:w="0" w:type="dxa"/>
            <w:vAlign w:val="bottom"/>
          </w:tcPr>
          <w:p>
            <w:pPr>
              <w:spacing w:after="0"/>
              <w:rPr>
                <w:sz w:val="1"/>
                <w:szCs w:val="1"/>
                <w:color w:val="auto"/>
              </w:rPr>
            </w:pPr>
          </w:p>
        </w:tc>
      </w:tr>
      <w:tr>
        <w:trPr>
          <w:trHeight w:val="243"/>
        </w:trPr>
        <w:tc>
          <w:tcPr>
            <w:tcW w:w="8060" w:type="dxa"/>
            <w:vAlign w:val="bottom"/>
            <w:gridSpan w:val="2"/>
          </w:tcPr>
          <w:p>
            <w:pPr>
              <w:jc w:val="right"/>
              <w:ind w:right="400"/>
              <w:spacing w:after="0" w:line="243" w:lineRule="exact"/>
              <w:rPr>
                <w:sz w:val="20"/>
                <w:szCs w:val="20"/>
                <w:color w:val="auto"/>
              </w:rPr>
            </w:pPr>
            <w:r>
              <w:rPr>
                <w:rFonts w:ascii="Arial" w:cs="Arial" w:eastAsia="Arial" w:hAnsi="Arial"/>
                <w:sz w:val="22"/>
                <w:szCs w:val="22"/>
                <w:color w:val="auto"/>
                <w:w w:val="95"/>
              </w:rPr>
              <w:t>. . . . . . . . . . . . . . . . . . . . . . . . . . . . . . . . . . . . . . . . . . . . . . . .Totalliabilitiesassumed</w:t>
            </w:r>
          </w:p>
        </w:tc>
        <w:tc>
          <w:tcPr>
            <w:tcW w:w="520" w:type="dxa"/>
            <w:vAlign w:val="bottom"/>
            <w:tcBorders>
              <w:bottom w:val="single" w:sz="8" w:color="auto"/>
            </w:tcBorders>
          </w:tcPr>
          <w:p>
            <w:pPr>
              <w:jc w:val="right"/>
              <w:ind w:right="290"/>
              <w:spacing w:after="0" w:line="243" w:lineRule="exact"/>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15,160</w:t>
            </w:r>
          </w:p>
        </w:tc>
        <w:tc>
          <w:tcPr>
            <w:tcW w:w="0" w:type="dxa"/>
            <w:vAlign w:val="bottom"/>
          </w:tcPr>
          <w:p>
            <w:pPr>
              <w:spacing w:after="0"/>
              <w:rPr>
                <w:sz w:val="1"/>
                <w:szCs w:val="1"/>
                <w:color w:val="auto"/>
              </w:rPr>
            </w:pPr>
          </w:p>
        </w:tc>
      </w:tr>
      <w:tr>
        <w:trPr>
          <w:trHeight w:val="244"/>
        </w:trPr>
        <w:tc>
          <w:tcPr>
            <w:tcW w:w="8040" w:type="dxa"/>
            <w:vAlign w:val="bottom"/>
            <w:vMerge w:val="restart"/>
          </w:tcPr>
          <w:p>
            <w:pPr>
              <w:ind w:left="120"/>
              <w:spacing w:after="0"/>
              <w:rPr>
                <w:sz w:val="20"/>
                <w:szCs w:val="20"/>
                <w:color w:val="auto"/>
              </w:rPr>
            </w:pPr>
            <w:r>
              <w:rPr>
                <w:rFonts w:ascii="Arial" w:cs="Arial" w:eastAsia="Arial" w:hAnsi="Arial"/>
                <w:sz w:val="22"/>
                <w:szCs w:val="22"/>
                <w:color w:val="auto"/>
              </w:rPr>
              <w:t>Net assets acquired</w:t>
            </w:r>
          </w:p>
        </w:tc>
        <w:tc>
          <w:tcPr>
            <w:tcW w:w="20" w:type="dxa"/>
            <w:vAlign w:val="bottom"/>
            <w:vMerge w:val="restart"/>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8040" w:type="dxa"/>
            <w:vAlign w:val="bottom"/>
            <w:vMerge w:val="continue"/>
          </w:tcPr>
          <w:p>
            <w:pPr>
              <w:jc w:val="right"/>
              <w:ind w:right="270"/>
              <w:spacing w:after="0" w:line="195" w:lineRule="exact"/>
              <w:rPr>
                <w:sz w:val="20"/>
                <w:szCs w:val="20"/>
                <w:color w:val="auto"/>
              </w:rPr>
            </w:pPr>
            <w:r>
              <w:rPr>
                <w:rFonts w:ascii="Arial" w:cs="Arial" w:eastAsia="Arial" w:hAnsi="Arial"/>
                <w:sz w:val="22"/>
                <w:szCs w:val="22"/>
                <w:color w:val="auto"/>
              </w:rPr>
              <w:t>. . . . . . . . . . . . . . . . . . . . . . . . . . . . . . . . . . . . . . . . . . . . . . . . . . . .</w:t>
            </w:r>
          </w:p>
        </w:tc>
        <w:tc>
          <w:tcPr>
            <w:tcW w:w="20" w:type="dxa"/>
            <w:vAlign w:val="bottom"/>
            <w:tcBorders>
              <w:bottom w:val="single" w:sz="8" w:color="auto"/>
            </w:tcBorders>
            <w:vMerge w:val="continue"/>
          </w:tcPr>
          <w:p>
            <w:pPr>
              <w:spacing w:after="0"/>
              <w:rPr>
                <w:sz w:val="21"/>
                <w:szCs w:val="21"/>
                <w:color w:val="auto"/>
              </w:rPr>
            </w:pPr>
          </w:p>
        </w:tc>
        <w:tc>
          <w:tcPr>
            <w:tcW w:w="520" w:type="dxa"/>
            <w:vAlign w:val="bottom"/>
            <w:tcBorders>
              <w:bottom w:val="single" w:sz="8" w:color="auto"/>
            </w:tcBorders>
          </w:tcPr>
          <w:p>
            <w:pPr>
              <w:jc w:val="right"/>
              <w:ind w:right="290"/>
              <w:spacing w:after="0" w:line="244" w:lineRule="exact"/>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spacing w:after="0" w:line="244" w:lineRule="exact"/>
              <w:rPr>
                <w:sz w:val="20"/>
                <w:szCs w:val="20"/>
                <w:color w:val="auto"/>
              </w:rPr>
            </w:pPr>
            <w:r>
              <w:rPr>
                <w:rFonts w:ascii="Arial" w:cs="Arial" w:eastAsia="Arial" w:hAnsi="Arial"/>
                <w:sz w:val="22"/>
                <w:szCs w:val="22"/>
                <w:color w:val="auto"/>
              </w:rPr>
              <w:t>39,730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40"/>
        <w:spacing w:after="0" w:line="264" w:lineRule="auto"/>
        <w:rPr>
          <w:sz w:val="20"/>
          <w:szCs w:val="20"/>
          <w:color w:val="auto"/>
        </w:rPr>
      </w:pPr>
      <w:r>
        <w:rPr>
          <w:rFonts w:ascii="Arial" w:cs="Arial" w:eastAsia="Arial" w:hAnsi="Arial"/>
          <w:sz w:val="19"/>
          <w:szCs w:val="19"/>
          <w:color w:val="auto"/>
        </w:rPr>
        <w:t>As of December 31, 2024, the purchase price was final and changes from the preliminary purchase price were immaterial. The purchase price was allocated to the tangible assets and identifiable intangible assets acquired and liabilities assumed based on their acquisition date estimated fair values. The identifiable intangible assets consist of IPR&amp;D which were assigned fair values of $34,200. The fair value of the IPR&amp;D was estimated using the multi-period excess earnings method, which the Company estimates future cash flows attributable to the technology and applies a probability of success and a discount rate of 26.9%.</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These nonrecurring fair value measurements are Level 3 measurements within the fair value hierarchy.</w:t>
      </w:r>
    </w:p>
    <w:p>
      <w:pPr>
        <w:spacing w:after="0" w:line="201" w:lineRule="exact"/>
        <w:rPr>
          <w:sz w:val="20"/>
          <w:szCs w:val="20"/>
          <w:color w:val="auto"/>
        </w:rPr>
      </w:pPr>
    </w:p>
    <w:p>
      <w:pPr>
        <w:ind w:right="200"/>
        <w:spacing w:after="0" w:line="254" w:lineRule="auto"/>
        <w:rPr>
          <w:sz w:val="20"/>
          <w:szCs w:val="20"/>
          <w:color w:val="auto"/>
        </w:rPr>
      </w:pPr>
      <w:r>
        <w:rPr>
          <w:rFonts w:ascii="Arial" w:cs="Arial" w:eastAsia="Arial" w:hAnsi="Arial"/>
          <w:sz w:val="20"/>
          <w:szCs w:val="20"/>
          <w:color w:val="auto"/>
        </w:rPr>
        <w:t>Goodwill represents the excess of the purchase price over the net identifiable tangible and intangible assets acquired. The Company believes the goodwill related to the acquisition was attributable to the expected synergies and value of the assembled workforce as well as the collective experience of the management team with regards to its operations. The goodwill is not expected to be tax deductible.</w:t>
      </w:r>
    </w:p>
    <w:p>
      <w:pPr>
        <w:spacing w:after="0" w:line="146"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Results for year ended December 31, 2024, included a net loss of $ 5,274 from Clade. The following table presents unaudited supplemental pro forma financial information as if the Clade acquisition had occurred on January 1,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280"/>
              <w:spacing w:after="0" w:line="178" w:lineRule="exact"/>
              <w:rPr>
                <w:sz w:val="20"/>
                <w:szCs w:val="20"/>
                <w:color w:val="auto"/>
              </w:rPr>
            </w:pPr>
            <w:r>
              <w:rPr>
                <w:rFonts w:ascii="Arial" w:cs="Arial" w:eastAsia="Arial" w:hAnsi="Arial"/>
                <w:sz w:val="16"/>
                <w:szCs w:val="16"/>
                <w:color w:val="auto"/>
              </w:rPr>
              <w:t>Year Ended</w:t>
            </w:r>
          </w:p>
        </w:tc>
        <w:tc>
          <w:tcPr>
            <w:tcW w:w="1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280"/>
              <w:spacing w:after="0" w:line="178" w:lineRule="exact"/>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200"/>
        </w:trPr>
        <w:tc>
          <w:tcPr>
            <w:tcW w:w="6200" w:type="dxa"/>
            <w:vAlign w:val="bottom"/>
            <w:vMerge w:val="restart"/>
          </w:tcPr>
          <w:p>
            <w:pPr>
              <w:jc w:val="right"/>
              <w:ind w:right="5300"/>
              <w:spacing w:after="0"/>
              <w:rPr>
                <w:sz w:val="20"/>
                <w:szCs w:val="20"/>
                <w:color w:val="auto"/>
              </w:rPr>
            </w:pPr>
            <w:r>
              <w:rPr>
                <w:rFonts w:ascii="Arial" w:cs="Arial" w:eastAsia="Arial" w:hAnsi="Arial"/>
                <w:sz w:val="20"/>
                <w:szCs w:val="20"/>
                <w:color w:val="auto"/>
                <w:w w:val="97"/>
              </w:rPr>
              <w:t>Revenue</w:t>
            </w:r>
          </w:p>
        </w:tc>
        <w:tc>
          <w:tcPr>
            <w:tcW w:w="160" w:type="dxa"/>
            <w:vAlign w:val="bottom"/>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December 31, 2024</w:t>
            </w:r>
          </w:p>
        </w:tc>
        <w:tc>
          <w:tcPr>
            <w:tcW w:w="180" w:type="dxa"/>
            <w:vAlign w:val="bottom"/>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December 31, 2023</w:t>
            </w:r>
          </w:p>
        </w:tc>
        <w:tc>
          <w:tcPr>
            <w:tcW w:w="0" w:type="dxa"/>
            <w:vAlign w:val="bottom"/>
          </w:tcPr>
          <w:p>
            <w:pPr>
              <w:spacing w:after="0"/>
              <w:rPr>
                <w:sz w:val="1"/>
                <w:szCs w:val="1"/>
                <w:color w:val="auto"/>
              </w:rPr>
            </w:pPr>
          </w:p>
        </w:tc>
      </w:tr>
      <w:tr>
        <w:trPr>
          <w:trHeight w:val="222"/>
        </w:trPr>
        <w:tc>
          <w:tcPr>
            <w:tcW w:w="6200" w:type="dxa"/>
            <w:vAlign w:val="bottom"/>
            <w:vMerge w:val="continue"/>
          </w:tcPr>
          <w:p>
            <w:pPr>
              <w:jc w:val="right"/>
              <w:ind w:right="40"/>
              <w:spacing w:after="0" w:line="201" w:lineRule="exact"/>
              <w:rPr>
                <w:sz w:val="20"/>
                <w:szCs w:val="20"/>
                <w:color w:val="auto"/>
              </w:rPr>
            </w:pPr>
            <w:r>
              <w:rPr>
                <w:rFonts w:ascii="Arial" w:cs="Arial" w:eastAsia="Arial" w:hAnsi="Arial"/>
                <w:sz w:val="20"/>
                <w:szCs w:val="20"/>
                <w:color w:val="auto"/>
              </w:rPr>
              <w:t>. . . . . . . . . . . . . . . . . . . . . . . . . . . . . . . . . . . . . . . . . . . . . . . . . . . .</w:t>
            </w:r>
          </w:p>
        </w:tc>
        <w:tc>
          <w:tcPr>
            <w:tcW w:w="400" w:type="dxa"/>
            <w:vAlign w:val="bottom"/>
            <w:gridSpan w:val="2"/>
          </w:tcPr>
          <w:p>
            <w:pPr>
              <w:jc w:val="right"/>
              <w:ind w:right="40"/>
              <w:spacing w:after="0" w:line="223" w:lineRule="exact"/>
              <w:rPr>
                <w:sz w:val="20"/>
                <w:szCs w:val="20"/>
                <w:color w:val="auto"/>
              </w:rPr>
            </w:pPr>
            <w:r>
              <w:rPr>
                <w:rFonts w:ascii="Arial" w:cs="Arial" w:eastAsia="Arial" w:hAnsi="Arial"/>
                <w:sz w:val="20"/>
                <w:szCs w:val="20"/>
                <w:color w:val="auto"/>
              </w:rPr>
              <w:t>$</w:t>
            </w:r>
          </w:p>
        </w:tc>
        <w:tc>
          <w:tcPr>
            <w:tcW w:w="1360" w:type="dxa"/>
            <w:vAlign w:val="bottom"/>
          </w:tcPr>
          <w:p>
            <w:pPr>
              <w:jc w:val="right"/>
              <w:spacing w:after="0" w:line="223" w:lineRule="exact"/>
              <w:rPr>
                <w:sz w:val="20"/>
                <w:szCs w:val="20"/>
                <w:color w:val="auto"/>
              </w:rPr>
            </w:pPr>
            <w:r>
              <w:rPr>
                <w:rFonts w:ascii="Arial" w:cs="Arial" w:eastAsia="Arial" w:hAnsi="Arial"/>
                <w:sz w:val="22"/>
                <w:szCs w:val="22"/>
                <w:color w:val="auto"/>
              </w:rPr>
              <w:t>6,589</w:t>
            </w:r>
          </w:p>
        </w:tc>
        <w:tc>
          <w:tcPr>
            <w:tcW w:w="420" w:type="dxa"/>
            <w:vAlign w:val="bottom"/>
            <w:gridSpan w:val="2"/>
          </w:tcPr>
          <w:p>
            <w:pPr>
              <w:jc w:val="right"/>
              <w:ind w:right="60"/>
              <w:spacing w:after="0" w:line="223" w:lineRule="exact"/>
              <w:rPr>
                <w:sz w:val="20"/>
                <w:szCs w:val="20"/>
                <w:color w:val="auto"/>
              </w:rPr>
            </w:pPr>
            <w:r>
              <w:rPr>
                <w:rFonts w:ascii="Arial" w:cs="Arial" w:eastAsia="Arial" w:hAnsi="Arial"/>
                <w:sz w:val="20"/>
                <w:szCs w:val="20"/>
                <w:color w:val="auto"/>
              </w:rPr>
              <w:t>$</w:t>
            </w:r>
          </w:p>
        </w:tc>
        <w:tc>
          <w:tcPr>
            <w:tcW w:w="1340" w:type="dxa"/>
            <w:vAlign w:val="bottom"/>
          </w:tcPr>
          <w:p>
            <w:pPr>
              <w:jc w:val="right"/>
              <w:spacing w:after="0" w:line="223" w:lineRule="exact"/>
              <w:rPr>
                <w:sz w:val="20"/>
                <w:szCs w:val="20"/>
                <w:color w:val="auto"/>
              </w:rPr>
            </w:pPr>
            <w:r>
              <w:rPr>
                <w:rFonts w:ascii="Arial" w:cs="Arial" w:eastAsia="Arial" w:hAnsi="Arial"/>
                <w:sz w:val="22"/>
                <w:szCs w:val="22"/>
                <w:color w:val="auto"/>
              </w:rPr>
              <w:t>2,235</w:t>
            </w:r>
          </w:p>
        </w:tc>
        <w:tc>
          <w:tcPr>
            <w:tcW w:w="0" w:type="dxa"/>
            <w:vAlign w:val="bottom"/>
          </w:tcPr>
          <w:p>
            <w:pPr>
              <w:spacing w:after="0"/>
              <w:rPr>
                <w:sz w:val="1"/>
                <w:szCs w:val="1"/>
                <w:color w:val="auto"/>
              </w:rPr>
            </w:pPr>
          </w:p>
        </w:tc>
      </w:tr>
      <w:tr>
        <w:trPr>
          <w:trHeight w:val="297"/>
        </w:trPr>
        <w:tc>
          <w:tcPr>
            <w:tcW w:w="6200" w:type="dxa"/>
            <w:vAlign w:val="bottom"/>
          </w:tcPr>
          <w:p>
            <w:pPr>
              <w:jc w:val="right"/>
              <w:ind w:right="40"/>
              <w:spacing w:after="0"/>
              <w:rPr>
                <w:sz w:val="20"/>
                <w:szCs w:val="20"/>
                <w:color w:val="auto"/>
              </w:rPr>
            </w:pPr>
            <w:r>
              <w:rPr>
                <w:rFonts w:ascii="Arial" w:cs="Arial" w:eastAsia="Arial" w:hAnsi="Arial"/>
                <w:sz w:val="20"/>
                <w:szCs w:val="20"/>
                <w:color w:val="auto"/>
                <w:w w:val="91"/>
              </w:rPr>
              <w:t>Net loss . . . . . . . . . . . . . . . . . . . . . . . . . . . . . . . . . . . . . . . . . . . . . . . . . . . . .</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(137,112)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(166,982)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146</w:t>
      </w:r>
    </w:p>
    <w:p>
      <w:pPr>
        <w:sectPr>
          <w:pgSz w:w="11880" w:h="15480" w:orient="portrait"/>
          <w:cols w:equalWidth="0" w:num="1">
            <w:col w:w="9720"/>
          </w:cols>
          <w:pgMar w:left="1080" w:top="1067" w:right="1080" w:bottom="554" w:gutter="0" w:footer="0" w:header="0"/>
          <w:type w:val="continuous"/>
        </w:sectPr>
      </w:pPr>
    </w:p>
    <w:bookmarkStart w:id="146" w:name="page147"/>
    <w:bookmarkEnd w:id="146"/>
    <w:p>
      <w:pPr>
        <w:ind w:right="160"/>
        <w:spacing w:after="0" w:line="248" w:lineRule="auto"/>
        <w:rPr>
          <w:sz w:val="20"/>
          <w:szCs w:val="20"/>
          <w:color w:val="auto"/>
        </w:rPr>
      </w:pPr>
      <w:r>
        <w:rPr>
          <w:rFonts w:ascii="Arial" w:cs="Arial" w:eastAsia="Arial" w:hAnsi="Arial"/>
          <w:sz w:val="20"/>
          <w:szCs w:val="20"/>
          <w:color w:val="auto"/>
        </w:rPr>
        <w:t>The pro forma financial information presented above has been prepared by combining the Company’s historical results and the historical results of Clade and adjusting those results to eliminate historical transaction costs and to reflect the effects of the acquisition as if they occurred on January 1, 2023. These results do not purport to be indicative of the results of operations which actually would have resulted had the acquisition occurred on the date indicated above, or that may result in the future, and do not reflect potential synergies or additional costs following the acquisition.</w:t>
      </w: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color w:val="auto"/>
        </w:rPr>
        <w:t>Note 4—Financial instruments and fair value measurements</w:t>
      </w:r>
    </w:p>
    <w:p>
      <w:pPr>
        <w:spacing w:after="0" w:line="243" w:lineRule="exact"/>
        <w:rPr>
          <w:sz w:val="20"/>
          <w:szCs w:val="20"/>
          <w:color w:val="auto"/>
        </w:rPr>
      </w:pPr>
    </w:p>
    <w:p>
      <w:pPr>
        <w:ind w:right="440"/>
        <w:spacing w:after="0" w:line="283" w:lineRule="auto"/>
        <w:rPr>
          <w:sz w:val="20"/>
          <w:szCs w:val="20"/>
          <w:color w:val="auto"/>
        </w:rPr>
      </w:pPr>
      <w:r>
        <w:rPr>
          <w:rFonts w:ascii="Arial" w:cs="Arial" w:eastAsia="Arial" w:hAnsi="Arial"/>
          <w:sz w:val="20"/>
          <w:szCs w:val="20"/>
          <w:color w:val="auto"/>
        </w:rPr>
        <w:t>The following table sets forth the Company’s assets that were measured at fair value as of December 31, 2024, by level within the fair value hierarchy: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20"/>
                <w:szCs w:val="20"/>
                <w:color w:val="auto"/>
              </w:rPr>
              <w:t>Assets:</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6"/>
                <w:szCs w:val="16"/>
                <w:color w:val="auto"/>
              </w:rPr>
              <w:t>Level 1</w:t>
            </w:r>
          </w:p>
        </w:tc>
        <w:tc>
          <w:tcPr>
            <w:tcW w:w="2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6"/>
                <w:szCs w:val="16"/>
                <w:color w:val="auto"/>
              </w:rPr>
              <w:t>Level 2</w:t>
            </w:r>
          </w:p>
        </w:tc>
        <w:tc>
          <w:tcPr>
            <w:tcW w:w="2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6"/>
                <w:szCs w:val="16"/>
                <w:color w:val="auto"/>
              </w:rPr>
              <w:t>Level 3</w:t>
            </w:r>
          </w:p>
        </w:tc>
        <w:tc>
          <w:tcPr>
            <w:tcW w:w="2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1"/>
        </w:trPr>
        <w:tc>
          <w:tcPr>
            <w:tcW w:w="3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tcPr>
          <w:p>
            <w:pPr>
              <w:jc w:val="right"/>
              <w:ind w:right="200"/>
              <w:spacing w:after="0"/>
              <w:rPr>
                <w:sz w:val="20"/>
                <w:szCs w:val="20"/>
                <w:color w:val="auto"/>
              </w:rPr>
            </w:pPr>
            <w:r>
              <w:rPr>
                <w:rFonts w:ascii="Arial" w:cs="Arial" w:eastAsia="Arial" w:hAnsi="Arial"/>
                <w:sz w:val="20"/>
                <w:szCs w:val="20"/>
                <w:color w:val="auto"/>
                <w:w w:val="93"/>
              </w:rPr>
              <w:t>Cash equivalents . . . . . . . . . . . . . . . . . . . . .</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50,884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50,884</w:t>
            </w:r>
          </w:p>
        </w:tc>
        <w:tc>
          <w:tcPr>
            <w:tcW w:w="0" w:type="dxa"/>
            <w:vAlign w:val="bottom"/>
          </w:tcPr>
          <w:p>
            <w:pPr>
              <w:spacing w:after="0"/>
              <w:rPr>
                <w:sz w:val="1"/>
                <w:szCs w:val="1"/>
                <w:color w:val="auto"/>
              </w:rPr>
            </w:pPr>
          </w:p>
        </w:tc>
      </w:tr>
      <w:tr>
        <w:trPr>
          <w:trHeight w:val="232"/>
        </w:trPr>
        <w:tc>
          <w:tcPr>
            <w:tcW w:w="3940" w:type="dxa"/>
            <w:vAlign w:val="bottom"/>
          </w:tcPr>
          <w:p>
            <w:pPr>
              <w:jc w:val="right"/>
              <w:ind w:right="200"/>
              <w:spacing w:after="0"/>
              <w:rPr>
                <w:sz w:val="20"/>
                <w:szCs w:val="20"/>
                <w:color w:val="auto"/>
              </w:rPr>
            </w:pPr>
            <w:r>
              <w:rPr>
                <w:rFonts w:ascii="Arial" w:cs="Arial" w:eastAsia="Arial" w:hAnsi="Arial"/>
                <w:sz w:val="20"/>
                <w:szCs w:val="20"/>
                <w:color w:val="auto"/>
                <w:w w:val="92"/>
              </w:rPr>
              <w:t>U.S. Treasury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29,994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29,994</w:t>
            </w:r>
          </w:p>
        </w:tc>
        <w:tc>
          <w:tcPr>
            <w:tcW w:w="0" w:type="dxa"/>
            <w:vAlign w:val="bottom"/>
          </w:tcPr>
          <w:p>
            <w:pPr>
              <w:spacing w:after="0"/>
              <w:rPr>
                <w:sz w:val="1"/>
                <w:szCs w:val="1"/>
                <w:color w:val="auto"/>
              </w:rPr>
            </w:pPr>
          </w:p>
        </w:tc>
      </w:tr>
      <w:tr>
        <w:trPr>
          <w:trHeight w:val="250"/>
        </w:trPr>
        <w:tc>
          <w:tcPr>
            <w:tcW w:w="3940" w:type="dxa"/>
            <w:vAlign w:val="bottom"/>
          </w:tcPr>
          <w:p>
            <w:pPr>
              <w:jc w:val="right"/>
              <w:ind w:right="200"/>
              <w:spacing w:after="0"/>
              <w:rPr>
                <w:sz w:val="20"/>
                <w:szCs w:val="20"/>
                <w:color w:val="auto"/>
              </w:rPr>
            </w:pPr>
            <w:r>
              <w:rPr>
                <w:rFonts w:ascii="Arial" w:cs="Arial" w:eastAsia="Arial" w:hAnsi="Arial"/>
                <w:sz w:val="20"/>
                <w:szCs w:val="20"/>
                <w:color w:val="auto"/>
                <w:w w:val="94"/>
              </w:rPr>
              <w:t>Corporate bonds . . . . . . . . . . . . . . . . . . . .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131,675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131,675</w:t>
            </w:r>
          </w:p>
        </w:tc>
        <w:tc>
          <w:tcPr>
            <w:tcW w:w="0" w:type="dxa"/>
            <w:vAlign w:val="bottom"/>
          </w:tcPr>
          <w:p>
            <w:pPr>
              <w:spacing w:after="0"/>
              <w:rPr>
                <w:sz w:val="1"/>
                <w:szCs w:val="1"/>
                <w:color w:val="auto"/>
              </w:rPr>
            </w:pPr>
          </w:p>
        </w:tc>
      </w:tr>
      <w:tr>
        <w:trPr>
          <w:trHeight w:val="230"/>
        </w:trPr>
        <w:tc>
          <w:tcPr>
            <w:tcW w:w="3940" w:type="dxa"/>
            <w:vAlign w:val="bottom"/>
          </w:tcPr>
          <w:p>
            <w:pPr>
              <w:jc w:val="right"/>
              <w:ind w:right="200"/>
              <w:spacing w:after="0" w:line="221" w:lineRule="exact"/>
              <w:rPr>
                <w:sz w:val="20"/>
                <w:szCs w:val="20"/>
                <w:color w:val="auto"/>
              </w:rPr>
            </w:pPr>
            <w:r>
              <w:rPr>
                <w:rFonts w:ascii="Arial" w:cs="Arial" w:eastAsia="Arial" w:hAnsi="Arial"/>
                <w:sz w:val="20"/>
                <w:szCs w:val="20"/>
                <w:color w:val="auto"/>
                <w:w w:val="91"/>
              </w:rPr>
              <w:t>. . . . . . . . . . . . . . . . . . . . . . . . . . . . . . . .Total</w:t>
            </w:r>
          </w:p>
        </w:tc>
        <w:tc>
          <w:tcPr>
            <w:tcW w:w="20" w:type="dxa"/>
            <w:vAlign w:val="bottom"/>
          </w:tcPr>
          <w:p>
            <w:pPr>
              <w:spacing w:after="0"/>
              <w:rPr>
                <w:sz w:val="20"/>
                <w:szCs w:val="20"/>
                <w:color w:val="auto"/>
              </w:rPr>
            </w:pPr>
          </w:p>
        </w:tc>
        <w:tc>
          <w:tcPr>
            <w:tcW w:w="240" w:type="dxa"/>
            <w:vAlign w:val="bottom"/>
            <w:tcBorders>
              <w:bottom w:val="single" w:sz="8" w:color="auto"/>
            </w:tcBorders>
          </w:tcPr>
          <w:p>
            <w:pPr>
              <w:jc w:val="right"/>
              <w:ind w:right="20"/>
              <w:spacing w:after="0" w:line="221" w:lineRule="exact"/>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50,884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jc w:val="right"/>
              <w:ind w:right="20"/>
              <w:spacing w:after="0" w:line="221" w:lineRule="exact"/>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161,669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jc w:val="right"/>
              <w:ind w:right="20"/>
              <w:spacing w:after="0" w:line="221" w:lineRule="exact"/>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jc w:val="right"/>
              <w:ind w:right="80"/>
              <w:spacing w:after="0" w:line="221" w:lineRule="exact"/>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212,553</w:t>
            </w:r>
          </w:p>
        </w:tc>
        <w:tc>
          <w:tcPr>
            <w:tcW w:w="0" w:type="dxa"/>
            <w:vAlign w:val="bottom"/>
          </w:tcPr>
          <w:p>
            <w:pPr>
              <w:spacing w:after="0"/>
              <w:rPr>
                <w:sz w:val="1"/>
                <w:szCs w:val="1"/>
                <w:color w:val="auto"/>
              </w:rPr>
            </w:pPr>
          </w:p>
        </w:tc>
      </w:tr>
      <w:tr>
        <w:trPr>
          <w:trHeight w:val="213"/>
        </w:trPr>
        <w:tc>
          <w:tcPr>
            <w:tcW w:w="3940" w:type="dxa"/>
            <w:vAlign w:val="bottom"/>
          </w:tcPr>
          <w:p>
            <w:pPr>
              <w:spacing w:after="0" w:line="212" w:lineRule="exact"/>
              <w:rPr>
                <w:sz w:val="20"/>
                <w:szCs w:val="20"/>
                <w:color w:val="auto"/>
              </w:rPr>
            </w:pPr>
            <w:r>
              <w:rPr>
                <w:rFonts w:ascii="Arial" w:cs="Arial" w:eastAsia="Arial" w:hAnsi="Arial"/>
                <w:sz w:val="20"/>
                <w:szCs w:val="20"/>
                <w:color w:val="auto"/>
              </w:rPr>
              <w:t>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940" w:type="dxa"/>
            <w:vAlign w:val="bottom"/>
          </w:tcPr>
          <w:p>
            <w:pPr>
              <w:jc w:val="right"/>
              <w:ind w:right="200"/>
              <w:spacing w:after="0"/>
              <w:rPr>
                <w:sz w:val="20"/>
                <w:szCs w:val="20"/>
                <w:color w:val="auto"/>
              </w:rPr>
            </w:pPr>
            <w:r>
              <w:rPr>
                <w:rFonts w:ascii="Arial" w:cs="Arial" w:eastAsia="Arial" w:hAnsi="Arial"/>
                <w:sz w:val="20"/>
                <w:szCs w:val="20"/>
                <w:color w:val="auto"/>
                <w:w w:val="96"/>
              </w:rPr>
              <w:t>Contingent consideration . . . . . . . . . . . . .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8,738</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8,738</w:t>
            </w:r>
          </w:p>
        </w:tc>
        <w:tc>
          <w:tcPr>
            <w:tcW w:w="0" w:type="dxa"/>
            <w:vAlign w:val="bottom"/>
          </w:tcPr>
          <w:p>
            <w:pPr>
              <w:spacing w:after="0"/>
              <w:rPr>
                <w:sz w:val="1"/>
                <w:szCs w:val="1"/>
                <w:color w:val="auto"/>
              </w:rPr>
            </w:pPr>
          </w:p>
        </w:tc>
      </w:tr>
      <w:tr>
        <w:trPr>
          <w:trHeight w:val="231"/>
        </w:trPr>
        <w:tc>
          <w:tcPr>
            <w:tcW w:w="3940" w:type="dxa"/>
            <w:vAlign w:val="bottom"/>
          </w:tcPr>
          <w:p>
            <w:pPr>
              <w:jc w:val="right"/>
              <w:ind w:right="200"/>
              <w:spacing w:after="0" w:line="223" w:lineRule="exact"/>
              <w:rPr>
                <w:sz w:val="20"/>
                <w:szCs w:val="20"/>
                <w:color w:val="auto"/>
              </w:rPr>
            </w:pPr>
            <w:r>
              <w:rPr>
                <w:rFonts w:ascii="Arial" w:cs="Arial" w:eastAsia="Arial" w:hAnsi="Arial"/>
                <w:sz w:val="20"/>
                <w:szCs w:val="20"/>
                <w:color w:val="auto"/>
                <w:w w:val="91"/>
              </w:rPr>
              <w:t>. . . . . . . . . . . . . . . . . . . . . . . . . . . . . . . .Total</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40"/>
              <w:spacing w:after="0" w:line="223" w:lineRule="exact"/>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3" w:lineRule="exact"/>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3" w:lineRule="exact"/>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8,738</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80"/>
              <w:spacing w:after="0" w:line="223" w:lineRule="exact"/>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8,738</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40"/>
        <w:spacing w:after="0" w:line="283" w:lineRule="auto"/>
        <w:rPr>
          <w:sz w:val="20"/>
          <w:szCs w:val="20"/>
          <w:color w:val="auto"/>
        </w:rPr>
      </w:pPr>
      <w:r>
        <w:rPr>
          <w:rFonts w:ascii="Arial" w:cs="Arial" w:eastAsia="Arial" w:hAnsi="Arial"/>
          <w:sz w:val="20"/>
          <w:szCs w:val="20"/>
          <w:color w:val="auto"/>
        </w:rPr>
        <w:t>The following table sets forth the Company’s assets that were measured at fair value as of December 31, 2023, by level within the fair value hierarchy: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tcBorders>
              <w:top w:val="single" w:sz="8" w:color="auto"/>
              <w:bottom w:val="single" w:sz="8" w:color="auto"/>
            </w:tcBorders>
            <w:vMerge w:val="restart"/>
          </w:tcPr>
          <w:p>
            <w:pPr>
              <w:jc w:val="right"/>
              <w:ind w:right="2300"/>
              <w:spacing w:after="0"/>
              <w:rPr>
                <w:sz w:val="20"/>
                <w:szCs w:val="20"/>
                <w:color w:val="auto"/>
              </w:rPr>
            </w:pPr>
            <w:r>
              <w:rPr>
                <w:rFonts w:ascii="Arial" w:cs="Arial" w:eastAsia="Arial" w:hAnsi="Arial"/>
                <w:sz w:val="20"/>
                <w:szCs w:val="20"/>
                <w:color w:val="auto"/>
                <w:w w:val="99"/>
              </w:rPr>
              <w:t>Cash equivalents</w:t>
            </w: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6"/>
                <w:szCs w:val="16"/>
                <w:color w:val="auto"/>
              </w:rPr>
              <w:t>Level 1</w:t>
            </w:r>
          </w:p>
        </w:tc>
        <w:tc>
          <w:tcPr>
            <w:tcW w:w="2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6"/>
                <w:szCs w:val="16"/>
                <w:color w:val="auto"/>
              </w:rPr>
              <w:t>Level 2</w:t>
            </w:r>
          </w:p>
        </w:tc>
        <w:tc>
          <w:tcPr>
            <w:tcW w:w="2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Level 3</w:t>
            </w:r>
          </w:p>
        </w:tc>
        <w:tc>
          <w:tcPr>
            <w:tcW w:w="3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1"/>
        </w:trPr>
        <w:tc>
          <w:tcPr>
            <w:tcW w:w="3940" w:type="dxa"/>
            <w:vAlign w:val="bottom"/>
            <w:vMerge w:val="continue"/>
          </w:tcPr>
          <w:p>
            <w:pPr>
              <w:jc w:val="right"/>
              <w:ind w:right="200"/>
              <w:spacing w:after="0" w:line="177" w:lineRule="exact"/>
              <w:rPr>
                <w:sz w:val="20"/>
                <w:szCs w:val="20"/>
                <w:color w:val="auto"/>
              </w:rPr>
            </w:pPr>
            <w:r>
              <w:rPr>
                <w:rFonts w:ascii="Arial" w:cs="Arial" w:eastAsia="Arial" w:hAnsi="Arial"/>
                <w:sz w:val="20"/>
                <w:szCs w:val="20"/>
                <w:color w:val="auto"/>
              </w:rPr>
              <w:t>. . . . . . . . . . . . . . . . . . . . .</w:t>
            </w:r>
          </w:p>
        </w:tc>
        <w:tc>
          <w:tcPr>
            <w:tcW w:w="20" w:type="dxa"/>
            <w:vAlign w:val="bottom"/>
          </w:tcPr>
          <w:p>
            <w:pPr>
              <w:spacing w:after="0"/>
              <w:rPr>
                <w:sz w:val="17"/>
                <w:szCs w:val="17"/>
                <w:color w:val="auto"/>
              </w:rPr>
            </w:pPr>
          </w:p>
        </w:tc>
        <w:tc>
          <w:tcPr>
            <w:tcW w:w="240" w:type="dxa"/>
            <w:vAlign w:val="bottom"/>
          </w:tcPr>
          <w:p>
            <w:pPr>
              <w:jc w:val="right"/>
              <w:ind w:right="40"/>
              <w:spacing w:after="0" w:line="201" w:lineRule="exact"/>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line="201" w:lineRule="exact"/>
              <w:rPr>
                <w:sz w:val="20"/>
                <w:szCs w:val="20"/>
                <w:color w:val="auto"/>
              </w:rPr>
            </w:pPr>
            <w:r>
              <w:rPr>
                <w:rFonts w:ascii="Arial" w:cs="Arial" w:eastAsia="Arial" w:hAnsi="Arial"/>
                <w:sz w:val="20"/>
                <w:szCs w:val="20"/>
                <w:color w:val="auto"/>
              </w:rPr>
              <w:t>42,263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ind w:left="60"/>
              <w:spacing w:after="0" w:line="201" w:lineRule="exact"/>
              <w:rPr>
                <w:sz w:val="20"/>
                <w:szCs w:val="20"/>
                <w:color w:val="auto"/>
              </w:rPr>
            </w:pPr>
            <w:r>
              <w:rPr>
                <w:rFonts w:ascii="Arial" w:cs="Arial" w:eastAsia="Arial" w:hAnsi="Arial"/>
                <w:sz w:val="20"/>
                <w:szCs w:val="20"/>
                <w:color w:val="auto"/>
              </w:rPr>
              <w:t>—</w:t>
            </w:r>
          </w:p>
        </w:tc>
        <w:tc>
          <w:tcPr>
            <w:tcW w:w="540" w:type="dxa"/>
            <w:vAlign w:val="bottom"/>
            <w:gridSpan w:val="3"/>
          </w:tcPr>
          <w:p>
            <w:pPr>
              <w:jc w:val="right"/>
              <w:ind w:right="80"/>
              <w:spacing w:after="0" w:line="201" w:lineRule="exact"/>
              <w:rPr>
                <w:sz w:val="20"/>
                <w:szCs w:val="20"/>
                <w:color w:val="auto"/>
              </w:rPr>
            </w:pPr>
            <w:r>
              <w:rPr>
                <w:rFonts w:ascii="Arial" w:cs="Arial" w:eastAsia="Arial" w:hAnsi="Arial"/>
                <w:sz w:val="20"/>
                <w:szCs w:val="20"/>
                <w:color w:val="auto"/>
              </w:rPr>
              <w:t>$</w:t>
            </w:r>
          </w:p>
        </w:tc>
        <w:tc>
          <w:tcPr>
            <w:tcW w:w="960" w:type="dxa"/>
            <w:vAlign w:val="bottom"/>
          </w:tcPr>
          <w:p>
            <w:pPr>
              <w:jc w:val="right"/>
              <w:spacing w:after="0" w:line="201" w:lineRule="exact"/>
              <w:rPr>
                <w:sz w:val="20"/>
                <w:szCs w:val="20"/>
                <w:color w:val="auto"/>
              </w:rPr>
            </w:pPr>
            <w:r>
              <w:rPr>
                <w:rFonts w:ascii="Arial" w:cs="Arial" w:eastAsia="Arial" w:hAnsi="Arial"/>
                <w:sz w:val="20"/>
                <w:szCs w:val="20"/>
                <w:color w:val="auto"/>
              </w:rPr>
              <w:t>42,263</w:t>
            </w:r>
          </w:p>
        </w:tc>
        <w:tc>
          <w:tcPr>
            <w:tcW w:w="0" w:type="dxa"/>
            <w:vAlign w:val="bottom"/>
          </w:tcPr>
          <w:p>
            <w:pPr>
              <w:spacing w:after="0"/>
              <w:rPr>
                <w:sz w:val="1"/>
                <w:szCs w:val="1"/>
                <w:color w:val="auto"/>
              </w:rPr>
            </w:pPr>
          </w:p>
        </w:tc>
      </w:tr>
      <w:tr>
        <w:trPr>
          <w:trHeight w:val="230"/>
        </w:trPr>
        <w:tc>
          <w:tcPr>
            <w:tcW w:w="3940" w:type="dxa"/>
            <w:vAlign w:val="bottom"/>
          </w:tcPr>
          <w:p>
            <w:pPr>
              <w:jc w:val="right"/>
              <w:ind w:right="200"/>
              <w:spacing w:after="0"/>
              <w:rPr>
                <w:sz w:val="20"/>
                <w:szCs w:val="20"/>
                <w:color w:val="auto"/>
              </w:rPr>
            </w:pPr>
            <w:r>
              <w:rPr>
                <w:rFonts w:ascii="Arial" w:cs="Arial" w:eastAsia="Arial" w:hAnsi="Arial"/>
                <w:sz w:val="20"/>
                <w:szCs w:val="20"/>
                <w:color w:val="auto"/>
                <w:w w:val="92"/>
              </w:rPr>
              <w:t>U.S. Treasury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26,114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26,114</w:t>
            </w:r>
          </w:p>
        </w:tc>
        <w:tc>
          <w:tcPr>
            <w:tcW w:w="0" w:type="dxa"/>
            <w:vAlign w:val="bottom"/>
          </w:tcPr>
          <w:p>
            <w:pPr>
              <w:spacing w:after="0"/>
              <w:rPr>
                <w:sz w:val="1"/>
                <w:szCs w:val="1"/>
                <w:color w:val="auto"/>
              </w:rPr>
            </w:pPr>
          </w:p>
        </w:tc>
      </w:tr>
      <w:tr>
        <w:trPr>
          <w:trHeight w:val="252"/>
        </w:trPr>
        <w:tc>
          <w:tcPr>
            <w:tcW w:w="3940" w:type="dxa"/>
            <w:vAlign w:val="bottom"/>
          </w:tcPr>
          <w:p>
            <w:pPr>
              <w:jc w:val="right"/>
              <w:ind w:right="200"/>
              <w:spacing w:after="0"/>
              <w:rPr>
                <w:sz w:val="20"/>
                <w:szCs w:val="20"/>
                <w:color w:val="auto"/>
              </w:rPr>
            </w:pPr>
            <w:r>
              <w:rPr>
                <w:rFonts w:ascii="Arial" w:cs="Arial" w:eastAsia="Arial" w:hAnsi="Arial"/>
                <w:sz w:val="20"/>
                <w:szCs w:val="20"/>
                <w:color w:val="auto"/>
                <w:w w:val="94"/>
              </w:rPr>
              <w:t>Corporate bonds . . . . . . . . . . . . . . . . . . . . .</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188,396</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188,396</w:t>
            </w:r>
          </w:p>
        </w:tc>
        <w:tc>
          <w:tcPr>
            <w:tcW w:w="0" w:type="dxa"/>
            <w:vAlign w:val="bottom"/>
          </w:tcPr>
          <w:p>
            <w:pPr>
              <w:spacing w:after="0"/>
              <w:rPr>
                <w:sz w:val="1"/>
                <w:szCs w:val="1"/>
                <w:color w:val="auto"/>
              </w:rPr>
            </w:pPr>
          </w:p>
        </w:tc>
      </w:tr>
      <w:tr>
        <w:trPr>
          <w:trHeight w:val="231"/>
        </w:trPr>
        <w:tc>
          <w:tcPr>
            <w:tcW w:w="3940" w:type="dxa"/>
            <w:vAlign w:val="bottom"/>
          </w:tcPr>
          <w:p>
            <w:pPr>
              <w:jc w:val="right"/>
              <w:ind w:right="200"/>
              <w:spacing w:after="0" w:line="223" w:lineRule="exact"/>
              <w:rPr>
                <w:sz w:val="20"/>
                <w:szCs w:val="20"/>
                <w:color w:val="auto"/>
              </w:rPr>
            </w:pPr>
            <w:r>
              <w:rPr>
                <w:rFonts w:ascii="Arial" w:cs="Arial" w:eastAsia="Arial" w:hAnsi="Arial"/>
                <w:sz w:val="20"/>
                <w:szCs w:val="20"/>
                <w:color w:val="auto"/>
                <w:w w:val="91"/>
              </w:rPr>
              <w:t>. . . . . . . . . . . . . . . . . . . . . . . . . . . . . . . .Total</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20"/>
              <w:spacing w:after="0" w:line="223" w:lineRule="exact"/>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42,263</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3" w:lineRule="exact"/>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214,510</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30"/>
              <w:spacing w:after="0" w:line="223" w:lineRule="exact"/>
              <w:rPr>
                <w:sz w:val="20"/>
                <w:szCs w:val="20"/>
                <w:color w:val="auto"/>
              </w:rPr>
            </w:pPr>
            <w:r>
              <w:rPr>
                <w:rFonts w:ascii="Arial" w:cs="Arial" w:eastAsia="Arial" w:hAnsi="Arial"/>
                <w:sz w:val="20"/>
                <w:szCs w:val="20"/>
                <w:color w:val="auto"/>
                <w:w w:val="71"/>
              </w:rPr>
              <w:t>$</w:t>
            </w:r>
          </w:p>
        </w:tc>
        <w:tc>
          <w:tcPr>
            <w:tcW w:w="32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80"/>
              <w:spacing w:after="0" w:line="223" w:lineRule="exact"/>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256,773</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There were no transfers between levels during the years ended December 31, 2024 and 2023. The Company uses the services of its investment manager, which uses widely accepted models for assumptions in valuing securities with inputs from major third-party data providers.</w:t>
      </w:r>
    </w:p>
    <w:p>
      <w:pPr>
        <w:spacing w:after="0" w:line="169" w:lineRule="exact"/>
        <w:rPr>
          <w:sz w:val="20"/>
          <w:szCs w:val="20"/>
          <w:color w:val="auto"/>
        </w:rPr>
      </w:pPr>
    </w:p>
    <w:p>
      <w:pPr>
        <w:ind w:right="640"/>
        <w:spacing w:after="0" w:line="283" w:lineRule="auto"/>
        <w:rPr>
          <w:sz w:val="20"/>
          <w:szCs w:val="20"/>
          <w:color w:val="auto"/>
        </w:rPr>
      </w:pPr>
      <w:r>
        <w:rPr>
          <w:rFonts w:ascii="Arial" w:cs="Arial" w:eastAsia="Arial" w:hAnsi="Arial"/>
          <w:sz w:val="20"/>
          <w:szCs w:val="20"/>
          <w:color w:val="auto"/>
        </w:rPr>
        <w:t>The Company classifies all of its investments in fixed maturity debt securities as available-for-sale and, accordingly, are carried at estimated fair value.</w:t>
      </w:r>
    </w:p>
    <w:p>
      <w:pPr>
        <w:spacing w:after="0" w:line="148" w:lineRule="exact"/>
        <w:rPr>
          <w:sz w:val="20"/>
          <w:szCs w:val="20"/>
          <w:color w:val="auto"/>
        </w:rPr>
      </w:pPr>
    </w:p>
    <w:p>
      <w:pPr>
        <w:ind w:right="780"/>
        <w:spacing w:after="0" w:line="283" w:lineRule="auto"/>
        <w:rPr>
          <w:sz w:val="20"/>
          <w:szCs w:val="20"/>
          <w:color w:val="auto"/>
        </w:rPr>
      </w:pPr>
      <w:r>
        <w:rPr>
          <w:rFonts w:ascii="Arial" w:cs="Arial" w:eastAsia="Arial" w:hAnsi="Arial"/>
          <w:sz w:val="20"/>
          <w:szCs w:val="20"/>
          <w:color w:val="auto"/>
        </w:rPr>
        <w:t>The amortized cost, gross unrealized gains and losses, and fair value of investments in fixed maturity securities are as follows as of December 31,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48"/>
              <w:spacing w:after="0" w:line="180" w:lineRule="exact"/>
              <w:rPr>
                <w:sz w:val="20"/>
                <w:szCs w:val="20"/>
                <w:color w:val="auto"/>
              </w:rPr>
            </w:pPr>
            <w:r>
              <w:rPr>
                <w:rFonts w:ascii="Arial" w:cs="Arial" w:eastAsia="Arial" w:hAnsi="Arial"/>
                <w:sz w:val="16"/>
                <w:szCs w:val="16"/>
                <w:color w:val="auto"/>
              </w:rPr>
              <w:t>Gross</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center"/>
              <w:ind w:right="380"/>
              <w:spacing w:after="0" w:line="180" w:lineRule="exact"/>
              <w:rPr>
                <w:sz w:val="20"/>
                <w:szCs w:val="20"/>
                <w:color w:val="auto"/>
              </w:rPr>
            </w:pPr>
            <w:r>
              <w:rPr>
                <w:rFonts w:ascii="Arial" w:cs="Arial" w:eastAsia="Arial" w:hAnsi="Arial"/>
                <w:sz w:val="16"/>
                <w:szCs w:val="16"/>
                <w:color w:val="auto"/>
                <w:w w:val="98"/>
              </w:rPr>
              <w:t>Gross</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6"/>
                <w:szCs w:val="16"/>
                <w:color w:val="auto"/>
              </w:rPr>
              <w:t>Amortized Cost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6"/>
                <w:szCs w:val="16"/>
                <w:color w:val="auto"/>
              </w:rPr>
              <w:t>Unrealized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color w:val="auto"/>
                <w:w w:val="99"/>
              </w:rPr>
              <w:t>Unrealized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40" w:type="dxa"/>
            <w:vAlign w:val="bottom"/>
            <w:gridSpan w:val="2"/>
            <w:vMerge w:val="restart"/>
          </w:tcPr>
          <w:p>
            <w:pPr>
              <w:spacing w:after="0"/>
              <w:rPr>
                <w:sz w:val="20"/>
                <w:szCs w:val="20"/>
                <w:color w:val="auto"/>
              </w:rPr>
            </w:pPr>
            <w:r>
              <w:rPr>
                <w:rFonts w:ascii="Arial" w:cs="Arial" w:eastAsia="Arial" w:hAnsi="Arial"/>
                <w:sz w:val="20"/>
                <w:szCs w:val="20"/>
                <w:color w:val="auto"/>
              </w:rPr>
              <w:t>U.S. Treasury</w:t>
            </w: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6"/>
                <w:szCs w:val="16"/>
                <w:color w:val="auto"/>
              </w:rPr>
              <w:t>Gains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6"/>
                <w:szCs w:val="16"/>
                <w:color w:val="auto"/>
                <w:w w:val="98"/>
              </w:rPr>
              <w:t>Losses</w:t>
            </w:r>
          </w:p>
        </w:tc>
        <w:tc>
          <w:tcPr>
            <w:tcW w:w="2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Fair Value</w:t>
            </w:r>
          </w:p>
        </w:tc>
        <w:tc>
          <w:tcPr>
            <w:tcW w:w="0" w:type="dxa"/>
            <w:vAlign w:val="bottom"/>
          </w:tcPr>
          <w:p>
            <w:pPr>
              <w:spacing w:after="0"/>
              <w:rPr>
                <w:sz w:val="1"/>
                <w:szCs w:val="1"/>
                <w:color w:val="auto"/>
              </w:rPr>
            </w:pPr>
          </w:p>
        </w:tc>
      </w:tr>
      <w:tr>
        <w:trPr>
          <w:trHeight w:val="200"/>
        </w:trPr>
        <w:tc>
          <w:tcPr>
            <w:tcW w:w="5340" w:type="dxa"/>
            <w:vAlign w:val="bottom"/>
            <w:gridSpan w:val="2"/>
            <w:vMerge w:val="continue"/>
          </w:tcPr>
          <w:p>
            <w:pPr>
              <w:jc w:val="right"/>
              <w:ind w:right="300"/>
              <w:spacing w:after="0" w:line="177" w:lineRule="exact"/>
              <w:rPr>
                <w:sz w:val="20"/>
                <w:szCs w:val="20"/>
                <w:color w:val="auto"/>
              </w:rPr>
            </w:pPr>
            <w:r>
              <w:rPr>
                <w:rFonts w:ascii="Arial" w:cs="Arial" w:eastAsia="Arial" w:hAnsi="Arial"/>
                <w:sz w:val="20"/>
                <w:szCs w:val="20"/>
                <w:color w:val="auto"/>
              </w:rPr>
              <w:t>. . . . . . . . . . . . . . . . . . . . . . . . . . . . . . . . . . . . . .</w:t>
            </w:r>
          </w:p>
        </w:tc>
        <w:tc>
          <w:tcPr>
            <w:tcW w:w="240" w:type="dxa"/>
            <w:vAlign w:val="bottom"/>
            <w:tcBorders>
              <w:top w:val="single" w:sz="8" w:color="auto"/>
            </w:tcBorders>
          </w:tcPr>
          <w:p>
            <w:pPr>
              <w:spacing w:after="0" w:line="200" w:lineRule="exact"/>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29,898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line="200" w:lineRule="exact"/>
              <w:rPr>
                <w:sz w:val="20"/>
                <w:szCs w:val="20"/>
                <w:color w:val="auto"/>
              </w:rPr>
            </w:pPr>
            <w:r>
              <w:rPr>
                <w:rFonts w:ascii="Arial" w:cs="Arial" w:eastAsia="Arial" w:hAnsi="Arial"/>
                <w:sz w:val="20"/>
                <w:szCs w:val="20"/>
                <w:color w:val="auto"/>
              </w:rPr>
              <w:t>$</w:t>
            </w:r>
          </w:p>
        </w:tc>
        <w:tc>
          <w:tcPr>
            <w:tcW w:w="7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97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w w:val="71"/>
              </w:rPr>
              <w:t>$</w:t>
            </w:r>
          </w:p>
        </w:tc>
        <w:tc>
          <w:tcPr>
            <w:tcW w:w="7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w w:val="89"/>
              </w:rPr>
              <w:t>$</w:t>
            </w:r>
          </w:p>
        </w:tc>
        <w:tc>
          <w:tcPr>
            <w:tcW w:w="8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29,994</w:t>
            </w:r>
          </w:p>
        </w:tc>
        <w:tc>
          <w:tcPr>
            <w:tcW w:w="0" w:type="dxa"/>
            <w:vAlign w:val="bottom"/>
          </w:tcPr>
          <w:p>
            <w:pPr>
              <w:spacing w:after="0"/>
              <w:rPr>
                <w:sz w:val="1"/>
                <w:szCs w:val="1"/>
                <w:color w:val="auto"/>
              </w:rPr>
            </w:pPr>
          </w:p>
        </w:tc>
      </w:tr>
      <w:tr>
        <w:trPr>
          <w:trHeight w:val="252"/>
        </w:trPr>
        <w:tc>
          <w:tcPr>
            <w:tcW w:w="5340" w:type="dxa"/>
            <w:vAlign w:val="bottom"/>
            <w:gridSpan w:val="2"/>
          </w:tcPr>
          <w:p>
            <w:pPr>
              <w:jc w:val="right"/>
              <w:ind w:right="300"/>
              <w:spacing w:after="0"/>
              <w:rPr>
                <w:sz w:val="20"/>
                <w:szCs w:val="20"/>
                <w:color w:val="auto"/>
              </w:rPr>
            </w:pPr>
            <w:r>
              <w:rPr>
                <w:rFonts w:ascii="Arial" w:cs="Arial" w:eastAsia="Arial" w:hAnsi="Arial"/>
                <w:sz w:val="20"/>
                <w:szCs w:val="20"/>
                <w:color w:val="auto"/>
                <w:w w:val="93"/>
              </w:rPr>
              <w:t>Corporate bonds . . . . . . . . . . . . . . . . . . . . . . . . . . . . . . . . . . .</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131,395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131,675</w:t>
            </w:r>
          </w:p>
        </w:tc>
        <w:tc>
          <w:tcPr>
            <w:tcW w:w="0" w:type="dxa"/>
            <w:vAlign w:val="bottom"/>
          </w:tcPr>
          <w:p>
            <w:pPr>
              <w:spacing w:after="0"/>
              <w:rPr>
                <w:sz w:val="1"/>
                <w:szCs w:val="1"/>
                <w:color w:val="auto"/>
              </w:rPr>
            </w:pPr>
          </w:p>
        </w:tc>
      </w:tr>
      <w:tr>
        <w:trPr>
          <w:trHeight w:val="231"/>
        </w:trPr>
        <w:tc>
          <w:tcPr>
            <w:tcW w:w="5320" w:type="dxa"/>
            <w:vAlign w:val="bottom"/>
          </w:tcPr>
          <w:p>
            <w:pPr>
              <w:jc w:val="right"/>
              <w:ind w:right="180"/>
              <w:spacing w:after="0" w:line="223" w:lineRule="exact"/>
              <w:rPr>
                <w:sz w:val="20"/>
                <w:szCs w:val="20"/>
                <w:color w:val="auto"/>
              </w:rPr>
            </w:pPr>
            <w:r>
              <w:rPr>
                <w:rFonts w:ascii="Arial" w:cs="Arial" w:eastAsia="Arial" w:hAnsi="Arial"/>
                <w:sz w:val="20"/>
                <w:szCs w:val="20"/>
                <w:color w:val="auto"/>
                <w:w w:val="90"/>
              </w:rPr>
              <w:t>Total . . . . . . . . . . . . . . . . . . . . . . . . . . . . . . . . . . . . . . . . . . . . . .</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161,293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413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9"/>
              </w:rPr>
              <w:t>$</w:t>
            </w:r>
          </w:p>
        </w:tc>
        <w:tc>
          <w:tcPr>
            <w:tcW w:w="8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161,669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147</w:t>
      </w:r>
    </w:p>
    <w:p>
      <w:pPr>
        <w:sectPr>
          <w:pgSz w:w="11880" w:h="15480" w:orient="portrait"/>
          <w:cols w:equalWidth="0" w:num="1">
            <w:col w:w="9720"/>
          </w:cols>
          <w:pgMar w:left="1080" w:top="1067" w:right="1080" w:bottom="554" w:gutter="0" w:footer="0" w:header="0"/>
          <w:type w:val="continuous"/>
        </w:sectPr>
      </w:pPr>
    </w:p>
    <w:bookmarkStart w:id="147" w:name="page148"/>
    <w:bookmarkEnd w:id="147"/>
    <w:p>
      <w:pPr>
        <w:ind w:right="780"/>
        <w:spacing w:after="0" w:line="283" w:lineRule="auto"/>
        <w:rPr>
          <w:sz w:val="20"/>
          <w:szCs w:val="20"/>
          <w:color w:val="auto"/>
        </w:rPr>
      </w:pPr>
      <w:r>
        <w:rPr>
          <w:rFonts w:ascii="Arial" w:cs="Arial" w:eastAsia="Arial" w:hAnsi="Arial"/>
          <w:sz w:val="20"/>
          <w:szCs w:val="20"/>
          <w:color w:val="auto"/>
        </w:rPr>
        <w:t>The amortized cost, gross unrealized gains and losses, and fair value of investments in fixed maturity securities are as follows as of December 31,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48"/>
              <w:spacing w:after="0" w:line="179" w:lineRule="exact"/>
              <w:rPr>
                <w:sz w:val="20"/>
                <w:szCs w:val="20"/>
                <w:color w:val="auto"/>
              </w:rPr>
            </w:pPr>
            <w:r>
              <w:rPr>
                <w:rFonts w:ascii="Arial" w:cs="Arial" w:eastAsia="Arial" w:hAnsi="Arial"/>
                <w:sz w:val="16"/>
                <w:szCs w:val="16"/>
                <w:color w:val="auto"/>
              </w:rPr>
              <w:t>Gross</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148"/>
              <w:spacing w:after="0" w:line="179" w:lineRule="exact"/>
              <w:rPr>
                <w:sz w:val="20"/>
                <w:szCs w:val="20"/>
                <w:color w:val="auto"/>
              </w:rPr>
            </w:pPr>
            <w:r>
              <w:rPr>
                <w:rFonts w:ascii="Arial" w:cs="Arial" w:eastAsia="Arial" w:hAnsi="Arial"/>
                <w:sz w:val="16"/>
                <w:szCs w:val="16"/>
                <w:color w:val="auto"/>
              </w:rPr>
              <w:t>Gross</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6"/>
                <w:szCs w:val="16"/>
                <w:color w:val="auto"/>
              </w:rPr>
              <w:t>Unrealized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6"/>
                <w:szCs w:val="16"/>
                <w:color w:val="auto"/>
              </w:rPr>
              <w:t>Unrealized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Fair Value</w:t>
            </w:r>
          </w:p>
        </w:tc>
        <w:tc>
          <w:tcPr>
            <w:tcW w:w="0" w:type="dxa"/>
            <w:vAlign w:val="bottom"/>
          </w:tcPr>
          <w:p>
            <w:pPr>
              <w:spacing w:after="0"/>
              <w:rPr>
                <w:sz w:val="1"/>
                <w:szCs w:val="1"/>
                <w:color w:val="auto"/>
              </w:rPr>
            </w:pPr>
          </w:p>
        </w:tc>
      </w:tr>
      <w:tr>
        <w:trPr>
          <w:trHeight w:val="198"/>
        </w:trPr>
        <w:tc>
          <w:tcPr>
            <w:tcW w:w="5340" w:type="dxa"/>
            <w:vAlign w:val="bottom"/>
            <w:gridSpan w:val="2"/>
            <w:vMerge w:val="restart"/>
          </w:tcPr>
          <w:p>
            <w:pPr>
              <w:spacing w:after="0"/>
              <w:rPr>
                <w:sz w:val="20"/>
                <w:szCs w:val="20"/>
                <w:color w:val="auto"/>
              </w:rPr>
            </w:pPr>
            <w:r>
              <w:rPr>
                <w:rFonts w:ascii="Arial" w:cs="Arial" w:eastAsia="Arial" w:hAnsi="Arial"/>
                <w:sz w:val="20"/>
                <w:szCs w:val="20"/>
                <w:color w:val="auto"/>
              </w:rPr>
              <w:t>U.S. Treasury</w:t>
            </w: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Amortized Cost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6"/>
                <w:szCs w:val="16"/>
                <w:color w:val="auto"/>
              </w:rPr>
              <w:t>Gains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color w:val="auto"/>
                <w:w w:val="98"/>
              </w:rPr>
              <w:t>Losses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40" w:type="dxa"/>
            <w:vAlign w:val="bottom"/>
            <w:gridSpan w:val="2"/>
            <w:vMerge w:val="continue"/>
          </w:tcPr>
          <w:p>
            <w:pPr>
              <w:jc w:val="right"/>
              <w:ind w:right="300"/>
              <w:spacing w:after="0" w:line="178" w:lineRule="exact"/>
              <w:rPr>
                <w:sz w:val="20"/>
                <w:szCs w:val="20"/>
                <w:color w:val="auto"/>
              </w:rPr>
            </w:pPr>
            <w:r>
              <w:rPr>
                <w:rFonts w:ascii="Arial" w:cs="Arial" w:eastAsia="Arial" w:hAnsi="Arial"/>
                <w:sz w:val="20"/>
                <w:szCs w:val="20"/>
                <w:color w:val="auto"/>
              </w:rPr>
              <w:t>. . . . . . . . . . . . . . . . . . . . . . . . . . . . . . . . . . . . . .</w:t>
            </w:r>
          </w:p>
        </w:tc>
        <w:tc>
          <w:tcPr>
            <w:tcW w:w="240" w:type="dxa"/>
            <w:vAlign w:val="bottom"/>
          </w:tcPr>
          <w:p>
            <w:pPr>
              <w:spacing w:after="0" w:line="201" w:lineRule="exact"/>
              <w:rPr>
                <w:sz w:val="20"/>
                <w:szCs w:val="20"/>
                <w:color w:val="auto"/>
              </w:rPr>
            </w:pPr>
            <w:r>
              <w:rPr>
                <w:rFonts w:ascii="Arial" w:cs="Arial" w:eastAsia="Arial" w:hAnsi="Arial"/>
                <w:sz w:val="20"/>
                <w:szCs w:val="20"/>
                <w:color w:val="auto"/>
              </w:rPr>
              <w:t>$</w:t>
            </w:r>
          </w:p>
        </w:tc>
        <w:tc>
          <w:tcPr>
            <w:tcW w:w="920" w:type="dxa"/>
            <w:vAlign w:val="bottom"/>
          </w:tcPr>
          <w:p>
            <w:pPr>
              <w:jc w:val="right"/>
              <w:spacing w:after="0" w:line="201" w:lineRule="exact"/>
              <w:rPr>
                <w:sz w:val="20"/>
                <w:szCs w:val="20"/>
                <w:color w:val="auto"/>
              </w:rPr>
            </w:pPr>
            <w:r>
              <w:rPr>
                <w:rFonts w:ascii="Arial" w:cs="Arial" w:eastAsia="Arial" w:hAnsi="Arial"/>
                <w:sz w:val="20"/>
                <w:szCs w:val="20"/>
                <w:color w:val="auto"/>
              </w:rPr>
              <w:t>26,070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line="201" w:lineRule="exact"/>
              <w:rPr>
                <w:sz w:val="20"/>
                <w:szCs w:val="20"/>
                <w:color w:val="auto"/>
              </w:rPr>
            </w:pPr>
            <w:r>
              <w:rPr>
                <w:rFonts w:ascii="Arial" w:cs="Arial" w:eastAsia="Arial" w:hAnsi="Arial"/>
                <w:sz w:val="20"/>
                <w:szCs w:val="20"/>
                <w:color w:val="auto"/>
              </w:rPr>
              <w:t>$</w:t>
            </w:r>
          </w:p>
        </w:tc>
        <w:tc>
          <w:tcPr>
            <w:tcW w:w="700" w:type="dxa"/>
            <w:vAlign w:val="bottom"/>
          </w:tcPr>
          <w:p>
            <w:pPr>
              <w:jc w:val="right"/>
              <w:spacing w:after="0" w:line="201" w:lineRule="exact"/>
              <w:rPr>
                <w:sz w:val="20"/>
                <w:szCs w:val="20"/>
                <w:color w:val="auto"/>
              </w:rPr>
            </w:pPr>
            <w:r>
              <w:rPr>
                <w:rFonts w:ascii="Arial" w:cs="Arial" w:eastAsia="Arial" w:hAnsi="Arial"/>
                <w:sz w:val="20"/>
                <w:szCs w:val="20"/>
                <w:color w:val="auto"/>
              </w:rPr>
              <w:t>44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line="201" w:lineRule="exact"/>
              <w:rPr>
                <w:sz w:val="20"/>
                <w:szCs w:val="20"/>
                <w:color w:val="auto"/>
              </w:rPr>
            </w:pPr>
            <w:r>
              <w:rPr>
                <w:rFonts w:ascii="Arial" w:cs="Arial" w:eastAsia="Arial" w:hAnsi="Arial"/>
                <w:sz w:val="20"/>
                <w:szCs w:val="20"/>
                <w:color w:val="auto"/>
                <w:w w:val="89"/>
              </w:rPr>
              <w:t>$</w:t>
            </w:r>
          </w:p>
        </w:tc>
        <w:tc>
          <w:tcPr>
            <w:tcW w:w="720" w:type="dxa"/>
            <w:vAlign w:val="bottom"/>
          </w:tcPr>
          <w:p>
            <w:pPr>
              <w:jc w:val="right"/>
              <w:spacing w:after="0" w:line="201"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line="201" w:lineRule="exact"/>
              <w:rPr>
                <w:sz w:val="20"/>
                <w:szCs w:val="20"/>
                <w:color w:val="auto"/>
              </w:rPr>
            </w:pPr>
            <w:r>
              <w:rPr>
                <w:rFonts w:ascii="Arial" w:cs="Arial" w:eastAsia="Arial" w:hAnsi="Arial"/>
                <w:sz w:val="20"/>
                <w:szCs w:val="20"/>
                <w:color w:val="auto"/>
              </w:rPr>
              <w:t>26,114</w:t>
            </w:r>
          </w:p>
        </w:tc>
        <w:tc>
          <w:tcPr>
            <w:tcW w:w="0" w:type="dxa"/>
            <w:vAlign w:val="bottom"/>
          </w:tcPr>
          <w:p>
            <w:pPr>
              <w:spacing w:after="0"/>
              <w:rPr>
                <w:sz w:val="1"/>
                <w:szCs w:val="1"/>
                <w:color w:val="auto"/>
              </w:rPr>
            </w:pPr>
          </w:p>
        </w:tc>
      </w:tr>
      <w:tr>
        <w:trPr>
          <w:trHeight w:val="250"/>
        </w:trPr>
        <w:tc>
          <w:tcPr>
            <w:tcW w:w="5340" w:type="dxa"/>
            <w:vAlign w:val="bottom"/>
            <w:gridSpan w:val="2"/>
          </w:tcPr>
          <w:p>
            <w:pPr>
              <w:jc w:val="right"/>
              <w:ind w:right="300"/>
              <w:spacing w:after="0"/>
              <w:rPr>
                <w:sz w:val="20"/>
                <w:szCs w:val="20"/>
                <w:color w:val="auto"/>
              </w:rPr>
            </w:pPr>
            <w:r>
              <w:rPr>
                <w:rFonts w:ascii="Arial" w:cs="Arial" w:eastAsia="Arial" w:hAnsi="Arial"/>
                <w:sz w:val="20"/>
                <w:szCs w:val="20"/>
                <w:color w:val="auto"/>
                <w:w w:val="93"/>
              </w:rPr>
              <w:t>Corporate bonds . . . . . . . . . . . . . . . . . . . . . . . . . . . . . . . . . . .</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188,219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188,396</w:t>
            </w:r>
          </w:p>
        </w:tc>
        <w:tc>
          <w:tcPr>
            <w:tcW w:w="0" w:type="dxa"/>
            <w:vAlign w:val="bottom"/>
          </w:tcPr>
          <w:p>
            <w:pPr>
              <w:spacing w:after="0"/>
              <w:rPr>
                <w:sz w:val="1"/>
                <w:szCs w:val="1"/>
                <w:color w:val="auto"/>
              </w:rPr>
            </w:pPr>
          </w:p>
        </w:tc>
      </w:tr>
      <w:tr>
        <w:trPr>
          <w:trHeight w:val="230"/>
        </w:trPr>
        <w:tc>
          <w:tcPr>
            <w:tcW w:w="5320" w:type="dxa"/>
            <w:vAlign w:val="bottom"/>
          </w:tcPr>
          <w:p>
            <w:pPr>
              <w:jc w:val="right"/>
              <w:ind w:right="180"/>
              <w:spacing w:after="0" w:line="221" w:lineRule="exact"/>
              <w:rPr>
                <w:sz w:val="20"/>
                <w:szCs w:val="20"/>
                <w:color w:val="auto"/>
              </w:rPr>
            </w:pPr>
            <w:r>
              <w:rPr>
                <w:rFonts w:ascii="Arial" w:cs="Arial" w:eastAsia="Arial" w:hAnsi="Arial"/>
                <w:sz w:val="20"/>
                <w:szCs w:val="20"/>
                <w:color w:val="auto"/>
                <w:w w:val="90"/>
              </w:rPr>
              <w:t>Total . . . . . . . . . . . . . . . . . . . . . . . . . . . . . . . . . . . . . . . . . . . . . .</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214,289</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443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(222)</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8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214,510</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the maturities of the Company’s fixed maturity available-for-sale securities: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80" w:type="dxa"/>
            <w:vAlign w:val="bottom"/>
            <w:tcBorders>
              <w:top w:val="single" w:sz="8" w:color="auto"/>
            </w:tcBorders>
            <w:gridSpan w:val="2"/>
            <w:vMerge w:val="restart"/>
          </w:tcPr>
          <w:p>
            <w:pPr>
              <w:spacing w:after="0"/>
              <w:rPr>
                <w:sz w:val="20"/>
                <w:szCs w:val="20"/>
                <w:color w:val="auto"/>
              </w:rPr>
            </w:pPr>
            <w:r>
              <w:rPr>
                <w:rFonts w:ascii="Arial" w:cs="Arial" w:eastAsia="Arial" w:hAnsi="Arial"/>
                <w:sz w:val="20"/>
                <w:szCs w:val="20"/>
                <w:color w:val="auto"/>
              </w:rPr>
              <w:t>Less than one year</w:t>
            </w: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w w:val="98"/>
              </w:rPr>
              <w:t>December 31, 2024</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w w:val="99"/>
              </w:rPr>
              <w:t>December 31, 2023</w:t>
            </w:r>
          </w:p>
        </w:tc>
        <w:tc>
          <w:tcPr>
            <w:tcW w:w="0" w:type="dxa"/>
            <w:vAlign w:val="bottom"/>
          </w:tcPr>
          <w:p>
            <w:pPr>
              <w:spacing w:after="0"/>
              <w:rPr>
                <w:sz w:val="1"/>
                <w:szCs w:val="1"/>
                <w:color w:val="auto"/>
              </w:rPr>
            </w:pPr>
          </w:p>
        </w:tc>
      </w:tr>
      <w:tr>
        <w:trPr>
          <w:trHeight w:val="201"/>
        </w:trPr>
        <w:tc>
          <w:tcPr>
            <w:tcW w:w="6680" w:type="dxa"/>
            <w:vAlign w:val="bottom"/>
            <w:tcBorders>
              <w:top w:val="single" w:sz="8" w:color="auto"/>
            </w:tcBorders>
            <w:gridSpan w:val="2"/>
            <w:vMerge w:val="continue"/>
          </w:tcPr>
          <w:p>
            <w:pPr>
              <w:jc w:val="right"/>
              <w:ind w:right="320"/>
              <w:spacing w:after="0" w:line="178" w:lineRule="exact"/>
              <w:rPr>
                <w:sz w:val="20"/>
                <w:szCs w:val="20"/>
                <w:color w:val="auto"/>
              </w:rPr>
            </w:pPr>
            <w:r>
              <w:rPr>
                <w:rFonts w:ascii="Arial" w:cs="Arial" w:eastAsia="Arial" w:hAnsi="Arial"/>
                <w:sz w:val="20"/>
                <w:szCs w:val="20"/>
                <w:color w:val="auto"/>
              </w:rPr>
              <w:t>. . . . . . . . . . . . . . . . . . . . . . . . . . . . . . . . . . . . . . . . . . . . . .</w:t>
            </w:r>
          </w:p>
        </w:tc>
        <w:tc>
          <w:tcPr>
            <w:tcW w:w="360" w:type="dxa"/>
            <w:vAlign w:val="bottom"/>
            <w:tcBorders>
              <w:top w:val="single" w:sz="8" w:color="auto"/>
            </w:tcBorders>
          </w:tcPr>
          <w:p>
            <w:pPr>
              <w:spacing w:after="0" w:line="201"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130,851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line="201"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125,414</w:t>
            </w:r>
          </w:p>
        </w:tc>
        <w:tc>
          <w:tcPr>
            <w:tcW w:w="0" w:type="dxa"/>
            <w:vAlign w:val="bottom"/>
          </w:tcPr>
          <w:p>
            <w:pPr>
              <w:spacing w:after="0"/>
              <w:rPr>
                <w:sz w:val="1"/>
                <w:szCs w:val="1"/>
                <w:color w:val="auto"/>
              </w:rPr>
            </w:pPr>
          </w:p>
        </w:tc>
      </w:tr>
      <w:tr>
        <w:trPr>
          <w:trHeight w:val="251"/>
        </w:trPr>
        <w:tc>
          <w:tcPr>
            <w:tcW w:w="6680" w:type="dxa"/>
            <w:vAlign w:val="bottom"/>
            <w:gridSpan w:val="2"/>
          </w:tcPr>
          <w:p>
            <w:pPr>
              <w:jc w:val="right"/>
              <w:ind w:right="320"/>
              <w:spacing w:after="0"/>
              <w:rPr>
                <w:sz w:val="20"/>
                <w:szCs w:val="20"/>
                <w:color w:val="auto"/>
              </w:rPr>
            </w:pPr>
            <w:r>
              <w:rPr>
                <w:rFonts w:ascii="Arial" w:cs="Arial" w:eastAsia="Arial" w:hAnsi="Arial"/>
                <w:sz w:val="20"/>
                <w:szCs w:val="20"/>
                <w:color w:val="auto"/>
                <w:w w:val="92"/>
              </w:rPr>
              <w:t>One to five years . . . . . . . . . . . . . . . . . . . . . . . . . . . . . . . . . . . . . . . . . . . . . . . .</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30,818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89,096</w:t>
            </w:r>
          </w:p>
        </w:tc>
        <w:tc>
          <w:tcPr>
            <w:tcW w:w="0" w:type="dxa"/>
            <w:vAlign w:val="bottom"/>
          </w:tcPr>
          <w:p>
            <w:pPr>
              <w:spacing w:after="0"/>
              <w:rPr>
                <w:sz w:val="1"/>
                <w:szCs w:val="1"/>
                <w:color w:val="auto"/>
              </w:rPr>
            </w:pPr>
          </w:p>
        </w:tc>
      </w:tr>
      <w:tr>
        <w:trPr>
          <w:trHeight w:val="222"/>
        </w:trPr>
        <w:tc>
          <w:tcPr>
            <w:tcW w:w="6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161,669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214,510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76"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As of December 31, 2024 and December 31, 2023, the Company had 27 and 25 available-for-sale investment debt securities in an unrealized loss position without an allowance for credit losses, respectively. Unrealized losses on corporate debt have not been recognized into income because the issuers’ bonds are of high credit quality (rated BBB+ or higher) and the decline is fair value is largely due to market conditions and or changes in interest rates. Management does not intend to sell and it is likely that management will not be required to sell the securities prior to the anticipated recovery of their amortized cost basis. The issuers continue to make timely payments on the bonds. The fair value is expected to recover as the bond approaches maturity.</w:t>
      </w:r>
    </w:p>
    <w:p>
      <w:pPr>
        <w:spacing w:after="0" w:line="170" w:lineRule="exact"/>
        <w:rPr>
          <w:sz w:val="20"/>
          <w:szCs w:val="20"/>
          <w:color w:val="auto"/>
        </w:rPr>
      </w:pPr>
    </w:p>
    <w:p>
      <w:pPr>
        <w:ind w:right="380"/>
        <w:spacing w:after="0" w:line="262" w:lineRule="auto"/>
        <w:rPr>
          <w:sz w:val="20"/>
          <w:szCs w:val="20"/>
          <w:color w:val="auto"/>
        </w:rPr>
      </w:pPr>
      <w:r>
        <w:rPr>
          <w:rFonts w:ascii="Arial" w:cs="Arial" w:eastAsia="Arial" w:hAnsi="Arial"/>
          <w:sz w:val="20"/>
          <w:szCs w:val="20"/>
          <w:color w:val="auto"/>
        </w:rPr>
        <w:t>As of December 31, 2024 and December 31, 2023, accrued interest on available- for -sale investment debt securities totaling $ 1,254 and $1,570, respectively, is excluded from the estimate of credit losses and is included in prepaid expenses and other current assets.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rollforward of the components of the Company’s contingent liability (see Note 10 –</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Commitments and contingencies):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20" w:type="dxa"/>
            <w:vAlign w:val="bottom"/>
            <w:gridSpan w:val="2"/>
            <w:vMerge w:val="restart"/>
          </w:tcPr>
          <w:p>
            <w:pPr>
              <w:spacing w:after="0"/>
              <w:rPr>
                <w:sz w:val="20"/>
                <w:szCs w:val="20"/>
                <w:color w:val="auto"/>
              </w:rPr>
            </w:pPr>
            <w:r>
              <w:rPr>
                <w:rFonts w:ascii="Arial" w:cs="Arial" w:eastAsia="Arial" w:hAnsi="Arial"/>
                <w:sz w:val="20"/>
                <w:szCs w:val="20"/>
                <w:color w:val="auto"/>
              </w:rPr>
              <w:t>Balance as of April 11, 2024</w:t>
            </w:r>
          </w:p>
        </w:tc>
        <w:tc>
          <w:tcPr>
            <w:tcW w:w="140" w:type="dxa"/>
            <w:vAlign w:val="bottom"/>
          </w:tcPr>
          <w:p>
            <w:pPr>
              <w:spacing w:after="0"/>
              <w:rPr>
                <w:sz w:val="17"/>
                <w:szCs w:val="17"/>
                <w:color w:val="auto"/>
              </w:rPr>
            </w:pPr>
          </w:p>
        </w:tc>
        <w:tc>
          <w:tcPr>
            <w:tcW w:w="720" w:type="dxa"/>
            <w:vAlign w:val="bottom"/>
          </w:tcPr>
          <w:p>
            <w:pPr>
              <w:jc w:val="right"/>
              <w:ind w:right="85"/>
              <w:spacing w:after="0"/>
              <w:rPr>
                <w:sz w:val="20"/>
                <w:szCs w:val="20"/>
                <w:color w:val="auto"/>
              </w:rPr>
            </w:pPr>
            <w:r>
              <w:rPr>
                <w:rFonts w:ascii="Arial" w:cs="Arial" w:eastAsia="Arial" w:hAnsi="Arial"/>
                <w:sz w:val="16"/>
                <w:szCs w:val="16"/>
                <w:color w:val="auto"/>
                <w:w w:val="98"/>
              </w:rPr>
              <w:t>Gadeta</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4"/>
          </w:tcPr>
          <w:p>
            <w:pPr>
              <w:ind w:left="60"/>
              <w:spacing w:after="0"/>
              <w:rPr>
                <w:sz w:val="20"/>
                <w:szCs w:val="20"/>
                <w:color w:val="auto"/>
              </w:rPr>
            </w:pPr>
            <w:r>
              <w:rPr>
                <w:rFonts w:ascii="Arial" w:cs="Arial" w:eastAsia="Arial" w:hAnsi="Arial"/>
                <w:sz w:val="16"/>
                <w:szCs w:val="16"/>
                <w:color w:val="auto"/>
              </w:rPr>
              <w:t>Holdback Shares</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Milestone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1"/>
        </w:trPr>
        <w:tc>
          <w:tcPr>
            <w:tcW w:w="5220" w:type="dxa"/>
            <w:vAlign w:val="bottom"/>
            <w:gridSpan w:val="2"/>
            <w:vMerge w:val="continue"/>
          </w:tcPr>
          <w:p>
            <w:pPr>
              <w:jc w:val="right"/>
              <w:ind w:right="280"/>
              <w:spacing w:after="0" w:line="177" w:lineRule="exact"/>
              <w:rPr>
                <w:sz w:val="20"/>
                <w:szCs w:val="20"/>
                <w:color w:val="auto"/>
              </w:rPr>
            </w:pPr>
            <w:r>
              <w:rPr>
                <w:rFonts w:ascii="Arial" w:cs="Arial" w:eastAsia="Arial" w:hAnsi="Arial"/>
                <w:sz w:val="20"/>
                <w:szCs w:val="20"/>
                <w:color w:val="auto"/>
              </w:rPr>
              <w:t>. . . . . . . . . . . . . . . . . . . . . . . .</w:t>
            </w: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71"/>
              </w:rPr>
              <w:t>$</w:t>
            </w: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372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tcBorders>
          </w:tcPr>
          <w:p>
            <w:pPr>
              <w:jc w:val="right"/>
              <w:ind w:right="207"/>
              <w:spacing w:after="0" w:line="201" w:lineRule="exact"/>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2,588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7"/>
              <w:spacing w:after="0" w:line="201" w:lineRule="exact"/>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7,134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10,094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220" w:type="dxa"/>
            <w:vAlign w:val="bottom"/>
            <w:gridSpan w:val="2"/>
          </w:tcPr>
          <w:p>
            <w:pPr>
              <w:jc w:val="right"/>
              <w:ind w:right="280"/>
              <w:spacing w:after="0"/>
              <w:rPr>
                <w:sz w:val="20"/>
                <w:szCs w:val="20"/>
                <w:color w:val="auto"/>
              </w:rPr>
            </w:pPr>
            <w:r>
              <w:rPr>
                <w:rFonts w:ascii="Arial" w:cs="Arial" w:eastAsia="Arial" w:hAnsi="Arial"/>
                <w:sz w:val="20"/>
                <w:szCs w:val="20"/>
                <w:color w:val="auto"/>
                <w:w w:val="94"/>
              </w:rPr>
              <w:t>Changes in fair value . . . . . . . . . . . . . . . . . . . . . . . . . . . . . .</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20"/>
                <w:szCs w:val="20"/>
                <w:color w:val="auto"/>
              </w:rPr>
              <w:t>(1,963)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566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ind w:left="100"/>
              <w:spacing w:after="0"/>
              <w:rPr>
                <w:sz w:val="20"/>
                <w:szCs w:val="20"/>
                <w:color w:val="auto"/>
              </w:rPr>
            </w:pPr>
            <w:r>
              <w:rPr>
                <w:rFonts w:ascii="Arial" w:cs="Arial" w:eastAsia="Arial" w:hAnsi="Arial"/>
                <w:sz w:val="20"/>
                <w:szCs w:val="20"/>
                <w:color w:val="auto"/>
              </w:rPr>
              <w:t>(1,356)</w:t>
            </w:r>
          </w:p>
        </w:tc>
        <w:tc>
          <w:tcPr>
            <w:tcW w:w="0" w:type="dxa"/>
            <w:vAlign w:val="bottom"/>
          </w:tcPr>
          <w:p>
            <w:pPr>
              <w:spacing w:after="0"/>
              <w:rPr>
                <w:sz w:val="1"/>
                <w:szCs w:val="1"/>
                <w:color w:val="auto"/>
              </w:rPr>
            </w:pPr>
          </w:p>
        </w:tc>
      </w:tr>
      <w:tr>
        <w:trPr>
          <w:trHeight w:val="231"/>
        </w:trPr>
        <w:tc>
          <w:tcPr>
            <w:tcW w:w="5200" w:type="dxa"/>
            <w:vAlign w:val="bottom"/>
          </w:tcPr>
          <w:p>
            <w:pPr>
              <w:jc w:val="right"/>
              <w:ind w:right="160"/>
              <w:spacing w:after="0" w:line="223" w:lineRule="exact"/>
              <w:rPr>
                <w:sz w:val="20"/>
                <w:szCs w:val="20"/>
                <w:color w:val="auto"/>
              </w:rPr>
            </w:pPr>
            <w:r>
              <w:rPr>
                <w:rFonts w:ascii="Arial" w:cs="Arial" w:eastAsia="Arial" w:hAnsi="Arial"/>
                <w:sz w:val="20"/>
                <w:szCs w:val="20"/>
                <w:color w:val="auto"/>
                <w:w w:val="95"/>
              </w:rPr>
              <w:t>Balance as of December 31, 2024 . . . . . . . . . . . . . . . . . . .</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7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413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07"/>
              <w:spacing w:after="0" w:line="223" w:lineRule="exact"/>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625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7"/>
              <w:spacing w:after="0" w:line="223" w:lineRule="exact"/>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7,700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8,738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148</w:t>
      </w:r>
    </w:p>
    <w:p>
      <w:pPr>
        <w:sectPr>
          <w:pgSz w:w="11880" w:h="15480" w:orient="portrait"/>
          <w:cols w:equalWidth="0" w:num="1">
            <w:col w:w="9720"/>
          </w:cols>
          <w:pgMar w:left="1080" w:top="1067" w:right="1080" w:bottom="554" w:gutter="0" w:footer="0" w:header="0"/>
          <w:type w:val="continuous"/>
        </w:sectPr>
      </w:pPr>
    </w:p>
    <w:bookmarkStart w:id="148" w:name="page149"/>
    <w:bookmarkEnd w:id="148"/>
    <w:p>
      <w:pPr>
        <w:ind w:right="180"/>
        <w:spacing w:after="0" w:line="262" w:lineRule="auto"/>
        <w:rPr>
          <w:sz w:val="20"/>
          <w:szCs w:val="20"/>
          <w:color w:val="auto"/>
        </w:rPr>
      </w:pPr>
      <w:r>
        <w:rPr>
          <w:rFonts w:ascii="Arial" w:cs="Arial" w:eastAsia="Arial" w:hAnsi="Arial"/>
          <w:sz w:val="20"/>
          <w:szCs w:val="20"/>
          <w:color w:val="auto"/>
        </w:rPr>
        <w:t>The following table includes quantitative information about the significant unobservable inputs for the components of the Company’s contingent consideration liability as of the April 11, 2024 acquisition date and December 31,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840" w:type="dxa"/>
            <w:vAlign w:val="bottom"/>
            <w:vMerge w:val="restart"/>
          </w:tcPr>
          <w:p>
            <w:pPr>
              <w:spacing w:after="0"/>
              <w:rPr>
                <w:sz w:val="20"/>
                <w:szCs w:val="20"/>
                <w:color w:val="auto"/>
              </w:rPr>
            </w:pPr>
            <w:r>
              <w:rPr>
                <w:rFonts w:ascii="Arial" w:cs="Arial" w:eastAsia="Arial" w:hAnsi="Arial"/>
                <w:sz w:val="20"/>
                <w:szCs w:val="20"/>
                <w:color w:val="auto"/>
              </w:rPr>
              <w:t>Gadeta Earnout: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April 11, 2024</w:t>
            </w:r>
          </w:p>
        </w:tc>
        <w:tc>
          <w:tcPr>
            <w:tcW w:w="180" w:type="dxa"/>
            <w:vAlign w:val="bottom"/>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r>
        <w:trPr>
          <w:trHeight w:val="201"/>
        </w:trPr>
        <w:tc>
          <w:tcPr>
            <w:tcW w:w="6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840" w:type="dxa"/>
            <w:vAlign w:val="bottom"/>
          </w:tcPr>
          <w:p>
            <w:pPr>
              <w:spacing w:after="0"/>
              <w:rPr>
                <w:sz w:val="20"/>
                <w:szCs w:val="20"/>
                <w:color w:val="auto"/>
              </w:rPr>
            </w:pPr>
            <w:r>
              <w:rPr>
                <w:rFonts w:ascii="Arial" w:cs="Arial" w:eastAsia="Arial" w:hAnsi="Arial"/>
                <w:sz w:val="20"/>
                <w:szCs w:val="20"/>
                <w:color w:val="auto"/>
                <w:w w:val="99"/>
              </w:rPr>
              <w:t>Probability adjusted value of payment . . . . . . . . . . . . . . . . . . . . . . . . . . . . . . . .</w:t>
            </w:r>
          </w:p>
        </w:tc>
        <w:tc>
          <w:tcPr>
            <w:tcW w:w="240" w:type="dxa"/>
            <w:vAlign w:val="bottom"/>
          </w:tcPr>
          <w:p>
            <w:pPr>
              <w:jc w:val="right"/>
              <w:ind w:right="24"/>
              <w:spacing w:after="0"/>
              <w:rPr>
                <w:sz w:val="20"/>
                <w:szCs w:val="20"/>
                <w:color w:val="auto"/>
              </w:rPr>
            </w:pPr>
            <w:r>
              <w:rPr>
                <w:rFonts w:ascii="Arial" w:cs="Arial" w:eastAsia="Arial" w:hAnsi="Arial"/>
                <w:sz w:val="20"/>
                <w:szCs w:val="20"/>
                <w:color w:val="auto"/>
                <w:w w:val="89"/>
              </w:rPr>
              <w:t>$</w:t>
            </w:r>
          </w:p>
        </w:tc>
        <w:tc>
          <w:tcPr>
            <w:tcW w:w="880" w:type="dxa"/>
            <w:vAlign w:val="bottom"/>
          </w:tcPr>
          <w:p>
            <w:pPr>
              <w:jc w:val="center"/>
              <w:spacing w:after="0"/>
              <w:rPr>
                <w:sz w:val="20"/>
                <w:szCs w:val="20"/>
                <w:color w:val="auto"/>
              </w:rPr>
            </w:pPr>
            <w:r>
              <w:rPr>
                <w:rFonts w:ascii="Arial" w:cs="Arial" w:eastAsia="Arial" w:hAnsi="Arial"/>
                <w:sz w:val="20"/>
                <w:szCs w:val="20"/>
                <w:color w:val="auto"/>
                <w:w w:val="99"/>
              </w:rPr>
              <w:t>1,060</w:t>
            </w:r>
          </w:p>
        </w:tc>
        <w:tc>
          <w:tcPr>
            <w:tcW w:w="5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center"/>
              <w:ind w:right="20"/>
              <w:spacing w:after="0"/>
              <w:rPr>
                <w:sz w:val="20"/>
                <w:szCs w:val="20"/>
                <w:color w:val="auto"/>
              </w:rPr>
            </w:pPr>
            <w:r>
              <w:rPr>
                <w:rFonts w:ascii="Arial" w:cs="Arial" w:eastAsia="Arial" w:hAnsi="Arial"/>
                <w:sz w:val="20"/>
                <w:szCs w:val="20"/>
                <w:color w:val="auto"/>
                <w:w w:val="99"/>
              </w:rPr>
              <w:t>1,060</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20"/>
                <w:szCs w:val="20"/>
                <w:color w:val="auto"/>
                <w:w w:val="96"/>
              </w:rPr>
              <w:t>Discount rate . . . . . . . . . . . . . . . . . . . . . . . . . . . . . . . . . . . . . . . . . . . . . . . . . . . . .</w:t>
            </w:r>
          </w:p>
        </w:tc>
        <w:tc>
          <w:tcPr>
            <w:tcW w:w="24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20"/>
                <w:szCs w:val="20"/>
                <w:color w:val="auto"/>
              </w:rPr>
              <w:t>12.6%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20"/>
              <w:spacing w:after="0"/>
              <w:rPr>
                <w:sz w:val="20"/>
                <w:szCs w:val="20"/>
                <w:color w:val="auto"/>
              </w:rPr>
            </w:pPr>
            <w:r>
              <w:rPr>
                <w:rFonts w:ascii="Arial" w:cs="Arial" w:eastAsia="Arial" w:hAnsi="Arial"/>
                <w:sz w:val="20"/>
                <w:szCs w:val="20"/>
                <w:color w:val="auto"/>
              </w:rPr>
              <w:t>12.4%</w:t>
            </w:r>
          </w:p>
        </w:tc>
        <w:tc>
          <w:tcPr>
            <w:tcW w:w="0" w:type="dxa"/>
            <w:vAlign w:val="bottom"/>
          </w:tcPr>
          <w:p>
            <w:pPr>
              <w:spacing w:after="0"/>
              <w:rPr>
                <w:sz w:val="1"/>
                <w:szCs w:val="1"/>
                <w:color w:val="auto"/>
              </w:rPr>
            </w:pPr>
          </w:p>
        </w:tc>
      </w:tr>
      <w:tr>
        <w:trPr>
          <w:trHeight w:val="271"/>
        </w:trPr>
        <w:tc>
          <w:tcPr>
            <w:tcW w:w="6840" w:type="dxa"/>
            <w:vAlign w:val="bottom"/>
          </w:tcPr>
          <w:p>
            <w:pPr>
              <w:spacing w:after="0"/>
              <w:rPr>
                <w:sz w:val="20"/>
                <w:szCs w:val="20"/>
                <w:color w:val="auto"/>
              </w:rPr>
            </w:pPr>
            <w:r>
              <w:rPr>
                <w:rFonts w:ascii="Arial" w:cs="Arial" w:eastAsia="Arial" w:hAnsi="Arial"/>
                <w:sz w:val="20"/>
                <w:szCs w:val="20"/>
                <w:color w:val="auto"/>
                <w:w w:val="97"/>
              </w:rPr>
              <w:t>Discount period (years) . . . . . . . . . . . . . . . . . . . . . . . . . . . . . . . . . . . . . . . . . . . .</w:t>
            </w:r>
          </w:p>
        </w:tc>
        <w:tc>
          <w:tcPr>
            <w:tcW w:w="24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20"/>
                <w:szCs w:val="20"/>
                <w:color w:val="auto"/>
              </w:rPr>
              <w:t>8.8</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center"/>
              <w:ind w:right="40"/>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421"/>
        </w:trPr>
        <w:tc>
          <w:tcPr>
            <w:tcW w:w="6840" w:type="dxa"/>
            <w:vAlign w:val="bottom"/>
          </w:tcPr>
          <w:p>
            <w:pPr>
              <w:spacing w:after="0"/>
              <w:rPr>
                <w:sz w:val="20"/>
                <w:szCs w:val="20"/>
                <w:color w:val="auto"/>
              </w:rPr>
            </w:pPr>
            <w:r>
              <w:rPr>
                <w:rFonts w:ascii="Arial" w:cs="Arial" w:eastAsia="Arial" w:hAnsi="Arial"/>
                <w:sz w:val="20"/>
                <w:szCs w:val="20"/>
                <w:color w:val="auto"/>
              </w:rPr>
              <w:t>Holdback Shares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840" w:type="dxa"/>
            <w:vAlign w:val="bottom"/>
          </w:tcPr>
          <w:p>
            <w:pPr>
              <w:spacing w:after="0"/>
              <w:rPr>
                <w:sz w:val="20"/>
                <w:szCs w:val="20"/>
                <w:color w:val="auto"/>
              </w:rPr>
            </w:pPr>
            <w:r>
              <w:rPr>
                <w:rFonts w:ascii="Arial" w:cs="Arial" w:eastAsia="Arial" w:hAnsi="Arial"/>
                <w:sz w:val="20"/>
                <w:szCs w:val="20"/>
                <w:color w:val="auto"/>
                <w:w w:val="98"/>
              </w:rPr>
              <w:t>Closing stock price on valuation date . . . . . . . . . . . . . . . . . . . . . . . . . . . . . . . . .</w:t>
            </w:r>
          </w:p>
        </w:tc>
        <w:tc>
          <w:tcPr>
            <w:tcW w:w="240" w:type="dxa"/>
            <w:vAlign w:val="bottom"/>
          </w:tcPr>
          <w:p>
            <w:pPr>
              <w:jc w:val="right"/>
              <w:ind w:right="24"/>
              <w:spacing w:after="0"/>
              <w:rPr>
                <w:sz w:val="20"/>
                <w:szCs w:val="20"/>
                <w:color w:val="auto"/>
              </w:rPr>
            </w:pPr>
            <w:r>
              <w:rPr>
                <w:rFonts w:ascii="Arial" w:cs="Arial" w:eastAsia="Arial" w:hAnsi="Arial"/>
                <w:sz w:val="20"/>
                <w:szCs w:val="20"/>
                <w:color w:val="auto"/>
                <w:w w:val="89"/>
              </w:rPr>
              <w:t>$</w:t>
            </w:r>
          </w:p>
        </w:tc>
        <w:tc>
          <w:tcPr>
            <w:tcW w:w="880" w:type="dxa"/>
            <w:vAlign w:val="bottom"/>
          </w:tcPr>
          <w:p>
            <w:pPr>
              <w:jc w:val="center"/>
              <w:spacing w:after="0"/>
              <w:rPr>
                <w:sz w:val="20"/>
                <w:szCs w:val="20"/>
                <w:color w:val="auto"/>
              </w:rPr>
            </w:pPr>
            <w:r>
              <w:rPr>
                <w:rFonts w:ascii="Arial" w:cs="Arial" w:eastAsia="Arial" w:hAnsi="Arial"/>
                <w:sz w:val="20"/>
                <w:szCs w:val="20"/>
                <w:color w:val="auto"/>
              </w:rPr>
              <w:t>4.05</w:t>
            </w:r>
          </w:p>
        </w:tc>
        <w:tc>
          <w:tcPr>
            <w:tcW w:w="5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center"/>
              <w:ind w:right="40"/>
              <w:spacing w:after="0"/>
              <w:rPr>
                <w:sz w:val="20"/>
                <w:szCs w:val="20"/>
                <w:color w:val="auto"/>
              </w:rPr>
            </w:pPr>
            <w:r>
              <w:rPr>
                <w:rFonts w:ascii="Arial" w:cs="Arial" w:eastAsia="Arial" w:hAnsi="Arial"/>
                <w:sz w:val="20"/>
                <w:szCs w:val="20"/>
                <w:color w:val="auto"/>
              </w:rPr>
              <w:t>1.01</w:t>
            </w:r>
          </w:p>
        </w:tc>
        <w:tc>
          <w:tcPr>
            <w:tcW w:w="0" w:type="dxa"/>
            <w:vAlign w:val="bottom"/>
          </w:tcPr>
          <w:p>
            <w:pPr>
              <w:spacing w:after="0"/>
              <w:rPr>
                <w:sz w:val="1"/>
                <w:szCs w:val="1"/>
                <w:color w:val="auto"/>
              </w:rPr>
            </w:pPr>
          </w:p>
        </w:tc>
      </w:tr>
      <w:tr>
        <w:trPr>
          <w:trHeight w:val="271"/>
        </w:trPr>
        <w:tc>
          <w:tcPr>
            <w:tcW w:w="6840" w:type="dxa"/>
            <w:vAlign w:val="bottom"/>
          </w:tcPr>
          <w:p>
            <w:pPr>
              <w:spacing w:after="0"/>
              <w:rPr>
                <w:sz w:val="20"/>
                <w:szCs w:val="20"/>
                <w:color w:val="auto"/>
              </w:rPr>
            </w:pPr>
            <w:r>
              <w:rPr>
                <w:rFonts w:ascii="Arial" w:cs="Arial" w:eastAsia="Arial" w:hAnsi="Arial"/>
                <w:sz w:val="20"/>
                <w:szCs w:val="20"/>
                <w:color w:val="auto"/>
                <w:w w:val="99"/>
              </w:rPr>
              <w:t>Discount for lack of marketability . . . . . . . . . . . . . . . . . . . . . . . . . . . . . . . . . . . .</w:t>
            </w:r>
          </w:p>
        </w:tc>
        <w:tc>
          <w:tcPr>
            <w:tcW w:w="240" w:type="dxa"/>
            <w:vAlign w:val="bottom"/>
          </w:tcPr>
          <w:p>
            <w:pPr>
              <w:jc w:val="right"/>
              <w:ind w:right="24"/>
              <w:spacing w:after="0"/>
              <w:rPr>
                <w:sz w:val="20"/>
                <w:szCs w:val="20"/>
                <w:color w:val="auto"/>
              </w:rPr>
            </w:pPr>
            <w:r>
              <w:rPr>
                <w:rFonts w:ascii="Arial" w:cs="Arial" w:eastAsia="Arial" w:hAnsi="Arial"/>
                <w:sz w:val="20"/>
                <w:szCs w:val="20"/>
                <w:color w:val="auto"/>
                <w:w w:val="89"/>
              </w:rPr>
              <w:t>$</w:t>
            </w:r>
          </w:p>
        </w:tc>
        <w:tc>
          <w:tcPr>
            <w:tcW w:w="880" w:type="dxa"/>
            <w:vAlign w:val="bottom"/>
          </w:tcPr>
          <w:p>
            <w:pPr>
              <w:jc w:val="center"/>
              <w:spacing w:after="0"/>
              <w:rPr>
                <w:sz w:val="20"/>
                <w:szCs w:val="20"/>
                <w:color w:val="auto"/>
              </w:rPr>
            </w:pPr>
            <w:r>
              <w:rPr>
                <w:rFonts w:ascii="Arial" w:cs="Arial" w:eastAsia="Arial" w:hAnsi="Arial"/>
                <w:sz w:val="20"/>
                <w:szCs w:val="20"/>
                <w:color w:val="auto"/>
                <w:w w:val="99"/>
              </w:rPr>
              <w:t>(0.79)</w:t>
            </w:r>
          </w:p>
        </w:tc>
        <w:tc>
          <w:tcPr>
            <w:tcW w:w="5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center"/>
              <w:ind w:right="40"/>
              <w:spacing w:after="0"/>
              <w:rPr>
                <w:sz w:val="20"/>
                <w:szCs w:val="20"/>
                <w:color w:val="auto"/>
              </w:rPr>
            </w:pPr>
            <w:r>
              <w:rPr>
                <w:rFonts w:ascii="Arial" w:cs="Arial" w:eastAsia="Arial" w:hAnsi="Arial"/>
                <w:sz w:val="20"/>
                <w:szCs w:val="20"/>
                <w:color w:val="auto"/>
                <w:w w:val="99"/>
              </w:rPr>
              <w:t>(0.22)</w:t>
            </w:r>
          </w:p>
        </w:tc>
        <w:tc>
          <w:tcPr>
            <w:tcW w:w="0" w:type="dxa"/>
            <w:vAlign w:val="bottom"/>
          </w:tcPr>
          <w:p>
            <w:pPr>
              <w:spacing w:after="0"/>
              <w:rPr>
                <w:sz w:val="1"/>
                <w:szCs w:val="1"/>
                <w:color w:val="auto"/>
              </w:rPr>
            </w:pPr>
          </w:p>
        </w:tc>
      </w:tr>
      <w:tr>
        <w:trPr>
          <w:trHeight w:val="421"/>
        </w:trPr>
        <w:tc>
          <w:tcPr>
            <w:tcW w:w="6840" w:type="dxa"/>
            <w:vAlign w:val="bottom"/>
          </w:tcPr>
          <w:p>
            <w:pPr>
              <w:spacing w:after="0"/>
              <w:rPr>
                <w:sz w:val="20"/>
                <w:szCs w:val="20"/>
                <w:color w:val="auto"/>
              </w:rPr>
            </w:pPr>
            <w:r>
              <w:rPr>
                <w:rFonts w:ascii="Arial" w:cs="Arial" w:eastAsia="Arial" w:hAnsi="Arial"/>
                <w:sz w:val="20"/>
                <w:szCs w:val="20"/>
                <w:color w:val="auto"/>
              </w:rPr>
              <w:t>Clade Milestone: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840" w:type="dxa"/>
            <w:vAlign w:val="bottom"/>
          </w:tcPr>
          <w:p>
            <w:pPr>
              <w:spacing w:after="0"/>
              <w:rPr>
                <w:sz w:val="20"/>
                <w:szCs w:val="20"/>
                <w:color w:val="auto"/>
              </w:rPr>
            </w:pPr>
            <w:r>
              <w:rPr>
                <w:rFonts w:ascii="Arial" w:cs="Arial" w:eastAsia="Arial" w:hAnsi="Arial"/>
                <w:sz w:val="20"/>
                <w:szCs w:val="20"/>
                <w:color w:val="auto"/>
                <w:w w:val="99"/>
              </w:rPr>
              <w:t>Probability adjusted value of payments . . . . . . . . . . . . . . . . . . . . . . . . . . . . . . .</w:t>
            </w:r>
          </w:p>
        </w:tc>
        <w:tc>
          <w:tcPr>
            <w:tcW w:w="240" w:type="dxa"/>
            <w:vAlign w:val="bottom"/>
          </w:tcPr>
          <w:p>
            <w:pPr>
              <w:jc w:val="right"/>
              <w:ind w:right="24"/>
              <w:spacing w:after="0"/>
              <w:rPr>
                <w:sz w:val="20"/>
                <w:szCs w:val="20"/>
                <w:color w:val="auto"/>
              </w:rPr>
            </w:pPr>
            <w:r>
              <w:rPr>
                <w:rFonts w:ascii="Arial" w:cs="Arial" w:eastAsia="Arial" w:hAnsi="Arial"/>
                <w:sz w:val="20"/>
                <w:szCs w:val="20"/>
                <w:color w:val="auto"/>
                <w:w w:val="89"/>
              </w:rPr>
              <w:t>$</w:t>
            </w:r>
          </w:p>
        </w:tc>
        <w:tc>
          <w:tcPr>
            <w:tcW w:w="880" w:type="dxa"/>
            <w:vAlign w:val="bottom"/>
          </w:tcPr>
          <w:p>
            <w:pPr>
              <w:jc w:val="center"/>
              <w:spacing w:after="0"/>
              <w:rPr>
                <w:sz w:val="20"/>
                <w:szCs w:val="20"/>
                <w:color w:val="auto"/>
              </w:rPr>
            </w:pPr>
            <w:r>
              <w:rPr>
                <w:rFonts w:ascii="Arial" w:cs="Arial" w:eastAsia="Arial" w:hAnsi="Arial"/>
                <w:sz w:val="20"/>
                <w:szCs w:val="20"/>
                <w:color w:val="auto"/>
                <w:w w:val="99"/>
              </w:rPr>
              <w:t>9,000</w:t>
            </w:r>
          </w:p>
        </w:tc>
        <w:tc>
          <w:tcPr>
            <w:tcW w:w="5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center"/>
              <w:ind w:right="20"/>
              <w:spacing w:after="0"/>
              <w:rPr>
                <w:sz w:val="20"/>
                <w:szCs w:val="20"/>
                <w:color w:val="auto"/>
              </w:rPr>
            </w:pPr>
            <w:r>
              <w:rPr>
                <w:rFonts w:ascii="Arial" w:cs="Arial" w:eastAsia="Arial" w:hAnsi="Arial"/>
                <w:sz w:val="20"/>
                <w:szCs w:val="20"/>
                <w:color w:val="auto"/>
                <w:w w:val="99"/>
              </w:rPr>
              <w:t>9,000</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20"/>
                <w:szCs w:val="20"/>
                <w:color w:val="auto"/>
                <w:w w:val="96"/>
              </w:rPr>
              <w:t>Discount rate . . . . . . . . . . . . . . . . . . . . . . . . . . . . . . . . . . . . . . . . . . . . . . . . . . . . .</w:t>
            </w:r>
          </w:p>
        </w:tc>
        <w:tc>
          <w:tcPr>
            <w:tcW w:w="24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Arial" w:cs="Arial" w:eastAsia="Arial" w:hAnsi="Arial"/>
                <w:sz w:val="20"/>
                <w:szCs w:val="20"/>
                <w:color w:val="auto"/>
              </w:rPr>
              <w:t>10.6%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20"/>
              <w:spacing w:after="0"/>
              <w:rPr>
                <w:sz w:val="20"/>
                <w:szCs w:val="20"/>
                <w:color w:val="auto"/>
              </w:rPr>
            </w:pPr>
            <w:r>
              <w:rPr>
                <w:rFonts w:ascii="Arial" w:cs="Arial" w:eastAsia="Arial" w:hAnsi="Arial"/>
                <w:sz w:val="20"/>
                <w:szCs w:val="20"/>
                <w:color w:val="auto"/>
              </w:rPr>
              <w:t>10.3%</w:t>
            </w:r>
          </w:p>
        </w:tc>
        <w:tc>
          <w:tcPr>
            <w:tcW w:w="0" w:type="dxa"/>
            <w:vAlign w:val="bottom"/>
          </w:tcPr>
          <w:p>
            <w:pPr>
              <w:spacing w:after="0"/>
              <w:rPr>
                <w:sz w:val="1"/>
                <w:szCs w:val="1"/>
                <w:color w:val="auto"/>
              </w:rPr>
            </w:pPr>
          </w:p>
        </w:tc>
      </w:tr>
      <w:tr>
        <w:trPr>
          <w:trHeight w:val="271"/>
        </w:trPr>
        <w:tc>
          <w:tcPr>
            <w:tcW w:w="6840" w:type="dxa"/>
            <w:vAlign w:val="bottom"/>
          </w:tcPr>
          <w:p>
            <w:pPr>
              <w:spacing w:after="0"/>
              <w:rPr>
                <w:sz w:val="20"/>
                <w:szCs w:val="20"/>
                <w:color w:val="auto"/>
              </w:rPr>
            </w:pPr>
            <w:r>
              <w:rPr>
                <w:rFonts w:ascii="Arial" w:cs="Arial" w:eastAsia="Arial" w:hAnsi="Arial"/>
                <w:sz w:val="20"/>
                <w:szCs w:val="20"/>
                <w:color w:val="auto"/>
                <w:w w:val="97"/>
              </w:rPr>
              <w:t>Discount period (years) . . . . . . . . . . . . . . . . . . . . . . . . . . . . . . . . . . . . . . . . . . . .</w:t>
            </w:r>
          </w:p>
        </w:tc>
        <w:tc>
          <w:tcPr>
            <w:tcW w:w="24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20"/>
                <w:szCs w:val="20"/>
                <w:color w:val="auto"/>
              </w:rPr>
              <w:t>2.3</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center"/>
              <w:ind w:right="40"/>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24"/>
          <w:szCs w:val="24"/>
          <w:color w:val="auto"/>
        </w:rPr>
        <w:t>Note 5—Prepaid expenses and other current assets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prepaid expenses and other current assets: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720" w:type="dxa"/>
            <w:vAlign w:val="bottom"/>
            <w:gridSpan w:val="2"/>
            <w:vMerge w:val="restart"/>
          </w:tcPr>
          <w:p>
            <w:pPr>
              <w:spacing w:after="0"/>
              <w:rPr>
                <w:sz w:val="20"/>
                <w:szCs w:val="20"/>
                <w:color w:val="auto"/>
              </w:rPr>
            </w:pPr>
            <w:r>
              <w:rPr>
                <w:rFonts w:ascii="Arial" w:cs="Arial" w:eastAsia="Arial" w:hAnsi="Arial"/>
                <w:sz w:val="20"/>
                <w:szCs w:val="20"/>
                <w:color w:val="auto"/>
              </w:rPr>
              <w:t>Research and development</w:t>
            </w: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December 31, 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December 31, 2023</w:t>
            </w:r>
          </w:p>
        </w:tc>
        <w:tc>
          <w:tcPr>
            <w:tcW w:w="0" w:type="dxa"/>
            <w:vAlign w:val="bottom"/>
          </w:tcPr>
          <w:p>
            <w:pPr>
              <w:spacing w:after="0"/>
              <w:rPr>
                <w:sz w:val="1"/>
                <w:szCs w:val="1"/>
                <w:color w:val="auto"/>
              </w:rPr>
            </w:pPr>
          </w:p>
        </w:tc>
      </w:tr>
      <w:tr>
        <w:trPr>
          <w:trHeight w:val="201"/>
        </w:trPr>
        <w:tc>
          <w:tcPr>
            <w:tcW w:w="6720" w:type="dxa"/>
            <w:vAlign w:val="bottom"/>
            <w:gridSpan w:val="2"/>
            <w:vMerge w:val="continue"/>
          </w:tcPr>
          <w:p>
            <w:pPr>
              <w:jc w:val="right"/>
              <w:ind w:right="260"/>
              <w:spacing w:after="0" w:line="177" w:lineRule="exact"/>
              <w:rPr>
                <w:sz w:val="20"/>
                <w:szCs w:val="20"/>
                <w:color w:val="auto"/>
              </w:rPr>
            </w:pPr>
            <w:r>
              <w:rPr>
                <w:rFonts w:ascii="Arial" w:cs="Arial" w:eastAsia="Arial" w:hAnsi="Arial"/>
                <w:sz w:val="20"/>
                <w:szCs w:val="20"/>
                <w:color w:val="auto"/>
              </w:rPr>
              <w:t>. . . . . . . . . . . . . . . . . . . . . . . . . . . . . . . . . . . . . . . .</w:t>
            </w:r>
          </w:p>
        </w:tc>
        <w:tc>
          <w:tcPr>
            <w:tcW w:w="480" w:type="dxa"/>
            <w:vAlign w:val="bottom"/>
          </w:tcPr>
          <w:p>
            <w:pPr>
              <w:spacing w:after="0" w:line="201" w:lineRule="exact"/>
              <w:rPr>
                <w:sz w:val="20"/>
                <w:szCs w:val="20"/>
                <w:color w:val="auto"/>
              </w:rPr>
            </w:pPr>
            <w:r>
              <w:rPr>
                <w:rFonts w:ascii="Arial" w:cs="Arial" w:eastAsia="Arial" w:hAnsi="Arial"/>
                <w:sz w:val="20"/>
                <w:szCs w:val="20"/>
                <w:color w:val="auto"/>
              </w:rPr>
              <w:t>$</w:t>
            </w:r>
          </w:p>
        </w:tc>
        <w:tc>
          <w:tcPr>
            <w:tcW w:w="920" w:type="dxa"/>
            <w:vAlign w:val="bottom"/>
          </w:tcPr>
          <w:p>
            <w:pPr>
              <w:jc w:val="right"/>
              <w:spacing w:after="0" w:line="201" w:lineRule="exact"/>
              <w:rPr>
                <w:sz w:val="20"/>
                <w:szCs w:val="20"/>
                <w:color w:val="auto"/>
              </w:rPr>
            </w:pPr>
            <w:r>
              <w:rPr>
                <w:rFonts w:ascii="Arial" w:cs="Arial" w:eastAsia="Arial" w:hAnsi="Arial"/>
                <w:sz w:val="20"/>
                <w:szCs w:val="20"/>
                <w:color w:val="auto"/>
              </w:rPr>
              <w:t>340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line="201"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01" w:lineRule="exact"/>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30"/>
        </w:trPr>
        <w:tc>
          <w:tcPr>
            <w:tcW w:w="6720" w:type="dxa"/>
            <w:vAlign w:val="bottom"/>
            <w:gridSpan w:val="2"/>
          </w:tcPr>
          <w:p>
            <w:pPr>
              <w:jc w:val="right"/>
              <w:ind w:right="260"/>
              <w:spacing w:after="0"/>
              <w:rPr>
                <w:sz w:val="20"/>
                <w:szCs w:val="20"/>
                <w:color w:val="auto"/>
              </w:rPr>
            </w:pPr>
            <w:r>
              <w:rPr>
                <w:rFonts w:ascii="Arial" w:cs="Arial" w:eastAsia="Arial" w:hAnsi="Arial"/>
                <w:sz w:val="20"/>
                <w:szCs w:val="20"/>
                <w:color w:val="auto"/>
                <w:w w:val="92"/>
              </w:rPr>
              <w:t>Insurance . . . . . . . . . . . . . . . . . . . . . . . . . . . . . . . . . . . . . . . . . . . . . . . . . . . . . . .</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761</w:t>
            </w:r>
          </w:p>
        </w:tc>
        <w:tc>
          <w:tcPr>
            <w:tcW w:w="0" w:type="dxa"/>
            <w:vAlign w:val="bottom"/>
          </w:tcPr>
          <w:p>
            <w:pPr>
              <w:spacing w:after="0"/>
              <w:rPr>
                <w:sz w:val="1"/>
                <w:szCs w:val="1"/>
                <w:color w:val="auto"/>
              </w:rPr>
            </w:pPr>
          </w:p>
        </w:tc>
      </w:tr>
      <w:tr>
        <w:trPr>
          <w:trHeight w:val="232"/>
        </w:trPr>
        <w:tc>
          <w:tcPr>
            <w:tcW w:w="6720" w:type="dxa"/>
            <w:vAlign w:val="bottom"/>
            <w:gridSpan w:val="2"/>
          </w:tcPr>
          <w:p>
            <w:pPr>
              <w:jc w:val="right"/>
              <w:ind w:right="260"/>
              <w:spacing w:after="0"/>
              <w:rPr>
                <w:sz w:val="20"/>
                <w:szCs w:val="20"/>
                <w:color w:val="auto"/>
              </w:rPr>
            </w:pPr>
            <w:r>
              <w:rPr>
                <w:rFonts w:ascii="Arial" w:cs="Arial" w:eastAsia="Arial" w:hAnsi="Arial"/>
                <w:sz w:val="20"/>
                <w:szCs w:val="20"/>
                <w:color w:val="auto"/>
                <w:w w:val="94"/>
              </w:rPr>
              <w:t>Software licenses and other . . . . . . . . . . . . . . . . . . . . . . . . . . . . . . . . . . . . . . .</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860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1,011</w:t>
            </w:r>
          </w:p>
        </w:tc>
        <w:tc>
          <w:tcPr>
            <w:tcW w:w="0" w:type="dxa"/>
            <w:vAlign w:val="bottom"/>
          </w:tcPr>
          <w:p>
            <w:pPr>
              <w:spacing w:after="0"/>
              <w:rPr>
                <w:sz w:val="1"/>
                <w:szCs w:val="1"/>
                <w:color w:val="auto"/>
              </w:rPr>
            </w:pPr>
          </w:p>
        </w:tc>
      </w:tr>
      <w:tr>
        <w:trPr>
          <w:trHeight w:val="230"/>
        </w:trPr>
        <w:tc>
          <w:tcPr>
            <w:tcW w:w="6720" w:type="dxa"/>
            <w:vAlign w:val="bottom"/>
            <w:gridSpan w:val="2"/>
          </w:tcPr>
          <w:p>
            <w:pPr>
              <w:jc w:val="right"/>
              <w:ind w:right="260"/>
              <w:spacing w:after="0"/>
              <w:rPr>
                <w:sz w:val="20"/>
                <w:szCs w:val="20"/>
                <w:color w:val="auto"/>
              </w:rPr>
            </w:pPr>
            <w:r>
              <w:rPr>
                <w:rFonts w:ascii="Arial" w:cs="Arial" w:eastAsia="Arial" w:hAnsi="Arial"/>
                <w:sz w:val="20"/>
                <w:szCs w:val="20"/>
                <w:color w:val="auto"/>
                <w:w w:val="92"/>
              </w:rPr>
              <w:t>Prepaid clinical trial . . . . . . . . . . . . . . . . . . . . . . . . . . . . . . . . . . . . . . . . . . . . . . .</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1,009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2"/>
        </w:trPr>
        <w:tc>
          <w:tcPr>
            <w:tcW w:w="6720" w:type="dxa"/>
            <w:vAlign w:val="bottom"/>
            <w:gridSpan w:val="2"/>
          </w:tcPr>
          <w:p>
            <w:pPr>
              <w:jc w:val="right"/>
              <w:ind w:right="260"/>
              <w:spacing w:after="0"/>
              <w:rPr>
                <w:sz w:val="20"/>
                <w:szCs w:val="20"/>
                <w:color w:val="auto"/>
              </w:rPr>
            </w:pPr>
            <w:r>
              <w:rPr>
                <w:rFonts w:ascii="Arial" w:cs="Arial" w:eastAsia="Arial" w:hAnsi="Arial"/>
                <w:sz w:val="20"/>
                <w:szCs w:val="20"/>
                <w:color w:val="auto"/>
                <w:w w:val="92"/>
              </w:rPr>
              <w:t>Income tax receivable . . . . . . . . . . . . . . . . . . . . . . . . . . . . . . . . . . . . . . . . . . . . .</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266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650</w:t>
            </w:r>
          </w:p>
        </w:tc>
        <w:tc>
          <w:tcPr>
            <w:tcW w:w="0" w:type="dxa"/>
            <w:vAlign w:val="bottom"/>
          </w:tcPr>
          <w:p>
            <w:pPr>
              <w:spacing w:after="0"/>
              <w:rPr>
                <w:sz w:val="1"/>
                <w:szCs w:val="1"/>
                <w:color w:val="auto"/>
              </w:rPr>
            </w:pPr>
          </w:p>
        </w:tc>
      </w:tr>
      <w:tr>
        <w:trPr>
          <w:trHeight w:val="230"/>
        </w:trPr>
        <w:tc>
          <w:tcPr>
            <w:tcW w:w="6720" w:type="dxa"/>
            <w:vAlign w:val="bottom"/>
            <w:gridSpan w:val="2"/>
          </w:tcPr>
          <w:p>
            <w:pPr>
              <w:jc w:val="right"/>
              <w:ind w:right="260"/>
              <w:spacing w:after="0"/>
              <w:rPr>
                <w:sz w:val="20"/>
                <w:szCs w:val="20"/>
                <w:color w:val="auto"/>
              </w:rPr>
            </w:pPr>
            <w:r>
              <w:rPr>
                <w:rFonts w:ascii="Arial" w:cs="Arial" w:eastAsia="Arial" w:hAnsi="Arial"/>
                <w:sz w:val="20"/>
                <w:szCs w:val="20"/>
                <w:color w:val="auto"/>
                <w:w w:val="94"/>
              </w:rPr>
              <w:t>Reimbursement receivable . . . . . . . . . . . . . . . . . . . . . . . . . . . . . . . . . . . . . . . .</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31"/>
        </w:trPr>
        <w:tc>
          <w:tcPr>
            <w:tcW w:w="6720" w:type="dxa"/>
            <w:vAlign w:val="bottom"/>
            <w:gridSpan w:val="2"/>
          </w:tcPr>
          <w:p>
            <w:pPr>
              <w:jc w:val="right"/>
              <w:ind w:right="260"/>
              <w:spacing w:after="0"/>
              <w:rPr>
                <w:sz w:val="20"/>
                <w:szCs w:val="20"/>
                <w:color w:val="auto"/>
              </w:rPr>
            </w:pPr>
            <w:r>
              <w:rPr>
                <w:rFonts w:ascii="Arial" w:cs="Arial" w:eastAsia="Arial" w:hAnsi="Arial"/>
                <w:sz w:val="20"/>
                <w:szCs w:val="20"/>
                <w:color w:val="auto"/>
                <w:w w:val="92"/>
              </w:rPr>
              <w:t>Warranties . . . . . . . . . . . . . . . . . . . . . . . . . . . . . . . . . . . . . . . . . . . . . . . . . . . . . .</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506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215</w:t>
            </w:r>
          </w:p>
        </w:tc>
        <w:tc>
          <w:tcPr>
            <w:tcW w:w="0" w:type="dxa"/>
            <w:vAlign w:val="bottom"/>
          </w:tcPr>
          <w:p>
            <w:pPr>
              <w:spacing w:after="0"/>
              <w:rPr>
                <w:sz w:val="1"/>
                <w:szCs w:val="1"/>
                <w:color w:val="auto"/>
              </w:rPr>
            </w:pPr>
          </w:p>
        </w:tc>
      </w:tr>
      <w:tr>
        <w:trPr>
          <w:trHeight w:val="251"/>
        </w:trPr>
        <w:tc>
          <w:tcPr>
            <w:tcW w:w="6720" w:type="dxa"/>
            <w:vAlign w:val="bottom"/>
            <w:gridSpan w:val="2"/>
          </w:tcPr>
          <w:p>
            <w:pPr>
              <w:jc w:val="right"/>
              <w:ind w:right="260"/>
              <w:spacing w:after="0"/>
              <w:rPr>
                <w:sz w:val="20"/>
                <w:szCs w:val="20"/>
                <w:color w:val="auto"/>
              </w:rPr>
            </w:pPr>
            <w:r>
              <w:rPr>
                <w:rFonts w:ascii="Arial" w:cs="Arial" w:eastAsia="Arial" w:hAnsi="Arial"/>
                <w:sz w:val="20"/>
                <w:szCs w:val="20"/>
                <w:color w:val="auto"/>
                <w:w w:val="93"/>
              </w:rPr>
              <w:t>Accrued interest receivable . . . . . . . . . . . . . . . . . . . . . . . . . . . . . . . . . . . . . . . .</w:t>
            </w: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1,570</w:t>
            </w:r>
          </w:p>
        </w:tc>
        <w:tc>
          <w:tcPr>
            <w:tcW w:w="0" w:type="dxa"/>
            <w:vAlign w:val="bottom"/>
          </w:tcPr>
          <w:p>
            <w:pPr>
              <w:spacing w:after="0"/>
              <w:rPr>
                <w:sz w:val="1"/>
                <w:szCs w:val="1"/>
                <w:color w:val="auto"/>
              </w:rPr>
            </w:pPr>
          </w:p>
        </w:tc>
      </w:tr>
      <w:tr>
        <w:trPr>
          <w:trHeight w:val="231"/>
        </w:trPr>
        <w:tc>
          <w:tcPr>
            <w:tcW w:w="6700" w:type="dxa"/>
            <w:vAlign w:val="bottom"/>
          </w:tcPr>
          <w:p>
            <w:pPr>
              <w:jc w:val="right"/>
              <w:ind w:right="140"/>
              <w:spacing w:after="0" w:line="223" w:lineRule="exact"/>
              <w:rPr>
                <w:sz w:val="20"/>
                <w:szCs w:val="20"/>
                <w:color w:val="auto"/>
              </w:rPr>
            </w:pPr>
            <w:r>
              <w:rPr>
                <w:rFonts w:ascii="Arial" w:cs="Arial" w:eastAsia="Arial" w:hAnsi="Arial"/>
                <w:sz w:val="20"/>
                <w:szCs w:val="20"/>
                <w:color w:val="auto"/>
                <w:w w:val="97"/>
              </w:rPr>
              <w:t>Total prepaid expenses and other current assets . . . . . . . . . . . . . . . . . . . . .</w:t>
            </w: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4,759</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4,256</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24"/>
          <w:szCs w:val="24"/>
          <w:color w:val="auto"/>
        </w:rPr>
        <w:t>Note 6—Property and equipment, net</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property and equipment, net: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720" w:type="dxa"/>
            <w:vAlign w:val="bottom"/>
            <w:gridSpan w:val="2"/>
            <w:vMerge w:val="restart"/>
          </w:tcPr>
          <w:p>
            <w:pPr>
              <w:spacing w:after="0"/>
              <w:rPr>
                <w:sz w:val="20"/>
                <w:szCs w:val="20"/>
                <w:color w:val="auto"/>
              </w:rPr>
            </w:pPr>
            <w:r>
              <w:rPr>
                <w:rFonts w:ascii="Arial" w:cs="Arial" w:eastAsia="Arial" w:hAnsi="Arial"/>
                <w:sz w:val="20"/>
                <w:szCs w:val="20"/>
                <w:color w:val="auto"/>
              </w:rPr>
              <w:t>Lab equipment</w:t>
            </w: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December 31, 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December 31, 2023</w:t>
            </w:r>
          </w:p>
        </w:tc>
        <w:tc>
          <w:tcPr>
            <w:tcW w:w="0" w:type="dxa"/>
            <w:vAlign w:val="bottom"/>
          </w:tcPr>
          <w:p>
            <w:pPr>
              <w:spacing w:after="0"/>
              <w:rPr>
                <w:sz w:val="1"/>
                <w:szCs w:val="1"/>
                <w:color w:val="auto"/>
              </w:rPr>
            </w:pPr>
          </w:p>
        </w:tc>
      </w:tr>
      <w:tr>
        <w:trPr>
          <w:trHeight w:val="200"/>
        </w:trPr>
        <w:tc>
          <w:tcPr>
            <w:tcW w:w="6720" w:type="dxa"/>
            <w:vAlign w:val="bottom"/>
            <w:gridSpan w:val="2"/>
            <w:vMerge w:val="continue"/>
          </w:tcPr>
          <w:p>
            <w:pPr>
              <w:jc w:val="right"/>
              <w:ind w:right="260"/>
              <w:spacing w:after="0" w:line="178" w:lineRule="exact"/>
              <w:rPr>
                <w:sz w:val="20"/>
                <w:szCs w:val="20"/>
                <w:color w:val="auto"/>
              </w:rPr>
            </w:pPr>
            <w:r>
              <w:rPr>
                <w:rFonts w:ascii="Arial" w:cs="Arial" w:eastAsia="Arial" w:hAnsi="Arial"/>
                <w:sz w:val="20"/>
                <w:szCs w:val="20"/>
                <w:color w:val="auto"/>
              </w:rPr>
              <w:t>. . . . . . . . . . . . . . . . . . . . . . . . . . . . . . . . . . . . . . . . . . . . . . . . . . .</w:t>
            </w:r>
          </w:p>
        </w:tc>
        <w:tc>
          <w:tcPr>
            <w:tcW w:w="380" w:type="dxa"/>
            <w:vAlign w:val="bottom"/>
          </w:tcPr>
          <w:p>
            <w:pPr>
              <w:spacing w:after="0" w:line="200" w:lineRule="exact"/>
              <w:rPr>
                <w:sz w:val="20"/>
                <w:szCs w:val="20"/>
                <w:color w:val="auto"/>
              </w:rPr>
            </w:pPr>
            <w:r>
              <w:rPr>
                <w:rFonts w:ascii="Arial" w:cs="Arial" w:eastAsia="Arial" w:hAnsi="Arial"/>
                <w:sz w:val="20"/>
                <w:szCs w:val="20"/>
                <w:color w:val="auto"/>
              </w:rPr>
              <w:t>$</w:t>
            </w:r>
          </w:p>
        </w:tc>
        <w:tc>
          <w:tcPr>
            <w:tcW w:w="1020" w:type="dxa"/>
            <w:vAlign w:val="bottom"/>
          </w:tcPr>
          <w:p>
            <w:pPr>
              <w:jc w:val="right"/>
              <w:spacing w:after="0" w:line="200" w:lineRule="exact"/>
              <w:rPr>
                <w:sz w:val="20"/>
                <w:szCs w:val="20"/>
                <w:color w:val="auto"/>
              </w:rPr>
            </w:pPr>
            <w:r>
              <w:rPr>
                <w:rFonts w:ascii="Arial" w:cs="Arial" w:eastAsia="Arial" w:hAnsi="Arial"/>
                <w:sz w:val="20"/>
                <w:szCs w:val="20"/>
                <w:color w:val="auto"/>
              </w:rPr>
              <w:t>32,385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line="200" w:lineRule="exact"/>
              <w:rPr>
                <w:sz w:val="20"/>
                <w:szCs w:val="20"/>
                <w:color w:val="auto"/>
              </w:rPr>
            </w:pPr>
            <w:r>
              <w:rPr>
                <w:rFonts w:ascii="Arial" w:cs="Arial" w:eastAsia="Arial" w:hAnsi="Arial"/>
                <w:sz w:val="20"/>
                <w:szCs w:val="20"/>
                <w:color w:val="auto"/>
              </w:rPr>
              <w:t>$</w:t>
            </w:r>
          </w:p>
        </w:tc>
        <w:tc>
          <w:tcPr>
            <w:tcW w:w="1020" w:type="dxa"/>
            <w:vAlign w:val="bottom"/>
          </w:tcPr>
          <w:p>
            <w:pPr>
              <w:jc w:val="right"/>
              <w:spacing w:after="0" w:line="200" w:lineRule="exact"/>
              <w:rPr>
                <w:sz w:val="20"/>
                <w:szCs w:val="20"/>
                <w:color w:val="auto"/>
              </w:rPr>
            </w:pPr>
            <w:r>
              <w:rPr>
                <w:rFonts w:ascii="Arial" w:cs="Arial" w:eastAsia="Arial" w:hAnsi="Arial"/>
                <w:sz w:val="20"/>
                <w:szCs w:val="20"/>
                <w:color w:val="auto"/>
              </w:rPr>
              <w:t>29,597</w:t>
            </w:r>
          </w:p>
        </w:tc>
        <w:tc>
          <w:tcPr>
            <w:tcW w:w="0" w:type="dxa"/>
            <w:vAlign w:val="bottom"/>
          </w:tcPr>
          <w:p>
            <w:pPr>
              <w:spacing w:after="0"/>
              <w:rPr>
                <w:sz w:val="1"/>
                <w:szCs w:val="1"/>
                <w:color w:val="auto"/>
              </w:rPr>
            </w:pPr>
          </w:p>
        </w:tc>
      </w:tr>
      <w:tr>
        <w:trPr>
          <w:trHeight w:val="230"/>
        </w:trPr>
        <w:tc>
          <w:tcPr>
            <w:tcW w:w="6720" w:type="dxa"/>
            <w:vAlign w:val="bottom"/>
            <w:gridSpan w:val="2"/>
          </w:tcPr>
          <w:p>
            <w:pPr>
              <w:jc w:val="right"/>
              <w:ind w:right="260"/>
              <w:spacing w:after="0"/>
              <w:rPr>
                <w:sz w:val="20"/>
                <w:szCs w:val="20"/>
                <w:color w:val="auto"/>
              </w:rPr>
            </w:pPr>
            <w:r>
              <w:rPr>
                <w:rFonts w:ascii="Arial" w:cs="Arial" w:eastAsia="Arial" w:hAnsi="Arial"/>
                <w:sz w:val="20"/>
                <w:szCs w:val="20"/>
                <w:color w:val="auto"/>
                <w:w w:val="93"/>
              </w:rPr>
              <w:t>Leasehold improvements . . . . . . . . . . . . . . . . . . . . . . . . . . . . . . . . . . . . . . . . . .</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61,577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60,862</w:t>
            </w:r>
          </w:p>
        </w:tc>
        <w:tc>
          <w:tcPr>
            <w:tcW w:w="0" w:type="dxa"/>
            <w:vAlign w:val="bottom"/>
          </w:tcPr>
          <w:p>
            <w:pPr>
              <w:spacing w:after="0"/>
              <w:rPr>
                <w:sz w:val="1"/>
                <w:szCs w:val="1"/>
                <w:color w:val="auto"/>
              </w:rPr>
            </w:pPr>
          </w:p>
        </w:tc>
      </w:tr>
      <w:tr>
        <w:trPr>
          <w:trHeight w:val="230"/>
        </w:trPr>
        <w:tc>
          <w:tcPr>
            <w:tcW w:w="6720" w:type="dxa"/>
            <w:vAlign w:val="bottom"/>
            <w:gridSpan w:val="2"/>
          </w:tcPr>
          <w:p>
            <w:pPr>
              <w:jc w:val="right"/>
              <w:ind w:right="260"/>
              <w:spacing w:after="0"/>
              <w:rPr>
                <w:sz w:val="20"/>
                <w:szCs w:val="20"/>
                <w:color w:val="auto"/>
              </w:rPr>
            </w:pPr>
            <w:r>
              <w:rPr>
                <w:rFonts w:ascii="Arial" w:cs="Arial" w:eastAsia="Arial" w:hAnsi="Arial"/>
                <w:sz w:val="20"/>
                <w:szCs w:val="20"/>
                <w:color w:val="auto"/>
                <w:w w:val="94"/>
              </w:rPr>
              <w:t>Construction in progress . . . . . . . . . . . . . . . . . . . . . . . . . . . . . . . . . . . . . . . . . .</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124</w:t>
            </w:r>
          </w:p>
        </w:tc>
        <w:tc>
          <w:tcPr>
            <w:tcW w:w="0" w:type="dxa"/>
            <w:vAlign w:val="bottom"/>
          </w:tcPr>
          <w:p>
            <w:pPr>
              <w:spacing w:after="0"/>
              <w:rPr>
                <w:sz w:val="1"/>
                <w:szCs w:val="1"/>
                <w:color w:val="auto"/>
              </w:rPr>
            </w:pPr>
          </w:p>
        </w:tc>
      </w:tr>
      <w:tr>
        <w:trPr>
          <w:trHeight w:val="230"/>
        </w:trPr>
        <w:tc>
          <w:tcPr>
            <w:tcW w:w="6720" w:type="dxa"/>
            <w:vAlign w:val="bottom"/>
            <w:gridSpan w:val="2"/>
          </w:tcPr>
          <w:p>
            <w:pPr>
              <w:jc w:val="right"/>
              <w:ind w:right="260"/>
              <w:spacing w:after="0"/>
              <w:rPr>
                <w:sz w:val="20"/>
                <w:szCs w:val="20"/>
                <w:color w:val="auto"/>
              </w:rPr>
            </w:pPr>
            <w:r>
              <w:rPr>
                <w:rFonts w:ascii="Arial" w:cs="Arial" w:eastAsia="Arial" w:hAnsi="Arial"/>
                <w:sz w:val="20"/>
                <w:szCs w:val="20"/>
                <w:color w:val="auto"/>
                <w:w w:val="95"/>
              </w:rPr>
              <w:t>Computer software and equipment . . . . . . . . . . . . . . . . . . . . . . . . . . . . . . . . .</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2,919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2,899</w:t>
            </w:r>
          </w:p>
        </w:tc>
        <w:tc>
          <w:tcPr>
            <w:tcW w:w="0" w:type="dxa"/>
            <w:vAlign w:val="bottom"/>
          </w:tcPr>
          <w:p>
            <w:pPr>
              <w:spacing w:after="0"/>
              <w:rPr>
                <w:sz w:val="1"/>
                <w:szCs w:val="1"/>
                <w:color w:val="auto"/>
              </w:rPr>
            </w:pPr>
          </w:p>
        </w:tc>
      </w:tr>
      <w:tr>
        <w:trPr>
          <w:trHeight w:val="249"/>
        </w:trPr>
        <w:tc>
          <w:tcPr>
            <w:tcW w:w="6720" w:type="dxa"/>
            <w:vAlign w:val="bottom"/>
            <w:gridSpan w:val="2"/>
          </w:tcPr>
          <w:p>
            <w:pPr>
              <w:jc w:val="right"/>
              <w:ind w:right="260"/>
              <w:spacing w:after="0"/>
              <w:rPr>
                <w:sz w:val="20"/>
                <w:szCs w:val="20"/>
                <w:color w:val="auto"/>
              </w:rPr>
            </w:pPr>
            <w:r>
              <w:rPr>
                <w:rFonts w:ascii="Arial" w:cs="Arial" w:eastAsia="Arial" w:hAnsi="Arial"/>
                <w:sz w:val="20"/>
                <w:szCs w:val="20"/>
                <w:color w:val="auto"/>
                <w:w w:val="93"/>
              </w:rPr>
              <w:t>Furniture and fixtures . . . . . . . . . . . . . . . . . . . . . . . . . . . . . . . . . . . . . . . . . . . . .</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1,061</w:t>
            </w:r>
          </w:p>
        </w:tc>
        <w:tc>
          <w:tcPr>
            <w:tcW w:w="0" w:type="dxa"/>
            <w:vAlign w:val="bottom"/>
          </w:tcPr>
          <w:p>
            <w:pPr>
              <w:spacing w:after="0"/>
              <w:rPr>
                <w:sz w:val="1"/>
                <w:szCs w:val="1"/>
                <w:color w:val="auto"/>
              </w:rPr>
            </w:pPr>
          </w:p>
        </w:tc>
      </w:tr>
      <w:tr>
        <w:trPr>
          <w:trHeight w:val="200"/>
        </w:trPr>
        <w:tc>
          <w:tcPr>
            <w:tcW w:w="6720" w:type="dxa"/>
            <w:vAlign w:val="bottom"/>
            <w:gridSpan w:val="2"/>
          </w:tcPr>
          <w:p>
            <w:pPr>
              <w:jc w:val="right"/>
              <w:ind w:right="260"/>
              <w:spacing w:after="0" w:line="201" w:lineRule="exact"/>
              <w:rPr>
                <w:sz w:val="20"/>
                <w:szCs w:val="20"/>
                <w:color w:val="auto"/>
              </w:rPr>
            </w:pPr>
            <w:r>
              <w:rPr>
                <w:rFonts w:ascii="Arial" w:cs="Arial" w:eastAsia="Arial" w:hAnsi="Arial"/>
                <w:sz w:val="20"/>
                <w:szCs w:val="20"/>
                <w:color w:val="auto"/>
                <w:w w:val="91"/>
              </w:rPr>
              <w:t>. . . . . . . . . . . . . . . . . . . . . . . . . . . . . . . . . . . . . . . . . . . . . . . . . . . . . . . . . . . .Total</w:t>
            </w:r>
          </w:p>
        </w:tc>
        <w:tc>
          <w:tcPr>
            <w:tcW w:w="38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20"/>
                <w:szCs w:val="20"/>
                <w:color w:val="auto"/>
              </w:rPr>
              <w:t>98,199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20"/>
                <w:szCs w:val="20"/>
                <w:color w:val="auto"/>
              </w:rPr>
              <w:t>94,543</w:t>
            </w:r>
          </w:p>
        </w:tc>
        <w:tc>
          <w:tcPr>
            <w:tcW w:w="0" w:type="dxa"/>
            <w:vAlign w:val="bottom"/>
          </w:tcPr>
          <w:p>
            <w:pPr>
              <w:spacing w:after="0"/>
              <w:rPr>
                <w:sz w:val="1"/>
                <w:szCs w:val="1"/>
                <w:color w:val="auto"/>
              </w:rPr>
            </w:pPr>
          </w:p>
        </w:tc>
      </w:tr>
      <w:tr>
        <w:trPr>
          <w:trHeight w:val="250"/>
        </w:trPr>
        <w:tc>
          <w:tcPr>
            <w:tcW w:w="6720" w:type="dxa"/>
            <w:vAlign w:val="bottom"/>
            <w:gridSpan w:val="2"/>
          </w:tcPr>
          <w:p>
            <w:pPr>
              <w:jc w:val="right"/>
              <w:ind w:right="260"/>
              <w:spacing w:after="0"/>
              <w:rPr>
                <w:sz w:val="20"/>
                <w:szCs w:val="20"/>
                <w:color w:val="auto"/>
              </w:rPr>
            </w:pPr>
            <w:r>
              <w:rPr>
                <w:rFonts w:ascii="Arial" w:cs="Arial" w:eastAsia="Arial" w:hAnsi="Arial"/>
                <w:sz w:val="20"/>
                <w:szCs w:val="20"/>
                <w:color w:val="auto"/>
                <w:w w:val="94"/>
              </w:rPr>
              <w:t>Less: Accumulated depreciation . . . . . . . . . . . . . . . . . . . . . . . . . . . . . . . . . . . .</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(36,058)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(22,838)</w:t>
            </w:r>
          </w:p>
        </w:tc>
        <w:tc>
          <w:tcPr>
            <w:tcW w:w="0" w:type="dxa"/>
            <w:vAlign w:val="bottom"/>
          </w:tcPr>
          <w:p>
            <w:pPr>
              <w:spacing w:after="0"/>
              <w:rPr>
                <w:sz w:val="1"/>
                <w:szCs w:val="1"/>
                <w:color w:val="auto"/>
              </w:rPr>
            </w:pPr>
          </w:p>
        </w:tc>
      </w:tr>
      <w:tr>
        <w:trPr>
          <w:trHeight w:val="230"/>
        </w:trPr>
        <w:tc>
          <w:tcPr>
            <w:tcW w:w="6700" w:type="dxa"/>
            <w:vAlign w:val="bottom"/>
          </w:tcPr>
          <w:p>
            <w:pPr>
              <w:jc w:val="right"/>
              <w:ind w:right="140"/>
              <w:spacing w:after="0" w:line="221" w:lineRule="exact"/>
              <w:rPr>
                <w:sz w:val="20"/>
                <w:szCs w:val="20"/>
                <w:color w:val="auto"/>
              </w:rPr>
            </w:pPr>
            <w:r>
              <w:rPr>
                <w:rFonts w:ascii="Arial" w:cs="Arial" w:eastAsia="Arial" w:hAnsi="Arial"/>
                <w:sz w:val="20"/>
                <w:szCs w:val="20"/>
                <w:color w:val="auto"/>
                <w:w w:val="93"/>
              </w:rPr>
              <w:t>Property and equipment, net . . . . . . . . . . . . . . . . . . . . . . . . . . . . . . . . . . . . . . .</w:t>
            </w: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62,141</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71,705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60"/>
        <w:spacing w:after="0" w:line="254" w:lineRule="auto"/>
        <w:rPr>
          <w:sz w:val="20"/>
          <w:szCs w:val="20"/>
          <w:color w:val="auto"/>
        </w:rPr>
      </w:pPr>
      <w:r>
        <w:rPr>
          <w:rFonts w:ascii="Arial" w:cs="Arial" w:eastAsia="Arial" w:hAnsi="Arial"/>
          <w:sz w:val="20"/>
          <w:szCs w:val="20"/>
          <w:color w:val="auto"/>
        </w:rPr>
        <w:t>Depreciation expense was $13,304 and $13,044 for the years ended December 31, 2024 and 2023, respectively. The Company recognized $11,422 in impairment on property and equipment, net within the consolidated December 31, 2023 financial statements. See Note 18, Impairment of long-lived assets and goodwill”. There were no impairment charges during the year ended December 31, 2024.</w:t>
      </w: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149</w:t>
      </w:r>
    </w:p>
    <w:p>
      <w:pPr>
        <w:sectPr>
          <w:pgSz w:w="11880" w:h="15480" w:orient="portrait"/>
          <w:cols w:equalWidth="0" w:num="1">
            <w:col w:w="9720"/>
          </w:cols>
          <w:pgMar w:left="1080" w:top="1067" w:right="1080" w:bottom="554" w:gutter="0" w:footer="0" w:header="0"/>
          <w:type w:val="continuous"/>
        </w:sectPr>
      </w:pPr>
    </w:p>
    <w:bookmarkStart w:id="149" w:name="page150"/>
    <w:bookmarkEnd w:id="149"/>
    <w:p>
      <w:pPr>
        <w:spacing w:after="0"/>
        <w:rPr>
          <w:sz w:val="20"/>
          <w:szCs w:val="20"/>
          <w:color w:val="auto"/>
        </w:rPr>
      </w:pPr>
      <w:r>
        <w:rPr>
          <w:rFonts w:ascii="Arial" w:cs="Arial" w:eastAsia="Arial" w:hAnsi="Arial"/>
          <w:sz w:val="24"/>
          <w:szCs w:val="24"/>
          <w:color w:val="auto"/>
        </w:rPr>
        <w:t>Note 7—Accrued expenses and other liabilities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accrued expenses: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720" w:type="dxa"/>
            <w:vAlign w:val="bottom"/>
            <w:gridSpan w:val="2"/>
            <w:vMerge w:val="restart"/>
          </w:tcPr>
          <w:p>
            <w:pPr>
              <w:spacing w:after="0"/>
              <w:rPr>
                <w:sz w:val="20"/>
                <w:szCs w:val="20"/>
                <w:color w:val="auto"/>
              </w:rPr>
            </w:pPr>
            <w:r>
              <w:rPr>
                <w:rFonts w:ascii="Arial" w:cs="Arial" w:eastAsia="Arial" w:hAnsi="Arial"/>
                <w:sz w:val="20"/>
                <w:szCs w:val="20"/>
                <w:color w:val="auto"/>
              </w:rPr>
              <w:t>Payroll and bonuses</w:t>
            </w: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December 31, 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December 31, 2023</w:t>
            </w:r>
          </w:p>
        </w:tc>
        <w:tc>
          <w:tcPr>
            <w:tcW w:w="0" w:type="dxa"/>
            <w:vAlign w:val="bottom"/>
          </w:tcPr>
          <w:p>
            <w:pPr>
              <w:spacing w:after="0"/>
              <w:rPr>
                <w:sz w:val="1"/>
                <w:szCs w:val="1"/>
                <w:color w:val="auto"/>
              </w:rPr>
            </w:pPr>
          </w:p>
        </w:tc>
      </w:tr>
      <w:tr>
        <w:trPr>
          <w:trHeight w:val="201"/>
        </w:trPr>
        <w:tc>
          <w:tcPr>
            <w:tcW w:w="6720" w:type="dxa"/>
            <w:vAlign w:val="bottom"/>
            <w:gridSpan w:val="2"/>
            <w:vMerge w:val="continue"/>
          </w:tcPr>
          <w:p>
            <w:pPr>
              <w:jc w:val="right"/>
              <w:ind w:right="360"/>
              <w:spacing w:after="0" w:line="178" w:lineRule="exact"/>
              <w:rPr>
                <w:sz w:val="20"/>
                <w:szCs w:val="20"/>
                <w:color w:val="auto"/>
              </w:rPr>
            </w:pPr>
            <w:r>
              <w:rPr>
                <w:rFonts w:ascii="Arial" w:cs="Arial" w:eastAsia="Arial" w:hAnsi="Arial"/>
                <w:sz w:val="20"/>
                <w:szCs w:val="20"/>
                <w:color w:val="auto"/>
              </w:rPr>
              <w:t>. . . . . . . . . . . . . . . . . . . . . . . . . . . . . . . . . . . . . . . . . . . . .</w:t>
            </w:r>
          </w:p>
        </w:tc>
        <w:tc>
          <w:tcPr>
            <w:tcW w:w="420" w:type="dxa"/>
            <w:vAlign w:val="bottom"/>
          </w:tcPr>
          <w:p>
            <w:pPr>
              <w:spacing w:after="0" w:line="201"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01" w:lineRule="exact"/>
              <w:rPr>
                <w:sz w:val="20"/>
                <w:szCs w:val="20"/>
                <w:color w:val="auto"/>
              </w:rPr>
            </w:pPr>
            <w:r>
              <w:rPr>
                <w:rFonts w:ascii="Arial" w:cs="Arial" w:eastAsia="Arial" w:hAnsi="Arial"/>
                <w:sz w:val="20"/>
                <w:szCs w:val="20"/>
                <w:color w:val="auto"/>
              </w:rPr>
              <w:t>7,703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line="201"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01" w:lineRule="exact"/>
              <w:rPr>
                <w:sz w:val="20"/>
                <w:szCs w:val="20"/>
                <w:color w:val="auto"/>
              </w:rPr>
            </w:pPr>
            <w:r>
              <w:rPr>
                <w:rFonts w:ascii="Arial" w:cs="Arial" w:eastAsia="Arial" w:hAnsi="Arial"/>
                <w:sz w:val="20"/>
                <w:szCs w:val="20"/>
                <w:color w:val="auto"/>
              </w:rPr>
              <w:t>6,496</w:t>
            </w:r>
          </w:p>
        </w:tc>
        <w:tc>
          <w:tcPr>
            <w:tcW w:w="0" w:type="dxa"/>
            <w:vAlign w:val="bottom"/>
          </w:tcPr>
          <w:p>
            <w:pPr>
              <w:spacing w:after="0"/>
              <w:rPr>
                <w:sz w:val="1"/>
                <w:szCs w:val="1"/>
                <w:color w:val="auto"/>
              </w:rPr>
            </w:pPr>
          </w:p>
        </w:tc>
      </w:tr>
      <w:tr>
        <w:trPr>
          <w:trHeight w:val="232"/>
        </w:trPr>
        <w:tc>
          <w:tcPr>
            <w:tcW w:w="6720" w:type="dxa"/>
            <w:vAlign w:val="bottom"/>
            <w:gridSpan w:val="2"/>
          </w:tcPr>
          <w:p>
            <w:pPr>
              <w:jc w:val="right"/>
              <w:ind w:right="360"/>
              <w:spacing w:after="0"/>
              <w:rPr>
                <w:sz w:val="20"/>
                <w:szCs w:val="20"/>
                <w:color w:val="auto"/>
              </w:rPr>
            </w:pPr>
            <w:r>
              <w:rPr>
                <w:rFonts w:ascii="Arial" w:cs="Arial" w:eastAsia="Arial" w:hAnsi="Arial"/>
                <w:sz w:val="20"/>
                <w:szCs w:val="20"/>
                <w:color w:val="auto"/>
                <w:w w:val="95"/>
              </w:rPr>
              <w:t>Accrued clinical trial related costs . . . . . . . . . . . . . . . . . . . . . . . . . . . . . . . . .</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2,196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470</w:t>
            </w:r>
          </w:p>
        </w:tc>
        <w:tc>
          <w:tcPr>
            <w:tcW w:w="0" w:type="dxa"/>
            <w:vAlign w:val="bottom"/>
          </w:tcPr>
          <w:p>
            <w:pPr>
              <w:spacing w:after="0"/>
              <w:rPr>
                <w:sz w:val="1"/>
                <w:szCs w:val="1"/>
                <w:color w:val="auto"/>
              </w:rPr>
            </w:pPr>
          </w:p>
        </w:tc>
      </w:tr>
      <w:tr>
        <w:trPr>
          <w:trHeight w:val="230"/>
        </w:trPr>
        <w:tc>
          <w:tcPr>
            <w:tcW w:w="6720" w:type="dxa"/>
            <w:vAlign w:val="bottom"/>
            <w:gridSpan w:val="2"/>
          </w:tcPr>
          <w:p>
            <w:pPr>
              <w:jc w:val="right"/>
              <w:ind w:right="360"/>
              <w:spacing w:after="0"/>
              <w:rPr>
                <w:sz w:val="20"/>
                <w:szCs w:val="20"/>
                <w:color w:val="auto"/>
              </w:rPr>
            </w:pPr>
            <w:r>
              <w:rPr>
                <w:rFonts w:ascii="Arial" w:cs="Arial" w:eastAsia="Arial" w:hAnsi="Arial"/>
                <w:sz w:val="20"/>
                <w:szCs w:val="20"/>
                <w:color w:val="auto"/>
                <w:w w:val="94"/>
              </w:rPr>
              <w:t>Professional and legal fees . . . . . . . . . . . . . . . . . . . . . . . . . . . . . . . . . . . . . . .</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2,617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1,642</w:t>
            </w:r>
          </w:p>
        </w:tc>
        <w:tc>
          <w:tcPr>
            <w:tcW w:w="0" w:type="dxa"/>
            <w:vAlign w:val="bottom"/>
          </w:tcPr>
          <w:p>
            <w:pPr>
              <w:spacing w:after="0"/>
              <w:rPr>
                <w:sz w:val="1"/>
                <w:szCs w:val="1"/>
                <w:color w:val="auto"/>
              </w:rPr>
            </w:pPr>
          </w:p>
        </w:tc>
      </w:tr>
      <w:tr>
        <w:trPr>
          <w:trHeight w:val="232"/>
        </w:trPr>
        <w:tc>
          <w:tcPr>
            <w:tcW w:w="6720" w:type="dxa"/>
            <w:vAlign w:val="bottom"/>
            <w:gridSpan w:val="2"/>
          </w:tcPr>
          <w:p>
            <w:pPr>
              <w:jc w:val="right"/>
              <w:ind w:right="360"/>
              <w:spacing w:after="0"/>
              <w:rPr>
                <w:sz w:val="20"/>
                <w:szCs w:val="20"/>
                <w:color w:val="auto"/>
              </w:rPr>
            </w:pPr>
            <w:r>
              <w:rPr>
                <w:rFonts w:ascii="Arial" w:cs="Arial" w:eastAsia="Arial" w:hAnsi="Arial"/>
                <w:sz w:val="20"/>
                <w:szCs w:val="20"/>
                <w:color w:val="auto"/>
                <w:w w:val="94"/>
              </w:rPr>
              <w:t>Operating lease liability, current . . . . . . . . . . . . . . . . . . . . . . . . . . . . . . . . . . .</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4,870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1,513</w:t>
            </w:r>
          </w:p>
        </w:tc>
        <w:tc>
          <w:tcPr>
            <w:tcW w:w="0" w:type="dxa"/>
            <w:vAlign w:val="bottom"/>
          </w:tcPr>
          <w:p>
            <w:pPr>
              <w:spacing w:after="0"/>
              <w:rPr>
                <w:sz w:val="1"/>
                <w:szCs w:val="1"/>
                <w:color w:val="auto"/>
              </w:rPr>
            </w:pPr>
          </w:p>
        </w:tc>
      </w:tr>
      <w:tr>
        <w:trPr>
          <w:trHeight w:val="250"/>
        </w:trPr>
        <w:tc>
          <w:tcPr>
            <w:tcW w:w="6720" w:type="dxa"/>
            <w:vAlign w:val="bottom"/>
            <w:gridSpan w:val="2"/>
          </w:tcPr>
          <w:p>
            <w:pPr>
              <w:jc w:val="right"/>
              <w:ind w:right="360"/>
              <w:spacing w:after="0"/>
              <w:rPr>
                <w:sz w:val="20"/>
                <w:szCs w:val="20"/>
                <w:color w:val="auto"/>
              </w:rPr>
            </w:pPr>
            <w:r>
              <w:rPr>
                <w:rFonts w:ascii="Arial" w:cs="Arial" w:eastAsia="Arial" w:hAnsi="Arial"/>
                <w:sz w:val="20"/>
                <w:szCs w:val="20"/>
                <w:color w:val="auto"/>
                <w:w w:val="91"/>
              </w:rPr>
              <w:t>Other . . . . . . . . . . . . . . . . . . . . . . . . . . . . . . . . . . . . . . . . . . . . . . . . . . . . . . . . . .</w:t>
            </w: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31"/>
        </w:trPr>
        <w:tc>
          <w:tcPr>
            <w:tcW w:w="6700" w:type="dxa"/>
            <w:vAlign w:val="bottom"/>
          </w:tcPr>
          <w:p>
            <w:pPr>
              <w:jc w:val="right"/>
              <w:ind w:right="240"/>
              <w:spacing w:after="0" w:line="223" w:lineRule="exact"/>
              <w:rPr>
                <w:sz w:val="20"/>
                <w:szCs w:val="20"/>
                <w:color w:val="auto"/>
              </w:rPr>
            </w:pPr>
            <w:r>
              <w:rPr>
                <w:rFonts w:ascii="Arial" w:cs="Arial" w:eastAsia="Arial" w:hAnsi="Arial"/>
                <w:sz w:val="20"/>
                <w:szCs w:val="20"/>
                <w:color w:val="auto"/>
                <w:w w:val="95"/>
              </w:rPr>
              <w:t>Total accrued expenses and other liabilities . . . . . . . . . . . . . . . . . . . . . . . . .</w:t>
            </w: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17,461</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10,149</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24"/>
          <w:szCs w:val="24"/>
          <w:color w:val="auto"/>
        </w:rPr>
        <w:t>Note 8—Long-term debt</w:t>
      </w:r>
    </w:p>
    <w:p>
      <w:pPr>
        <w:spacing w:after="0" w:line="243"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On September 14, 2020, the Company entered into a $10,000 Term Loan Agreement (as amended, the “Loan Agreement”) with Hercules Capital, Inc. (“Hercules”). Pursuant to the terms of the Loan Agreement, the Company borrowed $10,000 (the “Tranche 1 Advance”) from the lenders at closing. The Company granted Hercules a lien on substantially all of the Company’s assets, excluding intellectual property.</w:t>
      </w:r>
    </w:p>
    <w:p>
      <w:pPr>
        <w:spacing w:after="0" w:line="18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On May 1, 2023, the Company prepaid the Loan Agreement in full. The total amount paid to Hercules in connection with the prepayment was $10,617, which included all outstanding principal, accrued and unpaid interest and end of term and prepayment charges (“the Payoff Amount”). The Payoff Amount included a prepayment charge of $100 (equal to 1.0% of the outstanding principal), and an end of term fee of $395, which was being recognized as interest expense and accreted over the term of the Loan Agreement using the effective interest method. Upon receipt by Hercules of the Payoff Amount on May 1, 2023, all obligations, covenants, debts and liabilities of the Company under the Loan Agreement were satisfied and discharged in full, and the Loan Agreement was terminated.</w:t>
      </w:r>
    </w:p>
    <w:p>
      <w:pPr>
        <w:spacing w:after="0" w:line="194"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Company issued to Hercules warrants to purchase up to an aggregate of 16,112 shares of common stock. The warrants are exercisable for a period of ten years from the date of the issuance of each warrant at a per share exercise price equal to $13.96, subject to certain adjustments as specified in the warrants. The fair value of the warrants at issuance was $46. The Company accounted for the warrants as equity, and the fair value is recorded in additional paid-in capital.</w:t>
      </w:r>
    </w:p>
    <w:p>
      <w:pPr>
        <w:spacing w:after="0" w:line="192" w:lineRule="exact"/>
        <w:rPr>
          <w:sz w:val="20"/>
          <w:szCs w:val="20"/>
          <w:color w:val="auto"/>
        </w:rPr>
      </w:pPr>
    </w:p>
    <w:p>
      <w:pPr>
        <w:ind w:right="60"/>
        <w:spacing w:after="0" w:line="283" w:lineRule="auto"/>
        <w:rPr>
          <w:sz w:val="20"/>
          <w:szCs w:val="20"/>
          <w:color w:val="auto"/>
        </w:rPr>
      </w:pPr>
      <w:r>
        <w:rPr>
          <w:rFonts w:ascii="Arial" w:cs="Arial" w:eastAsia="Arial" w:hAnsi="Arial"/>
          <w:sz w:val="20"/>
          <w:szCs w:val="20"/>
          <w:color w:val="auto"/>
        </w:rPr>
        <w:t>The company incurred interest expense of $540 under the Loan Agreement for the year ended December 31, 2023.</w:t>
      </w:r>
    </w:p>
    <w:p>
      <w:pPr>
        <w:spacing w:after="0" w:line="153" w:lineRule="exact"/>
        <w:rPr>
          <w:sz w:val="20"/>
          <w:szCs w:val="20"/>
          <w:color w:val="auto"/>
        </w:rPr>
      </w:pPr>
    </w:p>
    <w:p>
      <w:pPr>
        <w:spacing w:after="0"/>
        <w:rPr>
          <w:sz w:val="20"/>
          <w:szCs w:val="20"/>
          <w:color w:val="auto"/>
        </w:rPr>
      </w:pPr>
      <w:r>
        <w:rPr>
          <w:rFonts w:ascii="Arial" w:cs="Arial" w:eastAsia="Arial" w:hAnsi="Arial"/>
          <w:sz w:val="24"/>
          <w:szCs w:val="24"/>
          <w:color w:val="auto"/>
        </w:rPr>
        <w:t>Note 9 – Bristol-Myers Squibb Collaboration</w:t>
      </w:r>
    </w:p>
    <w:p>
      <w:pPr>
        <w:spacing w:after="0" w:line="245"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On January 7, 2022, the Company entered into the Collaboration Agreement with Bristol-Myers Squibb to collaborate on the research, development and commercialization of iNK and iT cell programs for hematologic malignancies and solid tumors (“Collaboration Program”, and each product candidate a “Development Candidate”). The Collaboration Agreement was within the scope of ASC 808, Collaborative Arrangements as both parties were active participants in the arrangement and are exposed to significant risks and rewards. While this arrangement was in the scope of ASC 808, the Company analogizes to ASC 606 for the accounting for the Collaboration Agreement, including for the delivery of goods and services (i.e., units of account). Revenue recognized by analogizing to ASC 606 is recorded as collaboration revenue in the statements of operations.</w:t>
      </w:r>
    </w:p>
    <w:p>
      <w:pPr>
        <w:sectPr>
          <w:pgSz w:w="11880" w:h="15480" w:orient="portrait"/>
          <w:cols w:equalWidth="0" w:num="1">
            <w:col w:w="9720"/>
          </w:cols>
          <w:pgMar w:left="1080" w:top="1063"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150</w:t>
      </w:r>
    </w:p>
    <w:p>
      <w:pPr>
        <w:sectPr>
          <w:pgSz w:w="11880" w:h="15480" w:orient="portrait"/>
          <w:cols w:equalWidth="0" w:num="1">
            <w:col w:w="9720"/>
          </w:cols>
          <w:pgMar w:left="1080" w:top="1063" w:right="1080" w:bottom="554" w:gutter="0" w:footer="0" w:header="0"/>
          <w:type w:val="continuous"/>
        </w:sectPr>
      </w:pPr>
    </w:p>
    <w:bookmarkStart w:id="150" w:name="page151"/>
    <w:bookmarkEnd w:id="150"/>
    <w:p>
      <w:pPr>
        <w:spacing w:after="0" w:line="247" w:lineRule="auto"/>
        <w:rPr>
          <w:sz w:val="20"/>
          <w:szCs w:val="20"/>
          <w:color w:val="auto"/>
        </w:rPr>
      </w:pPr>
      <w:r>
        <w:rPr>
          <w:rFonts w:ascii="Arial" w:cs="Arial" w:eastAsia="Arial" w:hAnsi="Arial"/>
          <w:sz w:val="20"/>
          <w:szCs w:val="20"/>
          <w:color w:val="auto"/>
        </w:rPr>
        <w:t>Pursuant to the Collaboration Agreement, the Company and Bristol- Myers Squibb collaborated on two collaboration programs focused on acute myeloid leukemia (“AML”) and multiple myeloma (“MM”) (“Collaboration Programs”), and Bristol-Myers Squibb had the option to add up to two additional Collaboration Programs for an additional fee. The Company was responsible for generating Development Candidates for each Collaboration Program, and Bristol-Myers Squibb had the option to elect to exclusively license the Development Candidates for pre-clinical development, clinical development and commercialization on a worldwide basis (“License Option”).</w:t>
      </w:r>
    </w:p>
    <w:p>
      <w:pPr>
        <w:spacing w:after="0" w:line="194"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Under the terms of the Collaboration Agreement, Bristol- Myers Squibb made a non-refundable, upfront cash payment of $100,000 and agreed to pay an exercise fee upon the exercise of the License Option (“Licensed Program” and product candidates developed under a Licensed Program, “Licensed Products”) . For each Licensed Program, Bristol-Myers Squibb agreed to pay up to $235,000 in milestone payments upon the first achievement of certain development and regulatory milestones and agreed to pay up to $500,000 per Licensed Product in net sales-based milestone payments.</w:t>
      </w:r>
    </w:p>
    <w:p>
      <w:pPr>
        <w:spacing w:after="0" w:line="194"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In connection with the Collaboration Agreement, Bristol-Myers Squibb purchased 2,160,760 shares of the Company’s common stock at a price per share of $23.14, for an aggregate purchase price of $50,000. In determining the fair value of the common stock issued to Bristol- Myers Squibb, the Company considered the closing price of the common stock on the date of the transaction and included a lack of marketability discount because the shares are subject to certain restrictions. The Company determined the common stock purchase represented a premium of $7.82 per share, or $23,187 in the aggregate (“Equity Premium”), and the remaining $26,813 was recorded as issuance of common stock in stockholders’ equity.</w:t>
      </w:r>
    </w:p>
    <w:p>
      <w:pPr>
        <w:spacing w:after="0" w:line="193"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The Company identified the following commitments under the arrangement: (i) research and development services (“R&amp;D Services”) under each of the two initial Collaboration Programs and (ii) Bristol- Myers Squibb’s License Option to elect to exclusively license the Development Candidates for each of the two initial Collaboration Programs. The Company determined that these four commitments represented distinct performance obligations for purposes of recognizing revenue and would have recognized revenue if the Company had fulfilled such performance obligations.</w:t>
      </w:r>
    </w:p>
    <w:p>
      <w:pPr>
        <w:spacing w:after="0" w:line="194"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The Company determined that the upfront payment and equity premium constituted the transaction price at the inception of the Collaboration Agreement. The future potential development and regulatory milestone payments were fully constrained at contract inception as the risk of significant revenue reversal related to these amounts has not yet been resolved. The achievement of the future potential milestones was not within the Company’s control and was subject to certain research and development success and therefore carried significant uncertainty.</w:t>
      </w:r>
    </w:p>
    <w:p>
      <w:pPr>
        <w:sectPr>
          <w:pgSz w:w="11880" w:h="15480" w:orient="portrait"/>
          <w:cols w:equalWidth="0" w:num="1">
            <w:col w:w="9660"/>
          </w:cols>
          <w:pgMar w:left="1080" w:top="1067" w:right="114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151</w:t>
      </w:r>
    </w:p>
    <w:p>
      <w:pPr>
        <w:sectPr>
          <w:pgSz w:w="11880" w:h="15480" w:orient="portrait"/>
          <w:cols w:equalWidth="0" w:num="1">
            <w:col w:w="9660"/>
          </w:cols>
          <w:pgMar w:left="1080" w:top="1067" w:right="1140" w:bottom="554" w:gutter="0" w:footer="0" w:header="0"/>
          <w:type w:val="continuous"/>
        </w:sectPr>
      </w:pPr>
    </w:p>
    <w:bookmarkStart w:id="151" w:name="page152"/>
    <w:bookmarkEnd w:id="151"/>
    <w:p>
      <w:pPr>
        <w:spacing w:after="0" w:line="247" w:lineRule="auto"/>
        <w:rPr>
          <w:sz w:val="20"/>
          <w:szCs w:val="20"/>
          <w:color w:val="auto"/>
        </w:rPr>
      </w:pPr>
      <w:r>
        <w:rPr>
          <w:rFonts w:ascii="Arial" w:cs="Arial" w:eastAsia="Arial" w:hAnsi="Arial"/>
          <w:sz w:val="20"/>
          <w:szCs w:val="20"/>
          <w:color w:val="auto"/>
        </w:rPr>
        <w:t>The total transaction price of $123,187 was allocated to the performance obligations based on their estimated standalone selling price on January 7, 2022. The stand-alone selling price of the research and development services was estimated using the expected cost- plus margin approach, and the stand-alone selling price of the License Options was based on a discounted cash flow approach and considered several factors including, but not limited to, discount rate, development timeline, regulatory risks, estimated market demand, and future revenue potential using an adjusted market approach. The allocated transaction price is recognized as revenue in one of two ways:</w:t>
      </w:r>
    </w:p>
    <w:p>
      <w:pPr>
        <w:spacing w:after="0" w:line="207" w:lineRule="exact"/>
        <w:rPr>
          <w:sz w:val="20"/>
          <w:szCs w:val="20"/>
          <w:color w:val="auto"/>
        </w:rPr>
      </w:pPr>
    </w:p>
    <w:p>
      <w:pPr>
        <w:ind w:left="720" w:hanging="353"/>
        <w:spacing w:after="0" w:line="247" w:lineRule="auto"/>
        <w:tabs>
          <w:tab w:leader="none" w:pos="720" w:val="left"/>
        </w:tabs>
        <w:numPr>
          <w:ilvl w:val="0"/>
          <w:numId w:val="75"/>
        </w:numPr>
        <w:rPr>
          <w:rFonts w:ascii="Arial" w:cs="Arial" w:eastAsia="Arial" w:hAnsi="Arial"/>
          <w:sz w:val="20"/>
          <w:szCs w:val="20"/>
          <w:color w:val="auto"/>
        </w:rPr>
      </w:pPr>
      <w:r>
        <w:rPr>
          <w:rFonts w:ascii="Arial" w:cs="Arial" w:eastAsia="Arial" w:hAnsi="Arial"/>
          <w:sz w:val="20"/>
          <w:szCs w:val="20"/>
          <w:color w:val="auto"/>
        </w:rPr>
        <w:t>Research and development services: The Company recognized the portion of the transaction price allocated to each of the research and development performance obligations as the research and development services are provided, using an inputs method, in proportion to costs incurred to date for each research development target as compared to total costs incurred and expected to be incurred in the future to satisfy the underlying obligation related to each research and development target. The transfer of control occurs over this period and, in management’s judgment, is the best measure of progress towards satisfying the performance obligation.</w:t>
      </w:r>
    </w:p>
    <w:p>
      <w:pPr>
        <w:spacing w:after="0" w:line="207" w:lineRule="exact"/>
        <w:rPr>
          <w:rFonts w:ascii="Arial" w:cs="Arial" w:eastAsia="Arial" w:hAnsi="Arial"/>
          <w:sz w:val="20"/>
          <w:szCs w:val="20"/>
          <w:color w:val="auto"/>
        </w:rPr>
      </w:pPr>
    </w:p>
    <w:p>
      <w:pPr>
        <w:ind w:left="720" w:right="220" w:hanging="353"/>
        <w:spacing w:after="0" w:line="254" w:lineRule="auto"/>
        <w:tabs>
          <w:tab w:leader="none" w:pos="720" w:val="left"/>
        </w:tabs>
        <w:numPr>
          <w:ilvl w:val="0"/>
          <w:numId w:val="75"/>
        </w:numPr>
        <w:rPr>
          <w:rFonts w:ascii="Arial" w:cs="Arial" w:eastAsia="Arial" w:hAnsi="Arial"/>
          <w:sz w:val="20"/>
          <w:szCs w:val="20"/>
          <w:color w:val="auto"/>
        </w:rPr>
      </w:pPr>
      <w:r>
        <w:rPr>
          <w:rFonts w:ascii="Arial" w:cs="Arial" w:eastAsia="Arial" w:hAnsi="Arial"/>
          <w:sz w:val="20"/>
          <w:szCs w:val="20"/>
          <w:color w:val="auto"/>
        </w:rPr>
        <w:t>License option rights: The transaction price allocated to the license options rights, which were considered material rights to license and commercialize the underlying research and development target, were deferred Bristol-Myers Squibb would have elected to exercise or not exercise its option or when the option to exercise expired.</w:t>
      </w:r>
    </w:p>
    <w:p>
      <w:pPr>
        <w:spacing w:after="0" w:line="18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Following an internal corporate portfolio prioritization process, Bristol-Myers Squibb notified the Company on December 12, 2024 that it would be terminating the Collaboration Agreement in its entirety without cause. The termination was effective on March 12, 2025. As a result of the notice of termination, the Company concluded that the research and development services being provided to Bristol- Myers Squibb are substantially complete as of December 31, 2024, and accordingly, the remaining transaction price allocated to that performance obligation was recorded in the fourth quarter of 2024. The remaining transaction price related to the license option rights is expected to be recognized in the first quarter of 2025 when the option right expires upon the termination of the Collaboration Agreement.</w:t>
      </w:r>
    </w:p>
    <w:p>
      <w:pPr>
        <w:spacing w:after="0" w:line="194" w:lineRule="exact"/>
        <w:rPr>
          <w:sz w:val="20"/>
          <w:szCs w:val="20"/>
          <w:color w:val="auto"/>
        </w:rPr>
      </w:pPr>
    </w:p>
    <w:p>
      <w:pPr>
        <w:ind w:right="280"/>
        <w:spacing w:after="0" w:line="262" w:lineRule="auto"/>
        <w:rPr>
          <w:sz w:val="20"/>
          <w:szCs w:val="20"/>
          <w:color w:val="auto"/>
        </w:rPr>
      </w:pPr>
      <w:r>
        <w:rPr>
          <w:rFonts w:ascii="Arial" w:cs="Arial" w:eastAsia="Arial" w:hAnsi="Arial"/>
          <w:sz w:val="20"/>
          <w:szCs w:val="20"/>
          <w:color w:val="auto"/>
        </w:rPr>
        <w:t>The following table summarizes the allocation of the total transaction price to the identified performance obligations under the arrangement, and the amount of the transaction price unsatisfied as of December 31, 2024:</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Arial" w:cs="Arial" w:eastAsia="Arial" w:hAnsi="Arial"/>
                <w:sz w:val="16"/>
                <w:szCs w:val="16"/>
                <w:color w:val="auto"/>
                <w:w w:val="98"/>
              </w:rPr>
              <w:t>Cumulative collaboration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363"/>
              <w:spacing w:after="0"/>
              <w:rPr>
                <w:sz w:val="20"/>
                <w:szCs w:val="20"/>
                <w:color w:val="auto"/>
              </w:rPr>
            </w:pPr>
            <w:r>
              <w:rPr>
                <w:rFonts w:ascii="Arial" w:cs="Arial" w:eastAsia="Arial" w:hAnsi="Arial"/>
                <w:sz w:val="16"/>
                <w:szCs w:val="16"/>
                <w:color w:val="auto"/>
              </w:rPr>
              <w:t>Deferred</w:t>
            </w:r>
          </w:p>
        </w:tc>
        <w:tc>
          <w:tcPr>
            <w:tcW w:w="0" w:type="dxa"/>
            <w:vAlign w:val="bottom"/>
          </w:tcPr>
          <w:p>
            <w:pPr>
              <w:spacing w:after="0"/>
              <w:rPr>
                <w:sz w:val="1"/>
                <w:szCs w:val="1"/>
                <w:color w:val="auto"/>
              </w:rPr>
            </w:pPr>
          </w:p>
        </w:tc>
      </w:tr>
      <w:tr>
        <w:trPr>
          <w:trHeight w:val="198"/>
        </w:trPr>
        <w:tc>
          <w:tcPr>
            <w:tcW w:w="4720" w:type="dxa"/>
            <w:vAlign w:val="bottom"/>
          </w:tcPr>
          <w:p>
            <w:pPr>
              <w:spacing w:after="0"/>
              <w:rPr>
                <w:sz w:val="20"/>
                <w:szCs w:val="20"/>
                <w:color w:val="auto"/>
              </w:rPr>
            </w:pPr>
            <w:r>
              <w:rPr>
                <w:rFonts w:ascii="Arial" w:cs="Arial" w:eastAsia="Arial" w:hAnsi="Arial"/>
                <w:sz w:val="16"/>
                <w:szCs w:val="16"/>
                <w:color w:val="auto"/>
              </w:rPr>
              <w:t>Performance obligations:</w:t>
            </w:r>
          </w:p>
        </w:tc>
        <w:tc>
          <w:tcPr>
            <w:tcW w:w="1240" w:type="dxa"/>
            <w:vAlign w:val="bottom"/>
            <w:gridSpan w:val="3"/>
          </w:tcPr>
          <w:p>
            <w:pPr>
              <w:spacing w:after="0"/>
              <w:rPr>
                <w:sz w:val="20"/>
                <w:szCs w:val="20"/>
                <w:color w:val="auto"/>
              </w:rPr>
            </w:pPr>
            <w:r>
              <w:rPr>
                <w:rFonts w:ascii="Arial" w:cs="Arial" w:eastAsia="Arial" w:hAnsi="Arial"/>
                <w:sz w:val="16"/>
                <w:szCs w:val="16"/>
                <w:color w:val="auto"/>
                <w:w w:val="99"/>
              </w:rPr>
              <w:t>Transaction price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ind w:right="83"/>
              <w:spacing w:after="0"/>
              <w:rPr>
                <w:sz w:val="20"/>
                <w:szCs w:val="20"/>
                <w:color w:val="auto"/>
              </w:rPr>
            </w:pPr>
            <w:r>
              <w:rPr>
                <w:rFonts w:ascii="Arial" w:cs="Arial" w:eastAsia="Arial" w:hAnsi="Arial"/>
                <w:sz w:val="16"/>
                <w:szCs w:val="16"/>
                <w:color w:val="auto"/>
                <w:w w:val="99"/>
              </w:rPr>
              <w:t>revenue recognized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6"/>
                <w:szCs w:val="16"/>
                <w:color w:val="auto"/>
                <w:w w:val="99"/>
              </w:rPr>
              <w:t>collaboration revenue</w:t>
            </w:r>
          </w:p>
        </w:tc>
        <w:tc>
          <w:tcPr>
            <w:tcW w:w="0" w:type="dxa"/>
            <w:vAlign w:val="bottom"/>
          </w:tcPr>
          <w:p>
            <w:pPr>
              <w:spacing w:after="0"/>
              <w:rPr>
                <w:sz w:val="1"/>
                <w:szCs w:val="1"/>
                <w:color w:val="auto"/>
              </w:rPr>
            </w:pPr>
          </w:p>
        </w:tc>
      </w:tr>
      <w:tr>
        <w:trPr>
          <w:trHeight w:val="200"/>
        </w:trPr>
        <w:tc>
          <w:tcPr>
            <w:tcW w:w="4720" w:type="dxa"/>
            <w:vAlign w:val="bottom"/>
          </w:tcPr>
          <w:p>
            <w:pPr>
              <w:jc w:val="right"/>
              <w:ind w:right="203"/>
              <w:spacing w:after="0" w:line="201" w:lineRule="exact"/>
              <w:rPr>
                <w:sz w:val="20"/>
                <w:szCs w:val="20"/>
                <w:color w:val="auto"/>
              </w:rPr>
            </w:pPr>
            <w:r>
              <w:rPr>
                <w:rFonts w:ascii="Arial" w:cs="Arial" w:eastAsia="Arial" w:hAnsi="Arial"/>
                <w:sz w:val="20"/>
                <w:szCs w:val="20"/>
                <w:color w:val="auto"/>
                <w:w w:val="96"/>
              </w:rPr>
              <w:t>. . . . . . . . . . . . . . . . . . . . . . . . . . . . . . . .Optionrights</w:t>
            </w: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line="201"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109,164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line="201" w:lineRule="exact"/>
              <w:rPr>
                <w:sz w:val="20"/>
                <w:szCs w:val="20"/>
                <w:color w:val="auto"/>
              </w:rPr>
            </w:pPr>
            <w:r>
              <w:rPr>
                <w:rFonts w:ascii="Arial" w:cs="Arial" w:eastAsia="Arial" w:hAnsi="Arial"/>
                <w:sz w:val="20"/>
                <w:szCs w:val="20"/>
                <w:color w:val="auto"/>
              </w:rPr>
              <w:t>$</w:t>
            </w:r>
          </w:p>
        </w:tc>
        <w:tc>
          <w:tcPr>
            <w:tcW w:w="1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line="201" w:lineRule="exact"/>
              <w:rPr>
                <w:sz w:val="20"/>
                <w:szCs w:val="20"/>
                <w:color w:val="auto"/>
              </w:rPr>
            </w:pPr>
            <w:r>
              <w:rPr>
                <w:rFonts w:ascii="Arial" w:cs="Arial" w:eastAsia="Arial" w:hAnsi="Arial"/>
                <w:sz w:val="20"/>
                <w:szCs w:val="20"/>
                <w:color w:val="auto"/>
              </w:rPr>
              <w:t>$</w:t>
            </w:r>
          </w:p>
        </w:tc>
        <w:tc>
          <w:tcPr>
            <w:tcW w:w="1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109,164</w:t>
            </w:r>
          </w:p>
        </w:tc>
        <w:tc>
          <w:tcPr>
            <w:tcW w:w="0" w:type="dxa"/>
            <w:vAlign w:val="bottom"/>
          </w:tcPr>
          <w:p>
            <w:pPr>
              <w:spacing w:after="0"/>
              <w:rPr>
                <w:sz w:val="1"/>
                <w:szCs w:val="1"/>
                <w:color w:val="auto"/>
              </w:rPr>
            </w:pPr>
          </w:p>
        </w:tc>
      </w:tr>
      <w:tr>
        <w:trPr>
          <w:trHeight w:val="250"/>
        </w:trPr>
        <w:tc>
          <w:tcPr>
            <w:tcW w:w="4720" w:type="dxa"/>
            <w:vAlign w:val="bottom"/>
          </w:tcPr>
          <w:p>
            <w:pPr>
              <w:jc w:val="right"/>
              <w:ind w:right="203"/>
              <w:spacing w:after="0"/>
              <w:rPr>
                <w:sz w:val="20"/>
                <w:szCs w:val="20"/>
                <w:color w:val="auto"/>
              </w:rPr>
            </w:pPr>
            <w:r>
              <w:rPr>
                <w:rFonts w:ascii="Arial" w:cs="Arial" w:eastAsia="Arial" w:hAnsi="Arial"/>
                <w:sz w:val="20"/>
                <w:szCs w:val="20"/>
                <w:color w:val="auto"/>
                <w:w w:val="96"/>
              </w:rPr>
              <w:t>Research and development services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14,023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(14,023)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1"/>
        </w:trPr>
        <w:tc>
          <w:tcPr>
            <w:tcW w:w="4720" w:type="dxa"/>
            <w:vAlign w:val="bottom"/>
          </w:tcPr>
          <w:p>
            <w:pPr>
              <w:jc w:val="right"/>
              <w:ind w:right="203"/>
              <w:spacing w:after="0" w:line="201" w:lineRule="exact"/>
              <w:rPr>
                <w:sz w:val="20"/>
                <w:szCs w:val="20"/>
                <w:color w:val="auto"/>
              </w:rPr>
            </w:pPr>
            <w:r>
              <w:rPr>
                <w:rFonts w:ascii="Arial" w:cs="Arial" w:eastAsia="Arial" w:hAnsi="Arial"/>
                <w:sz w:val="20"/>
                <w:szCs w:val="20"/>
                <w:color w:val="auto"/>
                <w:w w:val="93"/>
              </w:rPr>
              <w:t>. . . . . . . . . . . . . . . . . . . . . . . . . . . . . . . . . . . . . . .Total</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20"/>
                <w:szCs w:val="20"/>
                <w:color w:val="auto"/>
              </w:rPr>
              <w:t>123,187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spacing w:after="0" w:line="201" w:lineRule="exact"/>
              <w:rPr>
                <w:sz w:val="20"/>
                <w:szCs w:val="20"/>
                <w:color w:val="auto"/>
              </w:rPr>
            </w:pPr>
            <w:r>
              <w:rPr>
                <w:rFonts w:ascii="Arial" w:cs="Arial" w:eastAsia="Arial" w:hAnsi="Arial"/>
                <w:sz w:val="20"/>
                <w:szCs w:val="20"/>
                <w:color w:val="auto"/>
              </w:rPr>
              <w:t>(14,023)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line="201" w:lineRule="exact"/>
              <w:rPr>
                <w:sz w:val="20"/>
                <w:szCs w:val="20"/>
                <w:color w:val="auto"/>
              </w:rPr>
            </w:pPr>
            <w:r>
              <w:rPr>
                <w:rFonts w:ascii="Arial" w:cs="Arial" w:eastAsia="Arial" w:hAnsi="Arial"/>
                <w:sz w:val="20"/>
                <w:szCs w:val="20"/>
                <w:color w:val="auto"/>
              </w:rPr>
              <w:t>109,164</w:t>
            </w: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20"/>
                <w:szCs w:val="20"/>
                <w:color w:val="auto"/>
              </w:rPr>
              <w:t>Less current portion of deferred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(123,187)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vMerge w:val="restart"/>
          </w:tcPr>
          <w:p>
            <w:pPr>
              <w:jc w:val="right"/>
              <w:spacing w:after="0"/>
              <w:rPr>
                <w:sz w:val="20"/>
                <w:szCs w:val="20"/>
                <w:color w:val="auto"/>
              </w:rPr>
            </w:pPr>
            <w:r>
              <w:rPr>
                <w:rFonts w:ascii="Arial" w:cs="Arial" w:eastAsia="Arial" w:hAnsi="Arial"/>
                <w:sz w:val="20"/>
                <w:szCs w:val="20"/>
                <w:color w:val="auto"/>
              </w:rPr>
              <w:t>14,023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(109,164)</w:t>
            </w:r>
          </w:p>
        </w:tc>
        <w:tc>
          <w:tcPr>
            <w:tcW w:w="0" w:type="dxa"/>
            <w:vAlign w:val="bottom"/>
          </w:tcPr>
          <w:p>
            <w:pPr>
              <w:spacing w:after="0"/>
              <w:rPr>
                <w:sz w:val="1"/>
                <w:szCs w:val="1"/>
                <w:color w:val="auto"/>
              </w:rPr>
            </w:pPr>
          </w:p>
        </w:tc>
      </w:tr>
      <w:tr>
        <w:trPr>
          <w:trHeight w:val="249"/>
        </w:trPr>
        <w:tc>
          <w:tcPr>
            <w:tcW w:w="4720" w:type="dxa"/>
            <w:vAlign w:val="bottom"/>
          </w:tcPr>
          <w:p>
            <w:pPr>
              <w:jc w:val="right"/>
              <w:ind w:right="203"/>
              <w:spacing w:after="0"/>
              <w:rPr>
                <w:sz w:val="20"/>
                <w:szCs w:val="20"/>
                <w:color w:val="auto"/>
              </w:rPr>
            </w:pPr>
            <w:r>
              <w:rPr>
                <w:rFonts w:ascii="Arial" w:cs="Arial" w:eastAsia="Arial" w:hAnsi="Arial"/>
                <w:sz w:val="20"/>
                <w:szCs w:val="20"/>
                <w:color w:val="auto"/>
                <w:w w:val="92"/>
              </w:rPr>
              <w:t>revenue.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20" w:type="dxa"/>
            <w:vAlign w:val="bottom"/>
          </w:tcPr>
          <w:p>
            <w:pPr>
              <w:jc w:val="right"/>
              <w:ind w:right="203"/>
              <w:spacing w:after="0" w:line="221" w:lineRule="exact"/>
              <w:rPr>
                <w:sz w:val="20"/>
                <w:szCs w:val="20"/>
                <w:color w:val="auto"/>
              </w:rPr>
            </w:pPr>
            <w:r>
              <w:rPr>
                <w:rFonts w:ascii="Arial" w:cs="Arial" w:eastAsia="Arial" w:hAnsi="Arial"/>
                <w:sz w:val="20"/>
                <w:szCs w:val="20"/>
                <w:color w:val="auto"/>
              </w:rPr>
              <w:t>. . . . . . . . . . . . . . .Totallong-termdeferredrevenue</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24"/>
          <w:szCs w:val="24"/>
          <w:color w:val="auto"/>
        </w:rPr>
        <w:t>Note 10—Commitments and contingencies</w:t>
      </w:r>
    </w:p>
    <w:p>
      <w:pPr>
        <w:spacing w:after="0" w:line="245" w:lineRule="exact"/>
        <w:rPr>
          <w:sz w:val="20"/>
          <w:szCs w:val="20"/>
          <w:color w:val="auto"/>
        </w:rPr>
      </w:pPr>
    </w:p>
    <w:p>
      <w:pPr>
        <w:jc w:val="both"/>
        <w:ind w:right="160"/>
        <w:spacing w:after="0" w:line="261" w:lineRule="auto"/>
        <w:rPr>
          <w:sz w:val="20"/>
          <w:szCs w:val="20"/>
          <w:color w:val="auto"/>
        </w:rPr>
      </w:pPr>
      <w:r>
        <w:rPr>
          <w:rFonts w:ascii="Arial" w:cs="Arial" w:eastAsia="Arial" w:hAnsi="Arial"/>
          <w:sz w:val="20"/>
          <w:szCs w:val="20"/>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152</w:t>
      </w:r>
    </w:p>
    <w:p>
      <w:pPr>
        <w:sectPr>
          <w:pgSz w:w="11880" w:h="15480" w:orient="portrait"/>
          <w:cols w:equalWidth="0" w:num="1">
            <w:col w:w="9720"/>
          </w:cols>
          <w:pgMar w:left="1080" w:top="1067" w:right="1080" w:bottom="554" w:gutter="0" w:footer="0" w:header="0"/>
          <w:type w:val="continuous"/>
        </w:sectPr>
      </w:pPr>
    </w:p>
    <w:bookmarkStart w:id="152" w:name="page153"/>
    <w:bookmarkEnd w:id="152"/>
    <w:p>
      <w:pPr>
        <w:spacing w:after="0"/>
        <w:rPr>
          <w:sz w:val="20"/>
          <w:szCs w:val="20"/>
          <w:color w:val="auto"/>
        </w:rPr>
      </w:pPr>
      <w:r>
        <w:rPr>
          <w:rFonts w:ascii="Arial" w:cs="Arial" w:eastAsia="Arial" w:hAnsi="Arial"/>
          <w:sz w:val="20"/>
          <w:szCs w:val="20"/>
          <w:color w:val="auto"/>
        </w:rPr>
        <w:t>Distributed Bio Master Service Agreement</w:t>
      </w:r>
    </w:p>
    <w:p>
      <w:pPr>
        <w:spacing w:after="0" w:line="239"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since the inception of the agreement.</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Company had $65 within accounts payable as of December 31, 2024 and $62 within accrued liabilities as of December 31, 2023, in its consolidated balance sheets related to the Master Service Agreement. During the year ended December 31, 2024 and 2023, there were $65 and $62 in research and development expenses,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iCELL Inc. Sublicense Agreement</w:t>
      </w:r>
    </w:p>
    <w:p>
      <w:pPr>
        <w:spacing w:after="0" w:line="239"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 receive payments of up to $4,250 in development and regulatory approval milestone payments. No milestones or royalties were due in 2024 or 2023.</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Clade Therapeutics</w:t>
      </w:r>
    </w:p>
    <w:p>
      <w:pPr>
        <w:spacing w:after="0" w:line="239" w:lineRule="exact"/>
        <w:rPr>
          <w:sz w:val="20"/>
          <w:szCs w:val="20"/>
          <w:color w:val="auto"/>
        </w:rPr>
      </w:pPr>
    </w:p>
    <w:p>
      <w:pPr>
        <w:ind w:right="240"/>
        <w:spacing w:after="0" w:line="261" w:lineRule="auto"/>
        <w:rPr>
          <w:sz w:val="20"/>
          <w:szCs w:val="20"/>
          <w:color w:val="auto"/>
        </w:rPr>
      </w:pPr>
      <w:r>
        <w:rPr>
          <w:rFonts w:ascii="Arial" w:cs="Arial" w:eastAsia="Arial" w:hAnsi="Arial"/>
          <w:sz w:val="20"/>
          <w:szCs w:val="20"/>
          <w:color w:val="auto"/>
        </w:rPr>
        <w:t>In connection with the acquisition of Clade Therapeutics, (Note 3 Business combination), the Company is subject to a contingent milestone payment to the shareholders of Clade. The milestone payment is $10,000 and is payable in cash, shares of Century, or a combination thereof, at the discretion of Century.</w:t>
      </w:r>
    </w:p>
    <w:p>
      <w:pPr>
        <w:spacing w:after="0" w:line="180"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A total of 793,687 shares (“Holdback Shares”) representing approximately 10% of the aggregate consideration, were held back at the closing of the acquisition as recourse to satisfy certain indemnification obligations of the Clade shareholders under the Merger Agreement should they arise and, subject to any forfeiture of Holdback Shares as a result of indemnification claims made prior to the 18-month anniversary of the Closing, will be issued pursuant to the terms of the Merger Agreement following the 18-month anniversary of the Closing.</w:t>
      </w:r>
    </w:p>
    <w:p>
      <w:pPr>
        <w:spacing w:after="0" w:line="194" w:lineRule="exact"/>
        <w:rPr>
          <w:sz w:val="20"/>
          <w:szCs w:val="20"/>
          <w:color w:val="auto"/>
        </w:rPr>
      </w:pPr>
    </w:p>
    <w:p>
      <w:pPr>
        <w:ind w:right="560"/>
        <w:spacing w:after="0" w:line="254" w:lineRule="auto"/>
        <w:rPr>
          <w:sz w:val="20"/>
          <w:szCs w:val="20"/>
          <w:color w:val="auto"/>
        </w:rPr>
      </w:pPr>
      <w:r>
        <w:rPr>
          <w:rFonts w:ascii="Arial" w:cs="Arial" w:eastAsia="Arial" w:hAnsi="Arial"/>
          <w:sz w:val="20"/>
          <w:szCs w:val="20"/>
          <w:color w:val="auto"/>
        </w:rPr>
        <w:t>In connection with the acquisition of Clade, the Company also assumed an earn-out obligation (“Gadeta Milestone”) that is contingent on a clinical development milestone of a product that incorporates Gadeta intellectual property between the acquisition date and December 21, 2032. The total payments to the shareholders of Gadeta is upon the occurrence of such an event is $20,000.</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color w:val="auto"/>
        </w:rPr>
        <w:t>Note 11—Leases</w:t>
      </w:r>
    </w:p>
    <w:p>
      <w:pPr>
        <w:spacing w:after="0" w:line="243"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The Company has commitments under operating leases for certain facilities used in its operations. The Company maintains security deposits on certain leases in the amounts of $403 and $413 within security deposits and noncurrent assets in its consolidated balance sheets at December 31, 2024 and 2023, respectively. The Company’s leases have initial lease terms ranging from 5 to 16 years. Certain lease agreements contain provisions for future rent increases. Variable lease costs generally include common area maintenance and real estate taxes.</w:t>
      </w:r>
    </w:p>
    <w:p>
      <w:pPr>
        <w:sectPr>
          <w:pgSz w:w="11880" w:h="15480" w:orient="portrait"/>
          <w:cols w:equalWidth="0" w:num="1">
            <w:col w:w="9720"/>
          </w:cols>
          <w:pgMar w:left="1080" w:top="1068"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153</w:t>
      </w:r>
    </w:p>
    <w:p>
      <w:pPr>
        <w:sectPr>
          <w:pgSz w:w="11880" w:h="15480" w:orient="portrait"/>
          <w:cols w:equalWidth="0" w:num="1">
            <w:col w:w="9720"/>
          </w:cols>
          <w:pgMar w:left="1080" w:top="1068" w:right="1080" w:bottom="554" w:gutter="0" w:footer="0" w:header="0"/>
          <w:type w:val="continuous"/>
        </w:sectPr>
      </w:pPr>
    </w:p>
    <w:bookmarkStart w:id="153" w:name="page154"/>
    <w:bookmarkEnd w:id="153"/>
    <w:p>
      <w:pPr>
        <w:spacing w:after="0"/>
        <w:rPr>
          <w:sz w:val="20"/>
          <w:szCs w:val="20"/>
          <w:color w:val="auto"/>
        </w:rPr>
      </w:pPr>
      <w:r>
        <w:rPr>
          <w:rFonts w:ascii="Arial" w:cs="Arial" w:eastAsia="Arial" w:hAnsi="Arial"/>
          <w:sz w:val="20"/>
          <w:szCs w:val="20"/>
          <w:color w:val="auto"/>
        </w:rPr>
        <w:t>The following table reflects the components of lease expense: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center"/>
              <w:ind w:right="187"/>
              <w:spacing w:after="0" w:line="181" w:lineRule="exact"/>
              <w:rPr>
                <w:sz w:val="20"/>
                <w:szCs w:val="20"/>
                <w:color w:val="auto"/>
              </w:rPr>
            </w:pPr>
            <w:r>
              <w:rPr>
                <w:rFonts w:ascii="Arial" w:cs="Arial" w:eastAsia="Arial" w:hAnsi="Arial"/>
                <w:sz w:val="16"/>
                <w:szCs w:val="16"/>
                <w:color w:val="auto"/>
                <w:w w:val="98"/>
              </w:rPr>
              <w:t>For the</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187"/>
              <w:spacing w:after="0" w:line="181" w:lineRule="exact"/>
              <w:rPr>
                <w:sz w:val="20"/>
                <w:szCs w:val="20"/>
                <w:color w:val="auto"/>
              </w:rPr>
            </w:pPr>
            <w:r>
              <w:rPr>
                <w:rFonts w:ascii="Arial" w:cs="Arial" w:eastAsia="Arial" w:hAnsi="Arial"/>
                <w:sz w:val="16"/>
                <w:szCs w:val="16"/>
                <w:color w:val="auto"/>
              </w:rPr>
              <w:t>For the</w:t>
            </w:r>
          </w:p>
        </w:tc>
        <w:tc>
          <w:tcPr>
            <w:tcW w:w="0" w:type="dxa"/>
            <w:vAlign w:val="bottom"/>
          </w:tcPr>
          <w:p>
            <w:pPr>
              <w:spacing w:after="0"/>
              <w:rPr>
                <w:sz w:val="1"/>
                <w:szCs w:val="1"/>
                <w:color w:val="auto"/>
              </w:rPr>
            </w:pPr>
          </w:p>
        </w:tc>
      </w:tr>
      <w:tr>
        <w:trPr>
          <w:trHeight w:val="184"/>
        </w:trPr>
        <w:tc>
          <w:tcPr>
            <w:tcW w:w="6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87"/>
              <w:spacing w:after="0"/>
              <w:rPr>
                <w:sz w:val="20"/>
                <w:szCs w:val="20"/>
                <w:color w:val="auto"/>
              </w:rPr>
            </w:pPr>
            <w:r>
              <w:rPr>
                <w:rFonts w:ascii="Arial" w:cs="Arial" w:eastAsia="Arial" w:hAnsi="Arial"/>
                <w:sz w:val="16"/>
                <w:szCs w:val="16"/>
                <w:color w:val="auto"/>
              </w:rPr>
              <w:t>Year Ended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87"/>
              <w:spacing w:after="0"/>
              <w:rPr>
                <w:sz w:val="20"/>
                <w:szCs w:val="20"/>
                <w:color w:val="auto"/>
              </w:rPr>
            </w:pPr>
            <w:r>
              <w:rPr>
                <w:rFonts w:ascii="Arial" w:cs="Arial" w:eastAsia="Arial" w:hAnsi="Arial"/>
                <w:sz w:val="16"/>
                <w:szCs w:val="16"/>
                <w:color w:val="auto"/>
                <w:w w:val="99"/>
              </w:rPr>
              <w:t>Year Ended</w:t>
            </w:r>
          </w:p>
        </w:tc>
        <w:tc>
          <w:tcPr>
            <w:tcW w:w="0" w:type="dxa"/>
            <w:vAlign w:val="bottom"/>
          </w:tcPr>
          <w:p>
            <w:pPr>
              <w:spacing w:after="0"/>
              <w:rPr>
                <w:sz w:val="1"/>
                <w:szCs w:val="1"/>
                <w:color w:val="auto"/>
              </w:rPr>
            </w:pPr>
          </w:p>
        </w:tc>
      </w:tr>
      <w:tr>
        <w:trPr>
          <w:trHeight w:val="200"/>
        </w:trPr>
        <w:tc>
          <w:tcPr>
            <w:tcW w:w="6520" w:type="dxa"/>
            <w:vAlign w:val="bottom"/>
            <w:gridSpan w:val="2"/>
            <w:vMerge w:val="restart"/>
          </w:tcPr>
          <w:p>
            <w:pPr>
              <w:spacing w:after="0"/>
              <w:rPr>
                <w:sz w:val="20"/>
                <w:szCs w:val="20"/>
                <w:color w:val="auto"/>
              </w:rPr>
            </w:pPr>
            <w:r>
              <w:rPr>
                <w:rFonts w:ascii="Arial" w:cs="Arial" w:eastAsia="Arial" w:hAnsi="Arial"/>
                <w:sz w:val="20"/>
                <w:szCs w:val="20"/>
                <w:color w:val="auto"/>
              </w:rPr>
              <w:t>Operating lease expense:</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December 31, 2024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December 31, 2023</w:t>
            </w:r>
          </w:p>
        </w:tc>
        <w:tc>
          <w:tcPr>
            <w:tcW w:w="0" w:type="dxa"/>
            <w:vAlign w:val="bottom"/>
          </w:tcPr>
          <w:p>
            <w:pPr>
              <w:spacing w:after="0"/>
              <w:rPr>
                <w:sz w:val="1"/>
                <w:szCs w:val="1"/>
                <w:color w:val="auto"/>
              </w:rPr>
            </w:pPr>
          </w:p>
        </w:tc>
      </w:tr>
      <w:tr>
        <w:trPr>
          <w:trHeight w:val="200"/>
        </w:trPr>
        <w:tc>
          <w:tcPr>
            <w:tcW w:w="65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6520" w:type="dxa"/>
            <w:vAlign w:val="bottom"/>
            <w:gridSpan w:val="2"/>
          </w:tcPr>
          <w:p>
            <w:pPr>
              <w:jc w:val="right"/>
              <w:ind w:right="360"/>
              <w:spacing w:after="0"/>
              <w:rPr>
                <w:sz w:val="20"/>
                <w:szCs w:val="20"/>
                <w:color w:val="auto"/>
              </w:rPr>
            </w:pPr>
            <w:r>
              <w:rPr>
                <w:rFonts w:ascii="Arial" w:cs="Arial" w:eastAsia="Arial" w:hAnsi="Arial"/>
                <w:sz w:val="20"/>
                <w:szCs w:val="20"/>
                <w:color w:val="auto"/>
                <w:w w:val="95"/>
              </w:rPr>
              <w:t>Fixed lease cost . . . . . . . . . . . . . . . . . . . . . . . . . . . . . . . . . . . . . . . . . . . . .</w:t>
            </w:r>
          </w:p>
        </w:tc>
        <w:tc>
          <w:tcPr>
            <w:tcW w:w="200" w:type="dxa"/>
            <w:vAlign w:val="bottom"/>
          </w:tcPr>
          <w:p>
            <w:pPr>
              <w:jc w:val="right"/>
              <w:ind w:right="7"/>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6,791</w:t>
            </w:r>
          </w:p>
        </w:tc>
        <w:tc>
          <w:tcPr>
            <w:tcW w:w="380" w:type="dxa"/>
            <w:vAlign w:val="bottom"/>
            <w:gridSpan w:val="3"/>
          </w:tcPr>
          <w:p>
            <w:pPr>
              <w:jc w:val="right"/>
              <w:ind w:right="10"/>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5,755</w:t>
            </w:r>
          </w:p>
        </w:tc>
        <w:tc>
          <w:tcPr>
            <w:tcW w:w="0" w:type="dxa"/>
            <w:vAlign w:val="bottom"/>
          </w:tcPr>
          <w:p>
            <w:pPr>
              <w:spacing w:after="0"/>
              <w:rPr>
                <w:sz w:val="1"/>
                <w:szCs w:val="1"/>
                <w:color w:val="auto"/>
              </w:rPr>
            </w:pPr>
          </w:p>
        </w:tc>
      </w:tr>
      <w:tr>
        <w:trPr>
          <w:trHeight w:val="232"/>
        </w:trPr>
        <w:tc>
          <w:tcPr>
            <w:tcW w:w="6520" w:type="dxa"/>
            <w:vAlign w:val="bottom"/>
            <w:gridSpan w:val="2"/>
          </w:tcPr>
          <w:p>
            <w:pPr>
              <w:jc w:val="right"/>
              <w:ind w:right="360"/>
              <w:spacing w:after="0"/>
              <w:rPr>
                <w:sz w:val="20"/>
                <w:szCs w:val="20"/>
                <w:color w:val="auto"/>
              </w:rPr>
            </w:pPr>
            <w:r>
              <w:rPr>
                <w:rFonts w:ascii="Arial" w:cs="Arial" w:eastAsia="Arial" w:hAnsi="Arial"/>
                <w:sz w:val="20"/>
                <w:szCs w:val="20"/>
                <w:color w:val="auto"/>
                <w:w w:val="94"/>
              </w:rPr>
              <w:t>Variable lease cost . . . . . . . . . . . . . . . . . . . . . . . . . . . . . . . . . . . . . . . . . . .</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2,598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1,403</w:t>
            </w:r>
          </w:p>
        </w:tc>
        <w:tc>
          <w:tcPr>
            <w:tcW w:w="0" w:type="dxa"/>
            <w:vAlign w:val="bottom"/>
          </w:tcPr>
          <w:p>
            <w:pPr>
              <w:spacing w:after="0"/>
              <w:rPr>
                <w:sz w:val="1"/>
                <w:szCs w:val="1"/>
                <w:color w:val="auto"/>
              </w:rPr>
            </w:pPr>
          </w:p>
        </w:tc>
      </w:tr>
      <w:tr>
        <w:trPr>
          <w:trHeight w:val="250"/>
        </w:trPr>
        <w:tc>
          <w:tcPr>
            <w:tcW w:w="6520" w:type="dxa"/>
            <w:vAlign w:val="bottom"/>
            <w:gridSpan w:val="2"/>
          </w:tcPr>
          <w:p>
            <w:pPr>
              <w:jc w:val="right"/>
              <w:ind w:right="360"/>
              <w:spacing w:after="0"/>
              <w:rPr>
                <w:sz w:val="20"/>
                <w:szCs w:val="20"/>
                <w:color w:val="auto"/>
              </w:rPr>
            </w:pPr>
            <w:r>
              <w:rPr>
                <w:rFonts w:ascii="Arial" w:cs="Arial" w:eastAsia="Arial" w:hAnsi="Arial"/>
                <w:sz w:val="20"/>
                <w:szCs w:val="20"/>
                <w:color w:val="auto"/>
                <w:w w:val="96"/>
              </w:rPr>
              <w:t>Short term lease expense . . . . . . . . . . . . . . . . . . . . . . . . . . . . . . . . . . . . .</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906</w:t>
            </w:r>
          </w:p>
        </w:tc>
        <w:tc>
          <w:tcPr>
            <w:tcW w:w="0" w:type="dxa"/>
            <w:vAlign w:val="bottom"/>
          </w:tcPr>
          <w:p>
            <w:pPr>
              <w:spacing w:after="0"/>
              <w:rPr>
                <w:sz w:val="1"/>
                <w:szCs w:val="1"/>
                <w:color w:val="auto"/>
              </w:rPr>
            </w:pPr>
          </w:p>
        </w:tc>
      </w:tr>
      <w:tr>
        <w:trPr>
          <w:trHeight w:val="231"/>
        </w:trPr>
        <w:tc>
          <w:tcPr>
            <w:tcW w:w="6500" w:type="dxa"/>
            <w:vAlign w:val="bottom"/>
          </w:tcPr>
          <w:p>
            <w:pPr>
              <w:jc w:val="right"/>
              <w:ind w:right="240"/>
              <w:spacing w:after="0" w:line="223" w:lineRule="exact"/>
              <w:rPr>
                <w:sz w:val="20"/>
                <w:szCs w:val="20"/>
                <w:color w:val="auto"/>
              </w:rPr>
            </w:pPr>
            <w:r>
              <w:rPr>
                <w:rFonts w:ascii="Arial" w:cs="Arial" w:eastAsia="Arial" w:hAnsi="Arial"/>
                <w:sz w:val="20"/>
                <w:szCs w:val="20"/>
                <w:color w:val="auto"/>
                <w:w w:val="95"/>
              </w:rPr>
              <w:t>Total operating lease expense . . . . . . . . . . . . . . . . . . . . . . . . . . . . . . . . . .</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7"/>
              <w:spacing w:after="0" w:line="223" w:lineRule="exact"/>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9,389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line="223" w:lineRule="exact"/>
              <w:rPr>
                <w:sz w:val="20"/>
                <w:szCs w:val="20"/>
                <w:color w:val="auto"/>
              </w:rPr>
            </w:pPr>
            <w:r>
              <w:rPr>
                <w:rFonts w:ascii="Arial" w:cs="Arial" w:eastAsia="Arial" w:hAnsi="Arial"/>
                <w:sz w:val="20"/>
                <w:szCs w:val="20"/>
                <w:color w:val="auto"/>
                <w:w w:val="71"/>
              </w:rPr>
              <w:t>$</w:t>
            </w:r>
          </w:p>
        </w:tc>
        <w:tc>
          <w:tcPr>
            <w:tcW w:w="1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8,064</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reflects supplemental balance sheet information related to leases: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60" w:type="dxa"/>
            <w:vAlign w:val="bottom"/>
            <w:tcBorders>
              <w:top w:val="single" w:sz="8" w:color="auto"/>
            </w:tcBorders>
          </w:tcPr>
          <w:p>
            <w:pPr>
              <w:spacing w:after="0"/>
              <w:rPr>
                <w:sz w:val="15"/>
                <w:szCs w:val="15"/>
                <w:color w:val="auto"/>
              </w:rPr>
            </w:pPr>
          </w:p>
        </w:tc>
        <w:tc>
          <w:tcPr>
            <w:tcW w:w="36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47"/>
              <w:spacing w:after="0" w:line="178" w:lineRule="exact"/>
              <w:rPr>
                <w:sz w:val="20"/>
                <w:szCs w:val="20"/>
                <w:color w:val="auto"/>
              </w:rPr>
            </w:pPr>
            <w:r>
              <w:rPr>
                <w:rFonts w:ascii="Arial" w:cs="Arial" w:eastAsia="Arial" w:hAnsi="Arial"/>
                <w:sz w:val="16"/>
                <w:szCs w:val="16"/>
                <w:color w:val="auto"/>
              </w:rPr>
              <w:t>As of</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87"/>
              <w:spacing w:after="0" w:line="178" w:lineRule="exact"/>
              <w:rPr>
                <w:sz w:val="20"/>
                <w:szCs w:val="20"/>
                <w:color w:val="auto"/>
              </w:rPr>
            </w:pPr>
            <w:r>
              <w:rPr>
                <w:rFonts w:ascii="Arial" w:cs="Arial" w:eastAsia="Arial" w:hAnsi="Arial"/>
                <w:sz w:val="16"/>
                <w:szCs w:val="16"/>
                <w:color w:val="auto"/>
              </w:rPr>
              <w:t>As of</w:t>
            </w: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6"/>
                <w:szCs w:val="16"/>
                <w:color w:val="auto"/>
              </w:rPr>
              <w:t>December 31,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right"/>
              <w:ind w:right="7"/>
              <w:spacing w:after="0"/>
              <w:rPr>
                <w:sz w:val="20"/>
                <w:szCs w:val="20"/>
                <w:color w:val="auto"/>
              </w:rPr>
            </w:pPr>
            <w:r>
              <w:rPr>
                <w:rFonts w:ascii="Arial" w:cs="Arial" w:eastAsia="Arial" w:hAnsi="Arial"/>
                <w:sz w:val="16"/>
                <w:szCs w:val="16"/>
                <w:color w:val="auto"/>
                <w:w w:val="99"/>
              </w:rPr>
              <w:t>December 31,</w:t>
            </w: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3680" w:type="dxa"/>
            <w:vAlign w:val="bottom"/>
            <w:gridSpan w:val="2"/>
          </w:tcPr>
          <w:p>
            <w:pPr>
              <w:ind w:left="860"/>
              <w:spacing w:after="0"/>
              <w:rPr>
                <w:sz w:val="20"/>
                <w:szCs w:val="20"/>
                <w:color w:val="auto"/>
              </w:rPr>
            </w:pPr>
            <w:r>
              <w:rPr>
                <w:rFonts w:ascii="Arial" w:cs="Arial" w:eastAsia="Arial" w:hAnsi="Arial"/>
                <w:sz w:val="16"/>
                <w:szCs w:val="16"/>
                <w:color w:val="auto"/>
              </w:rPr>
              <w:t>Location in Balance Sheet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385"/>
        </w:trPr>
        <w:tc>
          <w:tcPr>
            <w:tcW w:w="3660" w:type="dxa"/>
            <w:vAlign w:val="bottom"/>
          </w:tcPr>
          <w:p>
            <w:pPr>
              <w:jc w:val="right"/>
              <w:ind w:right="500"/>
              <w:spacing w:after="0"/>
              <w:rPr>
                <w:sz w:val="20"/>
                <w:szCs w:val="20"/>
                <w:color w:val="auto"/>
              </w:rPr>
            </w:pPr>
            <w:r>
              <w:rPr>
                <w:rFonts w:ascii="Arial" w:cs="Arial" w:eastAsia="Arial" w:hAnsi="Arial"/>
                <w:sz w:val="20"/>
                <w:szCs w:val="20"/>
                <w:color w:val="auto"/>
                <w:w w:val="99"/>
              </w:rPr>
              <w:t>Operating lease right-of-use asset,</w:t>
            </w:r>
          </w:p>
        </w:tc>
        <w:tc>
          <w:tcPr>
            <w:tcW w:w="3680" w:type="dxa"/>
            <w:vAlign w:val="bottom"/>
            <w:gridSpan w:val="2"/>
            <w:vMerge w:val="restart"/>
          </w:tcPr>
          <w:p>
            <w:pPr>
              <w:ind w:left="140"/>
              <w:spacing w:after="0"/>
              <w:rPr>
                <w:sz w:val="20"/>
                <w:szCs w:val="20"/>
                <w:color w:val="auto"/>
              </w:rPr>
            </w:pPr>
            <w:r>
              <w:rPr>
                <w:rFonts w:ascii="Arial" w:cs="Arial" w:eastAsia="Arial" w:hAnsi="Arial"/>
                <w:sz w:val="20"/>
                <w:szCs w:val="20"/>
                <w:color w:val="auto"/>
              </w:rPr>
              <w:t>Operating lease right-of-use assets</w:t>
            </w:r>
          </w:p>
        </w:tc>
        <w:tc>
          <w:tcPr>
            <w:tcW w:w="220" w:type="dxa"/>
            <w:vAlign w:val="bottom"/>
            <w:vMerge w:val="restart"/>
          </w:tcPr>
          <w:p>
            <w:pPr>
              <w:spacing w:after="0"/>
              <w:rPr>
                <w:sz w:val="20"/>
                <w:szCs w:val="20"/>
                <w:color w:val="auto"/>
              </w:rPr>
            </w:pPr>
            <w:r>
              <w:rPr>
                <w:rFonts w:ascii="Arial" w:cs="Arial" w:eastAsia="Arial" w:hAnsi="Arial"/>
                <w:sz w:val="20"/>
                <w:szCs w:val="20"/>
                <w:color w:val="auto"/>
              </w:rPr>
              <w:t>$</w:t>
            </w: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28,706</w:t>
            </w:r>
          </w:p>
        </w:tc>
        <w:tc>
          <w:tcPr>
            <w:tcW w:w="440" w:type="dxa"/>
            <w:vAlign w:val="bottom"/>
            <w:gridSpan w:val="3"/>
            <w:vMerge w:val="restart"/>
          </w:tcPr>
          <w:p>
            <w:pPr>
              <w:jc w:val="right"/>
              <w:ind w:right="50"/>
              <w:spacing w:after="0"/>
              <w:rPr>
                <w:sz w:val="20"/>
                <w:szCs w:val="20"/>
                <w:color w:val="auto"/>
              </w:rPr>
            </w:pPr>
            <w:r>
              <w:rPr>
                <w:rFonts w:ascii="Arial" w:cs="Arial" w:eastAsia="Arial" w:hAnsi="Arial"/>
                <w:sz w:val="20"/>
                <w:szCs w:val="20"/>
                <w:color w:val="auto"/>
              </w:rPr>
              <w:t>$</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20,376</w:t>
            </w:r>
          </w:p>
        </w:tc>
        <w:tc>
          <w:tcPr>
            <w:tcW w:w="0" w:type="dxa"/>
            <w:vAlign w:val="bottom"/>
          </w:tcPr>
          <w:p>
            <w:pPr>
              <w:spacing w:after="0"/>
              <w:rPr>
                <w:sz w:val="1"/>
                <w:szCs w:val="1"/>
                <w:color w:val="auto"/>
              </w:rPr>
            </w:pPr>
          </w:p>
        </w:tc>
      </w:tr>
      <w:tr>
        <w:trPr>
          <w:trHeight w:val="229"/>
        </w:trPr>
        <w:tc>
          <w:tcPr>
            <w:tcW w:w="3660" w:type="dxa"/>
            <w:vAlign w:val="bottom"/>
          </w:tcPr>
          <w:p>
            <w:pPr>
              <w:jc w:val="right"/>
              <w:ind w:right="20"/>
              <w:spacing w:after="0" w:line="229" w:lineRule="exact"/>
              <w:rPr>
                <w:sz w:val="20"/>
                <w:szCs w:val="20"/>
                <w:color w:val="auto"/>
              </w:rPr>
            </w:pPr>
            <w:r>
              <w:rPr>
                <w:rFonts w:ascii="Arial" w:cs="Arial" w:eastAsia="Arial" w:hAnsi="Arial"/>
                <w:sz w:val="20"/>
                <w:szCs w:val="20"/>
                <w:color w:val="auto"/>
                <w:w w:val="91"/>
              </w:rPr>
              <w:t>net . . . . . . . . . . . . . . . . . . . . . . . . . . . . . . . .</w:t>
            </w:r>
          </w:p>
        </w:tc>
        <w:tc>
          <w:tcPr>
            <w:tcW w:w="368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440" w:type="dxa"/>
            <w:vAlign w:val="bottom"/>
            <w:gridSpan w:val="3"/>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jc w:val="right"/>
              <w:ind w:right="20"/>
              <w:spacing w:after="0"/>
              <w:rPr>
                <w:sz w:val="20"/>
                <w:szCs w:val="20"/>
                <w:color w:val="auto"/>
              </w:rPr>
            </w:pPr>
            <w:r>
              <w:rPr>
                <w:rFonts w:ascii="Arial" w:cs="Arial" w:eastAsia="Arial" w:hAnsi="Arial"/>
                <w:sz w:val="20"/>
                <w:szCs w:val="20"/>
                <w:color w:val="auto"/>
                <w:w w:val="98"/>
              </w:rPr>
              <w:t>Operating lease liability, current . . . . . . .</w:t>
            </w:r>
          </w:p>
        </w:tc>
        <w:tc>
          <w:tcPr>
            <w:tcW w:w="3680" w:type="dxa"/>
            <w:vAlign w:val="bottom"/>
            <w:gridSpan w:val="2"/>
          </w:tcPr>
          <w:p>
            <w:pPr>
              <w:ind w:left="140"/>
              <w:spacing w:after="0"/>
              <w:rPr>
                <w:sz w:val="20"/>
                <w:szCs w:val="20"/>
                <w:color w:val="auto"/>
              </w:rPr>
            </w:pPr>
            <w:r>
              <w:rPr>
                <w:rFonts w:ascii="Arial" w:cs="Arial" w:eastAsia="Arial" w:hAnsi="Arial"/>
                <w:sz w:val="20"/>
                <w:szCs w:val="20"/>
                <w:color w:val="auto"/>
              </w:rPr>
              <w:t>Accrued expenses and other liabilities</w:t>
            </w:r>
          </w:p>
        </w:tc>
        <w:tc>
          <w:tcPr>
            <w:tcW w:w="220" w:type="dxa"/>
            <w:vAlign w:val="bottom"/>
          </w:tcPr>
          <w:p>
            <w:pPr>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4,870</w:t>
            </w:r>
          </w:p>
        </w:tc>
        <w:tc>
          <w:tcPr>
            <w:tcW w:w="440" w:type="dxa"/>
            <w:vAlign w:val="bottom"/>
            <w:gridSpan w:val="3"/>
          </w:tcPr>
          <w:p>
            <w:pPr>
              <w:jc w:val="right"/>
              <w:ind w:right="5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1,513</w:t>
            </w:r>
          </w:p>
        </w:tc>
        <w:tc>
          <w:tcPr>
            <w:tcW w:w="0" w:type="dxa"/>
            <w:vAlign w:val="bottom"/>
          </w:tcPr>
          <w:p>
            <w:pPr>
              <w:spacing w:after="0"/>
              <w:rPr>
                <w:sz w:val="1"/>
                <w:szCs w:val="1"/>
                <w:color w:val="auto"/>
              </w:rPr>
            </w:pPr>
          </w:p>
        </w:tc>
      </w:tr>
      <w:tr>
        <w:trPr>
          <w:trHeight w:val="250"/>
        </w:trPr>
        <w:tc>
          <w:tcPr>
            <w:tcW w:w="3660" w:type="dxa"/>
            <w:vAlign w:val="bottom"/>
          </w:tcPr>
          <w:p>
            <w:pPr>
              <w:jc w:val="right"/>
              <w:ind w:right="20"/>
              <w:spacing w:after="0"/>
              <w:rPr>
                <w:sz w:val="20"/>
                <w:szCs w:val="20"/>
                <w:color w:val="auto"/>
              </w:rPr>
            </w:pPr>
            <w:r>
              <w:rPr>
                <w:rFonts w:ascii="Arial" w:cs="Arial" w:eastAsia="Arial" w:hAnsi="Arial"/>
                <w:sz w:val="20"/>
                <w:szCs w:val="20"/>
                <w:color w:val="auto"/>
                <w:w w:val="98"/>
              </w:rPr>
              <w:t>Operating lease liability, long-term . . . . .</w:t>
            </w:r>
          </w:p>
        </w:tc>
        <w:tc>
          <w:tcPr>
            <w:tcW w:w="3680" w:type="dxa"/>
            <w:vAlign w:val="bottom"/>
            <w:gridSpan w:val="2"/>
          </w:tcPr>
          <w:p>
            <w:pPr>
              <w:ind w:left="140"/>
              <w:spacing w:after="0"/>
              <w:rPr>
                <w:sz w:val="20"/>
                <w:szCs w:val="20"/>
                <w:color w:val="auto"/>
              </w:rPr>
            </w:pPr>
            <w:r>
              <w:rPr>
                <w:rFonts w:ascii="Arial" w:cs="Arial" w:eastAsia="Arial" w:hAnsi="Arial"/>
                <w:sz w:val="20"/>
                <w:szCs w:val="20"/>
                <w:color w:val="auto"/>
              </w:rPr>
              <w:t>Operating lease liability, long-term</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48,960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46,658</w:t>
            </w:r>
          </w:p>
        </w:tc>
        <w:tc>
          <w:tcPr>
            <w:tcW w:w="0" w:type="dxa"/>
            <w:vAlign w:val="bottom"/>
          </w:tcPr>
          <w:p>
            <w:pPr>
              <w:spacing w:after="0"/>
              <w:rPr>
                <w:sz w:val="1"/>
                <w:szCs w:val="1"/>
                <w:color w:val="auto"/>
              </w:rPr>
            </w:pPr>
          </w:p>
        </w:tc>
      </w:tr>
      <w:tr>
        <w:trPr>
          <w:trHeight w:val="230"/>
        </w:trPr>
        <w:tc>
          <w:tcPr>
            <w:tcW w:w="3660" w:type="dxa"/>
            <w:vAlign w:val="bottom"/>
          </w:tcPr>
          <w:p>
            <w:pPr>
              <w:jc w:val="right"/>
              <w:ind w:right="20"/>
              <w:spacing w:after="0" w:line="221" w:lineRule="exact"/>
              <w:rPr>
                <w:sz w:val="20"/>
                <w:szCs w:val="20"/>
                <w:color w:val="auto"/>
              </w:rPr>
            </w:pPr>
            <w:r>
              <w:rPr>
                <w:rFonts w:ascii="Arial" w:cs="Arial" w:eastAsia="Arial" w:hAnsi="Arial"/>
                <w:sz w:val="20"/>
                <w:szCs w:val="20"/>
                <w:color w:val="auto"/>
              </w:rPr>
              <w:t>. . . . . . . . . .Totaloperatingleaseliability</w:t>
            </w:r>
          </w:p>
        </w:tc>
        <w:tc>
          <w:tcPr>
            <w:tcW w:w="36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53,830</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0"/>
              <w:spacing w:after="0" w:line="221" w:lineRule="exact"/>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48,171</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reflects supplement lease term and discount rate information related to leases: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20" w:type="dxa"/>
            <w:vAlign w:val="bottom"/>
            <w:tcBorders>
              <w:top w:val="single" w:sz="8" w:color="auto"/>
            </w:tcBorders>
            <w:vMerge w:val="restart"/>
          </w:tcPr>
          <w:p>
            <w:pPr>
              <w:spacing w:after="0"/>
              <w:rPr>
                <w:sz w:val="20"/>
                <w:szCs w:val="20"/>
                <w:color w:val="auto"/>
              </w:rPr>
            </w:pPr>
            <w:r>
              <w:rPr>
                <w:rFonts w:ascii="Arial" w:cs="Arial" w:eastAsia="Arial" w:hAnsi="Arial"/>
                <w:sz w:val="20"/>
                <w:szCs w:val="20"/>
                <w:color w:val="auto"/>
              </w:rPr>
              <w:t>Weighted-average remaining lease terms - operating leases .</w:t>
            </w:r>
          </w:p>
        </w:tc>
        <w:tc>
          <w:tcPr>
            <w:tcW w:w="3820" w:type="dxa"/>
            <w:vAlign w:val="bottom"/>
            <w:tcBorders>
              <w:top w:val="single" w:sz="8" w:color="auto"/>
            </w:tcBorders>
            <w:gridSpan w:val="8"/>
          </w:tcPr>
          <w:p>
            <w:pPr>
              <w:spacing w:after="0"/>
              <w:rPr>
                <w:sz w:val="20"/>
                <w:szCs w:val="20"/>
                <w:color w:val="auto"/>
              </w:rPr>
            </w:pPr>
            <w:r>
              <w:rPr>
                <w:rFonts w:ascii="Arial" w:cs="Arial" w:eastAsia="Arial" w:hAnsi="Arial"/>
                <w:sz w:val="16"/>
                <w:szCs w:val="16"/>
                <w:color w:val="auto"/>
              </w:rPr>
              <w:t>As of December 31, 2024  As of December 31, 2023</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720" w:type="dxa"/>
            <w:vAlign w:val="bottom"/>
            <w:tcBorders>
              <w:top w:val="single" w:sz="8" w:color="auto"/>
            </w:tcBorders>
            <w:vMerge w:val="continue"/>
          </w:tcPr>
          <w:p>
            <w:pPr>
              <w:spacing w:after="0"/>
              <w:rPr>
                <w:sz w:val="17"/>
                <w:szCs w:val="17"/>
                <w:color w:val="auto"/>
              </w:rPr>
            </w:pPr>
          </w:p>
        </w:tc>
        <w:tc>
          <w:tcPr>
            <w:tcW w:w="1820" w:type="dxa"/>
            <w:vAlign w:val="bottom"/>
            <w:tcBorders>
              <w:top w:val="single" w:sz="8" w:color="auto"/>
            </w:tcBorders>
            <w:gridSpan w:val="3"/>
          </w:tcPr>
          <w:p>
            <w:pPr>
              <w:ind w:left="900"/>
              <w:spacing w:after="0" w:line="199" w:lineRule="exact"/>
              <w:rPr>
                <w:sz w:val="20"/>
                <w:szCs w:val="20"/>
                <w:color w:val="auto"/>
              </w:rPr>
            </w:pPr>
            <w:r>
              <w:rPr>
                <w:rFonts w:ascii="Arial" w:cs="Arial" w:eastAsia="Arial" w:hAnsi="Arial"/>
                <w:sz w:val="20"/>
                <w:szCs w:val="20"/>
                <w:color w:val="auto"/>
              </w:rPr>
              <w:t>7.4 Years</w:t>
            </w:r>
          </w:p>
        </w:tc>
        <w:tc>
          <w:tcPr>
            <w:tcW w:w="1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120"/>
              <w:spacing w:after="0" w:line="199" w:lineRule="exact"/>
              <w:rPr>
                <w:sz w:val="20"/>
                <w:szCs w:val="20"/>
                <w:color w:val="auto"/>
              </w:rPr>
            </w:pPr>
            <w:r>
              <w:rPr>
                <w:rFonts w:ascii="Arial" w:cs="Arial" w:eastAsia="Arial" w:hAnsi="Arial"/>
                <w:sz w:val="20"/>
                <w:szCs w:val="20"/>
                <w:color w:val="auto"/>
              </w:rPr>
              <w:t>7.6 years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5720" w:type="dxa"/>
            <w:vAlign w:val="bottom"/>
          </w:tcPr>
          <w:p>
            <w:pPr>
              <w:spacing w:after="0"/>
              <w:rPr>
                <w:sz w:val="20"/>
                <w:szCs w:val="20"/>
                <w:color w:val="auto"/>
              </w:rPr>
            </w:pPr>
            <w:r>
              <w:rPr>
                <w:rFonts w:ascii="Arial" w:cs="Arial" w:eastAsia="Arial" w:hAnsi="Arial"/>
                <w:sz w:val="20"/>
                <w:szCs w:val="20"/>
                <w:color w:val="auto"/>
              </w:rPr>
              <w:t>Weighted-average discount rate - operating leases . . . . . . . . .</w:t>
            </w: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10.4 %</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20"/>
                <w:szCs w:val="20"/>
                <w:color w:val="auto"/>
              </w:rPr>
              <w:t>9.9 %</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5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0" w:type="dxa"/>
            <w:vAlign w:val="bottom"/>
            <w:gridSpan w:val="4"/>
          </w:tcPr>
          <w:p>
            <w:pPr>
              <w:spacing w:after="0" w:line="158" w:lineRule="exact"/>
              <w:rPr>
                <w:sz w:val="20"/>
                <w:szCs w:val="20"/>
                <w:color w:val="auto"/>
              </w:rPr>
            </w:pPr>
            <w:r>
              <w:rPr>
                <w:rFonts w:ascii="Arial" w:cs="Arial" w:eastAsia="Arial" w:hAnsi="Arial"/>
                <w:sz w:val="16"/>
                <w:szCs w:val="16"/>
                <w:color w:val="auto"/>
                <w:w w:val="98"/>
              </w:rPr>
              <w:t>For the Year Ended</w:t>
            </w:r>
          </w:p>
        </w:tc>
        <w:tc>
          <w:tcPr>
            <w:tcW w:w="220" w:type="dxa"/>
            <w:vAlign w:val="bottom"/>
          </w:tcPr>
          <w:p>
            <w:pPr>
              <w:spacing w:after="0"/>
              <w:rPr>
                <w:sz w:val="13"/>
                <w:szCs w:val="13"/>
                <w:color w:val="auto"/>
              </w:rPr>
            </w:pPr>
          </w:p>
        </w:tc>
        <w:tc>
          <w:tcPr>
            <w:tcW w:w="1420" w:type="dxa"/>
            <w:vAlign w:val="bottom"/>
            <w:gridSpan w:val="3"/>
          </w:tcPr>
          <w:p>
            <w:pPr>
              <w:spacing w:after="0" w:line="158" w:lineRule="exact"/>
              <w:rPr>
                <w:sz w:val="20"/>
                <w:szCs w:val="20"/>
                <w:color w:val="auto"/>
              </w:rPr>
            </w:pPr>
            <w:r>
              <w:rPr>
                <w:rFonts w:ascii="Arial" w:cs="Arial" w:eastAsia="Arial" w:hAnsi="Arial"/>
                <w:sz w:val="16"/>
                <w:szCs w:val="16"/>
                <w:color w:val="auto"/>
              </w:rPr>
              <w:t>For the Year Ended</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720" w:type="dxa"/>
            <w:vAlign w:val="bottom"/>
            <w:vMerge w:val="restart"/>
          </w:tcPr>
          <w:p>
            <w:pPr>
              <w:spacing w:after="0"/>
              <w:rPr>
                <w:sz w:val="20"/>
                <w:szCs w:val="20"/>
                <w:color w:val="auto"/>
              </w:rPr>
            </w:pPr>
            <w:r>
              <w:rPr>
                <w:rFonts w:ascii="Arial" w:cs="Arial" w:eastAsia="Arial" w:hAnsi="Arial"/>
                <w:sz w:val="20"/>
                <w:szCs w:val="20"/>
                <w:color w:val="auto"/>
              </w:rPr>
              <w:t>Operating cash flows from operating leases</w:t>
            </w:r>
          </w:p>
        </w:tc>
        <w:tc>
          <w:tcPr>
            <w:tcW w:w="960" w:type="dxa"/>
            <w:vAlign w:val="bottom"/>
          </w:tcPr>
          <w:p>
            <w:pPr>
              <w:spacing w:after="0"/>
              <w:rPr>
                <w:sz w:val="17"/>
                <w:szCs w:val="17"/>
                <w:color w:val="auto"/>
              </w:rPr>
            </w:pPr>
          </w:p>
        </w:tc>
        <w:tc>
          <w:tcPr>
            <w:tcW w:w="1400" w:type="dxa"/>
            <w:vAlign w:val="bottom"/>
            <w:gridSpan w:val="4"/>
          </w:tcPr>
          <w:p>
            <w:pPr>
              <w:spacing w:after="0"/>
              <w:rPr>
                <w:sz w:val="20"/>
                <w:szCs w:val="20"/>
                <w:color w:val="auto"/>
              </w:rPr>
            </w:pPr>
            <w:r>
              <w:rPr>
                <w:rFonts w:ascii="Arial" w:cs="Arial" w:eastAsia="Arial" w:hAnsi="Arial"/>
                <w:sz w:val="16"/>
                <w:szCs w:val="16"/>
                <w:color w:val="auto"/>
                <w:w w:val="98"/>
              </w:rPr>
              <w:t>December 31, 2024</w:t>
            </w:r>
          </w:p>
        </w:tc>
        <w:tc>
          <w:tcPr>
            <w:tcW w:w="220" w:type="dxa"/>
            <w:vAlign w:val="bottom"/>
          </w:tcPr>
          <w:p>
            <w:pPr>
              <w:spacing w:after="0"/>
              <w:rPr>
                <w:sz w:val="17"/>
                <w:szCs w:val="17"/>
                <w:color w:val="auto"/>
              </w:rPr>
            </w:pPr>
          </w:p>
        </w:tc>
        <w:tc>
          <w:tcPr>
            <w:tcW w:w="1440" w:type="dxa"/>
            <w:vAlign w:val="bottom"/>
            <w:gridSpan w:val="4"/>
          </w:tcPr>
          <w:p>
            <w:pPr>
              <w:spacing w:after="0"/>
              <w:rPr>
                <w:sz w:val="20"/>
                <w:szCs w:val="20"/>
                <w:color w:val="auto"/>
              </w:rPr>
            </w:pPr>
            <w:r>
              <w:rPr>
                <w:rFonts w:ascii="Arial" w:cs="Arial" w:eastAsia="Arial" w:hAnsi="Arial"/>
                <w:sz w:val="16"/>
                <w:szCs w:val="16"/>
                <w:color w:val="auto"/>
              </w:rPr>
              <w:t>December 31, 2023</w:t>
            </w:r>
          </w:p>
        </w:tc>
        <w:tc>
          <w:tcPr>
            <w:tcW w:w="0" w:type="dxa"/>
            <w:vAlign w:val="bottom"/>
          </w:tcPr>
          <w:p>
            <w:pPr>
              <w:spacing w:after="0"/>
              <w:rPr>
                <w:sz w:val="1"/>
                <w:szCs w:val="1"/>
                <w:color w:val="auto"/>
              </w:rPr>
            </w:pPr>
          </w:p>
        </w:tc>
      </w:tr>
      <w:tr>
        <w:trPr>
          <w:trHeight w:val="262"/>
        </w:trPr>
        <w:tc>
          <w:tcPr>
            <w:tcW w:w="6680" w:type="dxa"/>
            <w:vAlign w:val="bottom"/>
            <w:gridSpan w:val="2"/>
            <w:vMerge w:val="continue"/>
          </w:tcPr>
          <w:p>
            <w:pPr>
              <w:jc w:val="right"/>
              <w:ind w:right="230"/>
              <w:spacing w:after="0" w:line="178" w:lineRule="exact"/>
              <w:rPr>
                <w:sz w:val="20"/>
                <w:szCs w:val="20"/>
                <w:color w:val="auto"/>
              </w:rPr>
            </w:pPr>
            <w:r>
              <w:rPr>
                <w:rFonts w:ascii="Arial" w:cs="Arial" w:eastAsia="Arial" w:hAnsi="Arial"/>
                <w:sz w:val="20"/>
                <w:szCs w:val="20"/>
                <w:color w:val="auto"/>
              </w:rPr>
              <w:t>. . . . . . . . . . . . . . . . . . . . . . . . .</w:t>
            </w:r>
          </w:p>
        </w:tc>
        <w:tc>
          <w:tcPr>
            <w:tcW w:w="2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gridSpan w:val="3"/>
          </w:tcPr>
          <w:p>
            <w:pPr>
              <w:jc w:val="right"/>
              <w:spacing w:after="0"/>
              <w:rPr>
                <w:sz w:val="20"/>
                <w:szCs w:val="20"/>
                <w:color w:val="auto"/>
              </w:rPr>
            </w:pPr>
            <w:r>
              <w:rPr>
                <w:rFonts w:ascii="Arial" w:cs="Arial" w:eastAsia="Arial" w:hAnsi="Arial"/>
                <w:sz w:val="20"/>
                <w:szCs w:val="20"/>
                <w:color w:val="auto"/>
              </w:rPr>
              <w:t>(3,365)</w:t>
            </w: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13,819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120"/>
        <w:spacing w:after="0" w:line="283" w:lineRule="auto"/>
        <w:rPr>
          <w:sz w:val="20"/>
          <w:szCs w:val="20"/>
          <w:color w:val="auto"/>
        </w:rPr>
      </w:pPr>
      <w:r>
        <w:rPr>
          <w:rFonts w:ascii="Arial" w:cs="Arial" w:eastAsia="Arial" w:hAnsi="Arial"/>
          <w:sz w:val="20"/>
          <w:szCs w:val="20"/>
          <w:color w:val="auto"/>
        </w:rPr>
        <w:t>The following table reflects future minimum lease payments under noncancelable leases as of December 31,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20"/>
                <w:szCs w:val="20"/>
                <w:color w:val="auto"/>
              </w:rPr>
              <w:t>2025</w:t>
            </w:r>
          </w:p>
        </w:tc>
        <w:tc>
          <w:tcPr>
            <w:tcW w:w="2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Operating Leases</w:t>
            </w:r>
          </w:p>
        </w:tc>
        <w:tc>
          <w:tcPr>
            <w:tcW w:w="0" w:type="dxa"/>
            <w:vAlign w:val="bottom"/>
          </w:tcPr>
          <w:p>
            <w:pPr>
              <w:spacing w:after="0"/>
              <w:rPr>
                <w:sz w:val="1"/>
                <w:szCs w:val="1"/>
                <w:color w:val="auto"/>
              </w:rPr>
            </w:pPr>
          </w:p>
        </w:tc>
      </w:tr>
      <w:tr>
        <w:trPr>
          <w:trHeight w:val="201"/>
        </w:trPr>
        <w:tc>
          <w:tcPr>
            <w:tcW w:w="8340" w:type="dxa"/>
            <w:vAlign w:val="bottom"/>
            <w:vMerge w:val="continue"/>
          </w:tcPr>
          <w:p>
            <w:pPr>
              <w:jc w:val="right"/>
              <w:ind w:right="160"/>
              <w:spacing w:after="0" w:line="177" w:lineRule="exact"/>
              <w:rPr>
                <w:sz w:val="20"/>
                <w:szCs w:val="20"/>
                <w:color w:val="auto"/>
              </w:rPr>
            </w:pPr>
            <w:r>
              <w:rPr>
                <w:rFonts w:ascii="Arial" w:cs="Arial" w:eastAsia="Arial" w:hAnsi="Arial"/>
                <w:sz w:val="20"/>
                <w:szCs w:val="20"/>
                <w:color w:val="auto"/>
                <w:w w:val="95"/>
              </w:rPr>
              <w:t>. . . . . . . . . . . . . . . . . . . . . . . . . . . . . . . . . . . . . . . . . . . . . . . . . . . . . . . . . . . . . . . . . . . . . . . . . . . .</w:t>
            </w:r>
          </w:p>
        </w:tc>
        <w:tc>
          <w:tcPr>
            <w:tcW w:w="20" w:type="dxa"/>
            <w:vAlign w:val="bottom"/>
          </w:tcPr>
          <w:p>
            <w:pPr>
              <w:spacing w:after="0"/>
              <w:rPr>
                <w:sz w:val="17"/>
                <w:szCs w:val="17"/>
                <w:color w:val="auto"/>
              </w:rPr>
            </w:pPr>
          </w:p>
        </w:tc>
        <w:tc>
          <w:tcPr>
            <w:tcW w:w="360" w:type="dxa"/>
            <w:vAlign w:val="bottom"/>
          </w:tcPr>
          <w:p>
            <w:pPr>
              <w:jc w:val="right"/>
              <w:ind w:right="147"/>
              <w:spacing w:after="0" w:line="201" w:lineRule="exact"/>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line="201" w:lineRule="exact"/>
              <w:rPr>
                <w:sz w:val="20"/>
                <w:szCs w:val="20"/>
                <w:color w:val="auto"/>
              </w:rPr>
            </w:pPr>
            <w:r>
              <w:rPr>
                <w:rFonts w:ascii="Arial" w:cs="Arial" w:eastAsia="Arial" w:hAnsi="Arial"/>
                <w:sz w:val="20"/>
                <w:szCs w:val="20"/>
                <w:color w:val="auto"/>
              </w:rPr>
              <w:t>9,766</w:t>
            </w:r>
          </w:p>
        </w:tc>
        <w:tc>
          <w:tcPr>
            <w:tcW w:w="0" w:type="dxa"/>
            <w:vAlign w:val="bottom"/>
          </w:tcPr>
          <w:p>
            <w:pPr>
              <w:spacing w:after="0"/>
              <w:rPr>
                <w:sz w:val="1"/>
                <w:szCs w:val="1"/>
                <w:color w:val="auto"/>
              </w:rPr>
            </w:pPr>
          </w:p>
        </w:tc>
      </w:tr>
      <w:tr>
        <w:trPr>
          <w:trHeight w:val="230"/>
        </w:trPr>
        <w:tc>
          <w:tcPr>
            <w:tcW w:w="8340" w:type="dxa"/>
            <w:vAlign w:val="bottom"/>
          </w:tcPr>
          <w:p>
            <w:pPr>
              <w:jc w:val="right"/>
              <w:ind w:right="160"/>
              <w:spacing w:after="0"/>
              <w:rPr>
                <w:sz w:val="20"/>
                <w:szCs w:val="20"/>
                <w:color w:val="auto"/>
              </w:rPr>
            </w:pPr>
            <w:r>
              <w:rPr>
                <w:rFonts w:ascii="Arial" w:cs="Arial" w:eastAsia="Arial" w:hAnsi="Arial"/>
                <w:sz w:val="20"/>
                <w:szCs w:val="20"/>
                <w:color w:val="auto"/>
                <w:w w:val="90"/>
              </w:rPr>
              <w:t>2026 . . . . . . . . . . . . . . . . . . . . . . . . . . . . . . . . . . . . . . . . . . . . . . . . . . . . . . . . . . . . . . . . . . . . . . . . . . . .</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9,327</w:t>
            </w:r>
          </w:p>
        </w:tc>
        <w:tc>
          <w:tcPr>
            <w:tcW w:w="0" w:type="dxa"/>
            <w:vAlign w:val="bottom"/>
          </w:tcPr>
          <w:p>
            <w:pPr>
              <w:spacing w:after="0"/>
              <w:rPr>
                <w:sz w:val="1"/>
                <w:szCs w:val="1"/>
                <w:color w:val="auto"/>
              </w:rPr>
            </w:pPr>
          </w:p>
        </w:tc>
      </w:tr>
      <w:tr>
        <w:trPr>
          <w:trHeight w:val="230"/>
        </w:trPr>
        <w:tc>
          <w:tcPr>
            <w:tcW w:w="8340" w:type="dxa"/>
            <w:vAlign w:val="bottom"/>
          </w:tcPr>
          <w:p>
            <w:pPr>
              <w:jc w:val="right"/>
              <w:ind w:right="160"/>
              <w:spacing w:after="0"/>
              <w:rPr>
                <w:sz w:val="20"/>
                <w:szCs w:val="20"/>
                <w:color w:val="auto"/>
              </w:rPr>
            </w:pPr>
            <w:r>
              <w:rPr>
                <w:rFonts w:ascii="Arial" w:cs="Arial" w:eastAsia="Arial" w:hAnsi="Arial"/>
                <w:sz w:val="20"/>
                <w:szCs w:val="20"/>
                <w:color w:val="auto"/>
                <w:w w:val="90"/>
              </w:rPr>
              <w:t>2027 . . . . . . . . . . . . . . . . . . . . . . . . . . . . . . . . . . . . . . . . . . . . . . . . . . . . . . . . . . . . . . . . . . . . . . . . . . . .</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9,573</w:t>
            </w:r>
          </w:p>
        </w:tc>
        <w:tc>
          <w:tcPr>
            <w:tcW w:w="0" w:type="dxa"/>
            <w:vAlign w:val="bottom"/>
          </w:tcPr>
          <w:p>
            <w:pPr>
              <w:spacing w:after="0"/>
              <w:rPr>
                <w:sz w:val="1"/>
                <w:szCs w:val="1"/>
                <w:color w:val="auto"/>
              </w:rPr>
            </w:pPr>
          </w:p>
        </w:tc>
      </w:tr>
      <w:tr>
        <w:trPr>
          <w:trHeight w:val="232"/>
        </w:trPr>
        <w:tc>
          <w:tcPr>
            <w:tcW w:w="8340" w:type="dxa"/>
            <w:vAlign w:val="bottom"/>
          </w:tcPr>
          <w:p>
            <w:pPr>
              <w:jc w:val="right"/>
              <w:ind w:right="160"/>
              <w:spacing w:after="0"/>
              <w:rPr>
                <w:sz w:val="20"/>
                <w:szCs w:val="20"/>
                <w:color w:val="auto"/>
              </w:rPr>
            </w:pPr>
            <w:r>
              <w:rPr>
                <w:rFonts w:ascii="Arial" w:cs="Arial" w:eastAsia="Arial" w:hAnsi="Arial"/>
                <w:sz w:val="20"/>
                <w:szCs w:val="20"/>
                <w:color w:val="auto"/>
                <w:w w:val="90"/>
              </w:rPr>
              <w:t>2028 . . . . . . . . . . . . . . . . . . . . . . . . . . . . . . . . . . . . . . . . . . . . . . . . . . . . . . . . . . . . . . . . . . . . . . . . . . . .</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9,826</w:t>
            </w:r>
          </w:p>
        </w:tc>
        <w:tc>
          <w:tcPr>
            <w:tcW w:w="0" w:type="dxa"/>
            <w:vAlign w:val="bottom"/>
          </w:tcPr>
          <w:p>
            <w:pPr>
              <w:spacing w:after="0"/>
              <w:rPr>
                <w:sz w:val="1"/>
                <w:szCs w:val="1"/>
                <w:color w:val="auto"/>
              </w:rPr>
            </w:pPr>
          </w:p>
        </w:tc>
      </w:tr>
      <w:tr>
        <w:trPr>
          <w:trHeight w:val="230"/>
        </w:trPr>
        <w:tc>
          <w:tcPr>
            <w:tcW w:w="8340" w:type="dxa"/>
            <w:vAlign w:val="bottom"/>
          </w:tcPr>
          <w:p>
            <w:pPr>
              <w:jc w:val="right"/>
              <w:ind w:right="160"/>
              <w:spacing w:after="0"/>
              <w:rPr>
                <w:sz w:val="20"/>
                <w:szCs w:val="20"/>
                <w:color w:val="auto"/>
              </w:rPr>
            </w:pPr>
            <w:r>
              <w:rPr>
                <w:rFonts w:ascii="Arial" w:cs="Arial" w:eastAsia="Arial" w:hAnsi="Arial"/>
                <w:sz w:val="20"/>
                <w:szCs w:val="20"/>
                <w:color w:val="auto"/>
                <w:w w:val="90"/>
              </w:rPr>
              <w:t>2029 . . . . . . . . . . . . . . . . . . . . . . . . . . . . . . . . . . . . . . . . . . . . . . . . . . . . . . . . . . . . . . . . . . . . . . . . . . . .</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10,085</w:t>
            </w:r>
          </w:p>
        </w:tc>
        <w:tc>
          <w:tcPr>
            <w:tcW w:w="0" w:type="dxa"/>
            <w:vAlign w:val="bottom"/>
          </w:tcPr>
          <w:p>
            <w:pPr>
              <w:spacing w:after="0"/>
              <w:rPr>
                <w:sz w:val="1"/>
                <w:szCs w:val="1"/>
                <w:color w:val="auto"/>
              </w:rPr>
            </w:pPr>
          </w:p>
        </w:tc>
      </w:tr>
      <w:tr>
        <w:trPr>
          <w:trHeight w:val="252"/>
        </w:trPr>
        <w:tc>
          <w:tcPr>
            <w:tcW w:w="8360" w:type="dxa"/>
            <w:vAlign w:val="bottom"/>
            <w:gridSpan w:val="2"/>
          </w:tcPr>
          <w:p>
            <w:pPr>
              <w:spacing w:after="0"/>
              <w:rPr>
                <w:sz w:val="20"/>
                <w:szCs w:val="20"/>
                <w:color w:val="auto"/>
              </w:rPr>
            </w:pPr>
            <w:r>
              <w:rPr>
                <w:rFonts w:ascii="Arial" w:cs="Arial" w:eastAsia="Arial" w:hAnsi="Arial"/>
                <w:sz w:val="20"/>
                <w:szCs w:val="20"/>
                <w:color w:val="auto"/>
                <w:w w:val="94"/>
              </w:rPr>
              <w:t>Thereafter . . . . . . . . . . . . . . . . . . . . . . . . . . . . . . . . . . . . . . . . . . . . . . . . . . . . . . . . . . . . . . . . . . . . . . .</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36,029</w:t>
            </w:r>
          </w:p>
        </w:tc>
        <w:tc>
          <w:tcPr>
            <w:tcW w:w="0" w:type="dxa"/>
            <w:vAlign w:val="bottom"/>
          </w:tcPr>
          <w:p>
            <w:pPr>
              <w:spacing w:after="0"/>
              <w:rPr>
                <w:sz w:val="1"/>
                <w:szCs w:val="1"/>
                <w:color w:val="auto"/>
              </w:rPr>
            </w:pPr>
          </w:p>
        </w:tc>
      </w:tr>
      <w:tr>
        <w:trPr>
          <w:trHeight w:val="201"/>
        </w:trPr>
        <w:tc>
          <w:tcPr>
            <w:tcW w:w="8360" w:type="dxa"/>
            <w:vAlign w:val="bottom"/>
            <w:gridSpan w:val="2"/>
          </w:tcPr>
          <w:p>
            <w:pPr>
              <w:spacing w:after="0" w:line="201" w:lineRule="exact"/>
              <w:rPr>
                <w:sz w:val="20"/>
                <w:szCs w:val="20"/>
                <w:color w:val="auto"/>
              </w:rPr>
            </w:pPr>
            <w:r>
              <w:rPr>
                <w:rFonts w:ascii="Arial" w:cs="Arial" w:eastAsia="Arial" w:hAnsi="Arial"/>
                <w:sz w:val="20"/>
                <w:szCs w:val="20"/>
                <w:color w:val="auto"/>
                <w:w w:val="97"/>
              </w:rPr>
              <w:t>. . . . . . . . . . . . . . . . . . . . . . . . . . . . . . . . . . . . . . . . . . . . . . . . . . . . . . . . . . . . .Totalleasepayments</w:t>
            </w:r>
          </w:p>
        </w:tc>
        <w:tc>
          <w:tcPr>
            <w:tcW w:w="3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20"/>
                <w:szCs w:val="20"/>
                <w:color w:val="auto"/>
              </w:rPr>
              <w:t>84,606</w:t>
            </w: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20"/>
                <w:szCs w:val="20"/>
                <w:color w:val="auto"/>
                <w:w w:val="96"/>
              </w:rPr>
              <w:t>Less: Imputed interest . . . . . . . . . . . . . . . . . . . . . . . . . . . . . . . . . . . . . . . . . . . . . . . . . . . . . . . . . . . .</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(26,632)</w:t>
            </w:r>
          </w:p>
        </w:tc>
        <w:tc>
          <w:tcPr>
            <w:tcW w:w="0" w:type="dxa"/>
            <w:vAlign w:val="bottom"/>
          </w:tcPr>
          <w:p>
            <w:pPr>
              <w:spacing w:after="0"/>
              <w:rPr>
                <w:sz w:val="1"/>
                <w:szCs w:val="1"/>
                <w:color w:val="auto"/>
              </w:rPr>
            </w:pPr>
          </w:p>
        </w:tc>
      </w:tr>
      <w:tr>
        <w:trPr>
          <w:trHeight w:val="252"/>
        </w:trPr>
        <w:tc>
          <w:tcPr>
            <w:tcW w:w="8360" w:type="dxa"/>
            <w:vAlign w:val="bottom"/>
            <w:gridSpan w:val="2"/>
          </w:tcPr>
          <w:p>
            <w:pPr>
              <w:spacing w:after="0"/>
              <w:rPr>
                <w:sz w:val="20"/>
                <w:szCs w:val="20"/>
                <w:color w:val="auto"/>
              </w:rPr>
            </w:pPr>
            <w:r>
              <w:rPr>
                <w:rFonts w:ascii="Arial" w:cs="Arial" w:eastAsia="Arial" w:hAnsi="Arial"/>
                <w:sz w:val="20"/>
                <w:szCs w:val="20"/>
                <w:color w:val="auto"/>
                <w:w w:val="97"/>
              </w:rPr>
              <w:t>Less: Tenant incentive receivable . . . . . . . . . . . . . . . . . . . . . . . . . . . . . . . . . . . . . . . . . . . . . . . . . .</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(4,144)</w:t>
            </w:r>
          </w:p>
        </w:tc>
        <w:tc>
          <w:tcPr>
            <w:tcW w:w="0" w:type="dxa"/>
            <w:vAlign w:val="bottom"/>
          </w:tcPr>
          <w:p>
            <w:pPr>
              <w:spacing w:after="0"/>
              <w:rPr>
                <w:sz w:val="1"/>
                <w:szCs w:val="1"/>
                <w:color w:val="auto"/>
              </w:rPr>
            </w:pPr>
          </w:p>
        </w:tc>
      </w:tr>
      <w:tr>
        <w:trPr>
          <w:trHeight w:val="231"/>
        </w:trPr>
        <w:tc>
          <w:tcPr>
            <w:tcW w:w="8340" w:type="dxa"/>
            <w:vAlign w:val="bottom"/>
          </w:tcPr>
          <w:p>
            <w:pPr>
              <w:spacing w:after="0" w:line="223" w:lineRule="exact"/>
              <w:rPr>
                <w:sz w:val="20"/>
                <w:szCs w:val="20"/>
                <w:color w:val="auto"/>
              </w:rPr>
            </w:pPr>
            <w:r>
              <w:rPr>
                <w:rFonts w:ascii="Arial" w:cs="Arial" w:eastAsia="Arial" w:hAnsi="Arial"/>
                <w:sz w:val="20"/>
                <w:szCs w:val="20"/>
                <w:color w:val="auto"/>
                <w:w w:val="93"/>
              </w:rPr>
              <w:t>Total . . . . . . . . . . . .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47"/>
              <w:spacing w:after="0" w:line="223" w:lineRule="exact"/>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53,830</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During the year ended December 31, 2023, the Company recognized $4,943 in impairment on right-of-use assets. See Note 18, “Impairment on Long-Lived Assets”. There were no impairment charges during the year ended December 31, 2024.</w:t>
      </w:r>
    </w:p>
    <w:p>
      <w:pPr>
        <w:sectPr>
          <w:pgSz w:w="11880" w:h="15480" w:orient="portrait"/>
          <w:cols w:equalWidth="0" w:num="1">
            <w:col w:w="9720"/>
          </w:cols>
          <w:pgMar w:left="1080" w:top="1068"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154</w:t>
      </w:r>
    </w:p>
    <w:p>
      <w:pPr>
        <w:sectPr>
          <w:pgSz w:w="11880" w:h="15480" w:orient="portrait"/>
          <w:cols w:equalWidth="0" w:num="1">
            <w:col w:w="9720"/>
          </w:cols>
          <w:pgMar w:left="1080" w:top="1068" w:right="1080" w:bottom="554" w:gutter="0" w:footer="0" w:header="0"/>
          <w:type w:val="continuous"/>
        </w:sectPr>
      </w:pPr>
    </w:p>
    <w:bookmarkStart w:id="154" w:name="page155"/>
    <w:bookmarkEnd w:id="154"/>
    <w:p>
      <w:pPr>
        <w:spacing w:after="0"/>
        <w:rPr>
          <w:sz w:val="20"/>
          <w:szCs w:val="20"/>
          <w:color w:val="auto"/>
        </w:rPr>
      </w:pPr>
      <w:r>
        <w:rPr>
          <w:rFonts w:ascii="Arial" w:cs="Arial" w:eastAsia="Arial" w:hAnsi="Arial"/>
          <w:sz w:val="24"/>
          <w:szCs w:val="24"/>
          <w:color w:val="auto"/>
        </w:rPr>
        <w:t>Note 12—Income taxes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Loss before provision for income taxes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gridSpan w:val="5"/>
          </w:tcPr>
          <w:p>
            <w:pPr>
              <w:jc w:val="right"/>
              <w:ind w:right="263"/>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40" w:type="dxa"/>
            <w:vAlign w:val="bottom"/>
            <w:vMerge w:val="restart"/>
          </w:tcPr>
          <w:p>
            <w:pPr>
              <w:spacing w:after="0"/>
              <w:rPr>
                <w:sz w:val="20"/>
                <w:szCs w:val="20"/>
                <w:color w:val="auto"/>
              </w:rPr>
            </w:pPr>
            <w:r>
              <w:rPr>
                <w:rFonts w:ascii="Arial" w:cs="Arial" w:eastAsia="Arial" w:hAnsi="Arial"/>
                <w:sz w:val="20"/>
                <w:szCs w:val="20"/>
                <w:color w:val="auto"/>
              </w:rPr>
              <w:t>Domestic</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040" w:type="dxa"/>
            <w:vAlign w:val="bottom"/>
            <w:vMerge w:val="continue"/>
          </w:tcPr>
          <w:p>
            <w:pPr>
              <w:jc w:val="right"/>
              <w:ind w:right="180"/>
              <w:spacing w:after="0" w:line="178" w:lineRule="exact"/>
              <w:rPr>
                <w:sz w:val="20"/>
                <w:szCs w:val="20"/>
                <w:color w:val="auto"/>
              </w:rPr>
            </w:pPr>
            <w:r>
              <w:rPr>
                <w:rFonts w:ascii="Arial" w:cs="Arial" w:eastAsia="Arial" w:hAnsi="Arial"/>
                <w:sz w:val="20"/>
                <w:szCs w:val="20"/>
                <w:color w:val="auto"/>
              </w:rPr>
              <w:t>. . . . . . . . . . . . . . . . . . . . . . . . . . . . . . . . . . . . . . . . . . . . . . . . . . . . . . . . . . .</w:t>
            </w:r>
          </w:p>
        </w:tc>
        <w:tc>
          <w:tcPr>
            <w:tcW w:w="20" w:type="dxa"/>
            <w:vAlign w:val="bottom"/>
          </w:tcPr>
          <w:p>
            <w:pPr>
              <w:spacing w:after="0"/>
              <w:rPr>
                <w:sz w:val="17"/>
                <w:szCs w:val="17"/>
                <w:color w:val="auto"/>
              </w:rPr>
            </w:pPr>
          </w:p>
        </w:tc>
        <w:tc>
          <w:tcPr>
            <w:tcW w:w="220" w:type="dxa"/>
            <w:vAlign w:val="bottom"/>
          </w:tcPr>
          <w:p>
            <w:pPr>
              <w:jc w:val="right"/>
              <w:ind w:right="20"/>
              <w:spacing w:after="0" w:line="201" w:lineRule="exact"/>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20"/>
                <w:szCs w:val="20"/>
                <w:color w:val="auto"/>
              </w:rPr>
              <w:t>(124,781)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jc w:val="right"/>
              <w:ind w:right="40"/>
              <w:spacing w:after="0" w:line="201" w:lineRule="exact"/>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20"/>
                <w:szCs w:val="20"/>
                <w:color w:val="auto"/>
              </w:rPr>
              <w:t>(135,003)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040" w:type="dxa"/>
            <w:vAlign w:val="bottom"/>
          </w:tcPr>
          <w:p>
            <w:pPr>
              <w:spacing w:after="0"/>
              <w:rPr>
                <w:sz w:val="20"/>
                <w:szCs w:val="20"/>
                <w:color w:val="auto"/>
              </w:rPr>
            </w:pPr>
            <w:r>
              <w:rPr>
                <w:rFonts w:ascii="Arial" w:cs="Arial" w:eastAsia="Arial" w:hAnsi="Arial"/>
                <w:sz w:val="20"/>
                <w:szCs w:val="20"/>
                <w:color w:val="auto"/>
                <w:w w:val="95"/>
              </w:rPr>
              <w:t>Foreign . . . . . . . . . . . . . . . . .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40" w:type="dxa"/>
            <w:vAlign w:val="bottom"/>
          </w:tcPr>
          <w:p>
            <w:pPr>
              <w:jc w:val="right"/>
              <w:ind w:right="180"/>
              <w:spacing w:after="0" w:line="221" w:lineRule="exact"/>
              <w:rPr>
                <w:sz w:val="20"/>
                <w:szCs w:val="20"/>
                <w:color w:val="auto"/>
              </w:rPr>
            </w:pPr>
            <w:r>
              <w:rPr>
                <w:rFonts w:ascii="Arial" w:cs="Arial" w:eastAsia="Arial" w:hAnsi="Arial"/>
                <w:sz w:val="20"/>
                <w:szCs w:val="20"/>
                <w:color w:val="auto"/>
                <w:w w:val="99"/>
              </w:rPr>
              <w:t>. . . . . . . . . . . . . . . . . . . . . . . . . . . . . . . . .Lossbeforeprovisionforincometaxes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1"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(124,776)</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40"/>
              <w:spacing w:after="0" w:line="221"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(134,792)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3"/>
        </w:trPr>
        <w:tc>
          <w:tcPr>
            <w:tcW w:w="7040" w:type="dxa"/>
            <w:vAlign w:val="bottom"/>
          </w:tcPr>
          <w:p>
            <w:pPr>
              <w:spacing w:after="0"/>
              <w:rPr>
                <w:sz w:val="20"/>
                <w:szCs w:val="20"/>
                <w:color w:val="auto"/>
              </w:rPr>
            </w:pPr>
            <w:r>
              <w:rPr>
                <w:rFonts w:ascii="Arial" w:cs="Arial" w:eastAsia="Arial" w:hAnsi="Arial"/>
                <w:sz w:val="20"/>
                <w:szCs w:val="20"/>
                <w:color w:val="auto"/>
              </w:rPr>
              <w:t>The components of the provision for income taxes is as follows: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0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5"/>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right"/>
              <w:ind w:right="263"/>
              <w:spacing w:after="0" w:line="168" w:lineRule="exact"/>
              <w:rPr>
                <w:sz w:val="20"/>
                <w:szCs w:val="20"/>
                <w:color w:val="auto"/>
              </w:rPr>
            </w:pPr>
            <w:r>
              <w:rPr>
                <w:rFonts w:ascii="Arial" w:cs="Arial" w:eastAsia="Arial" w:hAnsi="Arial"/>
                <w:sz w:val="16"/>
                <w:szCs w:val="16"/>
                <w:b w:val="1"/>
                <w:bCs w:val="1"/>
                <w:color w:val="auto"/>
              </w:rPr>
              <w:t>Year Ended December 31,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40" w:type="dxa"/>
            <w:vAlign w:val="bottom"/>
            <w:vMerge w:val="restart"/>
          </w:tcPr>
          <w:p>
            <w:pPr>
              <w:spacing w:after="0"/>
              <w:rPr>
                <w:sz w:val="20"/>
                <w:szCs w:val="20"/>
                <w:color w:val="auto"/>
              </w:rPr>
            </w:pPr>
            <w:r>
              <w:rPr>
                <w:rFonts w:ascii="Arial" w:cs="Arial" w:eastAsia="Arial" w:hAnsi="Arial"/>
                <w:sz w:val="20"/>
                <w:szCs w:val="20"/>
                <w:color w:val="auto"/>
              </w:rPr>
              <w:t>Current expense:</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0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3"/>
              </w:rPr>
              <w:t>Federal . . . . . . . . . . . . . . . . . . . . . . . . . . . . . . . . . . . . . . . . . . . . . . . . . . . . . . . . . . .</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w w:val="89"/>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400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2"/>
              </w:rPr>
              <w:t>State . . . . . . . . . . .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706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1,267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3"/>
              </w:rPr>
              <w:t>Foreign . . . . . . . . . . . . . . . . . . . . . . . . . . . . . . . . . . . . . . . . . . . . . . . . . . . . . . . . . .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20"/>
                <w:szCs w:val="20"/>
                <w:color w:val="auto"/>
              </w:rPr>
              <w:t>(185)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5"/>
              </w:rPr>
              <w:t>. . . . . . . . . . . . . . . . . . . . . . . . . . . . . . . . . . . . . . . . . . . . . . .Totalcurrentexpense:</w:t>
            </w:r>
          </w:p>
        </w:tc>
        <w:tc>
          <w:tcPr>
            <w:tcW w:w="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921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1,884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1"/>
        </w:trPr>
        <w:tc>
          <w:tcPr>
            <w:tcW w:w="7040" w:type="dxa"/>
            <w:vAlign w:val="bottom"/>
          </w:tcPr>
          <w:p>
            <w:pPr>
              <w:spacing w:after="0"/>
              <w:rPr>
                <w:sz w:val="20"/>
                <w:szCs w:val="20"/>
                <w:color w:val="auto"/>
              </w:rPr>
            </w:pPr>
            <w:r>
              <w:rPr>
                <w:rFonts w:ascii="Arial" w:cs="Arial" w:eastAsia="Arial" w:hAnsi="Arial"/>
                <w:sz w:val="20"/>
                <w:szCs w:val="20"/>
                <w:color w:val="auto"/>
              </w:rPr>
              <w:t>Deferred expense: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3"/>
              </w:rPr>
              <w:t>Federal . . . . . . . . .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2"/>
              </w:rPr>
              <w:t>State . . . . . . . . . . .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832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2"/>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3"/>
              </w:rPr>
              <w:t>Foreign . . . . . . . . . . . . . . . . . . . . . . . . . . . . . . . . . . . . . . . . . . . . . . . . . . . . . . . . . .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61"/>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5"/>
              </w:rPr>
              <w:t>. . . . . . . . . . . . . . . . . . . . . . . . . . . . . . . . . . . . . . . . . . . . . .Totaldeferredexpense:</w:t>
            </w:r>
          </w:p>
        </w:tc>
        <w:tc>
          <w:tcPr>
            <w:tcW w:w="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869</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040" w:type="dxa"/>
            <w:vAlign w:val="bottom"/>
            <w:vMerge w:val="restart"/>
          </w:tcPr>
          <w:p>
            <w:pPr>
              <w:spacing w:after="0"/>
              <w:rPr>
                <w:sz w:val="20"/>
                <w:szCs w:val="20"/>
                <w:color w:val="auto"/>
              </w:rPr>
            </w:pPr>
            <w:r>
              <w:rPr>
                <w:rFonts w:ascii="Arial" w:cs="Arial" w:eastAsia="Arial" w:hAnsi="Arial"/>
                <w:sz w:val="20"/>
                <w:szCs w:val="20"/>
                <w:color w:val="auto"/>
              </w:rPr>
              <w:t>Total income tax expense</w:t>
            </w:r>
          </w:p>
        </w:tc>
        <w:tc>
          <w:tcPr>
            <w:tcW w:w="20" w:type="dxa"/>
            <w:vAlign w:val="bottom"/>
            <w:vMerge w:val="restart"/>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040" w:type="dxa"/>
            <w:vAlign w:val="bottom"/>
            <w:vMerge w:val="continue"/>
          </w:tcPr>
          <w:p>
            <w:pPr>
              <w:jc w:val="right"/>
              <w:ind w:right="180"/>
              <w:spacing w:after="0" w:line="178" w:lineRule="exact"/>
              <w:rPr>
                <w:sz w:val="20"/>
                <w:szCs w:val="20"/>
                <w:color w:val="auto"/>
              </w:rPr>
            </w:pPr>
            <w:r>
              <w:rPr>
                <w:rFonts w:ascii="Arial" w:cs="Arial" w:eastAsia="Arial" w:hAnsi="Arial"/>
                <w:sz w:val="20"/>
                <w:szCs w:val="20"/>
                <w:color w:val="auto"/>
              </w:rPr>
              <w:t>. . . . . . . . . . . . . . . . . . . . . . . . . . . . . . . . . . . . . . . . . . . .</w:t>
            </w:r>
          </w:p>
        </w:tc>
        <w:tc>
          <w:tcPr>
            <w:tcW w:w="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jc w:val="right"/>
              <w:ind w:right="20"/>
              <w:spacing w:after="0" w:line="223"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1,790</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40"/>
              <w:spacing w:after="0" w:line="223"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1,881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00"/>
        <w:spacing w:after="0" w:line="283" w:lineRule="auto"/>
        <w:rPr>
          <w:sz w:val="20"/>
          <w:szCs w:val="20"/>
          <w:color w:val="auto"/>
        </w:rPr>
      </w:pPr>
      <w:r>
        <w:rPr>
          <w:rFonts w:ascii="Arial" w:cs="Arial" w:eastAsia="Arial" w:hAnsi="Arial"/>
          <w:sz w:val="20"/>
          <w:szCs w:val="20"/>
          <w:color w:val="auto"/>
        </w:rPr>
        <w:t>A reconciliation of the Company's statutory income tax rate to the Company’s effective income tax rate is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gridSpan w:val="5"/>
          </w:tcPr>
          <w:p>
            <w:pPr>
              <w:jc w:val="right"/>
              <w:ind w:right="262"/>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60" w:type="dxa"/>
            <w:vAlign w:val="bottom"/>
            <w:gridSpan w:val="2"/>
            <w:vMerge w:val="restart"/>
          </w:tcPr>
          <w:p>
            <w:pPr>
              <w:spacing w:after="0"/>
              <w:rPr>
                <w:sz w:val="20"/>
                <w:szCs w:val="20"/>
                <w:color w:val="auto"/>
              </w:rPr>
            </w:pPr>
            <w:r>
              <w:rPr>
                <w:rFonts w:ascii="Arial" w:cs="Arial" w:eastAsia="Arial" w:hAnsi="Arial"/>
                <w:sz w:val="20"/>
                <w:szCs w:val="20"/>
                <w:color w:val="auto"/>
              </w:rPr>
              <w:t>Income at US statutory rate</w:t>
            </w:r>
          </w:p>
        </w:tc>
        <w:tc>
          <w:tcPr>
            <w:tcW w:w="120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060" w:type="dxa"/>
            <w:vAlign w:val="bottom"/>
            <w:gridSpan w:val="2"/>
            <w:vMerge w:val="continue"/>
          </w:tcPr>
          <w:p>
            <w:pPr>
              <w:jc w:val="right"/>
              <w:ind w:right="300"/>
              <w:spacing w:after="0" w:line="177" w:lineRule="exact"/>
              <w:rPr>
                <w:sz w:val="20"/>
                <w:szCs w:val="20"/>
                <w:color w:val="auto"/>
              </w:rPr>
            </w:pPr>
            <w:r>
              <w:rPr>
                <w:rFonts w:ascii="Arial" w:cs="Arial" w:eastAsia="Arial" w:hAnsi="Arial"/>
                <w:sz w:val="20"/>
                <w:szCs w:val="20"/>
                <w:color w:val="auto"/>
              </w:rPr>
              <w:t>. . . . . . . . . . . . . . . . . . . . . . . . . . . . . . . . . . . . . . . . . . .</w:t>
            </w:r>
          </w:p>
        </w:tc>
        <w:tc>
          <w:tcPr>
            <w:tcW w:w="1200" w:type="dxa"/>
            <w:vAlign w:val="bottom"/>
          </w:tcPr>
          <w:p>
            <w:pPr>
              <w:jc w:val="right"/>
              <w:spacing w:after="0" w:line="201" w:lineRule="exact"/>
              <w:rPr>
                <w:sz w:val="20"/>
                <w:szCs w:val="20"/>
                <w:color w:val="auto"/>
              </w:rPr>
            </w:pPr>
            <w:r>
              <w:rPr>
                <w:rFonts w:ascii="Arial" w:cs="Arial" w:eastAsia="Arial" w:hAnsi="Arial"/>
                <w:sz w:val="20"/>
                <w:szCs w:val="20"/>
                <w:color w:val="auto"/>
              </w:rPr>
              <w:t>21.0%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Arial" w:cs="Arial" w:eastAsia="Arial" w:hAnsi="Arial"/>
                <w:sz w:val="20"/>
                <w:szCs w:val="20"/>
                <w:color w:val="auto"/>
              </w:rPr>
              <w:t>21.0%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gridSpan w:val="2"/>
          </w:tcPr>
          <w:p>
            <w:pPr>
              <w:jc w:val="right"/>
              <w:ind w:right="300"/>
              <w:spacing w:after="0"/>
              <w:rPr>
                <w:sz w:val="20"/>
                <w:szCs w:val="20"/>
                <w:color w:val="auto"/>
              </w:rPr>
            </w:pPr>
            <w:r>
              <w:rPr>
                <w:rFonts w:ascii="Arial" w:cs="Arial" w:eastAsia="Arial" w:hAnsi="Arial"/>
                <w:sz w:val="20"/>
                <w:szCs w:val="20"/>
                <w:color w:val="auto"/>
                <w:w w:val="94"/>
              </w:rPr>
              <w:t>State taxes, net of federal benefit . . . . . . . . . . . . . . . . . . . . . . . . . . . . . . . . . . . . . .</w:t>
            </w:r>
          </w:p>
        </w:tc>
        <w:tc>
          <w:tcPr>
            <w:tcW w:w="1200" w:type="dxa"/>
            <w:vAlign w:val="bottom"/>
          </w:tcPr>
          <w:p>
            <w:pPr>
              <w:jc w:val="right"/>
              <w:spacing w:after="0"/>
              <w:rPr>
                <w:sz w:val="20"/>
                <w:szCs w:val="20"/>
                <w:color w:val="auto"/>
              </w:rPr>
            </w:pPr>
            <w:r>
              <w:rPr>
                <w:rFonts w:ascii="Arial" w:cs="Arial" w:eastAsia="Arial" w:hAnsi="Arial"/>
                <w:sz w:val="20"/>
                <w:szCs w:val="20"/>
                <w:color w:val="auto"/>
              </w:rPr>
              <w:t>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060" w:type="dxa"/>
            <w:vAlign w:val="bottom"/>
            <w:gridSpan w:val="2"/>
          </w:tcPr>
          <w:p>
            <w:pPr>
              <w:jc w:val="right"/>
              <w:ind w:right="300"/>
              <w:spacing w:after="0"/>
              <w:rPr>
                <w:sz w:val="20"/>
                <w:szCs w:val="20"/>
                <w:color w:val="auto"/>
              </w:rPr>
            </w:pPr>
            <w:r>
              <w:rPr>
                <w:rFonts w:ascii="Arial" w:cs="Arial" w:eastAsia="Arial" w:hAnsi="Arial"/>
                <w:sz w:val="20"/>
                <w:szCs w:val="20"/>
                <w:color w:val="auto"/>
                <w:w w:val="93"/>
              </w:rPr>
              <w:t>Permanent differences . . . . . . . . . . . . . . . . . . . . . . . . . . . . . . . . . . . . . . . . . . . . . . .</w:t>
            </w: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(1.0)%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gridSpan w:val="2"/>
          </w:tcPr>
          <w:p>
            <w:pPr>
              <w:jc w:val="right"/>
              <w:ind w:right="300"/>
              <w:spacing w:after="0"/>
              <w:rPr>
                <w:sz w:val="20"/>
                <w:szCs w:val="20"/>
                <w:color w:val="auto"/>
              </w:rPr>
            </w:pPr>
            <w:r>
              <w:rPr>
                <w:rFonts w:ascii="Arial" w:cs="Arial" w:eastAsia="Arial" w:hAnsi="Arial"/>
                <w:sz w:val="20"/>
                <w:szCs w:val="20"/>
                <w:color w:val="auto"/>
                <w:w w:val="92"/>
              </w:rPr>
              <w:t>Tax credits . . . . . . . . . . . . . . . . . . . . . . . . . . . . . . . . . . . . . . . . . . . . . . . . . . . . . . . . .</w:t>
            </w:r>
          </w:p>
        </w:tc>
        <w:tc>
          <w:tcPr>
            <w:tcW w:w="1200" w:type="dxa"/>
            <w:vAlign w:val="bottom"/>
          </w:tcPr>
          <w:p>
            <w:pPr>
              <w:jc w:val="right"/>
              <w:spacing w:after="0"/>
              <w:rPr>
                <w:sz w:val="20"/>
                <w:szCs w:val="20"/>
                <w:color w:val="auto"/>
              </w:rPr>
            </w:pPr>
            <w:r>
              <w:rPr>
                <w:rFonts w:ascii="Arial" w:cs="Arial" w:eastAsia="Arial" w:hAnsi="Arial"/>
                <w:sz w:val="20"/>
                <w:szCs w:val="20"/>
                <w:color w:val="auto"/>
              </w:rPr>
              <w:t>2.9%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gridSpan w:val="2"/>
          </w:tcPr>
          <w:p>
            <w:pPr>
              <w:jc w:val="right"/>
              <w:ind w:right="300"/>
              <w:spacing w:after="0"/>
              <w:rPr>
                <w:sz w:val="20"/>
                <w:szCs w:val="20"/>
                <w:color w:val="auto"/>
              </w:rPr>
            </w:pPr>
            <w:r>
              <w:rPr>
                <w:rFonts w:ascii="Arial" w:cs="Arial" w:eastAsia="Arial" w:hAnsi="Arial"/>
                <w:sz w:val="20"/>
                <w:szCs w:val="20"/>
                <w:color w:val="auto"/>
                <w:w w:val="92"/>
              </w:rPr>
              <w:t>Tax law change . . . . . . . . . . . . . . . . . . . . . . . . . . . . . . . . . . . . . . . . . . . . . . . . . . . . .</w:t>
            </w:r>
          </w:p>
        </w:tc>
        <w:tc>
          <w:tcPr>
            <w:tcW w:w="1200" w:type="dxa"/>
            <w:vAlign w:val="bottom"/>
          </w:tcPr>
          <w:p>
            <w:pPr>
              <w:jc w:val="right"/>
              <w:spacing w:after="0"/>
              <w:rPr>
                <w:sz w:val="20"/>
                <w:szCs w:val="20"/>
                <w:color w:val="auto"/>
              </w:rPr>
            </w:pPr>
            <w:r>
              <w:rPr>
                <w:rFonts w:ascii="Arial" w:cs="Arial" w:eastAsia="Arial" w:hAnsi="Arial"/>
                <w:sz w:val="20"/>
                <w:szCs w:val="20"/>
                <w:color w:val="auto"/>
              </w:rPr>
              <w:t>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060" w:type="dxa"/>
            <w:vAlign w:val="bottom"/>
            <w:gridSpan w:val="2"/>
          </w:tcPr>
          <w:p>
            <w:pPr>
              <w:jc w:val="right"/>
              <w:ind w:right="300"/>
              <w:spacing w:after="0"/>
              <w:rPr>
                <w:sz w:val="20"/>
                <w:szCs w:val="20"/>
                <w:color w:val="auto"/>
              </w:rPr>
            </w:pPr>
            <w:r>
              <w:rPr>
                <w:rFonts w:ascii="Arial" w:cs="Arial" w:eastAsia="Arial" w:hAnsi="Arial"/>
                <w:sz w:val="20"/>
                <w:szCs w:val="20"/>
                <w:color w:val="auto"/>
                <w:w w:val="92"/>
              </w:rPr>
              <w:t>Clade acquisition . . . . . . . . . . . . . . . . . . . . . . . . . . . . . . . . . . . . . . . . . . . . . . . . . . . .</w:t>
            </w:r>
          </w:p>
        </w:tc>
        <w:tc>
          <w:tcPr>
            <w:tcW w:w="1200" w:type="dxa"/>
            <w:vAlign w:val="bottom"/>
          </w:tcPr>
          <w:p>
            <w:pPr>
              <w:jc w:val="right"/>
              <w:spacing w:after="0"/>
              <w:rPr>
                <w:sz w:val="20"/>
                <w:szCs w:val="20"/>
                <w:color w:val="auto"/>
              </w:rPr>
            </w:pPr>
            <w:r>
              <w:rPr>
                <w:rFonts w:ascii="Arial" w:cs="Arial" w:eastAsia="Arial" w:hAnsi="Arial"/>
                <w:sz w:val="20"/>
                <w:szCs w:val="20"/>
                <w:color w:val="auto"/>
              </w:rPr>
              <w:t>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gridSpan w:val="2"/>
          </w:tcPr>
          <w:p>
            <w:pPr>
              <w:jc w:val="right"/>
              <w:ind w:right="300"/>
              <w:spacing w:after="0"/>
              <w:rPr>
                <w:sz w:val="20"/>
                <w:szCs w:val="20"/>
                <w:color w:val="auto"/>
              </w:rPr>
            </w:pPr>
            <w:r>
              <w:rPr>
                <w:rFonts w:ascii="Arial" w:cs="Arial" w:eastAsia="Arial" w:hAnsi="Arial"/>
                <w:sz w:val="20"/>
                <w:szCs w:val="20"/>
                <w:color w:val="auto"/>
                <w:w w:val="92"/>
              </w:rPr>
              <w:t>Foreign rate differential . . . . . . . . . . . . . . . . . . . . . . . . . . . . . . . . . . . . . . . . . . . . . . .</w:t>
            </w:r>
          </w:p>
        </w:tc>
        <w:tc>
          <w:tcPr>
            <w:tcW w:w="1200" w:type="dxa"/>
            <w:vAlign w:val="bottom"/>
          </w:tcPr>
          <w:p>
            <w:pPr>
              <w:jc w:val="right"/>
              <w:spacing w:after="0"/>
              <w:rPr>
                <w:sz w:val="20"/>
                <w:szCs w:val="20"/>
                <w:color w:val="auto"/>
              </w:rPr>
            </w:pPr>
            <w:r>
              <w:rPr>
                <w:rFonts w:ascii="Arial" w:cs="Arial" w:eastAsia="Arial" w:hAnsi="Arial"/>
                <w:sz w:val="20"/>
                <w:szCs w:val="20"/>
                <w:color w:val="auto"/>
              </w:rPr>
              <w:t>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060" w:type="dxa"/>
            <w:vAlign w:val="bottom"/>
            <w:gridSpan w:val="2"/>
          </w:tcPr>
          <w:p>
            <w:pPr>
              <w:jc w:val="right"/>
              <w:ind w:right="300"/>
              <w:spacing w:after="0"/>
              <w:rPr>
                <w:sz w:val="20"/>
                <w:szCs w:val="20"/>
                <w:color w:val="auto"/>
              </w:rPr>
            </w:pPr>
            <w:r>
              <w:rPr>
                <w:rFonts w:ascii="Arial" w:cs="Arial" w:eastAsia="Arial" w:hAnsi="Arial"/>
                <w:sz w:val="20"/>
                <w:szCs w:val="20"/>
                <w:color w:val="auto"/>
                <w:w w:val="93"/>
              </w:rPr>
              <w:t>Valuation allowance . . . . . . . . . . . . . . . . . . . . . . . . . . . . . . . . . . . . . . . . . . . . . . . . .</w:t>
            </w:r>
          </w:p>
        </w:tc>
        <w:tc>
          <w:tcPr>
            <w:tcW w:w="1420" w:type="dxa"/>
            <w:vAlign w:val="bottom"/>
            <w:gridSpan w:val="3"/>
          </w:tcPr>
          <w:p>
            <w:pPr>
              <w:jc w:val="right"/>
              <w:ind w:right="200"/>
              <w:spacing w:after="0"/>
              <w:rPr>
                <w:sz w:val="20"/>
                <w:szCs w:val="20"/>
                <w:color w:val="auto"/>
              </w:rPr>
            </w:pPr>
            <w:r>
              <w:rPr>
                <w:rFonts w:ascii="Arial" w:cs="Arial" w:eastAsia="Arial" w:hAnsi="Arial"/>
                <w:sz w:val="20"/>
                <w:szCs w:val="20"/>
                <w:color w:val="auto"/>
              </w:rPr>
              <w:t>(26.2)%</w:t>
            </w:r>
          </w:p>
        </w:tc>
        <w:tc>
          <w:tcPr>
            <w:tcW w:w="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20"/>
                <w:szCs w:val="20"/>
                <w:color w:val="auto"/>
              </w:rPr>
              <w:t>(36.3)%</w:t>
            </w:r>
          </w:p>
        </w:tc>
        <w:tc>
          <w:tcPr>
            <w:tcW w:w="0" w:type="dxa"/>
            <w:vAlign w:val="bottom"/>
          </w:tcPr>
          <w:p>
            <w:pPr>
              <w:spacing w:after="0"/>
              <w:rPr>
                <w:sz w:val="1"/>
                <w:szCs w:val="1"/>
                <w:color w:val="auto"/>
              </w:rPr>
            </w:pPr>
          </w:p>
        </w:tc>
      </w:tr>
      <w:tr>
        <w:trPr>
          <w:trHeight w:val="250"/>
        </w:trPr>
        <w:tc>
          <w:tcPr>
            <w:tcW w:w="7060" w:type="dxa"/>
            <w:vAlign w:val="bottom"/>
            <w:gridSpan w:val="2"/>
          </w:tcPr>
          <w:p>
            <w:pPr>
              <w:jc w:val="right"/>
              <w:ind w:right="300"/>
              <w:spacing w:after="0"/>
              <w:rPr>
                <w:sz w:val="20"/>
                <w:szCs w:val="20"/>
                <w:color w:val="auto"/>
              </w:rPr>
            </w:pPr>
            <w:r>
              <w:rPr>
                <w:rFonts w:ascii="Arial" w:cs="Arial" w:eastAsia="Arial" w:hAnsi="Arial"/>
                <w:sz w:val="20"/>
                <w:szCs w:val="20"/>
                <w:color w:val="auto"/>
                <w:w w:val="91"/>
              </w:rPr>
              <w:t>Other . . . . . . . . . . . . . . . . . . . . . . . . . . . . . . . . . . . . . . . . . . . . . . . . . . . . . . . . . . . . . .</w:t>
            </w:r>
          </w:p>
        </w:tc>
        <w:tc>
          <w:tcPr>
            <w:tcW w:w="1420" w:type="dxa"/>
            <w:vAlign w:val="bottom"/>
            <w:gridSpan w:val="3"/>
          </w:tcPr>
          <w:p>
            <w:pPr>
              <w:jc w:val="right"/>
              <w:ind w:right="200"/>
              <w:spacing w:after="0"/>
              <w:rPr>
                <w:sz w:val="20"/>
                <w:szCs w:val="20"/>
                <w:color w:val="auto"/>
              </w:rPr>
            </w:pPr>
            <w:r>
              <w:rPr>
                <w:rFonts w:ascii="Arial" w:cs="Arial" w:eastAsia="Arial" w:hAnsi="Arial"/>
                <w:sz w:val="20"/>
                <w:szCs w:val="20"/>
                <w:color w:val="auto"/>
              </w:rPr>
              <w:t>(0.6)%</w:t>
            </w:r>
          </w:p>
        </w:tc>
        <w:tc>
          <w:tcPr>
            <w:tcW w:w="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70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gridSpan w:val="2"/>
          </w:tcPr>
          <w:p>
            <w:pPr>
              <w:jc w:val="right"/>
              <w:spacing w:after="0" w:line="223" w:lineRule="exact"/>
              <w:rPr>
                <w:sz w:val="20"/>
                <w:szCs w:val="20"/>
                <w:color w:val="auto"/>
              </w:rPr>
            </w:pPr>
            <w:r>
              <w:rPr>
                <w:rFonts w:ascii="Arial" w:cs="Arial" w:eastAsia="Arial" w:hAnsi="Arial"/>
                <w:sz w:val="20"/>
                <w:szCs w:val="20"/>
                <w:color w:val="auto"/>
              </w:rPr>
              <w:t>(1.5)%</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3"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155</w:t>
      </w:r>
    </w:p>
    <w:p>
      <w:pPr>
        <w:sectPr>
          <w:pgSz w:w="11880" w:h="15480" w:orient="portrait"/>
          <w:cols w:equalWidth="0" w:num="1">
            <w:col w:w="9720"/>
          </w:cols>
          <w:pgMar w:left="1080" w:top="1063" w:right="1080" w:bottom="554" w:gutter="0" w:footer="0" w:header="0"/>
          <w:type w:val="continuous"/>
        </w:sectPr>
      </w:pPr>
    </w:p>
    <w:bookmarkStart w:id="155" w:name="page156"/>
    <w:bookmarkEnd w:id="155"/>
    <w:p>
      <w:pPr>
        <w:spacing w:after="0"/>
        <w:rPr>
          <w:sz w:val="20"/>
          <w:szCs w:val="20"/>
          <w:color w:val="auto"/>
        </w:rPr>
      </w:pPr>
      <w:r>
        <w:rPr>
          <w:rFonts w:ascii="Arial" w:cs="Arial" w:eastAsia="Arial" w:hAnsi="Arial"/>
          <w:sz w:val="20"/>
          <w:szCs w:val="20"/>
          <w:color w:val="auto"/>
        </w:rPr>
        <w:t>The net deferred income tax liability balance related to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gridSpan w:val="7"/>
          </w:tcPr>
          <w:p>
            <w:pPr>
              <w:jc w:val="right"/>
              <w:ind w:right="261"/>
              <w:spacing w:after="0"/>
              <w:rPr>
                <w:sz w:val="20"/>
                <w:szCs w:val="20"/>
                <w:color w:val="auto"/>
              </w:rPr>
            </w:pPr>
            <w:r>
              <w:rPr>
                <w:rFonts w:ascii="Arial" w:cs="Arial" w:eastAsia="Arial" w:hAnsi="Arial"/>
                <w:sz w:val="16"/>
                <w:szCs w:val="16"/>
                <w:b w:val="1"/>
                <w:bCs w:val="1"/>
                <w:color w:val="auto"/>
              </w:rPr>
              <w:t>Year Ended 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40" w:type="dxa"/>
            <w:vAlign w:val="bottom"/>
            <w:vMerge w:val="restart"/>
          </w:tcPr>
          <w:p>
            <w:pPr>
              <w:spacing w:after="0"/>
              <w:rPr>
                <w:sz w:val="20"/>
                <w:szCs w:val="20"/>
                <w:color w:val="auto"/>
              </w:rPr>
            </w:pPr>
            <w:r>
              <w:rPr>
                <w:rFonts w:ascii="Arial" w:cs="Arial" w:eastAsia="Arial" w:hAnsi="Arial"/>
                <w:sz w:val="20"/>
                <w:szCs w:val="20"/>
                <w:color w:val="auto"/>
              </w:rPr>
              <w:t>Deferred Tax Assets</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0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6"/>
              </w:rPr>
              <w:t>Net operating loss carryforwards . . . . . . . . . . . . . . . . . . . . . . . . . . . . . . . . . . . . .</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w w:val="89"/>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61,112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31,092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3"/>
              </w:rPr>
              <w:t>Lease liability . . . .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15,826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11,273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6"/>
              </w:rPr>
              <w:t>Accrued expenses &amp; other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4"/>
              </w:rPr>
              <w:t>Deferred revenue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32,298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36,013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3"/>
              </w:rPr>
              <w:t>Credits . . . . . . . . .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18,869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11,596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5"/>
              </w:rPr>
              <w:t>Capitalized R&amp;D expenses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67,475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36,861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5"/>
              </w:rPr>
              <w:t>Stock based compensation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8,119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7,031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3"/>
              </w:rPr>
              <w:t>Amortization . . . . . . . . . . . .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5,016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7040" w:type="dxa"/>
            <w:vAlign w:val="bottom"/>
          </w:tcPr>
          <w:p>
            <w:pPr>
              <w:jc w:val="right"/>
              <w:ind w:right="180"/>
              <w:spacing w:after="0" w:line="221" w:lineRule="exact"/>
              <w:rPr>
                <w:sz w:val="20"/>
                <w:szCs w:val="20"/>
                <w:color w:val="auto"/>
              </w:rPr>
            </w:pPr>
            <w:r>
              <w:rPr>
                <w:rFonts w:ascii="Arial" w:cs="Arial" w:eastAsia="Arial" w:hAnsi="Arial"/>
                <w:sz w:val="20"/>
                <w:szCs w:val="20"/>
                <w:color w:val="auto"/>
                <w:w w:val="99"/>
              </w:rPr>
              <w:t>. . . . . . . . . . . . . . . . . . . . . . . . . . . . . . . . . . . . . . . . . . .Totaldeferredtaxassets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208,724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137,840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40" w:type="dxa"/>
            <w:vAlign w:val="bottom"/>
          </w:tcPr>
          <w:p>
            <w:pPr>
              <w:jc w:val="right"/>
              <w:ind w:right="180"/>
              <w:spacing w:after="0" w:line="221" w:lineRule="exact"/>
              <w:rPr>
                <w:sz w:val="20"/>
                <w:szCs w:val="20"/>
                <w:color w:val="auto"/>
              </w:rPr>
            </w:pPr>
            <w:r>
              <w:rPr>
                <w:rFonts w:ascii="Arial" w:cs="Arial" w:eastAsia="Arial" w:hAnsi="Arial"/>
                <w:sz w:val="20"/>
                <w:szCs w:val="20"/>
                <w:color w:val="auto"/>
                <w:w w:val="94"/>
              </w:rPr>
              <w:t>. . . . . . . . . . . . . . . . . . . . . . . . . . . . . . . . . . . . . . . . . . . . . . . . .Valuationallowance</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(192,229)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(127,452)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40" w:type="dxa"/>
            <w:vAlign w:val="bottom"/>
          </w:tcPr>
          <w:p>
            <w:pPr>
              <w:jc w:val="right"/>
              <w:ind w:right="180"/>
              <w:spacing w:after="0" w:line="220" w:lineRule="exact"/>
              <w:rPr>
                <w:sz w:val="20"/>
                <w:szCs w:val="20"/>
                <w:color w:val="auto"/>
              </w:rPr>
            </w:pPr>
            <w:r>
              <w:rPr>
                <w:rFonts w:ascii="Arial" w:cs="Arial" w:eastAsia="Arial" w:hAnsi="Arial"/>
                <w:sz w:val="20"/>
                <w:szCs w:val="20"/>
                <w:color w:val="auto"/>
              </w:rPr>
              <w:t>. . . . . . . . . . . . . . . . . . . . . . . . . . . . . . . . . . . . . . . . . . . .Netdeferredtaxassets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16,495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10,388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040" w:type="dxa"/>
            <w:vAlign w:val="bottom"/>
          </w:tcPr>
          <w:p>
            <w:pPr>
              <w:spacing w:after="0" w:line="201" w:lineRule="exact"/>
              <w:rPr>
                <w:sz w:val="20"/>
                <w:szCs w:val="20"/>
                <w:color w:val="auto"/>
              </w:rPr>
            </w:pPr>
            <w:r>
              <w:rPr>
                <w:rFonts w:ascii="Arial" w:cs="Arial" w:eastAsia="Arial" w:hAnsi="Arial"/>
                <w:sz w:val="20"/>
                <w:szCs w:val="20"/>
                <w:color w:val="auto"/>
              </w:rPr>
              <w:t>Deferred tax liability</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3"/>
              </w:rPr>
              <w:t>Depreciation . . . . .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4"/>
          </w:tcPr>
          <w:p>
            <w:pPr>
              <w:jc w:val="right"/>
              <w:ind w:right="200"/>
              <w:spacing w:after="0"/>
              <w:rPr>
                <w:sz w:val="20"/>
                <w:szCs w:val="20"/>
                <w:color w:val="auto"/>
              </w:rPr>
            </w:pPr>
            <w:r>
              <w:rPr>
                <w:rFonts w:ascii="Arial" w:cs="Arial" w:eastAsia="Arial" w:hAnsi="Arial"/>
                <w:sz w:val="20"/>
                <w:szCs w:val="20"/>
                <w:color w:val="auto"/>
              </w:rPr>
              <w:t>(2,247)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(3,988)</w:t>
            </w:r>
          </w:p>
        </w:tc>
        <w:tc>
          <w:tcPr>
            <w:tcW w:w="0" w:type="dxa"/>
            <w:vAlign w:val="bottom"/>
          </w:tcPr>
          <w:p>
            <w:pPr>
              <w:spacing w:after="0"/>
              <w:rPr>
                <w:sz w:val="1"/>
                <w:szCs w:val="1"/>
                <w:color w:val="auto"/>
              </w:rPr>
            </w:pPr>
          </w:p>
        </w:tc>
      </w:tr>
      <w:tr>
        <w:trPr>
          <w:trHeight w:val="231"/>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3"/>
              </w:rPr>
              <w:t>Right-of-use asset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4"/>
          </w:tcPr>
          <w:p>
            <w:pPr>
              <w:jc w:val="right"/>
              <w:ind w:right="200"/>
              <w:spacing w:after="0"/>
              <w:rPr>
                <w:sz w:val="20"/>
                <w:szCs w:val="20"/>
                <w:color w:val="auto"/>
              </w:rPr>
            </w:pPr>
            <w:r>
              <w:rPr>
                <w:rFonts w:ascii="Arial" w:cs="Arial" w:eastAsia="Arial" w:hAnsi="Arial"/>
                <w:sz w:val="20"/>
                <w:szCs w:val="20"/>
                <w:color w:val="auto"/>
              </w:rPr>
              <w:t>(8,393)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(6,332)</w:t>
            </w:r>
          </w:p>
        </w:tc>
        <w:tc>
          <w:tcPr>
            <w:tcW w:w="0" w:type="dxa"/>
            <w:vAlign w:val="bottom"/>
          </w:tcPr>
          <w:p>
            <w:pPr>
              <w:spacing w:after="0"/>
              <w:rPr>
                <w:sz w:val="1"/>
                <w:szCs w:val="1"/>
                <w:color w:val="auto"/>
              </w:rPr>
            </w:pPr>
          </w:p>
        </w:tc>
      </w:tr>
      <w:tr>
        <w:trPr>
          <w:trHeight w:val="232"/>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3"/>
              </w:rPr>
              <w:t>Intangible assets .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4"/>
          </w:tcPr>
          <w:p>
            <w:pPr>
              <w:jc w:val="right"/>
              <w:ind w:right="200"/>
              <w:spacing w:after="0"/>
              <w:rPr>
                <w:sz w:val="20"/>
                <w:szCs w:val="20"/>
                <w:color w:val="auto"/>
              </w:rPr>
            </w:pPr>
            <w:r>
              <w:rPr>
                <w:rFonts w:ascii="Arial" w:cs="Arial" w:eastAsia="Arial" w:hAnsi="Arial"/>
                <w:sz w:val="20"/>
                <w:szCs w:val="20"/>
                <w:color w:val="auto"/>
              </w:rPr>
              <w:t>(10,119)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7040" w:type="dxa"/>
            <w:vAlign w:val="bottom"/>
          </w:tcPr>
          <w:p>
            <w:pPr>
              <w:jc w:val="right"/>
              <w:ind w:right="180"/>
              <w:spacing w:after="0"/>
              <w:rPr>
                <w:sz w:val="20"/>
                <w:szCs w:val="20"/>
                <w:color w:val="auto"/>
              </w:rPr>
            </w:pPr>
            <w:r>
              <w:rPr>
                <w:rFonts w:ascii="Arial" w:cs="Arial" w:eastAsia="Arial" w:hAnsi="Arial"/>
                <w:sz w:val="20"/>
                <w:szCs w:val="20"/>
                <w:color w:val="auto"/>
                <w:w w:val="94"/>
              </w:rPr>
              <w:t>Net unrealized losses . . . . . . . . . . . . . . . . . . . . . . . . . . . . . . . . . . . . . . . . . . . . . .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(110)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21"/>
        </w:trPr>
        <w:tc>
          <w:tcPr>
            <w:tcW w:w="7040" w:type="dxa"/>
            <w:vAlign w:val="bottom"/>
          </w:tcPr>
          <w:p>
            <w:pPr>
              <w:jc w:val="right"/>
              <w:ind w:right="180"/>
              <w:spacing w:after="0" w:line="221" w:lineRule="exact"/>
              <w:rPr>
                <w:sz w:val="20"/>
                <w:szCs w:val="20"/>
                <w:color w:val="auto"/>
              </w:rPr>
            </w:pPr>
            <w:r>
              <w:rPr>
                <w:rFonts w:ascii="Arial" w:cs="Arial" w:eastAsia="Arial" w:hAnsi="Arial"/>
                <w:sz w:val="20"/>
                <w:szCs w:val="20"/>
                <w:color w:val="auto"/>
              </w:rPr>
              <w:t>. . . . . . . . . . . . . . . . . . . . . . . . . . . . . . . . . . . . . . . . .Totaldeferredtaxliabilities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Arial" w:cs="Arial" w:eastAsia="Arial" w:hAnsi="Arial"/>
                <w:sz w:val="20"/>
                <w:szCs w:val="20"/>
                <w:color w:val="auto"/>
              </w:rPr>
              <w:t>(20,869)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(10,388)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040" w:type="dxa"/>
            <w:vAlign w:val="bottom"/>
          </w:tcPr>
          <w:p>
            <w:pPr>
              <w:jc w:val="right"/>
              <w:ind w:right="180"/>
              <w:spacing w:after="0" w:line="223" w:lineRule="exact"/>
              <w:rPr>
                <w:sz w:val="20"/>
                <w:szCs w:val="20"/>
                <w:color w:val="auto"/>
              </w:rPr>
            </w:pPr>
            <w:r>
              <w:rPr>
                <w:rFonts w:ascii="Arial" w:cs="Arial" w:eastAsia="Arial" w:hAnsi="Arial"/>
                <w:sz w:val="20"/>
                <w:szCs w:val="20"/>
                <w:color w:val="auto"/>
                <w:w w:val="99"/>
              </w:rPr>
              <w:t>. . . . . . . . . . . . . . . . . . . . . . . . . . . . . . . . . . . . . . . . . . . .Netdeferredtaxliability</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3" w:lineRule="exact"/>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gridSpan w:val="3"/>
          </w:tcPr>
          <w:p>
            <w:pPr>
              <w:jc w:val="right"/>
              <w:ind w:right="20"/>
              <w:spacing w:after="0" w:line="223" w:lineRule="exact"/>
              <w:rPr>
                <w:sz w:val="20"/>
                <w:szCs w:val="20"/>
                <w:color w:val="auto"/>
              </w:rPr>
            </w:pPr>
            <w:r>
              <w:rPr>
                <w:rFonts w:ascii="Arial" w:cs="Arial" w:eastAsia="Arial" w:hAnsi="Arial"/>
                <w:sz w:val="20"/>
                <w:szCs w:val="20"/>
                <w:color w:val="auto"/>
              </w:rPr>
              <w:t>(4,374)</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40"/>
              <w:spacing w:after="0" w:line="223"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20"/>
        <w:spacing w:after="0" w:line="283" w:lineRule="auto"/>
        <w:rPr>
          <w:sz w:val="20"/>
          <w:szCs w:val="20"/>
          <w:color w:val="auto"/>
        </w:rPr>
      </w:pPr>
      <w:r>
        <w:rPr>
          <w:rFonts w:ascii="Arial" w:cs="Arial" w:eastAsia="Arial" w:hAnsi="Arial"/>
          <w:sz w:val="20"/>
          <w:szCs w:val="20"/>
          <w:color w:val="auto"/>
        </w:rPr>
        <w:t>As of December 31, 2024, the Company recorded income tax expense of $1,790, which includes a tax benefit of $186 related to its income tax obligations of its Canada operations.</w:t>
      </w:r>
    </w:p>
    <w:p>
      <w:pPr>
        <w:spacing w:after="0" w:line="157" w:lineRule="exact"/>
        <w:rPr>
          <w:sz w:val="20"/>
          <w:szCs w:val="20"/>
          <w:color w:val="auto"/>
        </w:rPr>
      </w:pPr>
    </w:p>
    <w:p>
      <w:pPr>
        <w:jc w:val="both"/>
        <w:ind w:right="360"/>
        <w:spacing w:after="0" w:line="254" w:lineRule="auto"/>
        <w:rPr>
          <w:sz w:val="20"/>
          <w:szCs w:val="20"/>
          <w:color w:val="auto"/>
        </w:rPr>
      </w:pPr>
      <w:r>
        <w:rPr>
          <w:rFonts w:ascii="Arial" w:cs="Arial" w:eastAsia="Arial" w:hAnsi="Arial"/>
          <w:sz w:val="20"/>
          <w:szCs w:val="20"/>
          <w:color w:val="auto"/>
        </w:rPr>
        <w:t>As of December 31, 2024, the Company had an indefinite-lived federal net operating loss carryforward of $163,780. As of December 31, 2024, the Company has state and local net operating loss carryforwards of $181,742 and $109,132, respectively. The state net operating loss carryforwards begin to expire in 2040, while the local net operating loss carryforwards begin to expire in 2042.</w:t>
      </w:r>
    </w:p>
    <w:p>
      <w:pPr>
        <w:spacing w:after="0" w:line="187" w:lineRule="exact"/>
        <w:rPr>
          <w:sz w:val="20"/>
          <w:szCs w:val="20"/>
          <w:color w:val="auto"/>
        </w:rPr>
      </w:pPr>
    </w:p>
    <w:p>
      <w:pPr>
        <w:ind w:right="620"/>
        <w:spacing w:after="0" w:line="283" w:lineRule="auto"/>
        <w:rPr>
          <w:sz w:val="20"/>
          <w:szCs w:val="20"/>
          <w:color w:val="auto"/>
        </w:rPr>
      </w:pPr>
      <w:r>
        <w:rPr>
          <w:rFonts w:ascii="Arial" w:cs="Arial" w:eastAsia="Arial" w:hAnsi="Arial"/>
          <w:sz w:val="20"/>
          <w:szCs w:val="20"/>
          <w:color w:val="auto"/>
        </w:rPr>
        <w:t>As of December 31, 2024, the Company also has federal tax credits of $17,293 and $1,576 of state tax credits, which begin to expire in 2040, and 2041, respectively.</w:t>
      </w:r>
    </w:p>
    <w:p>
      <w:pPr>
        <w:spacing w:after="0" w:line="157"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Future realization of the tax benefits of existing temporary differences and net operating loss carryforwards ultimately depends on the existence of sufficient taxable income within the carryforward period. As of December 31, 2024 and 2023,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as of December 31, 2024 and 2023 against the unrealizable portion of its deferred tax assets.</w:t>
      </w:r>
    </w:p>
    <w:p>
      <w:pPr>
        <w:spacing w:after="0" w:line="194"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auto"/>
        </w:rPr>
        <w:t>Under Internal Revenue Code Section 382, if a corporation undergoes an “ownership change,” the corporation’s ability to use its pre-change NOL carryforwards and other pre-change tax attributes to offset its post-change income may be limited. We have not completed a study to assess whether an “ownership change” has occurred or whether there have been multiple ownership changes since we became a “loss corporation” as defined in Section 382. Future changes in our stock ownership, which may be outside of our control, may trigger an “ownership change.” In addition, future equity offerings or acquisitions that have equity as a component of the purchase price could result in an “ownership change.” If an “ownership change” has occurred or does occur in the future, utilization of the NOL carryforwards or other tax attributes may be limited, which could potentially result in increased future tax liability to us.</w:t>
      </w:r>
    </w:p>
    <w:p>
      <w:pPr>
        <w:sectPr>
          <w:pgSz w:w="11880" w:h="15480" w:orient="portrait"/>
          <w:cols w:equalWidth="0" w:num="1">
            <w:col w:w="9720"/>
          </w:cols>
          <w:pgMar w:left="1080" w:top="1068"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156</w:t>
      </w:r>
    </w:p>
    <w:p>
      <w:pPr>
        <w:sectPr>
          <w:pgSz w:w="11880" w:h="15480" w:orient="portrait"/>
          <w:cols w:equalWidth="0" w:num="1">
            <w:col w:w="9720"/>
          </w:cols>
          <w:pgMar w:left="1080" w:top="1068" w:right="1080" w:bottom="554" w:gutter="0" w:footer="0" w:header="0"/>
          <w:type w:val="continuous"/>
        </w:sectPr>
      </w:pPr>
    </w:p>
    <w:bookmarkStart w:id="156" w:name="page157"/>
    <w:bookmarkEnd w:id="156"/>
    <w:p>
      <w:pPr>
        <w:spacing w:after="0"/>
        <w:rPr>
          <w:sz w:val="20"/>
          <w:szCs w:val="20"/>
          <w:color w:val="auto"/>
        </w:rPr>
      </w:pPr>
      <w:r>
        <w:rPr>
          <w:rFonts w:ascii="Arial" w:cs="Arial" w:eastAsia="Arial" w:hAnsi="Arial"/>
          <w:sz w:val="20"/>
          <w:szCs w:val="20"/>
          <w:color w:val="auto"/>
        </w:rPr>
        <w:t>The Tax Cuts and Jobs Act (TCJA) resulted in significant changes to the treatment of research and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developmental (R&amp;D) expenditures under Section 174 of the IRC. For tax years beginning after</w:t>
      </w:r>
    </w:p>
    <w:p>
      <w:pPr>
        <w:spacing w:after="0"/>
        <w:rPr>
          <w:sz w:val="20"/>
          <w:szCs w:val="20"/>
          <w:color w:val="auto"/>
        </w:rPr>
      </w:pPr>
      <w:r>
        <w:rPr>
          <w:rFonts w:ascii="Arial" w:cs="Arial" w:eastAsia="Arial" w:hAnsi="Arial"/>
          <w:sz w:val="20"/>
          <w:szCs w:val="20"/>
          <w:color w:val="auto"/>
        </w:rPr>
        <w:t>December 31, 2021, taxpayers are required to capitalize and amortize all R&amp;D expenditures that are paid or</w:t>
      </w:r>
    </w:p>
    <w:p>
      <w:pPr>
        <w:spacing w:after="0"/>
        <w:rPr>
          <w:sz w:val="20"/>
          <w:szCs w:val="20"/>
          <w:color w:val="auto"/>
        </w:rPr>
      </w:pPr>
      <w:r>
        <w:rPr>
          <w:rFonts w:ascii="Arial" w:cs="Arial" w:eastAsia="Arial" w:hAnsi="Arial"/>
          <w:sz w:val="20"/>
          <w:szCs w:val="20"/>
          <w:color w:val="auto"/>
        </w:rPr>
        <w:t>incurred in connection with their trade or business. Specifically, costs for U.S.-based R&amp;D activities must be</w:t>
      </w:r>
    </w:p>
    <w:p>
      <w:pPr>
        <w:spacing w:after="0"/>
        <w:rPr>
          <w:sz w:val="20"/>
          <w:szCs w:val="20"/>
          <w:color w:val="auto"/>
        </w:rPr>
      </w:pPr>
      <w:r>
        <w:rPr>
          <w:rFonts w:ascii="Arial" w:cs="Arial" w:eastAsia="Arial" w:hAnsi="Arial"/>
          <w:sz w:val="20"/>
          <w:szCs w:val="20"/>
          <w:color w:val="auto"/>
        </w:rPr>
        <w:t>amortized over five years and costs for foreign R&amp;D activities must be amortized over 15 years—both using a</w:t>
      </w:r>
    </w:p>
    <w:p>
      <w:pPr>
        <w:spacing w:after="0"/>
        <w:rPr>
          <w:sz w:val="20"/>
          <w:szCs w:val="20"/>
          <w:color w:val="auto"/>
        </w:rPr>
      </w:pPr>
      <w:r>
        <w:rPr>
          <w:rFonts w:ascii="Arial" w:cs="Arial" w:eastAsia="Arial" w:hAnsi="Arial"/>
          <w:sz w:val="20"/>
          <w:szCs w:val="20"/>
          <w:color w:val="auto"/>
        </w:rPr>
        <w:t>midyear convention. As of December 31, 2024, the Company capitalized a substantial amount of R&amp;D</w:t>
      </w:r>
    </w:p>
    <w:p>
      <w:pPr>
        <w:spacing w:after="0"/>
        <w:rPr>
          <w:sz w:val="20"/>
          <w:szCs w:val="20"/>
          <w:color w:val="auto"/>
        </w:rPr>
      </w:pPr>
      <w:r>
        <w:rPr>
          <w:rFonts w:ascii="Arial" w:cs="Arial" w:eastAsia="Arial" w:hAnsi="Arial"/>
          <w:sz w:val="20"/>
          <w:szCs w:val="20"/>
          <w:color w:val="auto"/>
        </w:rPr>
        <w:t>expenditures primarily related to research and development activities performed in the US.</w:t>
      </w:r>
    </w:p>
    <w:p>
      <w:pPr>
        <w:spacing w:after="0" w:line="213"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The calculation of our tax liabilities involves dealing with uncertainties in the application of complex tax laws and regulations for both federal taxes and the many states in which we operate or do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92"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color w:val="auto"/>
        </w:rPr>
        <w:t>We record uncertain tax positions as liabilities in accordance with ASC 740 and adjust these liabilities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 As of December 31, 2024 and 2023 we have not recorded any uncertain tax positions in our financial statements.</w:t>
      </w:r>
    </w:p>
    <w:p>
      <w:pPr>
        <w:spacing w:after="0" w:line="194" w:lineRule="exact"/>
        <w:rPr>
          <w:sz w:val="20"/>
          <w:szCs w:val="20"/>
          <w:color w:val="auto"/>
        </w:rPr>
      </w:pPr>
    </w:p>
    <w:p>
      <w:pPr>
        <w:ind w:right="280"/>
        <w:spacing w:after="0" w:line="261" w:lineRule="auto"/>
        <w:rPr>
          <w:sz w:val="20"/>
          <w:szCs w:val="20"/>
          <w:color w:val="auto"/>
        </w:rPr>
      </w:pPr>
      <w:r>
        <w:rPr>
          <w:rFonts w:ascii="Arial" w:cs="Arial" w:eastAsia="Arial" w:hAnsi="Arial"/>
          <w:sz w:val="20"/>
          <w:szCs w:val="20"/>
          <w:color w:val="auto"/>
        </w:rPr>
        <w:t>We recognize interest and penalties related to unrecognized tax benefits on the income tax expense line in the accompanying consolidated statement of operations. As of December 31, 2024 and 2023, no accrued interest or penalties are included on the related tax liability line in the consolidated balance sheet.</w:t>
      </w:r>
    </w:p>
    <w:p>
      <w:pPr>
        <w:spacing w:after="0" w:line="180"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tax years are still open under statute from December 31, 2021, to the present. The resolution of tax matters is not expected to have a material effect on the Company's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color w:val="auto"/>
        </w:rPr>
        <w:t>Note 13—Basic and diluted net loss per common share</w:t>
      </w:r>
    </w:p>
    <w:p>
      <w:pPr>
        <w:spacing w:after="0" w:line="245"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The Company’s potentially dilutive securities, which include RSUs, restricted stock, warrants, early exercised stock options and stock options to purchase shares of the Company’s common stock, have been excluded from the computation of dilutive net loss per share as the effect would be antidilutive. Therefore, the weighted-average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years ended December 31, 2024 and 2023 because including them would have had an anti-dilutive effect.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6"/>
                <w:szCs w:val="16"/>
                <w:color w:val="auto"/>
                <w:w w:val="99"/>
              </w:rPr>
              <w:t>Year Ended</w:t>
            </w: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6"/>
                <w:szCs w:val="16"/>
                <w:color w:val="auto"/>
                <w:w w:val="99"/>
              </w:rPr>
              <w:t>Year Ended</w:t>
            </w:r>
          </w:p>
        </w:tc>
        <w:tc>
          <w:tcPr>
            <w:tcW w:w="0" w:type="dxa"/>
            <w:vAlign w:val="bottom"/>
          </w:tcPr>
          <w:p>
            <w:pPr>
              <w:spacing w:after="0"/>
              <w:rPr>
                <w:sz w:val="1"/>
                <w:szCs w:val="1"/>
                <w:color w:val="auto"/>
              </w:rPr>
            </w:pPr>
          </w:p>
        </w:tc>
      </w:tr>
      <w:tr>
        <w:trPr>
          <w:trHeight w:val="185"/>
        </w:trPr>
        <w:tc>
          <w:tcPr>
            <w:tcW w:w="6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December 31,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December 31,</w:t>
            </w:r>
          </w:p>
        </w:tc>
        <w:tc>
          <w:tcPr>
            <w:tcW w:w="0" w:type="dxa"/>
            <w:vAlign w:val="bottom"/>
          </w:tcPr>
          <w:p>
            <w:pPr>
              <w:spacing w:after="0"/>
              <w:rPr>
                <w:sz w:val="1"/>
                <w:szCs w:val="1"/>
                <w:color w:val="auto"/>
              </w:rPr>
            </w:pPr>
          </w:p>
        </w:tc>
      </w:tr>
      <w:tr>
        <w:trPr>
          <w:trHeight w:val="199"/>
        </w:trPr>
        <w:tc>
          <w:tcPr>
            <w:tcW w:w="6900" w:type="dxa"/>
            <w:vAlign w:val="bottom"/>
            <w:gridSpan w:val="2"/>
            <w:vMerge w:val="restart"/>
          </w:tcPr>
          <w:p>
            <w:pPr>
              <w:spacing w:after="0"/>
              <w:rPr>
                <w:sz w:val="20"/>
                <w:szCs w:val="20"/>
                <w:color w:val="auto"/>
              </w:rPr>
            </w:pPr>
            <w:r>
              <w:rPr>
                <w:rFonts w:ascii="Arial" w:cs="Arial" w:eastAsia="Arial" w:hAnsi="Arial"/>
                <w:sz w:val="20"/>
                <w:szCs w:val="20"/>
                <w:color w:val="auto"/>
              </w:rPr>
              <w:t>Stock options to purchase common stock</w:t>
            </w:r>
          </w:p>
        </w:tc>
        <w:tc>
          <w:tcPr>
            <w:tcW w:w="1300" w:type="dxa"/>
            <w:vAlign w:val="bottom"/>
          </w:tcPr>
          <w:p>
            <w:pPr>
              <w:jc w:val="center"/>
              <w:spacing w:after="0"/>
              <w:rPr>
                <w:sz w:val="20"/>
                <w:szCs w:val="20"/>
                <w:color w:val="auto"/>
              </w:rPr>
            </w:pPr>
            <w:r>
              <w:rPr>
                <w:rFonts w:ascii="Arial" w:cs="Arial" w:eastAsia="Arial" w:hAnsi="Arial"/>
                <w:sz w:val="16"/>
                <w:szCs w:val="16"/>
                <w:color w:val="auto"/>
                <w:w w:val="95"/>
              </w:rPr>
              <w:t>2024</w:t>
            </w:r>
          </w:p>
        </w:tc>
        <w:tc>
          <w:tcPr>
            <w:tcW w:w="1520" w:type="dxa"/>
            <w:vAlign w:val="bottom"/>
            <w:gridSpan w:val="3"/>
          </w:tcPr>
          <w:p>
            <w:pPr>
              <w:jc w:val="center"/>
              <w:ind w:left="104"/>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1"/>
        </w:trPr>
        <w:tc>
          <w:tcPr>
            <w:tcW w:w="6900" w:type="dxa"/>
            <w:vAlign w:val="bottom"/>
            <w:gridSpan w:val="2"/>
            <w:vMerge w:val="continue"/>
          </w:tcPr>
          <w:p>
            <w:pPr>
              <w:jc w:val="right"/>
              <w:ind w:right="340"/>
              <w:spacing w:after="0" w:line="177" w:lineRule="exact"/>
              <w:rPr>
                <w:sz w:val="20"/>
                <w:szCs w:val="20"/>
                <w:color w:val="auto"/>
              </w:rPr>
            </w:pPr>
            <w:r>
              <w:rPr>
                <w:rFonts w:ascii="Arial" w:cs="Arial" w:eastAsia="Arial" w:hAnsi="Arial"/>
                <w:sz w:val="20"/>
                <w:szCs w:val="20"/>
                <w:color w:val="auto"/>
              </w:rPr>
              <w:t>. . . . . . . . . . . . . . . . . . . . . . . . . . . .</w:t>
            </w:r>
          </w:p>
        </w:tc>
        <w:tc>
          <w:tcPr>
            <w:tcW w:w="13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5,310,229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8,714,660</w:t>
            </w:r>
          </w:p>
        </w:tc>
        <w:tc>
          <w:tcPr>
            <w:tcW w:w="0" w:type="dxa"/>
            <w:vAlign w:val="bottom"/>
          </w:tcPr>
          <w:p>
            <w:pPr>
              <w:spacing w:after="0"/>
              <w:rPr>
                <w:sz w:val="1"/>
                <w:szCs w:val="1"/>
                <w:color w:val="auto"/>
              </w:rPr>
            </w:pPr>
          </w:p>
        </w:tc>
      </w:tr>
      <w:tr>
        <w:trPr>
          <w:trHeight w:val="230"/>
        </w:trPr>
        <w:tc>
          <w:tcPr>
            <w:tcW w:w="6900" w:type="dxa"/>
            <w:vAlign w:val="bottom"/>
            <w:gridSpan w:val="2"/>
          </w:tcPr>
          <w:p>
            <w:pPr>
              <w:jc w:val="right"/>
              <w:ind w:right="340"/>
              <w:spacing w:after="0"/>
              <w:rPr>
                <w:sz w:val="20"/>
                <w:szCs w:val="20"/>
                <w:color w:val="auto"/>
              </w:rPr>
            </w:pPr>
            <w:r>
              <w:rPr>
                <w:rFonts w:ascii="Arial" w:cs="Arial" w:eastAsia="Arial" w:hAnsi="Arial"/>
                <w:sz w:val="20"/>
                <w:szCs w:val="20"/>
                <w:color w:val="auto"/>
                <w:w w:val="98"/>
              </w:rPr>
              <w:t>Early exercised stock options subject to future vesting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11,321</w:t>
            </w:r>
          </w:p>
        </w:tc>
        <w:tc>
          <w:tcPr>
            <w:tcW w:w="1520" w:type="dxa"/>
            <w:vAlign w:val="bottom"/>
            <w:gridSpan w:val="3"/>
          </w:tcPr>
          <w:p>
            <w:pPr>
              <w:jc w:val="right"/>
              <w:spacing w:after="0"/>
              <w:rPr>
                <w:sz w:val="20"/>
                <w:szCs w:val="20"/>
                <w:color w:val="auto"/>
              </w:rPr>
            </w:pPr>
            <w:r>
              <w:rPr>
                <w:rFonts w:ascii="Arial" w:cs="Arial" w:eastAsia="Arial" w:hAnsi="Arial"/>
                <w:sz w:val="20"/>
                <w:szCs w:val="20"/>
                <w:color w:val="auto"/>
              </w:rPr>
              <w:t>119,280</w:t>
            </w:r>
          </w:p>
        </w:tc>
        <w:tc>
          <w:tcPr>
            <w:tcW w:w="0" w:type="dxa"/>
            <w:vAlign w:val="bottom"/>
          </w:tcPr>
          <w:p>
            <w:pPr>
              <w:spacing w:after="0"/>
              <w:rPr>
                <w:sz w:val="1"/>
                <w:szCs w:val="1"/>
                <w:color w:val="auto"/>
              </w:rPr>
            </w:pPr>
          </w:p>
        </w:tc>
      </w:tr>
      <w:tr>
        <w:trPr>
          <w:trHeight w:val="232"/>
        </w:trPr>
        <w:tc>
          <w:tcPr>
            <w:tcW w:w="6900" w:type="dxa"/>
            <w:vAlign w:val="bottom"/>
            <w:gridSpan w:val="2"/>
          </w:tcPr>
          <w:p>
            <w:pPr>
              <w:jc w:val="right"/>
              <w:ind w:right="340"/>
              <w:spacing w:after="0"/>
              <w:rPr>
                <w:sz w:val="20"/>
                <w:szCs w:val="20"/>
                <w:color w:val="auto"/>
              </w:rPr>
            </w:pPr>
            <w:r>
              <w:rPr>
                <w:rFonts w:ascii="Arial" w:cs="Arial" w:eastAsia="Arial" w:hAnsi="Arial"/>
                <w:sz w:val="20"/>
                <w:szCs w:val="20"/>
                <w:color w:val="auto"/>
                <w:w w:val="97"/>
              </w:rPr>
              <w:t>Restricted stock awards subject to future vesting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24,821</w:t>
            </w:r>
          </w:p>
        </w:tc>
        <w:tc>
          <w:tcPr>
            <w:tcW w:w="1520" w:type="dxa"/>
            <w:vAlign w:val="bottom"/>
            <w:gridSpan w:val="3"/>
          </w:tcPr>
          <w:p>
            <w:pPr>
              <w:jc w:val="right"/>
              <w:spacing w:after="0"/>
              <w:rPr>
                <w:sz w:val="20"/>
                <w:szCs w:val="20"/>
                <w:color w:val="auto"/>
              </w:rPr>
            </w:pPr>
            <w:r>
              <w:rPr>
                <w:rFonts w:ascii="Arial" w:cs="Arial" w:eastAsia="Arial" w:hAnsi="Arial"/>
                <w:sz w:val="20"/>
                <w:szCs w:val="20"/>
                <w:color w:val="auto"/>
              </w:rPr>
              <w:t>49,416</w:t>
            </w:r>
          </w:p>
        </w:tc>
        <w:tc>
          <w:tcPr>
            <w:tcW w:w="0" w:type="dxa"/>
            <w:vAlign w:val="bottom"/>
          </w:tcPr>
          <w:p>
            <w:pPr>
              <w:spacing w:after="0"/>
              <w:rPr>
                <w:sz w:val="1"/>
                <w:szCs w:val="1"/>
                <w:color w:val="auto"/>
              </w:rPr>
            </w:pPr>
          </w:p>
        </w:tc>
      </w:tr>
      <w:tr>
        <w:trPr>
          <w:trHeight w:val="230"/>
        </w:trPr>
        <w:tc>
          <w:tcPr>
            <w:tcW w:w="6900" w:type="dxa"/>
            <w:vAlign w:val="bottom"/>
            <w:gridSpan w:val="2"/>
          </w:tcPr>
          <w:p>
            <w:pPr>
              <w:jc w:val="right"/>
              <w:ind w:right="340"/>
              <w:spacing w:after="0"/>
              <w:rPr>
                <w:sz w:val="20"/>
                <w:szCs w:val="20"/>
                <w:color w:val="auto"/>
              </w:rPr>
            </w:pPr>
            <w:r>
              <w:rPr>
                <w:rFonts w:ascii="Arial" w:cs="Arial" w:eastAsia="Arial" w:hAnsi="Arial"/>
                <w:sz w:val="20"/>
                <w:szCs w:val="20"/>
                <w:color w:val="auto"/>
                <w:w w:val="94"/>
              </w:rPr>
              <w:t>Unvested restricted stock units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2,852,909</w:t>
            </w:r>
          </w:p>
        </w:tc>
        <w:tc>
          <w:tcPr>
            <w:tcW w:w="1520" w:type="dxa"/>
            <w:vAlign w:val="bottom"/>
            <w:gridSpan w:val="3"/>
          </w:tcPr>
          <w:p>
            <w:pPr>
              <w:jc w:val="right"/>
              <w:spacing w:after="0"/>
              <w:rPr>
                <w:sz w:val="20"/>
                <w:szCs w:val="20"/>
                <w:color w:val="auto"/>
              </w:rPr>
            </w:pPr>
            <w:r>
              <w:rPr>
                <w:rFonts w:ascii="Arial" w:cs="Arial" w:eastAsia="Arial" w:hAnsi="Arial"/>
                <w:sz w:val="20"/>
                <w:szCs w:val="20"/>
                <w:color w:val="auto"/>
              </w:rPr>
              <w:t>3,721,471</w:t>
            </w:r>
          </w:p>
        </w:tc>
        <w:tc>
          <w:tcPr>
            <w:tcW w:w="0" w:type="dxa"/>
            <w:vAlign w:val="bottom"/>
          </w:tcPr>
          <w:p>
            <w:pPr>
              <w:spacing w:after="0"/>
              <w:rPr>
                <w:sz w:val="1"/>
                <w:szCs w:val="1"/>
                <w:color w:val="auto"/>
              </w:rPr>
            </w:pPr>
          </w:p>
        </w:tc>
      </w:tr>
      <w:tr>
        <w:trPr>
          <w:trHeight w:val="272"/>
        </w:trPr>
        <w:tc>
          <w:tcPr>
            <w:tcW w:w="6900" w:type="dxa"/>
            <w:vAlign w:val="bottom"/>
            <w:gridSpan w:val="2"/>
          </w:tcPr>
          <w:p>
            <w:pPr>
              <w:jc w:val="right"/>
              <w:ind w:right="340"/>
              <w:spacing w:after="0"/>
              <w:rPr>
                <w:sz w:val="20"/>
                <w:szCs w:val="20"/>
                <w:color w:val="auto"/>
              </w:rPr>
            </w:pPr>
            <w:r>
              <w:rPr>
                <w:rFonts w:ascii="Arial" w:cs="Arial" w:eastAsia="Arial" w:hAnsi="Arial"/>
                <w:sz w:val="20"/>
                <w:szCs w:val="20"/>
                <w:color w:val="auto"/>
                <w:w w:val="91"/>
              </w:rPr>
              <w:t>Warrants . . . . . . . . . . . . . . . . . . . . . . . . . . . . . . . . . . . . . . . . . . . . . . . . . . . . . . . . .</w:t>
            </w:r>
          </w:p>
        </w:tc>
        <w:tc>
          <w:tcPr>
            <w:tcW w:w="1300" w:type="dxa"/>
            <w:vAlign w:val="bottom"/>
          </w:tcPr>
          <w:p>
            <w:pPr>
              <w:jc w:val="right"/>
              <w:spacing w:after="0"/>
              <w:rPr>
                <w:sz w:val="20"/>
                <w:szCs w:val="20"/>
                <w:color w:val="auto"/>
              </w:rPr>
            </w:pPr>
            <w:r>
              <w:rPr>
                <w:rFonts w:ascii="Arial" w:cs="Arial" w:eastAsia="Arial" w:hAnsi="Arial"/>
                <w:sz w:val="20"/>
                <w:szCs w:val="20"/>
                <w:color w:val="auto"/>
              </w:rPr>
              <w:t>32,009</w:t>
            </w:r>
          </w:p>
        </w:tc>
        <w:tc>
          <w:tcPr>
            <w:tcW w:w="1520" w:type="dxa"/>
            <w:vAlign w:val="bottom"/>
            <w:gridSpan w:val="3"/>
          </w:tcPr>
          <w:p>
            <w:pPr>
              <w:jc w:val="right"/>
              <w:spacing w:after="0"/>
              <w:rPr>
                <w:sz w:val="20"/>
                <w:szCs w:val="20"/>
                <w:color w:val="auto"/>
              </w:rPr>
            </w:pPr>
            <w:r>
              <w:rPr>
                <w:rFonts w:ascii="Arial" w:cs="Arial" w:eastAsia="Arial" w:hAnsi="Arial"/>
                <w:sz w:val="20"/>
                <w:szCs w:val="20"/>
                <w:color w:val="auto"/>
              </w:rPr>
              <w:t>32,009</w:t>
            </w:r>
          </w:p>
        </w:tc>
        <w:tc>
          <w:tcPr>
            <w:tcW w:w="0" w:type="dxa"/>
            <w:vAlign w:val="bottom"/>
          </w:tcPr>
          <w:p>
            <w:pPr>
              <w:spacing w:after="0"/>
              <w:rPr>
                <w:sz w:val="1"/>
                <w:szCs w:val="1"/>
                <w:color w:val="auto"/>
              </w:rPr>
            </w:pPr>
          </w:p>
        </w:tc>
      </w:tr>
      <w:tr>
        <w:trPr>
          <w:trHeight w:val="201"/>
        </w:trPr>
        <w:tc>
          <w:tcPr>
            <w:tcW w:w="6880" w:type="dxa"/>
            <w:vAlign w:val="bottom"/>
          </w:tcPr>
          <w:p>
            <w:pPr>
              <w:jc w:val="right"/>
              <w:ind w:right="220"/>
              <w:spacing w:after="0" w:line="201" w:lineRule="exact"/>
              <w:rPr>
                <w:sz w:val="20"/>
                <w:szCs w:val="20"/>
                <w:color w:val="auto"/>
              </w:rPr>
            </w:pPr>
            <w:r>
              <w:rPr>
                <w:rFonts w:ascii="Arial" w:cs="Arial" w:eastAsia="Arial" w:hAnsi="Arial"/>
                <w:sz w:val="20"/>
                <w:szCs w:val="20"/>
                <w:color w:val="auto"/>
                <w:w w:val="90"/>
              </w:rPr>
              <w:t>Total . . . . . . . . . . . . . . . . . . . . . . . . . . . . . . . . . . . . . . . . . . . . . . . . . . . . . . . . . . . . .</w:t>
            </w:r>
          </w:p>
        </w:tc>
        <w:tc>
          <w:tcPr>
            <w:tcW w:w="20" w:type="dxa"/>
            <w:vAlign w:val="bottom"/>
            <w:tcBorders>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20"/>
                <w:szCs w:val="20"/>
                <w:color w:val="auto"/>
              </w:rPr>
              <w:t>8,231,289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20"/>
                <w:szCs w:val="20"/>
                <w:color w:val="auto"/>
              </w:rPr>
              <w:t>12,636,836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157</w:t>
      </w:r>
    </w:p>
    <w:p>
      <w:pPr>
        <w:sectPr>
          <w:pgSz w:w="11880" w:h="15480" w:orient="portrait"/>
          <w:cols w:equalWidth="0" w:num="1">
            <w:col w:w="9720"/>
          </w:cols>
          <w:pgMar w:left="1080" w:top="1067" w:right="1080" w:bottom="554" w:gutter="0" w:footer="0" w:header="0"/>
          <w:type w:val="continuous"/>
        </w:sectPr>
      </w:pPr>
    </w:p>
    <w:bookmarkStart w:id="157" w:name="page158"/>
    <w:bookmarkEnd w:id="157"/>
    <w:p>
      <w:pPr>
        <w:spacing w:after="0"/>
        <w:rPr>
          <w:sz w:val="20"/>
          <w:szCs w:val="20"/>
          <w:color w:val="auto"/>
        </w:rPr>
      </w:pPr>
      <w:r>
        <w:rPr>
          <w:rFonts w:ascii="Arial" w:cs="Arial" w:eastAsia="Arial" w:hAnsi="Arial"/>
          <w:sz w:val="24"/>
          <w:szCs w:val="24"/>
          <w:color w:val="auto"/>
        </w:rPr>
        <w:t>Note 14—Defined contribution plan</w:t>
      </w:r>
    </w:p>
    <w:p>
      <w:pPr>
        <w:spacing w:after="0" w:line="243" w:lineRule="exact"/>
        <w:rPr>
          <w:sz w:val="20"/>
          <w:szCs w:val="20"/>
          <w:color w:val="auto"/>
        </w:rPr>
      </w:pPr>
    </w:p>
    <w:p>
      <w:pPr>
        <w:ind w:right="280"/>
        <w:spacing w:after="0" w:line="247" w:lineRule="auto"/>
        <w:rPr>
          <w:sz w:val="20"/>
          <w:szCs w:val="20"/>
          <w:color w:val="auto"/>
        </w:rPr>
      </w:pPr>
      <w:r>
        <w:rPr>
          <w:rFonts w:ascii="Arial" w:cs="Arial" w:eastAsia="Arial" w:hAnsi="Arial"/>
          <w:sz w:val="20"/>
          <w:szCs w:val="20"/>
          <w:color w:val="auto"/>
        </w:rPr>
        <w:t>The Company has a 401(k) Employee Savings Plan (“401(k) Plan”) that is available to all employees of the Company. The Company has elected a Safe-Harbor provision for the 401(k) Plan in which participants are always fully vested in their employer contributions. The Company matches 100% of the first 3% of participating employee contributions and 50% of the next 2% of participating employee contributions. Contributions are made in cash. Contributions were approximately $1,130 and $1,287 for the year ended December 31, 2024 and 2023 respectively. Such contribution expense has been recognized in the consolidated statement of operations for each period.</w:t>
      </w:r>
    </w:p>
    <w:p>
      <w:pPr>
        <w:spacing w:after="0" w:line="189" w:lineRule="exact"/>
        <w:rPr>
          <w:sz w:val="20"/>
          <w:szCs w:val="20"/>
          <w:color w:val="auto"/>
        </w:rPr>
      </w:pPr>
    </w:p>
    <w:p>
      <w:pPr>
        <w:spacing w:after="0"/>
        <w:rPr>
          <w:sz w:val="20"/>
          <w:szCs w:val="20"/>
          <w:color w:val="auto"/>
        </w:rPr>
      </w:pPr>
      <w:r>
        <w:rPr>
          <w:rFonts w:ascii="Arial" w:cs="Arial" w:eastAsia="Arial" w:hAnsi="Arial"/>
          <w:sz w:val="24"/>
          <w:szCs w:val="24"/>
          <w:color w:val="auto"/>
        </w:rPr>
        <w:t>Note 15—Stock-based compensation</w:t>
      </w:r>
    </w:p>
    <w:p>
      <w:pPr>
        <w:spacing w:after="0" w:line="245"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auto"/>
        </w:rPr>
        <w:t>On June 17, 2021, the Company adopted the Century Therapeutics, Inc. 2021 Equity Incentive Plan (the “2021 Incentive Plan”) which superseded the 2018 Incentive Plan and from that date forward all issuances of incentive awards will be governed by the 2021 Incentive Plan.</w:t>
      </w:r>
    </w:p>
    <w:p>
      <w:pPr>
        <w:spacing w:after="0" w:line="17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The 2021 Incentive Plan provides for the Company to sell or issue common stock or restricted common stock, restricted stock units (“RSUs”), or to grant incentive stock options or nonqualified stock options for the purchase of common stock, to employees, members of the board of directors, and consultants of the Company under terms and provisions established by the board of directors. Under the terms of the 2021 Incentive Plan, options may be granted at an exercise price not less than fair market value.</w:t>
      </w:r>
    </w:p>
    <w:p>
      <w:pPr>
        <w:spacing w:after="0" w:line="19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 The number of shares of common stock initially reserved for issuance under the 2021 Incentive Plan shall be increased, upon approval by the board of directors, on January 1, 2022 and each January 1 thereafter, in an amount equal to the least of, (i) five percent (5%) of the outstanding common stock on the immediately preceding December 31, or (ii) such number of common stock determined by the board of directors no later than the immediately preceding December 31. For 2023, the 2021 Incentive Plan reserved shares were increased under clause (i) by 2,954,788 shares, effective as of January 1, 2023. For 2024, the 2021 Incentive Plan reserved shares were increased under clause (i) by 3,025,220 shares, effective as of January 1, 2024. As of December 31, 2024, there were 3,691,145 shares available for issuance under the 2021 Incentive Plan. In January 2025, common shares reserved for issuance under the 2021 Incentive Plan increased by 4,291,821 shares.</w:t>
      </w:r>
    </w:p>
    <w:p>
      <w:pPr>
        <w:spacing w:after="0" w:line="200"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Company’s stock-based awards are subject to service-based vesting conditions. Compensation expense related to awards to employees and directors with service -based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The Company may also issue awards with performance-based vesting conditions. For performance-based awards, the Company would reassess at each reporting date whether achievement of the performance condition is probable and accrue compensation expense if and when the achievement of the performance condition is probable. During the quarter ended June 30, 2023, the Company issued performance based RSUs that represent a contingent right to receive one share of the Company’s common stock. The RSUs shall vest 50% on November 1, 2023, with the remaining 50% vesting upon the earlier of: (i) November 1, 2024; and (ii) satisfaction of certain performance criteria. The Company is currently recording expense for these RSUs on the straight-line basis. All remaining performance-based RSUs vested on November 1, 2024.</w:t>
      </w:r>
    </w:p>
    <w:p>
      <w:pPr>
        <w:sectPr>
          <w:pgSz w:w="11880" w:h="15480" w:orient="portrait"/>
          <w:cols w:equalWidth="0" w:num="1">
            <w:col w:w="9720"/>
          </w:cols>
          <w:pgMar w:left="1080" w:top="1063"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158</w:t>
      </w:r>
    </w:p>
    <w:p>
      <w:pPr>
        <w:sectPr>
          <w:pgSz w:w="11880" w:h="15480" w:orient="portrait"/>
          <w:cols w:equalWidth="0" w:num="1">
            <w:col w:w="9720"/>
          </w:cols>
          <w:pgMar w:left="1080" w:top="1063" w:right="1080" w:bottom="554" w:gutter="0" w:footer="0" w:header="0"/>
          <w:type w:val="continuous"/>
        </w:sectPr>
      </w:pPr>
    </w:p>
    <w:bookmarkStart w:id="158" w:name="page159"/>
    <w:bookmarkEnd w:id="158"/>
    <w:p>
      <w:pPr>
        <w:ind w:right="80"/>
        <w:spacing w:after="0" w:line="244" w:lineRule="auto"/>
        <w:rPr>
          <w:sz w:val="20"/>
          <w:szCs w:val="20"/>
          <w:color w:val="auto"/>
        </w:rPr>
      </w:pPr>
      <w:r>
        <w:rPr>
          <w:rFonts w:ascii="Arial" w:cs="Arial" w:eastAsia="Arial" w:hAnsi="Arial"/>
          <w:sz w:val="20"/>
          <w:szCs w:val="20"/>
          <w:color w:val="auto"/>
        </w:rPr>
        <w:t>During the quarter ended December 31, 2024, the Company issued performance-based RSUs that represent a contingent right to receive one share of the Company’s common stock. The RSUs shall vest (i) 50% upon the achievement of both the Company’s entrance into a business development collaboration with a minimum upfront payment of at least $50 million (the “BD Milestone”) and the Company’s stock price equal or exceeding the stock price target as of any date during the period beginning three months prior to and ending 12 months following the achievement of the BD Milestone; and (ii) 50% of the RSUs shall vest upon achievement of both clearance by the FDA of an investigational new drug application relating to ab T cells (the “IND Milestone”) and the Company’s stock price equal or exceeding the stock price target as of any date during the period beginning three months prior to and ending 12 months following achievement of the IND Milestone. The Company will not recognize expense related to these performance-based RSUs until they are probable of being achieved.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recognizes the costs of the stock-based payments as the employees vest in the awards.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2024, the Company had reserved shares of common stock for issuance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4"/>
              <w:spacing w:after="0"/>
              <w:rPr>
                <w:sz w:val="20"/>
                <w:szCs w:val="20"/>
                <w:color w:val="auto"/>
              </w:rPr>
            </w:pPr>
            <w:r>
              <w:rPr>
                <w:rFonts w:ascii="Arial" w:cs="Arial" w:eastAsia="Arial" w:hAnsi="Arial"/>
                <w:sz w:val="16"/>
                <w:szCs w:val="16"/>
                <w:color w:val="auto"/>
              </w:rPr>
              <w:t>Shares</w:t>
            </w:r>
          </w:p>
        </w:tc>
      </w:tr>
      <w:tr>
        <w:trPr>
          <w:trHeight w:val="230"/>
        </w:trPr>
        <w:tc>
          <w:tcPr>
            <w:tcW w:w="8400" w:type="dxa"/>
            <w:vAlign w:val="bottom"/>
            <w:gridSpan w:val="2"/>
          </w:tcPr>
          <w:p>
            <w:pPr>
              <w:spacing w:after="0"/>
              <w:rPr>
                <w:sz w:val="20"/>
                <w:szCs w:val="20"/>
                <w:color w:val="auto"/>
              </w:rPr>
            </w:pPr>
            <w:r>
              <w:rPr>
                <w:rFonts w:ascii="Arial" w:cs="Arial" w:eastAsia="Arial" w:hAnsi="Arial"/>
                <w:sz w:val="20"/>
                <w:szCs w:val="20"/>
                <w:color w:val="auto"/>
                <w:w w:val="98"/>
              </w:rPr>
              <w:t>Options and RSUs issued and outstanding . . . . . . . . . . . . . . . . . . . . . . . . . . . . . . . . . . . . . . . . . . .</w:t>
            </w:r>
          </w:p>
        </w:tc>
        <w:tc>
          <w:tcPr>
            <w:tcW w:w="1320" w:type="dxa"/>
            <w:vAlign w:val="bottom"/>
          </w:tcPr>
          <w:p>
            <w:pPr>
              <w:jc w:val="right"/>
              <w:spacing w:after="0"/>
              <w:rPr>
                <w:sz w:val="20"/>
                <w:szCs w:val="20"/>
                <w:color w:val="auto"/>
              </w:rPr>
            </w:pPr>
            <w:r>
              <w:rPr>
                <w:rFonts w:ascii="Arial" w:cs="Arial" w:eastAsia="Arial" w:hAnsi="Arial"/>
                <w:sz w:val="20"/>
                <w:szCs w:val="20"/>
                <w:color w:val="auto"/>
              </w:rPr>
              <w:t>8,163,138</w:t>
            </w:r>
          </w:p>
        </w:tc>
      </w:tr>
      <w:tr>
        <w:trPr>
          <w:trHeight w:val="232"/>
        </w:trPr>
        <w:tc>
          <w:tcPr>
            <w:tcW w:w="8400" w:type="dxa"/>
            <w:vAlign w:val="bottom"/>
            <w:gridSpan w:val="2"/>
          </w:tcPr>
          <w:p>
            <w:pPr>
              <w:spacing w:after="0"/>
              <w:rPr>
                <w:sz w:val="20"/>
                <w:szCs w:val="20"/>
                <w:color w:val="auto"/>
              </w:rPr>
            </w:pPr>
            <w:r>
              <w:rPr>
                <w:rFonts w:ascii="Arial" w:cs="Arial" w:eastAsia="Arial" w:hAnsi="Arial"/>
                <w:sz w:val="20"/>
                <w:szCs w:val="20"/>
                <w:color w:val="auto"/>
                <w:w w:val="99"/>
              </w:rPr>
              <w:t>Shares available for future stock option and RSU grants . . . . . . . . . . . . . . . . . . . . . . . . . . . . . . .</w:t>
            </w:r>
          </w:p>
        </w:tc>
        <w:tc>
          <w:tcPr>
            <w:tcW w:w="1320" w:type="dxa"/>
            <w:vAlign w:val="bottom"/>
          </w:tcPr>
          <w:p>
            <w:pPr>
              <w:jc w:val="right"/>
              <w:spacing w:after="0"/>
              <w:rPr>
                <w:sz w:val="20"/>
                <w:szCs w:val="20"/>
                <w:color w:val="auto"/>
              </w:rPr>
            </w:pPr>
            <w:r>
              <w:rPr>
                <w:rFonts w:ascii="Arial" w:cs="Arial" w:eastAsia="Arial" w:hAnsi="Arial"/>
                <w:sz w:val="20"/>
                <w:szCs w:val="20"/>
                <w:color w:val="auto"/>
              </w:rPr>
              <w:t>3,691,145</w:t>
            </w:r>
          </w:p>
        </w:tc>
      </w:tr>
      <w:tr>
        <w:trPr>
          <w:trHeight w:val="250"/>
        </w:trPr>
        <w:tc>
          <w:tcPr>
            <w:tcW w:w="8400" w:type="dxa"/>
            <w:vAlign w:val="bottom"/>
            <w:gridSpan w:val="2"/>
          </w:tcPr>
          <w:p>
            <w:pPr>
              <w:spacing w:after="0"/>
              <w:rPr>
                <w:sz w:val="20"/>
                <w:szCs w:val="20"/>
                <w:color w:val="auto"/>
              </w:rPr>
            </w:pPr>
            <w:r>
              <w:rPr>
                <w:rFonts w:ascii="Arial" w:cs="Arial" w:eastAsia="Arial" w:hAnsi="Arial"/>
                <w:sz w:val="20"/>
                <w:szCs w:val="20"/>
                <w:color w:val="auto"/>
                <w:w w:val="99"/>
              </w:rPr>
              <w:t>Shares available for employee stock purchase plan . . . . . . . . . . . . . . . . . . . . . . . . . . . . . . . . . .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845,312</w:t>
            </w:r>
          </w:p>
        </w:tc>
      </w:tr>
      <w:tr>
        <w:trPr>
          <w:trHeight w:val="231"/>
        </w:trPr>
        <w:tc>
          <w:tcPr>
            <w:tcW w:w="8380" w:type="dxa"/>
            <w:vAlign w:val="bottom"/>
          </w:tcPr>
          <w:p>
            <w:pPr>
              <w:spacing w:after="0" w:line="223" w:lineRule="exact"/>
              <w:rPr>
                <w:sz w:val="20"/>
                <w:szCs w:val="20"/>
                <w:color w:val="auto"/>
              </w:rPr>
            </w:pPr>
            <w:r>
              <w:rPr>
                <w:rFonts w:ascii="Arial" w:cs="Arial" w:eastAsia="Arial" w:hAnsi="Arial"/>
                <w:sz w:val="20"/>
                <w:szCs w:val="20"/>
                <w:b w:val="1"/>
                <w:bCs w:val="1"/>
                <w:color w:val="auto"/>
                <w:w w:val="94"/>
              </w:rPr>
              <w:t xml:space="preserve">Total </w:t>
            </w:r>
            <w:r>
              <w:rPr>
                <w:rFonts w:ascii="Arial" w:cs="Arial" w:eastAsia="Arial" w:hAnsi="Arial"/>
                <w:sz w:val="20"/>
                <w:szCs w:val="20"/>
                <w:color w:val="auto"/>
                <w:w w:val="94"/>
              </w:rPr>
              <w:t>. . . . . . . . . . .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12,699,595</w:t>
            </w:r>
          </w:p>
        </w:tc>
      </w:tr>
    </w:tbl>
    <w:p>
      <w:pPr>
        <w:spacing w:after="0" w:line="244" w:lineRule="exact"/>
        <w:rPr>
          <w:sz w:val="20"/>
          <w:szCs w:val="20"/>
          <w:color w:val="auto"/>
        </w:rPr>
      </w:pPr>
    </w:p>
    <w:p>
      <w:pPr>
        <w:ind w:right="600"/>
        <w:spacing w:after="0" w:line="283" w:lineRule="auto"/>
        <w:rPr>
          <w:sz w:val="20"/>
          <w:szCs w:val="20"/>
          <w:color w:val="auto"/>
        </w:rPr>
      </w:pPr>
      <w:r>
        <w:rPr>
          <w:rFonts w:ascii="Arial" w:cs="Arial" w:eastAsia="Arial" w:hAnsi="Arial"/>
          <w:sz w:val="20"/>
          <w:szCs w:val="20"/>
          <w:color w:val="auto"/>
        </w:rPr>
        <w:t>The shares of Common Stock available under the 2021 Incentive Plan as of December 31, 2024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Borders>
              <w:top w:val="single" w:sz="8" w:color="auto"/>
            </w:tcBorders>
            <w:gridSpan w:val="2"/>
            <w:vMerge w:val="restart"/>
          </w:tcPr>
          <w:p>
            <w:pPr>
              <w:spacing w:after="0"/>
              <w:rPr>
                <w:sz w:val="20"/>
                <w:szCs w:val="20"/>
                <w:color w:val="auto"/>
              </w:rPr>
            </w:pPr>
            <w:r>
              <w:rPr>
                <w:rFonts w:ascii="Arial" w:cs="Arial" w:eastAsia="Arial" w:hAnsi="Arial"/>
                <w:sz w:val="20"/>
                <w:szCs w:val="20"/>
                <w:b w:val="1"/>
                <w:bCs w:val="1"/>
                <w:color w:val="auto"/>
                <w:w w:val="97"/>
              </w:rPr>
              <w:t xml:space="preserve">Balance December 31, 2023 </w:t>
            </w:r>
            <w:r>
              <w:rPr>
                <w:rFonts w:ascii="Arial" w:cs="Arial" w:eastAsia="Arial" w:hAnsi="Arial"/>
                <w:sz w:val="20"/>
                <w:szCs w:val="20"/>
                <w:color w:val="auto"/>
                <w:w w:val="97"/>
              </w:rPr>
              <w:t>. . . . . . . . . . . . . . . . . . . . . . . . . . . . . . . . . . . . . . . . . . . . . . . . . . . . . .</w:t>
            </w:r>
          </w:p>
        </w:tc>
        <w:tc>
          <w:tcPr>
            <w:tcW w:w="1320" w:type="dxa"/>
            <w:vAlign w:val="bottom"/>
            <w:tcBorders>
              <w:top w:val="single" w:sz="8" w:color="auto"/>
            </w:tcBorders>
          </w:tcPr>
          <w:p>
            <w:pPr>
              <w:jc w:val="right"/>
              <w:ind w:right="323"/>
              <w:spacing w:after="0" w:line="175" w:lineRule="exact"/>
              <w:rPr>
                <w:sz w:val="20"/>
                <w:szCs w:val="20"/>
                <w:color w:val="auto"/>
              </w:rPr>
            </w:pPr>
            <w:r>
              <w:rPr>
                <w:rFonts w:ascii="Arial" w:cs="Arial" w:eastAsia="Arial" w:hAnsi="Arial"/>
                <w:sz w:val="16"/>
                <w:szCs w:val="16"/>
                <w:color w:val="auto"/>
              </w:rPr>
              <w:t>Shares</w:t>
            </w:r>
          </w:p>
        </w:tc>
        <w:tc>
          <w:tcPr>
            <w:tcW w:w="0" w:type="dxa"/>
            <w:vAlign w:val="bottom"/>
          </w:tcPr>
          <w:p>
            <w:pPr>
              <w:spacing w:after="0"/>
              <w:rPr>
                <w:sz w:val="1"/>
                <w:szCs w:val="1"/>
                <w:color w:val="auto"/>
              </w:rPr>
            </w:pPr>
          </w:p>
        </w:tc>
      </w:tr>
      <w:tr>
        <w:trPr>
          <w:trHeight w:val="230"/>
        </w:trPr>
        <w:tc>
          <w:tcPr>
            <w:tcW w:w="8400" w:type="dxa"/>
            <w:vAlign w:val="bottom"/>
            <w:gridSpan w:val="2"/>
            <w:vMerge w:val="continue"/>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3,128,244</w:t>
            </w:r>
          </w:p>
        </w:tc>
        <w:tc>
          <w:tcPr>
            <w:tcW w:w="0" w:type="dxa"/>
            <w:vAlign w:val="bottom"/>
          </w:tcPr>
          <w:p>
            <w:pPr>
              <w:spacing w:after="0"/>
              <w:rPr>
                <w:sz w:val="1"/>
                <w:szCs w:val="1"/>
                <w:color w:val="auto"/>
              </w:rPr>
            </w:pPr>
          </w:p>
        </w:tc>
      </w:tr>
      <w:tr>
        <w:trPr>
          <w:trHeight w:val="232"/>
        </w:trPr>
        <w:tc>
          <w:tcPr>
            <w:tcW w:w="8400" w:type="dxa"/>
            <w:vAlign w:val="bottom"/>
            <w:gridSpan w:val="2"/>
          </w:tcPr>
          <w:p>
            <w:pPr>
              <w:spacing w:after="0"/>
              <w:rPr>
                <w:sz w:val="20"/>
                <w:szCs w:val="20"/>
                <w:color w:val="auto"/>
              </w:rPr>
            </w:pPr>
            <w:r>
              <w:rPr>
                <w:rFonts w:ascii="Arial" w:cs="Arial" w:eastAsia="Arial" w:hAnsi="Arial"/>
                <w:sz w:val="20"/>
                <w:szCs w:val="20"/>
                <w:color w:val="auto"/>
                <w:w w:val="97"/>
              </w:rPr>
              <w:t>Shares reserved for issuance . . . . . . . . . . . . . . . . . . . . . . . . . . . . . . . . . . . . . . . . . . . . . . . . . . . . . .</w:t>
            </w:r>
          </w:p>
        </w:tc>
        <w:tc>
          <w:tcPr>
            <w:tcW w:w="1320" w:type="dxa"/>
            <w:vAlign w:val="bottom"/>
          </w:tcPr>
          <w:p>
            <w:pPr>
              <w:jc w:val="right"/>
              <w:spacing w:after="0"/>
              <w:rPr>
                <w:sz w:val="20"/>
                <w:szCs w:val="20"/>
                <w:color w:val="auto"/>
              </w:rPr>
            </w:pPr>
            <w:r>
              <w:rPr>
                <w:rFonts w:ascii="Arial" w:cs="Arial" w:eastAsia="Arial" w:hAnsi="Arial"/>
                <w:sz w:val="20"/>
                <w:szCs w:val="20"/>
                <w:color w:val="auto"/>
              </w:rPr>
              <w:t>3,025,220</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20"/>
                <w:szCs w:val="20"/>
                <w:color w:val="auto"/>
                <w:w w:val="95"/>
              </w:rPr>
              <w:t>Options granted . . . . . . . . . . . . . . . . . . . . . . . . . . . . . . . . . . . . . . . . . . . . . . . . . . . . . . . . . . . . . . . . . .</w:t>
            </w:r>
          </w:p>
        </w:tc>
        <w:tc>
          <w:tcPr>
            <w:tcW w:w="1320" w:type="dxa"/>
            <w:vAlign w:val="bottom"/>
          </w:tcPr>
          <w:p>
            <w:pPr>
              <w:jc w:val="right"/>
              <w:spacing w:after="0"/>
              <w:rPr>
                <w:sz w:val="20"/>
                <w:szCs w:val="20"/>
                <w:color w:val="auto"/>
              </w:rPr>
            </w:pPr>
            <w:r>
              <w:rPr>
                <w:rFonts w:ascii="Arial" w:cs="Arial" w:eastAsia="Arial" w:hAnsi="Arial"/>
                <w:sz w:val="20"/>
                <w:szCs w:val="20"/>
                <w:color w:val="auto"/>
              </w:rPr>
              <w:t>(3,022,503)</w:t>
            </w:r>
          </w:p>
        </w:tc>
        <w:tc>
          <w:tcPr>
            <w:tcW w:w="0" w:type="dxa"/>
            <w:vAlign w:val="bottom"/>
          </w:tcPr>
          <w:p>
            <w:pPr>
              <w:spacing w:after="0"/>
              <w:rPr>
                <w:sz w:val="1"/>
                <w:szCs w:val="1"/>
                <w:color w:val="auto"/>
              </w:rPr>
            </w:pPr>
          </w:p>
        </w:tc>
      </w:tr>
      <w:tr>
        <w:trPr>
          <w:trHeight w:val="232"/>
        </w:trPr>
        <w:tc>
          <w:tcPr>
            <w:tcW w:w="8400" w:type="dxa"/>
            <w:vAlign w:val="bottom"/>
            <w:gridSpan w:val="2"/>
          </w:tcPr>
          <w:p>
            <w:pPr>
              <w:spacing w:after="0"/>
              <w:rPr>
                <w:sz w:val="20"/>
                <w:szCs w:val="20"/>
                <w:color w:val="auto"/>
              </w:rPr>
            </w:pPr>
            <w:r>
              <w:rPr>
                <w:rFonts w:ascii="Arial" w:cs="Arial" w:eastAsia="Arial" w:hAnsi="Arial"/>
                <w:sz w:val="20"/>
                <w:szCs w:val="20"/>
                <w:color w:val="auto"/>
                <w:w w:val="95"/>
              </w:rPr>
              <w:t>RSU’s granted . . . . . . . . . . . . . . . . . . . . . . . . . . . . . . . . . . . . . . . . . . . . . . . . . . . . . . . . . . . . . . . . . . .</w:t>
            </w:r>
          </w:p>
        </w:tc>
        <w:tc>
          <w:tcPr>
            <w:tcW w:w="1320" w:type="dxa"/>
            <w:vAlign w:val="bottom"/>
          </w:tcPr>
          <w:p>
            <w:pPr>
              <w:jc w:val="right"/>
              <w:spacing w:after="0"/>
              <w:rPr>
                <w:sz w:val="20"/>
                <w:szCs w:val="20"/>
                <w:color w:val="auto"/>
              </w:rPr>
            </w:pPr>
            <w:r>
              <w:rPr>
                <w:rFonts w:ascii="Arial" w:cs="Arial" w:eastAsia="Arial" w:hAnsi="Arial"/>
                <w:sz w:val="20"/>
                <w:szCs w:val="20"/>
                <w:color w:val="auto"/>
              </w:rPr>
              <w:t>(1,001,901)</w:t>
            </w:r>
          </w:p>
        </w:tc>
        <w:tc>
          <w:tcPr>
            <w:tcW w:w="0" w:type="dxa"/>
            <w:vAlign w:val="bottom"/>
          </w:tcPr>
          <w:p>
            <w:pPr>
              <w:spacing w:after="0"/>
              <w:rPr>
                <w:sz w:val="1"/>
                <w:szCs w:val="1"/>
                <w:color w:val="auto"/>
              </w:rPr>
            </w:pPr>
          </w:p>
        </w:tc>
      </w:tr>
      <w:tr>
        <w:trPr>
          <w:trHeight w:val="250"/>
        </w:trPr>
        <w:tc>
          <w:tcPr>
            <w:tcW w:w="8400" w:type="dxa"/>
            <w:vAlign w:val="bottom"/>
            <w:gridSpan w:val="2"/>
          </w:tcPr>
          <w:p>
            <w:pPr>
              <w:spacing w:after="0"/>
              <w:rPr>
                <w:sz w:val="20"/>
                <w:szCs w:val="20"/>
                <w:color w:val="auto"/>
              </w:rPr>
            </w:pPr>
            <w:r>
              <w:rPr>
                <w:rFonts w:ascii="Arial" w:cs="Arial" w:eastAsia="Arial" w:hAnsi="Arial"/>
                <w:sz w:val="20"/>
                <w:szCs w:val="20"/>
                <w:color w:val="auto"/>
                <w:w w:val="97"/>
              </w:rPr>
              <w:t>Options and RSUs forfeited / cancelled . . . . . . . . . . . . . . . . . . . . . . . . . . . . . . . . . . . . . . . . . . . . .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1,562,085</w:t>
            </w:r>
          </w:p>
        </w:tc>
        <w:tc>
          <w:tcPr>
            <w:tcW w:w="0" w:type="dxa"/>
            <w:vAlign w:val="bottom"/>
          </w:tcPr>
          <w:p>
            <w:pPr>
              <w:spacing w:after="0"/>
              <w:rPr>
                <w:sz w:val="1"/>
                <w:szCs w:val="1"/>
                <w:color w:val="auto"/>
              </w:rPr>
            </w:pPr>
          </w:p>
        </w:tc>
      </w:tr>
      <w:tr>
        <w:trPr>
          <w:trHeight w:val="231"/>
        </w:trPr>
        <w:tc>
          <w:tcPr>
            <w:tcW w:w="8380" w:type="dxa"/>
            <w:vAlign w:val="bottom"/>
          </w:tcPr>
          <w:p>
            <w:pPr>
              <w:spacing w:after="0" w:line="223" w:lineRule="exact"/>
              <w:rPr>
                <w:sz w:val="20"/>
                <w:szCs w:val="20"/>
                <w:color w:val="auto"/>
              </w:rPr>
            </w:pPr>
            <w:r>
              <w:rPr>
                <w:rFonts w:ascii="Arial" w:cs="Arial" w:eastAsia="Arial" w:hAnsi="Arial"/>
                <w:sz w:val="20"/>
                <w:szCs w:val="20"/>
                <w:b w:val="1"/>
                <w:bCs w:val="1"/>
                <w:color w:val="auto"/>
                <w:w w:val="96"/>
              </w:rPr>
              <w:t xml:space="preserve">Balance December 31, 2024 </w:t>
            </w:r>
            <w:r>
              <w:rPr>
                <w:rFonts w:ascii="Arial" w:cs="Arial" w:eastAsia="Arial" w:hAnsi="Arial"/>
                <w:sz w:val="20"/>
                <w:szCs w:val="20"/>
                <w:color w:val="auto"/>
                <w:w w:val="96"/>
              </w:rPr>
              <w:t>.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3,691,145</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Options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stock option activity for the year ended December 31, 2024:</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gridSpan w:val="4"/>
          </w:tcPr>
          <w:p>
            <w:pPr>
              <w:jc w:val="right"/>
              <w:ind w:right="287"/>
              <w:spacing w:after="0"/>
              <w:rPr>
                <w:sz w:val="20"/>
                <w:szCs w:val="20"/>
                <w:color w:val="auto"/>
              </w:rPr>
            </w:pPr>
            <w:r>
              <w:rPr>
                <w:rFonts w:ascii="Arial" w:cs="Arial" w:eastAsia="Arial" w:hAnsi="Arial"/>
                <w:sz w:val="16"/>
                <w:szCs w:val="16"/>
                <w:color w:val="auto"/>
              </w:rPr>
              <w:t>Weighted Average</w:t>
            </w: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vMerge w:val="restart"/>
          </w:tcPr>
          <w:p>
            <w:pPr>
              <w:jc w:val="center"/>
              <w:ind w:right="66"/>
              <w:spacing w:after="0"/>
              <w:rPr>
                <w:sz w:val="20"/>
                <w:szCs w:val="20"/>
                <w:color w:val="auto"/>
              </w:rPr>
            </w:pPr>
            <w:r>
              <w:rPr>
                <w:rFonts w:ascii="Arial" w:cs="Arial" w:eastAsia="Arial" w:hAnsi="Arial"/>
                <w:sz w:val="16"/>
                <w:szCs w:val="16"/>
                <w:color w:val="auto"/>
              </w:rPr>
              <w:t>Aggregate</w:t>
            </w: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center"/>
              <w:spacing w:after="0" w:line="161" w:lineRule="exact"/>
              <w:rPr>
                <w:sz w:val="20"/>
                <w:szCs w:val="20"/>
                <w:color w:val="auto"/>
              </w:rPr>
            </w:pPr>
            <w:r>
              <w:rPr>
                <w:rFonts w:ascii="Arial" w:cs="Arial" w:eastAsia="Arial" w:hAnsi="Arial"/>
                <w:sz w:val="16"/>
                <w:szCs w:val="16"/>
                <w:color w:val="auto"/>
                <w:w w:val="99"/>
              </w:rPr>
              <w:t>Remaining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7"/>
              </w:rPr>
              <w:t>Contractual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6"/>
              <w:spacing w:after="0"/>
              <w:rPr>
                <w:sz w:val="20"/>
                <w:szCs w:val="20"/>
                <w:color w:val="auto"/>
              </w:rPr>
            </w:pPr>
            <w:r>
              <w:rPr>
                <w:rFonts w:ascii="Arial" w:cs="Arial" w:eastAsia="Arial" w:hAnsi="Arial"/>
                <w:sz w:val="16"/>
                <w:szCs w:val="16"/>
                <w:color w:val="auto"/>
                <w:w w:val="97"/>
              </w:rPr>
              <w:t>Intrinsic</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6"/>
              </w:rPr>
              <w:t>Term</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46"/>
              <w:spacing w:after="0"/>
              <w:rPr>
                <w:sz w:val="20"/>
                <w:szCs w:val="20"/>
                <w:color w:val="auto"/>
              </w:rPr>
            </w:pPr>
            <w:r>
              <w:rPr>
                <w:rFonts w:ascii="Arial" w:cs="Arial" w:eastAsia="Arial" w:hAnsi="Arial"/>
                <w:sz w:val="16"/>
                <w:szCs w:val="16"/>
                <w:color w:val="auto"/>
                <w:w w:val="97"/>
              </w:rPr>
              <w:t>Value</w:t>
            </w:r>
          </w:p>
        </w:tc>
        <w:tc>
          <w:tcPr>
            <w:tcW w:w="0" w:type="dxa"/>
            <w:vAlign w:val="bottom"/>
          </w:tcPr>
          <w:p>
            <w:pPr>
              <w:spacing w:after="0"/>
              <w:rPr>
                <w:sz w:val="1"/>
                <w:szCs w:val="1"/>
                <w:color w:val="auto"/>
              </w:rPr>
            </w:pPr>
          </w:p>
        </w:tc>
      </w:tr>
      <w:tr>
        <w:trPr>
          <w:trHeight w:val="199"/>
        </w:trPr>
        <w:tc>
          <w:tcPr>
            <w:tcW w:w="5140" w:type="dxa"/>
            <w:vAlign w:val="bottom"/>
            <w:gridSpan w:val="2"/>
            <w:vMerge w:val="restart"/>
          </w:tcPr>
          <w:p>
            <w:pPr>
              <w:spacing w:after="0"/>
              <w:rPr>
                <w:sz w:val="20"/>
                <w:szCs w:val="20"/>
                <w:color w:val="auto"/>
              </w:rPr>
            </w:pPr>
            <w:r>
              <w:rPr>
                <w:rFonts w:ascii="Arial" w:cs="Arial" w:eastAsia="Arial" w:hAnsi="Arial"/>
                <w:sz w:val="20"/>
                <w:szCs w:val="20"/>
                <w:color w:val="auto"/>
              </w:rPr>
              <w:t>Outstanding January 1, 2024</w:t>
            </w:r>
          </w:p>
        </w:tc>
        <w:tc>
          <w:tcPr>
            <w:tcW w:w="1240" w:type="dxa"/>
            <w:vAlign w:val="bottom"/>
            <w:gridSpan w:val="2"/>
          </w:tcPr>
          <w:p>
            <w:pPr>
              <w:ind w:left="280"/>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w w:val="97"/>
              </w:rPr>
              <w:t>Exercise Price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(years)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01"/>
        </w:trPr>
        <w:tc>
          <w:tcPr>
            <w:tcW w:w="5140" w:type="dxa"/>
            <w:vAlign w:val="bottom"/>
            <w:gridSpan w:val="2"/>
            <w:vMerge w:val="continue"/>
          </w:tcPr>
          <w:p>
            <w:pPr>
              <w:jc w:val="right"/>
              <w:ind w:right="300"/>
              <w:spacing w:after="0" w:line="178" w:lineRule="exact"/>
              <w:rPr>
                <w:sz w:val="20"/>
                <w:szCs w:val="20"/>
                <w:color w:val="auto"/>
              </w:rPr>
            </w:pPr>
            <w:r>
              <w:rPr>
                <w:rFonts w:ascii="Arial" w:cs="Arial" w:eastAsia="Arial" w:hAnsi="Arial"/>
                <w:sz w:val="20"/>
                <w:szCs w:val="20"/>
                <w:color w:val="auto"/>
              </w:rPr>
              <w:t>. . . . . . . . . . . . . . . . . . . . . . .</w:t>
            </w: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3,938,006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line="201" w:lineRule="exact"/>
              <w:rPr>
                <w:sz w:val="20"/>
                <w:szCs w:val="20"/>
                <w:color w:val="auto"/>
              </w:rPr>
            </w:pPr>
            <w:r>
              <w:rPr>
                <w:rFonts w:ascii="Arial" w:cs="Arial" w:eastAsia="Arial" w:hAnsi="Arial"/>
                <w:sz w:val="20"/>
                <w:szCs w:val="20"/>
                <w:color w:val="auto"/>
              </w:rPr>
              <w:t>$</w:t>
            </w: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7.11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5.66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2,923</w:t>
            </w:r>
          </w:p>
        </w:tc>
        <w:tc>
          <w:tcPr>
            <w:tcW w:w="0" w:type="dxa"/>
            <w:vAlign w:val="bottom"/>
          </w:tcPr>
          <w:p>
            <w:pPr>
              <w:spacing w:after="0"/>
              <w:rPr>
                <w:sz w:val="1"/>
                <w:szCs w:val="1"/>
                <w:color w:val="auto"/>
              </w:rPr>
            </w:pPr>
          </w:p>
        </w:tc>
      </w:tr>
      <w:tr>
        <w:trPr>
          <w:trHeight w:val="232"/>
        </w:trPr>
        <w:tc>
          <w:tcPr>
            <w:tcW w:w="5140" w:type="dxa"/>
            <w:vAlign w:val="bottom"/>
            <w:gridSpan w:val="2"/>
          </w:tcPr>
          <w:p>
            <w:pPr>
              <w:jc w:val="right"/>
              <w:ind w:right="300"/>
              <w:spacing w:after="0"/>
              <w:rPr>
                <w:sz w:val="20"/>
                <w:szCs w:val="20"/>
                <w:color w:val="auto"/>
              </w:rPr>
            </w:pPr>
            <w:r>
              <w:rPr>
                <w:rFonts w:ascii="Arial" w:cs="Arial" w:eastAsia="Arial" w:hAnsi="Arial"/>
                <w:sz w:val="20"/>
                <w:szCs w:val="20"/>
                <w:color w:val="auto"/>
                <w:w w:val="91"/>
              </w:rPr>
              <w:t>Granted . . . . . . . . . . . . . . . . . . . . . . . . . . . . . . . . . . . . . . . . .</w:t>
            </w:r>
          </w:p>
        </w:tc>
        <w:tc>
          <w:tcPr>
            <w:tcW w:w="1080" w:type="dxa"/>
            <w:vAlign w:val="bottom"/>
          </w:tcPr>
          <w:p>
            <w:pPr>
              <w:jc w:val="right"/>
              <w:spacing w:after="0"/>
              <w:rPr>
                <w:sz w:val="20"/>
                <w:szCs w:val="20"/>
                <w:color w:val="auto"/>
              </w:rPr>
            </w:pPr>
            <w:r>
              <w:rPr>
                <w:rFonts w:ascii="Arial" w:cs="Arial" w:eastAsia="Arial" w:hAnsi="Arial"/>
                <w:sz w:val="20"/>
                <w:szCs w:val="20"/>
                <w:color w:val="auto"/>
              </w:rPr>
              <w:t>3,022,503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3.62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140" w:type="dxa"/>
            <w:vAlign w:val="bottom"/>
            <w:gridSpan w:val="2"/>
          </w:tcPr>
          <w:p>
            <w:pPr>
              <w:jc w:val="right"/>
              <w:ind w:right="300"/>
              <w:spacing w:after="0"/>
              <w:rPr>
                <w:sz w:val="20"/>
                <w:szCs w:val="20"/>
                <w:color w:val="auto"/>
              </w:rPr>
            </w:pPr>
            <w:r>
              <w:rPr>
                <w:rFonts w:ascii="Arial" w:cs="Arial" w:eastAsia="Arial" w:hAnsi="Arial"/>
                <w:sz w:val="20"/>
                <w:szCs w:val="20"/>
                <w:color w:val="auto"/>
                <w:w w:val="92"/>
              </w:rPr>
              <w:t>Exercised . . . . . . . . . . . . . . . . . . . . . . . . . . . . . . . . . . . . . . .</w:t>
            </w:r>
          </w:p>
        </w:tc>
        <w:tc>
          <w:tcPr>
            <w:tcW w:w="1080" w:type="dxa"/>
            <w:vAlign w:val="bottom"/>
          </w:tcPr>
          <w:p>
            <w:pPr>
              <w:jc w:val="right"/>
              <w:spacing w:after="0"/>
              <w:rPr>
                <w:sz w:val="20"/>
                <w:szCs w:val="20"/>
                <w:color w:val="auto"/>
              </w:rPr>
            </w:pPr>
            <w:r>
              <w:rPr>
                <w:rFonts w:ascii="Arial" w:cs="Arial" w:eastAsia="Arial" w:hAnsi="Arial"/>
                <w:sz w:val="20"/>
                <w:szCs w:val="20"/>
                <w:color w:val="auto"/>
              </w:rPr>
              <w:t>(461,542)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0.83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2"/>
        </w:trPr>
        <w:tc>
          <w:tcPr>
            <w:tcW w:w="5140" w:type="dxa"/>
            <w:vAlign w:val="bottom"/>
            <w:gridSpan w:val="2"/>
          </w:tcPr>
          <w:p>
            <w:pPr>
              <w:jc w:val="right"/>
              <w:ind w:right="300"/>
              <w:spacing w:after="0"/>
              <w:rPr>
                <w:sz w:val="20"/>
                <w:szCs w:val="20"/>
                <w:color w:val="auto"/>
              </w:rPr>
            </w:pPr>
            <w:r>
              <w:rPr>
                <w:rFonts w:ascii="Arial" w:cs="Arial" w:eastAsia="Arial" w:hAnsi="Arial"/>
                <w:sz w:val="20"/>
                <w:szCs w:val="20"/>
                <w:color w:val="auto"/>
                <w:w w:val="92"/>
              </w:rPr>
              <w:t>Forfeited . . . . . . . . . . . . . . . . . . . . . . . . . . . . . . . . . . . . . . . .</w:t>
            </w:r>
          </w:p>
        </w:tc>
        <w:tc>
          <w:tcPr>
            <w:tcW w:w="1080" w:type="dxa"/>
            <w:vAlign w:val="bottom"/>
          </w:tcPr>
          <w:p>
            <w:pPr>
              <w:jc w:val="right"/>
              <w:spacing w:after="0"/>
              <w:rPr>
                <w:sz w:val="20"/>
                <w:szCs w:val="20"/>
                <w:color w:val="auto"/>
              </w:rPr>
            </w:pPr>
            <w:r>
              <w:rPr>
                <w:rFonts w:ascii="Arial" w:cs="Arial" w:eastAsia="Arial" w:hAnsi="Arial"/>
                <w:sz w:val="20"/>
                <w:szCs w:val="20"/>
                <w:color w:val="auto"/>
              </w:rPr>
              <w:t>(1,185,293)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140" w:type="dxa"/>
            <w:vAlign w:val="bottom"/>
            <w:gridSpan w:val="2"/>
          </w:tcPr>
          <w:p>
            <w:pPr>
              <w:jc w:val="right"/>
              <w:ind w:right="300"/>
              <w:spacing w:after="0"/>
              <w:rPr>
                <w:sz w:val="20"/>
                <w:szCs w:val="20"/>
                <w:color w:val="auto"/>
              </w:rPr>
            </w:pPr>
            <w:r>
              <w:rPr>
                <w:rFonts w:ascii="Arial" w:cs="Arial" w:eastAsia="Arial" w:hAnsi="Arial"/>
                <w:sz w:val="20"/>
                <w:szCs w:val="20"/>
                <w:color w:val="auto"/>
                <w:w w:val="92"/>
              </w:rPr>
              <w:t>Cancelled . . . . . . . . . . . . . . . . . . . . . . . . . . . . . . . . . . . . . . .</w:t>
            </w:r>
          </w:p>
        </w:tc>
        <w:tc>
          <w:tcPr>
            <w:tcW w:w="1240" w:type="dxa"/>
            <w:vAlign w:val="bottom"/>
            <w:gridSpan w:val="2"/>
          </w:tcPr>
          <w:p>
            <w:pPr>
              <w:jc w:val="right"/>
              <w:ind w:right="160"/>
              <w:spacing w:after="0"/>
              <w:rPr>
                <w:sz w:val="20"/>
                <w:szCs w:val="20"/>
                <w:color w:val="auto"/>
              </w:rPr>
            </w:pPr>
            <w:r>
              <w:rPr>
                <w:rFonts w:ascii="Arial" w:cs="Arial" w:eastAsia="Arial" w:hAnsi="Arial"/>
                <w:sz w:val="20"/>
                <w:szCs w:val="20"/>
                <w:color w:val="auto"/>
              </w:rPr>
              <w:t>(3,445)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4.99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1"/>
        </w:trPr>
        <w:tc>
          <w:tcPr>
            <w:tcW w:w="5140" w:type="dxa"/>
            <w:vAlign w:val="bottom"/>
            <w:gridSpan w:val="2"/>
          </w:tcPr>
          <w:p>
            <w:pPr>
              <w:jc w:val="right"/>
              <w:ind w:right="300"/>
              <w:spacing w:after="0" w:line="221" w:lineRule="exact"/>
              <w:rPr>
                <w:sz w:val="20"/>
                <w:szCs w:val="20"/>
                <w:color w:val="auto"/>
              </w:rPr>
            </w:pPr>
            <w:r>
              <w:rPr>
                <w:rFonts w:ascii="Arial" w:cs="Arial" w:eastAsia="Arial" w:hAnsi="Arial"/>
                <w:sz w:val="20"/>
                <w:szCs w:val="20"/>
                <w:color w:val="auto"/>
              </w:rPr>
              <w:t>. . . . . . . . . . . . . . . . .</w:t>
            </w:r>
            <w:r>
              <w:rPr>
                <w:rFonts w:ascii="Arial" w:cs="Arial" w:eastAsia="Arial" w:hAnsi="Arial"/>
                <w:sz w:val="20"/>
                <w:szCs w:val="20"/>
                <w:b w:val="1"/>
                <w:bCs w:val="1"/>
                <w:color w:val="auto"/>
              </w:rPr>
              <w:t>Outstanding,December31,2024</w:t>
            </w:r>
          </w:p>
        </w:tc>
        <w:tc>
          <w:tcPr>
            <w:tcW w:w="10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5,310,229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8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5.66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231"/>
        </w:trPr>
        <w:tc>
          <w:tcPr>
            <w:tcW w:w="5120" w:type="dxa"/>
            <w:vAlign w:val="bottom"/>
          </w:tcPr>
          <w:p>
            <w:pPr>
              <w:jc w:val="right"/>
              <w:ind w:right="180"/>
              <w:spacing w:after="0" w:line="223" w:lineRule="exact"/>
              <w:rPr>
                <w:sz w:val="20"/>
                <w:szCs w:val="20"/>
                <w:color w:val="auto"/>
              </w:rPr>
            </w:pPr>
            <w:r>
              <w:rPr>
                <w:rFonts w:ascii="Arial" w:cs="Arial" w:eastAsia="Arial" w:hAnsi="Arial"/>
                <w:sz w:val="20"/>
                <w:szCs w:val="20"/>
                <w:b w:val="1"/>
                <w:bCs w:val="1"/>
                <w:color w:val="auto"/>
                <w:w w:val="96"/>
              </w:rPr>
              <w:t xml:space="preserve">Exercisable at December 31, 2024 </w:t>
            </w:r>
            <w:r>
              <w:rPr>
                <w:rFonts w:ascii="Arial" w:cs="Arial" w:eastAsia="Arial" w:hAnsi="Arial"/>
                <w:sz w:val="20"/>
                <w:szCs w:val="20"/>
                <w:color w:val="auto"/>
                <w:w w:val="96"/>
              </w:rPr>
              <w:t>. . . . . . . . . . . . . . . .</w:t>
            </w: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4,999,667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7.17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5.66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auto"/>
        </w:rPr>
        <w:t>The weighted average grant date fair value of awards for options granted during the period ended December 31, 2024 was $3.62. As of December 31, 2024, there was $16,145 of total unrecognized compensation expense related to unvested stock options with time-based vesting terms, which is expected to be recognized over a weighted average period of 2.55 years. The aggregate intrinsic value of options vested and</w:t>
      </w: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159</w:t>
      </w:r>
    </w:p>
    <w:p>
      <w:pPr>
        <w:sectPr>
          <w:pgSz w:w="11880" w:h="15480" w:orient="portrait"/>
          <w:cols w:equalWidth="0" w:num="1">
            <w:col w:w="9720"/>
          </w:cols>
          <w:pgMar w:left="1080" w:top="1067" w:right="1080" w:bottom="554" w:gutter="0" w:footer="0" w:header="0"/>
          <w:type w:val="continuous"/>
        </w:sectPr>
      </w:pPr>
    </w:p>
    <w:bookmarkStart w:id="159" w:name="page160"/>
    <w:bookmarkEnd w:id="159"/>
    <w:p>
      <w:pPr>
        <w:jc w:val="both"/>
        <w:ind w:right="200"/>
        <w:spacing w:after="0" w:line="262" w:lineRule="auto"/>
        <w:rPr>
          <w:sz w:val="20"/>
          <w:szCs w:val="20"/>
          <w:color w:val="auto"/>
        </w:rPr>
      </w:pPr>
      <w:r>
        <w:rPr>
          <w:rFonts w:ascii="Arial" w:cs="Arial" w:eastAsia="Arial" w:hAnsi="Arial"/>
          <w:sz w:val="20"/>
          <w:szCs w:val="20"/>
          <w:color w:val="auto"/>
        </w:rPr>
        <w:t>exercisable as of December 31, 2024 and 2023 is calculated based on the difference between the exercise price and the fair value of our common stock. The intrinsic value of options exercised in 2024 and 2023 was $923 and $2,923, respectively.</w:t>
      </w:r>
    </w:p>
    <w:p>
      <w:pPr>
        <w:spacing w:after="0" w:line="177"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Starting in June of 2023 the Company had sufficient historical information regarding stock trading history, and started to use the Company’s own stock volatility.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expected term of the option are based on the U.S. Treasury securities with a maturity date commensurate with the expected term of the associated award. The Company will account for actual forfeitures as they occur.</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weighted-average assumptions used to calculate the fair value of stock options granted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0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jc w:val="right"/>
              <w:ind w:right="144"/>
              <w:spacing w:after="0" w:line="175" w:lineRule="exact"/>
              <w:rPr>
                <w:sz w:val="20"/>
                <w:szCs w:val="20"/>
                <w:color w:val="auto"/>
              </w:rPr>
            </w:pPr>
            <w:r>
              <w:rPr>
                <w:rFonts w:ascii="Arial" w:cs="Arial" w:eastAsia="Arial" w:hAnsi="Arial"/>
                <w:sz w:val="16"/>
                <w:szCs w:val="16"/>
                <w:color w:val="auto"/>
              </w:rPr>
              <w:t>December 31, 2024</w:t>
            </w:r>
          </w:p>
        </w:tc>
        <w:tc>
          <w:tcPr>
            <w:tcW w:w="1640" w:type="dxa"/>
            <w:vAlign w:val="bottom"/>
            <w:tcBorders>
              <w:top w:val="single" w:sz="8" w:color="auto"/>
            </w:tcBorders>
          </w:tcPr>
          <w:p>
            <w:pPr>
              <w:jc w:val="right"/>
              <w:ind w:right="84"/>
              <w:spacing w:after="0" w:line="175" w:lineRule="exact"/>
              <w:rPr>
                <w:sz w:val="20"/>
                <w:szCs w:val="20"/>
                <w:color w:val="auto"/>
              </w:rPr>
            </w:pPr>
            <w:r>
              <w:rPr>
                <w:rFonts w:ascii="Arial" w:cs="Arial" w:eastAsia="Arial" w:hAnsi="Arial"/>
                <w:sz w:val="16"/>
                <w:szCs w:val="16"/>
                <w:color w:val="auto"/>
              </w:rPr>
              <w:t>December 31, 2023</w:t>
            </w:r>
          </w:p>
        </w:tc>
      </w:tr>
      <w:tr>
        <w:trPr>
          <w:trHeight w:val="230"/>
        </w:trPr>
        <w:tc>
          <w:tcPr>
            <w:tcW w:w="6300" w:type="dxa"/>
            <w:vAlign w:val="bottom"/>
          </w:tcPr>
          <w:p>
            <w:pPr>
              <w:spacing w:after="0"/>
              <w:rPr>
                <w:sz w:val="20"/>
                <w:szCs w:val="20"/>
                <w:color w:val="auto"/>
              </w:rPr>
            </w:pPr>
            <w:r>
              <w:rPr>
                <w:rFonts w:ascii="Arial" w:cs="Arial" w:eastAsia="Arial" w:hAnsi="Arial"/>
                <w:sz w:val="20"/>
                <w:szCs w:val="20"/>
                <w:color w:val="auto"/>
                <w:w w:val="95"/>
              </w:rPr>
              <w:t>Expected dividend rate . . . . . . . . . . . . . . . . . . . . . . . . . . . . . . . . . . . . . . . . .</w:t>
            </w:r>
          </w:p>
        </w:tc>
        <w:tc>
          <w:tcPr>
            <w:tcW w:w="1780" w:type="dxa"/>
            <w:vAlign w:val="bottom"/>
          </w:tcPr>
          <w:p>
            <w:pPr>
              <w:jc w:val="right"/>
              <w:ind w:right="204"/>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44"/>
              <w:spacing w:after="0"/>
              <w:rPr>
                <w:sz w:val="20"/>
                <w:szCs w:val="20"/>
                <w:color w:val="auto"/>
              </w:rPr>
            </w:pPr>
            <w:r>
              <w:rPr>
                <w:rFonts w:ascii="Arial" w:cs="Arial" w:eastAsia="Arial" w:hAnsi="Arial"/>
                <w:sz w:val="20"/>
                <w:szCs w:val="20"/>
                <w:color w:val="auto"/>
              </w:rPr>
              <w:t>—</w:t>
            </w:r>
          </w:p>
        </w:tc>
      </w:tr>
      <w:tr>
        <w:trPr>
          <w:trHeight w:val="230"/>
        </w:trPr>
        <w:tc>
          <w:tcPr>
            <w:tcW w:w="6300" w:type="dxa"/>
            <w:vAlign w:val="bottom"/>
          </w:tcPr>
          <w:p>
            <w:pPr>
              <w:spacing w:after="0"/>
              <w:rPr>
                <w:sz w:val="20"/>
                <w:szCs w:val="20"/>
                <w:color w:val="auto"/>
              </w:rPr>
            </w:pPr>
            <w:r>
              <w:rPr>
                <w:rFonts w:ascii="Arial" w:cs="Arial" w:eastAsia="Arial" w:hAnsi="Arial"/>
                <w:sz w:val="20"/>
                <w:szCs w:val="20"/>
                <w:color w:val="auto"/>
                <w:w w:val="95"/>
              </w:rPr>
              <w:t>Expected option term (years) . . . . . . . . . . . . . . . . . . . . . . . . . . . . . . . . . . . .</w:t>
            </w:r>
          </w:p>
        </w:tc>
        <w:tc>
          <w:tcPr>
            <w:tcW w:w="1780" w:type="dxa"/>
            <w:vAlign w:val="bottom"/>
          </w:tcPr>
          <w:p>
            <w:pPr>
              <w:jc w:val="right"/>
              <w:ind w:right="204"/>
              <w:spacing w:after="0"/>
              <w:rPr>
                <w:sz w:val="20"/>
                <w:szCs w:val="20"/>
                <w:color w:val="auto"/>
              </w:rPr>
            </w:pPr>
            <w:r>
              <w:rPr>
                <w:rFonts w:ascii="Arial" w:cs="Arial" w:eastAsia="Arial" w:hAnsi="Arial"/>
                <w:sz w:val="20"/>
                <w:szCs w:val="20"/>
                <w:color w:val="auto"/>
              </w:rPr>
              <w:t>6.02</w:t>
            </w:r>
          </w:p>
        </w:tc>
        <w:tc>
          <w:tcPr>
            <w:tcW w:w="1640" w:type="dxa"/>
            <w:vAlign w:val="bottom"/>
          </w:tcPr>
          <w:p>
            <w:pPr>
              <w:jc w:val="right"/>
              <w:ind w:right="144"/>
              <w:spacing w:after="0"/>
              <w:rPr>
                <w:sz w:val="20"/>
                <w:szCs w:val="20"/>
                <w:color w:val="auto"/>
              </w:rPr>
            </w:pPr>
            <w:r>
              <w:rPr>
                <w:rFonts w:ascii="Arial" w:cs="Arial" w:eastAsia="Arial" w:hAnsi="Arial"/>
                <w:sz w:val="20"/>
                <w:szCs w:val="20"/>
                <w:color w:val="auto"/>
              </w:rPr>
              <w:t>6.04</w:t>
            </w:r>
          </w:p>
        </w:tc>
      </w:tr>
      <w:tr>
        <w:trPr>
          <w:trHeight w:val="230"/>
        </w:trPr>
        <w:tc>
          <w:tcPr>
            <w:tcW w:w="6300" w:type="dxa"/>
            <w:vAlign w:val="bottom"/>
          </w:tcPr>
          <w:p>
            <w:pPr>
              <w:spacing w:after="0"/>
              <w:rPr>
                <w:sz w:val="20"/>
                <w:szCs w:val="20"/>
                <w:color w:val="auto"/>
              </w:rPr>
            </w:pPr>
            <w:r>
              <w:rPr>
                <w:rFonts w:ascii="Arial" w:cs="Arial" w:eastAsia="Arial" w:hAnsi="Arial"/>
                <w:sz w:val="20"/>
                <w:szCs w:val="20"/>
                <w:color w:val="auto"/>
                <w:w w:val="95"/>
              </w:rPr>
              <w:t>Expected volatility . . . . . . . . . . . . . . . . . . . . . . . . . . . . . . . . . . . . . . . . . . . . .</w:t>
            </w:r>
          </w:p>
        </w:tc>
        <w:tc>
          <w:tcPr>
            <w:tcW w:w="1780" w:type="dxa"/>
            <w:vAlign w:val="bottom"/>
          </w:tcPr>
          <w:p>
            <w:pPr>
              <w:jc w:val="right"/>
              <w:spacing w:after="0"/>
              <w:rPr>
                <w:sz w:val="20"/>
                <w:szCs w:val="20"/>
                <w:color w:val="auto"/>
              </w:rPr>
            </w:pPr>
            <w:r>
              <w:rPr>
                <w:rFonts w:ascii="Arial" w:cs="Arial" w:eastAsia="Arial" w:hAnsi="Arial"/>
                <w:sz w:val="20"/>
                <w:szCs w:val="20"/>
                <w:color w:val="auto"/>
              </w:rPr>
              <w:t>78.84 %</w:t>
            </w:r>
          </w:p>
        </w:tc>
        <w:tc>
          <w:tcPr>
            <w:tcW w:w="1640" w:type="dxa"/>
            <w:vAlign w:val="bottom"/>
          </w:tcPr>
          <w:p>
            <w:pPr>
              <w:jc w:val="right"/>
              <w:spacing w:after="0"/>
              <w:rPr>
                <w:sz w:val="20"/>
                <w:szCs w:val="20"/>
                <w:color w:val="auto"/>
              </w:rPr>
            </w:pPr>
            <w:r>
              <w:rPr>
                <w:rFonts w:ascii="Arial" w:cs="Arial" w:eastAsia="Arial" w:hAnsi="Arial"/>
                <w:sz w:val="20"/>
                <w:szCs w:val="20"/>
                <w:color w:val="auto"/>
              </w:rPr>
              <w:t>77.87 %</w:t>
            </w:r>
          </w:p>
        </w:tc>
      </w:tr>
      <w:tr>
        <w:trPr>
          <w:trHeight w:val="271"/>
        </w:trPr>
        <w:tc>
          <w:tcPr>
            <w:tcW w:w="6300" w:type="dxa"/>
            <w:vAlign w:val="bottom"/>
          </w:tcPr>
          <w:p>
            <w:pPr>
              <w:spacing w:after="0"/>
              <w:rPr>
                <w:sz w:val="20"/>
                <w:szCs w:val="20"/>
                <w:color w:val="auto"/>
              </w:rPr>
            </w:pPr>
            <w:r>
              <w:rPr>
                <w:rFonts w:ascii="Arial" w:cs="Arial" w:eastAsia="Arial" w:hAnsi="Arial"/>
                <w:sz w:val="20"/>
                <w:szCs w:val="20"/>
                <w:color w:val="auto"/>
                <w:w w:val="95"/>
              </w:rPr>
              <w:t>Risk-free interest rate . . . . . . . . . . . . . . . . . . . . . . . . . . . . . . . . . . . . . . . . . .</w:t>
            </w:r>
          </w:p>
        </w:tc>
        <w:tc>
          <w:tcPr>
            <w:tcW w:w="1780" w:type="dxa"/>
            <w:vAlign w:val="bottom"/>
          </w:tcPr>
          <w:p>
            <w:pPr>
              <w:jc w:val="right"/>
              <w:spacing w:after="0"/>
              <w:rPr>
                <w:sz w:val="20"/>
                <w:szCs w:val="20"/>
                <w:color w:val="auto"/>
              </w:rPr>
            </w:pPr>
            <w:r>
              <w:rPr>
                <w:rFonts w:ascii="Arial" w:cs="Arial" w:eastAsia="Arial" w:hAnsi="Arial"/>
                <w:sz w:val="20"/>
                <w:szCs w:val="20"/>
                <w:color w:val="auto"/>
              </w:rPr>
              <w:t>4.29 %</w:t>
            </w:r>
          </w:p>
        </w:tc>
        <w:tc>
          <w:tcPr>
            <w:tcW w:w="1640" w:type="dxa"/>
            <w:vAlign w:val="bottom"/>
          </w:tcPr>
          <w:p>
            <w:pPr>
              <w:jc w:val="right"/>
              <w:spacing w:after="0"/>
              <w:rPr>
                <w:sz w:val="20"/>
                <w:szCs w:val="20"/>
                <w:color w:val="auto"/>
              </w:rPr>
            </w:pPr>
            <w:r>
              <w:rPr>
                <w:rFonts w:ascii="Arial" w:cs="Arial" w:eastAsia="Arial" w:hAnsi="Arial"/>
                <w:sz w:val="20"/>
                <w:szCs w:val="20"/>
                <w:color w:val="auto"/>
              </w:rPr>
              <w:t>3.68 %</w:t>
            </w:r>
          </w:p>
        </w:tc>
      </w:tr>
    </w:tbl>
    <w:p>
      <w:pPr>
        <w:spacing w:after="0" w:line="188"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color w:val="auto"/>
        </w:rPr>
        <w:t>Stock -based compensation expense recorded under ASC 718 related to stock options granted and common stock issued under the 2021 Employee Stock Purchase Plan were allocated to research and development and general and administrative expense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8"/>
              <w:spacing w:after="0" w:line="180" w:lineRule="exact"/>
              <w:rPr>
                <w:sz w:val="20"/>
                <w:szCs w:val="20"/>
                <w:color w:val="auto"/>
              </w:rPr>
            </w:pPr>
            <w:r>
              <w:rPr>
                <w:rFonts w:ascii="Arial" w:cs="Arial" w:eastAsia="Arial" w:hAnsi="Arial"/>
                <w:sz w:val="16"/>
                <w:szCs w:val="16"/>
                <w:color w:val="auto"/>
                <w:w w:val="99"/>
              </w:rPr>
              <w:t>Year Ended</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8"/>
              <w:spacing w:after="0" w:line="180" w:lineRule="exact"/>
              <w:rPr>
                <w:sz w:val="20"/>
                <w:szCs w:val="20"/>
                <w:color w:val="auto"/>
              </w:rPr>
            </w:pPr>
            <w:r>
              <w:rPr>
                <w:rFonts w:ascii="Arial" w:cs="Arial" w:eastAsia="Arial" w:hAnsi="Arial"/>
                <w:sz w:val="16"/>
                <w:szCs w:val="16"/>
                <w:color w:val="auto"/>
                <w:w w:val="99"/>
              </w:rPr>
              <w:t>Year Ended</w:t>
            </w:r>
          </w:p>
        </w:tc>
        <w:tc>
          <w:tcPr>
            <w:tcW w:w="0" w:type="dxa"/>
            <w:vAlign w:val="bottom"/>
          </w:tcPr>
          <w:p>
            <w:pPr>
              <w:spacing w:after="0"/>
              <w:rPr>
                <w:sz w:val="1"/>
                <w:szCs w:val="1"/>
                <w:color w:val="auto"/>
              </w:rPr>
            </w:pPr>
          </w:p>
        </w:tc>
      </w:tr>
      <w:tr>
        <w:trPr>
          <w:trHeight w:val="184"/>
        </w:trPr>
        <w:tc>
          <w:tcPr>
            <w:tcW w:w="7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6"/>
                <w:szCs w:val="16"/>
                <w:color w:val="auto"/>
              </w:rPr>
              <w:t>December 31,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98"/>
        </w:trPr>
        <w:tc>
          <w:tcPr>
            <w:tcW w:w="7360" w:type="dxa"/>
            <w:vAlign w:val="bottom"/>
            <w:vMerge w:val="restart"/>
          </w:tcPr>
          <w:p>
            <w:pPr>
              <w:jc w:val="right"/>
              <w:ind w:right="4800"/>
              <w:spacing w:after="0"/>
              <w:rPr>
                <w:sz w:val="20"/>
                <w:szCs w:val="20"/>
                <w:color w:val="auto"/>
              </w:rPr>
            </w:pPr>
            <w:r>
              <w:rPr>
                <w:rFonts w:ascii="Arial" w:cs="Arial" w:eastAsia="Arial" w:hAnsi="Arial"/>
                <w:sz w:val="20"/>
                <w:szCs w:val="20"/>
                <w:color w:val="auto"/>
                <w:w w:val="99"/>
              </w:rPr>
              <w:t>Research and development</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1"/>
        </w:trPr>
        <w:tc>
          <w:tcPr>
            <w:tcW w:w="7360" w:type="dxa"/>
            <w:vAlign w:val="bottom"/>
            <w:vMerge w:val="continue"/>
          </w:tcPr>
          <w:p>
            <w:pPr>
              <w:jc w:val="right"/>
              <w:ind w:right="200"/>
              <w:spacing w:after="0" w:line="178" w:lineRule="exact"/>
              <w:rPr>
                <w:sz w:val="20"/>
                <w:szCs w:val="20"/>
                <w:color w:val="auto"/>
              </w:rPr>
            </w:pPr>
            <w:r>
              <w:rPr>
                <w:rFonts w:ascii="Arial" w:cs="Arial" w:eastAsia="Arial" w:hAnsi="Arial"/>
                <w:sz w:val="20"/>
                <w:szCs w:val="20"/>
                <w:color w:val="auto"/>
              </w:rPr>
              <w:t>. . . . . . . . . . . . . . . . . . . . . . . . . . . . . . . . . . . . . . . . . . . . . .</w:t>
            </w:r>
          </w:p>
        </w:tc>
        <w:tc>
          <w:tcPr>
            <w:tcW w:w="20" w:type="dxa"/>
            <w:vAlign w:val="bottom"/>
          </w:tcPr>
          <w:p>
            <w:pPr>
              <w:spacing w:after="0"/>
              <w:rPr>
                <w:sz w:val="17"/>
                <w:szCs w:val="17"/>
                <w:color w:val="auto"/>
              </w:rPr>
            </w:pPr>
          </w:p>
        </w:tc>
        <w:tc>
          <w:tcPr>
            <w:tcW w:w="100" w:type="dxa"/>
            <w:vAlign w:val="bottom"/>
          </w:tcPr>
          <w:p>
            <w:pPr>
              <w:spacing w:after="0" w:line="201" w:lineRule="exact"/>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20"/>
                <w:szCs w:val="20"/>
                <w:color w:val="auto"/>
              </w:rPr>
              <w:t>7,648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line="201" w:lineRule="exact"/>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20"/>
                <w:szCs w:val="20"/>
                <w:color w:val="auto"/>
              </w:rPr>
              <w:t>8,572</w:t>
            </w:r>
          </w:p>
        </w:tc>
        <w:tc>
          <w:tcPr>
            <w:tcW w:w="0" w:type="dxa"/>
            <w:vAlign w:val="bottom"/>
          </w:tcPr>
          <w:p>
            <w:pPr>
              <w:spacing w:after="0"/>
              <w:rPr>
                <w:sz w:val="1"/>
                <w:szCs w:val="1"/>
                <w:color w:val="auto"/>
              </w:rPr>
            </w:pPr>
          </w:p>
        </w:tc>
      </w:tr>
      <w:tr>
        <w:trPr>
          <w:trHeight w:val="249"/>
        </w:trPr>
        <w:tc>
          <w:tcPr>
            <w:tcW w:w="7360" w:type="dxa"/>
            <w:vAlign w:val="bottom"/>
          </w:tcPr>
          <w:p>
            <w:pPr>
              <w:jc w:val="right"/>
              <w:ind w:right="200"/>
              <w:spacing w:after="0"/>
              <w:rPr>
                <w:sz w:val="20"/>
                <w:szCs w:val="20"/>
                <w:color w:val="auto"/>
              </w:rPr>
            </w:pPr>
            <w:r>
              <w:rPr>
                <w:rFonts w:ascii="Arial" w:cs="Arial" w:eastAsia="Arial" w:hAnsi="Arial"/>
                <w:sz w:val="20"/>
                <w:szCs w:val="20"/>
                <w:color w:val="auto"/>
                <w:w w:val="93"/>
              </w:rPr>
              <w:t>General and administrative . . . . . . . . . . . . . . . . . . . . . . . . . . . . . . . . . . . . . . . . . . . . . .</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5,040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6,050</w:t>
            </w:r>
          </w:p>
        </w:tc>
        <w:tc>
          <w:tcPr>
            <w:tcW w:w="0" w:type="dxa"/>
            <w:vAlign w:val="bottom"/>
          </w:tcPr>
          <w:p>
            <w:pPr>
              <w:spacing w:after="0"/>
              <w:rPr>
                <w:sz w:val="1"/>
                <w:szCs w:val="1"/>
                <w:color w:val="auto"/>
              </w:rPr>
            </w:pPr>
          </w:p>
        </w:tc>
      </w:tr>
      <w:tr>
        <w:trPr>
          <w:trHeight w:val="230"/>
        </w:trPr>
        <w:tc>
          <w:tcPr>
            <w:tcW w:w="7360" w:type="dxa"/>
            <w:vAlign w:val="bottom"/>
          </w:tcPr>
          <w:p>
            <w:pPr>
              <w:jc w:val="right"/>
              <w:ind w:right="200"/>
              <w:spacing w:after="0" w:line="221" w:lineRule="exact"/>
              <w:rPr>
                <w:sz w:val="20"/>
                <w:szCs w:val="20"/>
                <w:color w:val="auto"/>
              </w:rPr>
            </w:pPr>
            <w:r>
              <w:rPr>
                <w:rFonts w:ascii="Arial" w:cs="Arial" w:eastAsia="Arial" w:hAnsi="Arial"/>
                <w:sz w:val="20"/>
                <w:szCs w:val="20"/>
                <w:color w:val="auto"/>
                <w:w w:val="98"/>
              </w:rPr>
              <w:t>. . . . . . . . . . . . . . . . . . . . . . . . . . . . . . . . . . . . . . . .Totalstock-basedcompensation</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12,688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14,622</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20"/>
        <w:spacing w:after="0" w:line="283" w:lineRule="auto"/>
        <w:rPr>
          <w:sz w:val="20"/>
          <w:szCs w:val="20"/>
          <w:color w:val="auto"/>
        </w:rPr>
      </w:pPr>
      <w:r>
        <w:rPr>
          <w:rFonts w:ascii="Arial" w:cs="Arial" w:eastAsia="Arial" w:hAnsi="Arial"/>
          <w:sz w:val="20"/>
          <w:szCs w:val="20"/>
          <w:color w:val="auto"/>
        </w:rPr>
        <w:t>Stock-based compensation expense by award type included within the condensed consolidated statements of operations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6"/>
              <w:spacing w:after="0" w:line="180" w:lineRule="exact"/>
              <w:rPr>
                <w:sz w:val="20"/>
                <w:szCs w:val="20"/>
                <w:color w:val="auto"/>
              </w:rPr>
            </w:pPr>
            <w:r>
              <w:rPr>
                <w:rFonts w:ascii="Arial" w:cs="Arial" w:eastAsia="Arial" w:hAnsi="Arial"/>
                <w:sz w:val="16"/>
                <w:szCs w:val="16"/>
                <w:color w:val="auto"/>
                <w:w w:val="99"/>
              </w:rPr>
              <w:t>Year Ended</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6"/>
              <w:spacing w:after="0" w:line="180" w:lineRule="exact"/>
              <w:rPr>
                <w:sz w:val="20"/>
                <w:szCs w:val="20"/>
                <w:color w:val="auto"/>
              </w:rPr>
            </w:pPr>
            <w:r>
              <w:rPr>
                <w:rFonts w:ascii="Arial" w:cs="Arial" w:eastAsia="Arial" w:hAnsi="Arial"/>
                <w:sz w:val="16"/>
                <w:szCs w:val="16"/>
                <w:color w:val="auto"/>
                <w:w w:val="99"/>
              </w:rPr>
              <w:t>Year Ended</w:t>
            </w:r>
          </w:p>
        </w:tc>
        <w:tc>
          <w:tcPr>
            <w:tcW w:w="0" w:type="dxa"/>
            <w:vAlign w:val="bottom"/>
          </w:tcPr>
          <w:p>
            <w:pPr>
              <w:spacing w:after="0"/>
              <w:rPr>
                <w:sz w:val="1"/>
                <w:szCs w:val="1"/>
                <w:color w:val="auto"/>
              </w:rPr>
            </w:pPr>
          </w:p>
        </w:tc>
      </w:tr>
      <w:tr>
        <w:trPr>
          <w:trHeight w:val="184"/>
        </w:trPr>
        <w:tc>
          <w:tcPr>
            <w:tcW w:w="7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rPr>
              <w:t>December 31,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99"/>
        </w:trPr>
        <w:tc>
          <w:tcPr>
            <w:tcW w:w="7360" w:type="dxa"/>
            <w:vAlign w:val="bottom"/>
            <w:vMerge w:val="restart"/>
          </w:tcPr>
          <w:p>
            <w:pPr>
              <w:jc w:val="right"/>
              <w:ind w:right="6060"/>
              <w:spacing w:after="0"/>
              <w:rPr>
                <w:sz w:val="20"/>
                <w:szCs w:val="20"/>
                <w:color w:val="auto"/>
              </w:rPr>
            </w:pPr>
            <w:r>
              <w:rPr>
                <w:rFonts w:ascii="Arial" w:cs="Arial" w:eastAsia="Arial" w:hAnsi="Arial"/>
                <w:sz w:val="20"/>
                <w:szCs w:val="20"/>
                <w:color w:val="auto"/>
                <w:w w:val="98"/>
              </w:rPr>
              <w:t>Stock options</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6"/>
              <w:spacing w:after="0"/>
              <w:rPr>
                <w:sz w:val="20"/>
                <w:szCs w:val="20"/>
                <w:color w:val="auto"/>
              </w:rPr>
            </w:pPr>
            <w:r>
              <w:rPr>
                <w:rFonts w:ascii="Arial" w:cs="Arial" w:eastAsia="Arial" w:hAnsi="Arial"/>
                <w:sz w:val="16"/>
                <w:szCs w:val="16"/>
                <w:color w:val="auto"/>
                <w:w w:val="95"/>
              </w:rPr>
              <w:t>2024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0"/>
        </w:trPr>
        <w:tc>
          <w:tcPr>
            <w:tcW w:w="7360" w:type="dxa"/>
            <w:vAlign w:val="bottom"/>
            <w:vMerge w:val="continue"/>
          </w:tcPr>
          <w:p>
            <w:pPr>
              <w:jc w:val="right"/>
              <w:ind w:right="200"/>
              <w:spacing w:after="0" w:line="178" w:lineRule="exact"/>
              <w:rPr>
                <w:sz w:val="20"/>
                <w:szCs w:val="20"/>
                <w:color w:val="auto"/>
              </w:rPr>
            </w:pPr>
            <w:r>
              <w:rPr>
                <w:rFonts w:ascii="Arial" w:cs="Arial" w:eastAsia="Arial" w:hAnsi="Arial"/>
                <w:sz w:val="20"/>
                <w:szCs w:val="20"/>
                <w:color w:val="auto"/>
              </w:rPr>
              <w:t>. . . . . . . . . . . . . . . . . . . . . . . . . . .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0" w:lineRule="exact"/>
              <w:rPr>
                <w:sz w:val="20"/>
                <w:szCs w:val="20"/>
                <w:color w:val="auto"/>
              </w:rPr>
            </w:pPr>
            <w:r>
              <w:rPr>
                <w:rFonts w:ascii="Arial" w:cs="Arial" w:eastAsia="Arial" w:hAnsi="Arial"/>
                <w:sz w:val="20"/>
                <w:szCs w:val="20"/>
                <w:color w:val="auto"/>
              </w:rPr>
              <w:t>8,338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line="200" w:lineRule="exact"/>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line="200" w:lineRule="exact"/>
              <w:rPr>
                <w:sz w:val="20"/>
                <w:szCs w:val="20"/>
                <w:color w:val="auto"/>
              </w:rPr>
            </w:pPr>
            <w:r>
              <w:rPr>
                <w:rFonts w:ascii="Arial" w:cs="Arial" w:eastAsia="Arial" w:hAnsi="Arial"/>
                <w:sz w:val="20"/>
                <w:szCs w:val="20"/>
                <w:color w:val="auto"/>
              </w:rPr>
              <w:t>10,125</w:t>
            </w:r>
          </w:p>
        </w:tc>
        <w:tc>
          <w:tcPr>
            <w:tcW w:w="0" w:type="dxa"/>
            <w:vAlign w:val="bottom"/>
          </w:tcPr>
          <w:p>
            <w:pPr>
              <w:spacing w:after="0"/>
              <w:rPr>
                <w:sz w:val="1"/>
                <w:szCs w:val="1"/>
                <w:color w:val="auto"/>
              </w:rPr>
            </w:pPr>
          </w:p>
        </w:tc>
      </w:tr>
      <w:tr>
        <w:trPr>
          <w:trHeight w:val="230"/>
        </w:trPr>
        <w:tc>
          <w:tcPr>
            <w:tcW w:w="7360" w:type="dxa"/>
            <w:vAlign w:val="bottom"/>
          </w:tcPr>
          <w:p>
            <w:pPr>
              <w:jc w:val="right"/>
              <w:ind w:right="200"/>
              <w:spacing w:after="0"/>
              <w:rPr>
                <w:sz w:val="20"/>
                <w:szCs w:val="20"/>
                <w:color w:val="auto"/>
              </w:rPr>
            </w:pPr>
            <w:r>
              <w:rPr>
                <w:rFonts w:ascii="Arial" w:cs="Arial" w:eastAsia="Arial" w:hAnsi="Arial"/>
                <w:sz w:val="20"/>
                <w:szCs w:val="20"/>
                <w:color w:val="auto"/>
                <w:w w:val="92"/>
              </w:rPr>
              <w:t>Restricted stock units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3,953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4,023</w:t>
            </w:r>
          </w:p>
        </w:tc>
        <w:tc>
          <w:tcPr>
            <w:tcW w:w="0" w:type="dxa"/>
            <w:vAlign w:val="bottom"/>
          </w:tcPr>
          <w:p>
            <w:pPr>
              <w:spacing w:after="0"/>
              <w:rPr>
                <w:sz w:val="1"/>
                <w:szCs w:val="1"/>
                <w:color w:val="auto"/>
              </w:rPr>
            </w:pPr>
          </w:p>
        </w:tc>
      </w:tr>
      <w:tr>
        <w:trPr>
          <w:trHeight w:val="229"/>
        </w:trPr>
        <w:tc>
          <w:tcPr>
            <w:tcW w:w="7360" w:type="dxa"/>
            <w:vAlign w:val="bottom"/>
          </w:tcPr>
          <w:p>
            <w:pPr>
              <w:jc w:val="right"/>
              <w:ind w:right="200"/>
              <w:spacing w:after="0" w:line="229" w:lineRule="exact"/>
              <w:rPr>
                <w:sz w:val="20"/>
                <w:szCs w:val="20"/>
                <w:color w:val="auto"/>
              </w:rPr>
            </w:pPr>
            <w:r>
              <w:rPr>
                <w:rFonts w:ascii="Arial" w:cs="Arial" w:eastAsia="Arial" w:hAnsi="Arial"/>
                <w:sz w:val="20"/>
                <w:szCs w:val="20"/>
                <w:color w:val="auto"/>
                <w:w w:val="92"/>
              </w:rPr>
              <w:t>Restricted stock awards . . . . . . . . . . . . .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line="229" w:lineRule="exact"/>
              <w:rPr>
                <w:sz w:val="20"/>
                <w:szCs w:val="20"/>
                <w:color w:val="auto"/>
              </w:rPr>
            </w:pPr>
            <w:r>
              <w:rPr>
                <w:rFonts w:ascii="Arial" w:cs="Arial" w:eastAsia="Arial" w:hAnsi="Arial"/>
                <w:sz w:val="20"/>
                <w:szCs w:val="20"/>
                <w:color w:val="auto"/>
              </w:rPr>
              <w:t>180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line="229" w:lineRule="exact"/>
              <w:rPr>
                <w:sz w:val="20"/>
                <w:szCs w:val="20"/>
                <w:color w:val="auto"/>
              </w:rPr>
            </w:pPr>
            <w:r>
              <w:rPr>
                <w:rFonts w:ascii="Arial" w:cs="Arial" w:eastAsia="Arial" w:hAnsi="Arial"/>
                <w:sz w:val="20"/>
                <w:szCs w:val="20"/>
                <w:color w:val="auto"/>
              </w:rPr>
              <w:t>228</w:t>
            </w:r>
          </w:p>
        </w:tc>
        <w:tc>
          <w:tcPr>
            <w:tcW w:w="0" w:type="dxa"/>
            <w:vAlign w:val="bottom"/>
          </w:tcPr>
          <w:p>
            <w:pPr>
              <w:spacing w:after="0"/>
              <w:rPr>
                <w:sz w:val="1"/>
                <w:szCs w:val="1"/>
                <w:color w:val="auto"/>
              </w:rPr>
            </w:pPr>
          </w:p>
        </w:tc>
      </w:tr>
      <w:tr>
        <w:trPr>
          <w:trHeight w:val="250"/>
        </w:trPr>
        <w:tc>
          <w:tcPr>
            <w:tcW w:w="7360" w:type="dxa"/>
            <w:vAlign w:val="bottom"/>
          </w:tcPr>
          <w:p>
            <w:pPr>
              <w:jc w:val="right"/>
              <w:ind w:right="200"/>
              <w:spacing w:after="0"/>
              <w:rPr>
                <w:sz w:val="20"/>
                <w:szCs w:val="20"/>
                <w:color w:val="auto"/>
              </w:rPr>
            </w:pPr>
            <w:r>
              <w:rPr>
                <w:rFonts w:ascii="Arial" w:cs="Arial" w:eastAsia="Arial" w:hAnsi="Arial"/>
                <w:sz w:val="20"/>
                <w:szCs w:val="20"/>
                <w:color w:val="auto"/>
                <w:w w:val="93"/>
              </w:rPr>
              <w:t>Employee stock purchase plan . . . . . . . . . . . . . . . . . . . . . . . . . . . . . . . . . . . . . . . . . . .</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246</w:t>
            </w:r>
          </w:p>
        </w:tc>
        <w:tc>
          <w:tcPr>
            <w:tcW w:w="0" w:type="dxa"/>
            <w:vAlign w:val="bottom"/>
          </w:tcPr>
          <w:p>
            <w:pPr>
              <w:spacing w:after="0"/>
              <w:rPr>
                <w:sz w:val="1"/>
                <w:szCs w:val="1"/>
                <w:color w:val="auto"/>
              </w:rPr>
            </w:pPr>
          </w:p>
        </w:tc>
      </w:tr>
      <w:tr>
        <w:trPr>
          <w:trHeight w:val="230"/>
        </w:trPr>
        <w:tc>
          <w:tcPr>
            <w:tcW w:w="7360" w:type="dxa"/>
            <w:vAlign w:val="bottom"/>
          </w:tcPr>
          <w:p>
            <w:pPr>
              <w:jc w:val="right"/>
              <w:ind w:right="200"/>
              <w:spacing w:after="0" w:line="221" w:lineRule="exact"/>
              <w:rPr>
                <w:sz w:val="20"/>
                <w:szCs w:val="20"/>
                <w:color w:val="auto"/>
              </w:rPr>
            </w:pPr>
            <w:r>
              <w:rPr>
                <w:rFonts w:ascii="Arial" w:cs="Arial" w:eastAsia="Arial" w:hAnsi="Arial"/>
                <w:sz w:val="20"/>
                <w:szCs w:val="20"/>
                <w:color w:val="auto"/>
                <w:w w:val="98"/>
              </w:rPr>
              <w:t>. . . . . . . . . . . . . . . . . . . . . . . . . . . . . . . . . . . . . . . .Totalstock-basedcompensation</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12,688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14,622</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320"/>
        <w:spacing w:after="0" w:line="283" w:lineRule="auto"/>
        <w:rPr>
          <w:sz w:val="20"/>
          <w:szCs w:val="20"/>
          <w:color w:val="auto"/>
        </w:rPr>
      </w:pPr>
      <w:r>
        <w:rPr>
          <w:rFonts w:ascii="Arial" w:cs="Arial" w:eastAsia="Arial" w:hAnsi="Arial"/>
          <w:sz w:val="20"/>
          <w:szCs w:val="20"/>
          <w:color w:val="auto"/>
        </w:rPr>
        <w:t>Pursuant to certain stock purchase agreements containing vesting and other provisions, the Company has the right to repurchase unvested shares.</w:t>
      </w: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160</w:t>
      </w:r>
    </w:p>
    <w:p>
      <w:pPr>
        <w:sectPr>
          <w:pgSz w:w="11880" w:h="15480" w:orient="portrait"/>
          <w:cols w:equalWidth="0" w:num="1">
            <w:col w:w="9720"/>
          </w:cols>
          <w:pgMar w:left="1080" w:top="1067" w:right="1080" w:bottom="554" w:gutter="0" w:footer="0" w:header="0"/>
          <w:type w:val="continuous"/>
        </w:sectPr>
      </w:pPr>
    </w:p>
    <w:bookmarkStart w:id="160" w:name="page161"/>
    <w:bookmarkEnd w:id="160"/>
    <w:p>
      <w:pPr>
        <w:spacing w:after="0"/>
        <w:rPr>
          <w:sz w:val="20"/>
          <w:szCs w:val="20"/>
          <w:color w:val="auto"/>
        </w:rPr>
      </w:pPr>
      <w:r>
        <w:rPr>
          <w:rFonts w:ascii="Arial" w:cs="Arial" w:eastAsia="Arial" w:hAnsi="Arial"/>
          <w:sz w:val="20"/>
          <w:szCs w:val="20"/>
          <w:i w:val="1"/>
          <w:iCs w:val="1"/>
          <w:color w:val="auto"/>
        </w:rPr>
        <w:t>Restricted Stock Units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restricted stock activity for the year ended December 31, 2024:</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23"/>
              <w:spacing w:after="0" w:line="180" w:lineRule="exact"/>
              <w:rPr>
                <w:sz w:val="20"/>
                <w:szCs w:val="20"/>
                <w:color w:val="auto"/>
              </w:rPr>
            </w:pPr>
            <w:r>
              <w:rPr>
                <w:rFonts w:ascii="Arial" w:cs="Arial" w:eastAsia="Arial" w:hAnsi="Arial"/>
                <w:sz w:val="16"/>
                <w:szCs w:val="16"/>
                <w:color w:val="auto"/>
                <w:w w:val="98"/>
              </w:rPr>
              <w:t>Weighted Average</w:t>
            </w:r>
          </w:p>
        </w:tc>
        <w:tc>
          <w:tcPr>
            <w:tcW w:w="0" w:type="dxa"/>
            <w:vAlign w:val="bottom"/>
          </w:tcPr>
          <w:p>
            <w:pPr>
              <w:spacing w:after="0"/>
              <w:rPr>
                <w:sz w:val="1"/>
                <w:szCs w:val="1"/>
                <w:color w:val="auto"/>
              </w:rPr>
            </w:pPr>
          </w:p>
        </w:tc>
      </w:tr>
      <w:tr>
        <w:trPr>
          <w:trHeight w:val="198"/>
        </w:trPr>
        <w:tc>
          <w:tcPr>
            <w:tcW w:w="6860" w:type="dxa"/>
            <w:vAlign w:val="bottom"/>
            <w:gridSpan w:val="2"/>
            <w:vMerge w:val="restart"/>
          </w:tcPr>
          <w:p>
            <w:pPr>
              <w:spacing w:after="0"/>
              <w:rPr>
                <w:sz w:val="20"/>
                <w:szCs w:val="20"/>
                <w:color w:val="auto"/>
              </w:rPr>
            </w:pPr>
            <w:r>
              <w:rPr>
                <w:rFonts w:ascii="Arial" w:cs="Arial" w:eastAsia="Arial" w:hAnsi="Arial"/>
                <w:sz w:val="20"/>
                <w:szCs w:val="20"/>
                <w:color w:val="auto"/>
              </w:rPr>
              <w:t>Total Unvested December 31, 2023</w:t>
            </w:r>
          </w:p>
        </w:tc>
        <w:tc>
          <w:tcPr>
            <w:tcW w:w="1080" w:type="dxa"/>
            <w:vAlign w:val="bottom"/>
          </w:tcPr>
          <w:p>
            <w:pPr>
              <w:jc w:val="right"/>
              <w:ind w:right="203"/>
              <w:spacing w:after="0"/>
              <w:rPr>
                <w:sz w:val="20"/>
                <w:szCs w:val="20"/>
                <w:color w:val="auto"/>
              </w:rPr>
            </w:pPr>
            <w:r>
              <w:rPr>
                <w:rFonts w:ascii="Arial" w:cs="Arial" w:eastAsia="Arial" w:hAnsi="Arial"/>
                <w:sz w:val="16"/>
                <w:szCs w:val="16"/>
                <w:color w:val="auto"/>
              </w:rPr>
              <w:t>Shares</w:t>
            </w:r>
          </w:p>
        </w:tc>
        <w:tc>
          <w:tcPr>
            <w:tcW w:w="200" w:type="dxa"/>
            <w:vAlign w:val="bottom"/>
          </w:tcPr>
          <w:p>
            <w:pPr>
              <w:spacing w:after="0"/>
              <w:rPr>
                <w:sz w:val="17"/>
                <w:szCs w:val="17"/>
                <w:color w:val="auto"/>
              </w:rPr>
            </w:pPr>
          </w:p>
        </w:tc>
        <w:tc>
          <w:tcPr>
            <w:tcW w:w="1580" w:type="dxa"/>
            <w:vAlign w:val="bottom"/>
            <w:gridSpan w:val="3"/>
          </w:tcPr>
          <w:p>
            <w:pPr>
              <w:ind w:left="20"/>
              <w:spacing w:after="0"/>
              <w:rPr>
                <w:sz w:val="20"/>
                <w:szCs w:val="20"/>
                <w:color w:val="auto"/>
              </w:rPr>
            </w:pPr>
            <w:r>
              <w:rPr>
                <w:rFonts w:ascii="Arial" w:cs="Arial" w:eastAsia="Arial" w:hAnsi="Arial"/>
                <w:sz w:val="16"/>
                <w:szCs w:val="16"/>
                <w:color w:val="auto"/>
                <w:w w:val="98"/>
              </w:rPr>
              <w:t>Grant Date Fair Value</w:t>
            </w:r>
          </w:p>
        </w:tc>
        <w:tc>
          <w:tcPr>
            <w:tcW w:w="0" w:type="dxa"/>
            <w:vAlign w:val="bottom"/>
          </w:tcPr>
          <w:p>
            <w:pPr>
              <w:spacing w:after="0"/>
              <w:rPr>
                <w:sz w:val="1"/>
                <w:szCs w:val="1"/>
                <w:color w:val="auto"/>
              </w:rPr>
            </w:pPr>
          </w:p>
        </w:tc>
      </w:tr>
      <w:tr>
        <w:trPr>
          <w:trHeight w:val="201"/>
        </w:trPr>
        <w:tc>
          <w:tcPr>
            <w:tcW w:w="6860" w:type="dxa"/>
            <w:vAlign w:val="bottom"/>
            <w:gridSpan w:val="2"/>
            <w:vMerge w:val="continue"/>
          </w:tcPr>
          <w:p>
            <w:pPr>
              <w:jc w:val="right"/>
              <w:ind w:right="300"/>
              <w:spacing w:after="0" w:line="178" w:lineRule="exact"/>
              <w:rPr>
                <w:sz w:val="20"/>
                <w:szCs w:val="20"/>
                <w:color w:val="auto"/>
              </w:rPr>
            </w:pPr>
            <w:r>
              <w:rPr>
                <w:rFonts w:ascii="Arial" w:cs="Arial" w:eastAsia="Arial" w:hAnsi="Arial"/>
                <w:sz w:val="20"/>
                <w:szCs w:val="20"/>
                <w:color w:val="auto"/>
              </w:rPr>
              <w:t>. . . . . . . . . . . . . . . . . . . . . . . . . . . . . . . . . .</w:t>
            </w: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3,721,471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20"/>
                <w:szCs w:val="20"/>
                <w:color w:val="auto"/>
              </w:rPr>
              <w:t>2.69</w:t>
            </w:r>
          </w:p>
        </w:tc>
        <w:tc>
          <w:tcPr>
            <w:tcW w:w="0" w:type="dxa"/>
            <w:vAlign w:val="bottom"/>
          </w:tcPr>
          <w:p>
            <w:pPr>
              <w:spacing w:after="0"/>
              <w:rPr>
                <w:sz w:val="1"/>
                <w:szCs w:val="1"/>
                <w:color w:val="auto"/>
              </w:rPr>
            </w:pPr>
          </w:p>
        </w:tc>
      </w:tr>
      <w:tr>
        <w:trPr>
          <w:trHeight w:val="230"/>
        </w:trPr>
        <w:tc>
          <w:tcPr>
            <w:tcW w:w="6860" w:type="dxa"/>
            <w:vAlign w:val="bottom"/>
            <w:gridSpan w:val="2"/>
          </w:tcPr>
          <w:p>
            <w:pPr>
              <w:jc w:val="right"/>
              <w:ind w:right="300"/>
              <w:spacing w:after="0"/>
              <w:rPr>
                <w:sz w:val="20"/>
                <w:szCs w:val="20"/>
                <w:color w:val="auto"/>
              </w:rPr>
            </w:pPr>
            <w:r>
              <w:rPr>
                <w:rFonts w:ascii="Arial" w:cs="Arial" w:eastAsia="Arial" w:hAnsi="Arial"/>
                <w:sz w:val="20"/>
                <w:szCs w:val="20"/>
                <w:color w:val="auto"/>
                <w:w w:val="91"/>
              </w:rPr>
              <w:t>Granted . . . . . . . . . . . . . . . . . . . . . . . . . . . . . . . . . . . . . . . . . . . . . . . . . . . . . . . . . .</w:t>
            </w:r>
          </w:p>
        </w:tc>
        <w:tc>
          <w:tcPr>
            <w:tcW w:w="1080" w:type="dxa"/>
            <w:vAlign w:val="bottom"/>
          </w:tcPr>
          <w:p>
            <w:pPr>
              <w:jc w:val="right"/>
              <w:spacing w:after="0"/>
              <w:rPr>
                <w:sz w:val="20"/>
                <w:szCs w:val="20"/>
                <w:color w:val="auto"/>
              </w:rPr>
            </w:pPr>
            <w:r>
              <w:rPr>
                <w:rFonts w:ascii="Arial" w:cs="Arial" w:eastAsia="Arial" w:hAnsi="Arial"/>
                <w:sz w:val="20"/>
                <w:szCs w:val="20"/>
                <w:color w:val="auto"/>
              </w:rPr>
              <w:t>1,001,901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3.40</w:t>
            </w:r>
          </w:p>
        </w:tc>
        <w:tc>
          <w:tcPr>
            <w:tcW w:w="0" w:type="dxa"/>
            <w:vAlign w:val="bottom"/>
          </w:tcPr>
          <w:p>
            <w:pPr>
              <w:spacing w:after="0"/>
              <w:rPr>
                <w:sz w:val="1"/>
                <w:szCs w:val="1"/>
                <w:color w:val="auto"/>
              </w:rPr>
            </w:pPr>
          </w:p>
        </w:tc>
      </w:tr>
      <w:tr>
        <w:trPr>
          <w:trHeight w:val="229"/>
        </w:trPr>
        <w:tc>
          <w:tcPr>
            <w:tcW w:w="6860" w:type="dxa"/>
            <w:vAlign w:val="bottom"/>
            <w:gridSpan w:val="2"/>
          </w:tcPr>
          <w:p>
            <w:pPr>
              <w:jc w:val="right"/>
              <w:ind w:right="300"/>
              <w:spacing w:after="0"/>
              <w:rPr>
                <w:sz w:val="20"/>
                <w:szCs w:val="20"/>
                <w:color w:val="auto"/>
              </w:rPr>
            </w:pPr>
            <w:r>
              <w:rPr>
                <w:rFonts w:ascii="Arial" w:cs="Arial" w:eastAsia="Arial" w:hAnsi="Arial"/>
                <w:sz w:val="20"/>
                <w:szCs w:val="20"/>
                <w:color w:val="auto"/>
                <w:w w:val="91"/>
              </w:rPr>
              <w:t>Forfeited . . . . . . . . . . . . . . . . . . . . . . . . . . . . . . . . . . . . . . . . . . . . . . . . . . . . . . . . .</w:t>
            </w:r>
          </w:p>
        </w:tc>
        <w:tc>
          <w:tcPr>
            <w:tcW w:w="1080" w:type="dxa"/>
            <w:vAlign w:val="bottom"/>
          </w:tcPr>
          <w:p>
            <w:pPr>
              <w:jc w:val="right"/>
              <w:spacing w:after="0"/>
              <w:rPr>
                <w:sz w:val="20"/>
                <w:szCs w:val="20"/>
                <w:color w:val="auto"/>
              </w:rPr>
            </w:pPr>
            <w:r>
              <w:rPr>
                <w:rFonts w:ascii="Arial" w:cs="Arial" w:eastAsia="Arial" w:hAnsi="Arial"/>
                <w:sz w:val="20"/>
                <w:szCs w:val="20"/>
                <w:color w:val="auto"/>
              </w:rPr>
              <w:t>(373,347)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4.11</w:t>
            </w:r>
          </w:p>
        </w:tc>
        <w:tc>
          <w:tcPr>
            <w:tcW w:w="0" w:type="dxa"/>
            <w:vAlign w:val="bottom"/>
          </w:tcPr>
          <w:p>
            <w:pPr>
              <w:spacing w:after="0"/>
              <w:rPr>
                <w:sz w:val="1"/>
                <w:szCs w:val="1"/>
                <w:color w:val="auto"/>
              </w:rPr>
            </w:pPr>
          </w:p>
        </w:tc>
      </w:tr>
      <w:tr>
        <w:trPr>
          <w:trHeight w:val="250"/>
        </w:trPr>
        <w:tc>
          <w:tcPr>
            <w:tcW w:w="6860" w:type="dxa"/>
            <w:vAlign w:val="bottom"/>
            <w:gridSpan w:val="2"/>
          </w:tcPr>
          <w:p>
            <w:pPr>
              <w:jc w:val="right"/>
              <w:ind w:right="300"/>
              <w:spacing w:after="0"/>
              <w:rPr>
                <w:sz w:val="20"/>
                <w:szCs w:val="20"/>
                <w:color w:val="auto"/>
              </w:rPr>
            </w:pPr>
            <w:r>
              <w:rPr>
                <w:rFonts w:ascii="Arial" w:cs="Arial" w:eastAsia="Arial" w:hAnsi="Arial"/>
                <w:sz w:val="20"/>
                <w:szCs w:val="20"/>
                <w:color w:val="auto"/>
                <w:w w:val="91"/>
              </w:rPr>
              <w:t>Vested . . . . . . . . . . . . . . . . . . . . . . . . . . . . . . . . . . . . . . . . . . . . . . . . . . . . . . . . . .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(1,497,116)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1.59</w:t>
            </w:r>
          </w:p>
        </w:tc>
        <w:tc>
          <w:tcPr>
            <w:tcW w:w="0" w:type="dxa"/>
            <w:vAlign w:val="bottom"/>
          </w:tcPr>
          <w:p>
            <w:pPr>
              <w:spacing w:after="0"/>
              <w:rPr>
                <w:sz w:val="1"/>
                <w:szCs w:val="1"/>
                <w:color w:val="auto"/>
              </w:rPr>
            </w:pPr>
          </w:p>
        </w:tc>
      </w:tr>
      <w:tr>
        <w:trPr>
          <w:trHeight w:val="230"/>
        </w:trPr>
        <w:tc>
          <w:tcPr>
            <w:tcW w:w="6840" w:type="dxa"/>
            <w:vAlign w:val="bottom"/>
          </w:tcPr>
          <w:p>
            <w:pPr>
              <w:jc w:val="right"/>
              <w:ind w:right="180"/>
              <w:spacing w:after="0" w:line="221" w:lineRule="exact"/>
              <w:rPr>
                <w:sz w:val="20"/>
                <w:szCs w:val="20"/>
                <w:color w:val="auto"/>
              </w:rPr>
            </w:pPr>
            <w:r>
              <w:rPr>
                <w:rFonts w:ascii="Arial" w:cs="Arial" w:eastAsia="Arial" w:hAnsi="Arial"/>
                <w:sz w:val="20"/>
                <w:szCs w:val="20"/>
                <w:color w:val="auto"/>
                <w:w w:val="94"/>
              </w:rPr>
              <w:t>Total Unvested December 31, 2024 . . . . . . . . . . . . . . . . . . . . . . . . . . . . . . . . . .</w:t>
            </w: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2,852,909</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2.83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auto"/>
        </w:rPr>
        <w:t>As of December 31, 2024, there was $4,331 of total unrecognized compensation expense related to the unvested restricted stock with time-based vesting terms, which is expected to be recognized over a weighted average period of 2.32 years.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Restricted Stock Awards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restricted stock activity as of December 31,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83"/>
              <w:spacing w:after="0" w:line="180" w:lineRule="exact"/>
              <w:rPr>
                <w:sz w:val="20"/>
                <w:szCs w:val="20"/>
                <w:color w:val="auto"/>
              </w:rPr>
            </w:pPr>
            <w:r>
              <w:rPr>
                <w:rFonts w:ascii="Arial" w:cs="Arial" w:eastAsia="Arial" w:hAnsi="Arial"/>
                <w:sz w:val="16"/>
                <w:szCs w:val="16"/>
                <w:color w:val="auto"/>
                <w:w w:val="98"/>
              </w:rPr>
              <w:t>Weighted Average</w:t>
            </w:r>
          </w:p>
        </w:tc>
        <w:tc>
          <w:tcPr>
            <w:tcW w:w="0" w:type="dxa"/>
            <w:vAlign w:val="bottom"/>
          </w:tcPr>
          <w:p>
            <w:pPr>
              <w:spacing w:after="0"/>
              <w:rPr>
                <w:sz w:val="1"/>
                <w:szCs w:val="1"/>
                <w:color w:val="auto"/>
              </w:rPr>
            </w:pPr>
          </w:p>
        </w:tc>
      </w:tr>
      <w:tr>
        <w:trPr>
          <w:trHeight w:val="200"/>
        </w:trPr>
        <w:tc>
          <w:tcPr>
            <w:tcW w:w="6820" w:type="dxa"/>
            <w:vAlign w:val="bottom"/>
            <w:gridSpan w:val="2"/>
            <w:vMerge w:val="restart"/>
          </w:tcPr>
          <w:p>
            <w:pPr>
              <w:spacing w:after="0"/>
              <w:rPr>
                <w:sz w:val="20"/>
                <w:szCs w:val="20"/>
                <w:color w:val="auto"/>
              </w:rPr>
            </w:pPr>
            <w:r>
              <w:rPr>
                <w:rFonts w:ascii="Arial" w:cs="Arial" w:eastAsia="Arial" w:hAnsi="Arial"/>
                <w:sz w:val="20"/>
                <w:szCs w:val="20"/>
                <w:color w:val="auto"/>
              </w:rPr>
              <w:t>Total Unvested December 31, 2023</w:t>
            </w:r>
          </w:p>
        </w:tc>
        <w:tc>
          <w:tcPr>
            <w:tcW w:w="1280" w:type="dxa"/>
            <w:vAlign w:val="bottom"/>
            <w:gridSpan w:val="3"/>
          </w:tcPr>
          <w:p>
            <w:pPr>
              <w:ind w:left="260"/>
              <w:spacing w:after="0"/>
              <w:rPr>
                <w:sz w:val="20"/>
                <w:szCs w:val="20"/>
                <w:color w:val="auto"/>
              </w:rPr>
            </w:pPr>
            <w:r>
              <w:rPr>
                <w:rFonts w:ascii="Arial" w:cs="Arial" w:eastAsia="Arial" w:hAnsi="Arial"/>
                <w:sz w:val="16"/>
                <w:szCs w:val="16"/>
                <w:color w:val="auto"/>
              </w:rPr>
              <w:t>Shares</w:t>
            </w:r>
          </w:p>
        </w:tc>
        <w:tc>
          <w:tcPr>
            <w:tcW w:w="1620" w:type="dxa"/>
            <w:vAlign w:val="bottom"/>
            <w:gridSpan w:val="2"/>
          </w:tcPr>
          <w:p>
            <w:pPr>
              <w:spacing w:after="0"/>
              <w:rPr>
                <w:sz w:val="20"/>
                <w:szCs w:val="20"/>
                <w:color w:val="auto"/>
              </w:rPr>
            </w:pPr>
            <w:r>
              <w:rPr>
                <w:rFonts w:ascii="Arial" w:cs="Arial" w:eastAsia="Arial" w:hAnsi="Arial"/>
                <w:sz w:val="16"/>
                <w:szCs w:val="16"/>
                <w:color w:val="auto"/>
              </w:rPr>
              <w:t>Grant Date Fair Value</w:t>
            </w:r>
          </w:p>
        </w:tc>
        <w:tc>
          <w:tcPr>
            <w:tcW w:w="0" w:type="dxa"/>
            <w:vAlign w:val="bottom"/>
          </w:tcPr>
          <w:p>
            <w:pPr>
              <w:spacing w:after="0"/>
              <w:rPr>
                <w:sz w:val="1"/>
                <w:szCs w:val="1"/>
                <w:color w:val="auto"/>
              </w:rPr>
            </w:pPr>
          </w:p>
        </w:tc>
      </w:tr>
      <w:tr>
        <w:trPr>
          <w:trHeight w:val="200"/>
        </w:trPr>
        <w:tc>
          <w:tcPr>
            <w:tcW w:w="6820" w:type="dxa"/>
            <w:vAlign w:val="bottom"/>
            <w:gridSpan w:val="2"/>
            <w:vMerge w:val="continue"/>
          </w:tcPr>
          <w:p>
            <w:pPr>
              <w:jc w:val="right"/>
              <w:ind w:right="260"/>
              <w:spacing w:after="0" w:line="177" w:lineRule="exact"/>
              <w:rPr>
                <w:sz w:val="20"/>
                <w:szCs w:val="20"/>
                <w:color w:val="auto"/>
              </w:rPr>
            </w:pPr>
            <w:r>
              <w:rPr>
                <w:rFonts w:ascii="Arial" w:cs="Arial" w:eastAsia="Arial" w:hAnsi="Arial"/>
                <w:sz w:val="20"/>
                <w:szCs w:val="20"/>
                <w:color w:val="auto"/>
              </w:rPr>
              <w:t>. . . . . . . . . . . . . . . . . . . . . . . . . . . . . . . . . .</w:t>
            </w:r>
          </w:p>
        </w:tc>
        <w:tc>
          <w:tcPr>
            <w:tcW w:w="11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49,416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200" w:lineRule="exact"/>
              <w:rPr>
                <w:sz w:val="20"/>
                <w:szCs w:val="20"/>
                <w:color w:val="auto"/>
              </w:rPr>
            </w:pPr>
            <w:r>
              <w:rPr>
                <w:rFonts w:ascii="Arial" w:cs="Arial" w:eastAsia="Arial" w:hAnsi="Arial"/>
                <w:sz w:val="20"/>
                <w:szCs w:val="20"/>
                <w:color w:val="auto"/>
                <w:w w:val="89"/>
              </w:rPr>
              <w:t>$</w:t>
            </w:r>
          </w:p>
        </w:tc>
        <w:tc>
          <w:tcPr>
            <w:tcW w:w="15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20"/>
                <w:szCs w:val="20"/>
                <w:color w:val="auto"/>
              </w:rPr>
              <w:t>7.27</w:t>
            </w:r>
          </w:p>
        </w:tc>
        <w:tc>
          <w:tcPr>
            <w:tcW w:w="0" w:type="dxa"/>
            <w:vAlign w:val="bottom"/>
          </w:tcPr>
          <w:p>
            <w:pPr>
              <w:spacing w:after="0"/>
              <w:rPr>
                <w:sz w:val="1"/>
                <w:szCs w:val="1"/>
                <w:color w:val="auto"/>
              </w:rPr>
            </w:pPr>
          </w:p>
        </w:tc>
      </w:tr>
      <w:tr>
        <w:trPr>
          <w:trHeight w:val="232"/>
        </w:trPr>
        <w:tc>
          <w:tcPr>
            <w:tcW w:w="6820" w:type="dxa"/>
            <w:vAlign w:val="bottom"/>
            <w:gridSpan w:val="2"/>
          </w:tcPr>
          <w:p>
            <w:pPr>
              <w:jc w:val="right"/>
              <w:ind w:right="260"/>
              <w:spacing w:after="0"/>
              <w:rPr>
                <w:sz w:val="20"/>
                <w:szCs w:val="20"/>
                <w:color w:val="auto"/>
              </w:rPr>
            </w:pPr>
            <w:r>
              <w:rPr>
                <w:rFonts w:ascii="Arial" w:cs="Arial" w:eastAsia="Arial" w:hAnsi="Arial"/>
                <w:sz w:val="20"/>
                <w:szCs w:val="20"/>
                <w:color w:val="auto"/>
                <w:w w:val="91"/>
              </w:rPr>
              <w:t>Granted . . . . . . . . . . . . . . . . . . . . . . . . . . . . . . . . . . . . . . . . . . . . . . . . . . . . . . . . . .</w:t>
            </w:r>
          </w:p>
        </w:tc>
        <w:tc>
          <w:tcPr>
            <w:tcW w:w="128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6820" w:type="dxa"/>
            <w:vAlign w:val="bottom"/>
            <w:gridSpan w:val="2"/>
          </w:tcPr>
          <w:p>
            <w:pPr>
              <w:jc w:val="right"/>
              <w:ind w:right="260"/>
              <w:spacing w:after="0"/>
              <w:rPr>
                <w:sz w:val="20"/>
                <w:szCs w:val="20"/>
                <w:color w:val="auto"/>
              </w:rPr>
            </w:pPr>
            <w:r>
              <w:rPr>
                <w:rFonts w:ascii="Arial" w:cs="Arial" w:eastAsia="Arial" w:hAnsi="Arial"/>
                <w:sz w:val="20"/>
                <w:szCs w:val="20"/>
                <w:color w:val="auto"/>
                <w:w w:val="91"/>
              </w:rPr>
              <w:t>Forfeited . . . . . . . . . . . . . . . . . . . . . . . . . . . . . . . . . . . . . . . . . . . . . . . . . . . . . . . . .</w:t>
            </w:r>
          </w:p>
        </w:tc>
        <w:tc>
          <w:tcPr>
            <w:tcW w:w="1280" w:type="dxa"/>
            <w:vAlign w:val="bottom"/>
            <w:gridSpan w:val="3"/>
          </w:tcPr>
          <w:p>
            <w:pPr>
              <w:jc w:val="right"/>
              <w:ind w:right="2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2"/>
        </w:trPr>
        <w:tc>
          <w:tcPr>
            <w:tcW w:w="6820" w:type="dxa"/>
            <w:vAlign w:val="bottom"/>
            <w:gridSpan w:val="2"/>
          </w:tcPr>
          <w:p>
            <w:pPr>
              <w:jc w:val="right"/>
              <w:ind w:right="260"/>
              <w:spacing w:after="0"/>
              <w:rPr>
                <w:sz w:val="20"/>
                <w:szCs w:val="20"/>
                <w:color w:val="auto"/>
              </w:rPr>
            </w:pPr>
            <w:r>
              <w:rPr>
                <w:rFonts w:ascii="Arial" w:cs="Arial" w:eastAsia="Arial" w:hAnsi="Arial"/>
                <w:sz w:val="20"/>
                <w:szCs w:val="20"/>
                <w:color w:val="auto"/>
                <w:w w:val="91"/>
              </w:rPr>
              <w:t>Vested . . . . . . . . . . . . . . . . . . . . . . . . . . . . . . . . . . . . . . . . . . . . . . . . . . . . . . . . . . .</w:t>
            </w:r>
          </w:p>
        </w:tc>
        <w:tc>
          <w:tcPr>
            <w:tcW w:w="1260" w:type="dxa"/>
            <w:vAlign w:val="bottom"/>
            <w:gridSpan w:val="2"/>
          </w:tcPr>
          <w:p>
            <w:pPr>
              <w:jc w:val="right"/>
              <w:ind w:right="160"/>
              <w:spacing w:after="0"/>
              <w:rPr>
                <w:sz w:val="20"/>
                <w:szCs w:val="20"/>
                <w:color w:val="auto"/>
              </w:rPr>
            </w:pPr>
            <w:r>
              <w:rPr>
                <w:rFonts w:ascii="Arial" w:cs="Arial" w:eastAsia="Arial" w:hAnsi="Arial"/>
                <w:sz w:val="20"/>
                <w:szCs w:val="20"/>
                <w:color w:val="auto"/>
              </w:rPr>
              <w:t>(24,595)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7.27</w:t>
            </w:r>
          </w:p>
        </w:tc>
        <w:tc>
          <w:tcPr>
            <w:tcW w:w="0" w:type="dxa"/>
            <w:vAlign w:val="bottom"/>
          </w:tcPr>
          <w:p>
            <w:pPr>
              <w:spacing w:after="0"/>
              <w:rPr>
                <w:sz w:val="1"/>
                <w:szCs w:val="1"/>
                <w:color w:val="auto"/>
              </w:rPr>
            </w:pPr>
          </w:p>
        </w:tc>
      </w:tr>
      <w:tr>
        <w:trPr>
          <w:trHeight w:val="231"/>
        </w:trPr>
        <w:tc>
          <w:tcPr>
            <w:tcW w:w="6800" w:type="dxa"/>
            <w:vAlign w:val="bottom"/>
          </w:tcPr>
          <w:p>
            <w:pPr>
              <w:jc w:val="right"/>
              <w:ind w:right="140"/>
              <w:spacing w:after="0" w:line="223" w:lineRule="exact"/>
              <w:rPr>
                <w:sz w:val="20"/>
                <w:szCs w:val="20"/>
                <w:color w:val="auto"/>
              </w:rPr>
            </w:pPr>
            <w:r>
              <w:rPr>
                <w:rFonts w:ascii="Arial" w:cs="Arial" w:eastAsia="Arial" w:hAnsi="Arial"/>
                <w:sz w:val="20"/>
                <w:szCs w:val="20"/>
                <w:color w:val="auto"/>
                <w:w w:val="94"/>
              </w:rPr>
              <w:t>Total Unvested December 31, 2024 . . . . . . . . . . . . . . . . . . . . . . . . . . . . . . . . . .</w:t>
            </w:r>
          </w:p>
        </w:tc>
        <w:tc>
          <w:tcPr>
            <w:tcW w:w="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24,821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w w:val="89"/>
              </w:rPr>
              <w:t>$</w:t>
            </w:r>
          </w:p>
        </w:tc>
        <w:tc>
          <w:tcPr>
            <w:tcW w:w="15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7.27</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color w:val="auto"/>
        </w:rPr>
        <w:t>As of December 30, 2023, there was $311 of total unrecognized compensation expense related to the unvested restricted stock with time-based vesting terms, which is expected to be recognized over a weighted average period of 0.22 years. All restricted stock vests over a four-year period.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Early-Exercise of Unvested Equity Awards</w:t>
      </w:r>
    </w:p>
    <w:p>
      <w:pPr>
        <w:spacing w:after="0" w:line="232"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Certain equity award holders early exercised unvested equity awards. The cash received upon early exercise of options of $ 82 and $640 was recorded as a deposit liability on the Company’s balance sheet as of December 31, 2024 and 2023,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Employee Stock Purchase Plan</w:t>
      </w:r>
    </w:p>
    <w:p>
      <w:pPr>
        <w:spacing w:after="0" w:line="231"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The Employee Stock Purchase Plan was adopted by the board of directors in May 2021, a total of 564,071 shares of common stock were initially reserved for issuance under this plan, which shall be increased, upon approval of the board of directors, on January 1, 2022 and each January 1 thereafter, to the lesser of (i) on percent (1%) of the outstanding shares of common stock on the last day of the immediately preceding fiscal year, or (ii) an amount determined by the board of directors no later than the last day of the immediately preceding fiscal year. For 2022, the ESPP reserved shares were increased under the clause</w:t>
      </w:r>
    </w:p>
    <w:p>
      <w:pPr>
        <w:spacing w:after="0" w:line="3" w:lineRule="exact"/>
        <w:rPr>
          <w:sz w:val="20"/>
          <w:szCs w:val="20"/>
          <w:color w:val="auto"/>
        </w:rPr>
      </w:pPr>
    </w:p>
    <w:p>
      <w:pPr>
        <w:jc w:val="both"/>
        <w:ind w:right="560" w:firstLine="7"/>
        <w:spacing w:after="0" w:line="248" w:lineRule="auto"/>
        <w:tabs>
          <w:tab w:leader="none" w:pos="233" w:val="left"/>
        </w:tabs>
        <w:numPr>
          <w:ilvl w:val="0"/>
          <w:numId w:val="76"/>
        </w:numPr>
        <w:rPr>
          <w:rFonts w:ascii="Arial" w:cs="Arial" w:eastAsia="Arial" w:hAnsi="Arial"/>
          <w:sz w:val="20"/>
          <w:szCs w:val="20"/>
          <w:color w:val="auto"/>
        </w:rPr>
      </w:pPr>
      <w:r>
        <w:rPr>
          <w:rFonts w:ascii="Arial" w:cs="Arial" w:eastAsia="Arial" w:hAnsi="Arial"/>
          <w:sz w:val="20"/>
          <w:szCs w:val="20"/>
          <w:color w:val="auto"/>
        </w:rPr>
        <w:t>by 550,055 shares, effective as of January 1, 2022. For 2023 and 2024, the board waived the annual increase to the shares reserved under the ESPP. As of December 31, 2024, there were 845,312 shares available for issuance, under the ESPP.</w:t>
      </w:r>
    </w:p>
    <w:p>
      <w:pPr>
        <w:sectPr>
          <w:pgSz w:w="11880" w:h="15480" w:orient="portrait"/>
          <w:cols w:equalWidth="0" w:num="1">
            <w:col w:w="9720"/>
          </w:cols>
          <w:pgMar w:left="1080" w:top="1076"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161</w:t>
      </w:r>
    </w:p>
    <w:p>
      <w:pPr>
        <w:sectPr>
          <w:pgSz w:w="11880" w:h="15480" w:orient="portrait"/>
          <w:cols w:equalWidth="0" w:num="1">
            <w:col w:w="9720"/>
          </w:cols>
          <w:pgMar w:left="1080" w:top="1076" w:right="1080" w:bottom="554" w:gutter="0" w:footer="0" w:header="0"/>
          <w:type w:val="continuous"/>
        </w:sectPr>
      </w:pPr>
    </w:p>
    <w:bookmarkStart w:id="161" w:name="page162"/>
    <w:bookmarkEnd w:id="161"/>
    <w:p>
      <w:pPr>
        <w:spacing w:after="0"/>
        <w:rPr>
          <w:sz w:val="20"/>
          <w:szCs w:val="20"/>
          <w:color w:val="auto"/>
        </w:rPr>
      </w:pPr>
      <w:r>
        <w:rPr>
          <w:rFonts w:ascii="Arial" w:cs="Arial" w:eastAsia="Arial" w:hAnsi="Arial"/>
          <w:sz w:val="24"/>
          <w:szCs w:val="24"/>
          <w:color w:val="auto"/>
        </w:rPr>
        <w:t>Note 16—Related party transactions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License and Collaboration Agreements with Shareholder</w:t>
      </w:r>
    </w:p>
    <w:p>
      <w:pPr>
        <w:spacing w:after="0" w:line="239" w:lineRule="exact"/>
        <w:rPr>
          <w:sz w:val="20"/>
          <w:szCs w:val="20"/>
          <w:color w:val="auto"/>
        </w:rPr>
      </w:pPr>
    </w:p>
    <w:p>
      <w:pPr>
        <w:ind w:right="200"/>
        <w:spacing w:after="0" w:line="283" w:lineRule="auto"/>
        <w:rPr>
          <w:sz w:val="20"/>
          <w:szCs w:val="20"/>
          <w:color w:val="auto"/>
        </w:rPr>
      </w:pPr>
      <w:r>
        <w:rPr>
          <w:rFonts w:ascii="Arial" w:cs="Arial" w:eastAsia="Arial" w:hAnsi="Arial"/>
          <w:sz w:val="20"/>
          <w:szCs w:val="20"/>
          <w:color w:val="auto"/>
        </w:rPr>
        <w:t>The Company owns licenses and other contracts with FUJIFILM Cellular Dynamics, Inc. (“FCDI”). FCDI is a shareholder of Century. The acquired licenses and other contracts with FCDI are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FCDI Agreements</w:t>
      </w:r>
    </w:p>
    <w:p>
      <w:pPr>
        <w:spacing w:after="0" w:line="23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Company owns a non-exclusive license agreement with FCDI. The license provides the Company with certain patents and know-how related to the reprogramming of human somatic cells to induce pluripotent stem cells (“iPSCs”) (“Reprogramming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92"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color w:val="auto"/>
        </w:rPr>
        <w:t>The Company also owns an exclusive license agreement with FCDI (“Differentiation Licenses Agreement”). The Differentiation Licenses Agreement provides the Company with patents and know-how related to human iPSC exclusively manufactured by FCDI.</w:t>
      </w:r>
    </w:p>
    <w:p>
      <w:pPr>
        <w:spacing w:after="0" w:line="177"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color w:val="auto"/>
        </w:rPr>
        <w:t>In October 2019, the Company entered into the Collaboration Agreement with FCDI (“Collaboration Agreement”), whereby FCDI provides certain services to the Company to develop and manufacture iPSCs and immune cells derived therefrom. FCDI provides services in accordance with the approved research plan and related research budget. The initial research plan covered the period from October 2019 through March 31, 2022. In July, 2022 the Company amended the Collaboration Agreement to extend the term through September 30, 2025, and in September 2023, the Company amended the Collaboration Agreement in connection with the Autoimmune Licenses (as defined below).</w:t>
      </w:r>
    </w:p>
    <w:p>
      <w:pPr>
        <w:spacing w:after="0" w:line="194" w:lineRule="exact"/>
        <w:rPr>
          <w:sz w:val="20"/>
          <w:szCs w:val="20"/>
          <w:color w:val="auto"/>
        </w:rPr>
      </w:pPr>
    </w:p>
    <w:p>
      <w:pPr>
        <w:jc w:val="both"/>
        <w:ind w:right="940"/>
        <w:spacing w:after="0" w:line="261" w:lineRule="auto"/>
        <w:rPr>
          <w:sz w:val="20"/>
          <w:szCs w:val="20"/>
          <w:color w:val="auto"/>
        </w:rPr>
      </w:pPr>
      <w:r>
        <w:rPr>
          <w:rFonts w:ascii="Arial" w:cs="Arial" w:eastAsia="Arial" w:hAnsi="Arial"/>
          <w:sz w:val="20"/>
          <w:szCs w:val="20"/>
          <w:color w:val="auto"/>
        </w:rPr>
        <w:t>In March 2021, the Company entered into a Manufacturing Agreement with FCDI, (“Manufacturing Agreement”), pursuant to which FCDI will provide certain agreed upon technology transfer, process development, analytical testing and cGMP manufacturing services to the Company.</w:t>
      </w:r>
    </w:p>
    <w:p>
      <w:pPr>
        <w:spacing w:after="0" w:line="180"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In January 2022, the Company and FCDI entered into a letter agreement (the “Letter Agreement”), which amends the Reprogramming Licenses Agreement, Differentiation License Agreement and Manufacturing Agreement (the “FCDI Agreements”) pursuant to the Company’s Research Collaboration and License Agreement with Bristol -Myers Squibb. Pursuant to the Letter Agreement, and in consideration for amending the FCDI Agreements, the Company paid to FCDI an upfront payment of $10,000, and will pay FCDI (i) a percentage of any milestone payments received by the Company under the FCDI Collaboration Agreement in respect of achievement of development or regulatory milestones specific to Japan, and (ii) a percentage of all royalties received by the Company under the FCDI Collaboration Agreement in respect of sales of products in Japan.</w:t>
      </w:r>
    </w:p>
    <w:p>
      <w:pPr>
        <w:spacing w:after="0" w:line="19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 September 2023, the Company and FCDI entered into a worldwide license agreement whereby FCDI will grant non-exclusive licenses to the Company for certain patent rights and know-how related to cell differentiation and reprogramming for the development and commercialization of iPSC-derived therapies for the treatment of inflammatory and autoimmune diseases (the “Autoimmune license”). In addition, the Company and FCDI entered into an amendment to each of the Reprogramming license and the Differentiation License to expand the licenses related to the development and commercialization of IPSC-derived cancer immunotherapeutic to also include inflammatory and autoimmune diseases. Under the terms of these agreements, FCDI will be eligible to receive certain development and regulatory milestone payments as well as low single-digit royalties related to products developed in connection with such agreements. The Company recorded an upfront payment in the amount of $4,000 which is included as In-Process research and development. In addition, Century paid FCDI a $1,000 milestone fee pursuant to the Autoimmune License for filing of the IND for SLE for CNTY-101, which is also included in In-Process research and development in the consolidated statements of operations as of December 31, 2023.</w:t>
      </w:r>
    </w:p>
    <w:p>
      <w:pPr>
        <w:sectPr>
          <w:pgSz w:w="11880" w:h="15480" w:orient="portrait"/>
          <w:cols w:equalWidth="0" w:num="1">
            <w:col w:w="9700"/>
          </w:cols>
          <w:pgMar w:left="1080" w:top="1063" w:right="1100" w:bottom="554"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162</w:t>
      </w:r>
    </w:p>
    <w:p>
      <w:pPr>
        <w:sectPr>
          <w:pgSz w:w="11880" w:h="15480" w:orient="portrait"/>
          <w:cols w:equalWidth="0" w:num="1">
            <w:col w:w="9700"/>
          </w:cols>
          <w:pgMar w:left="1080" w:top="1063" w:right="1100" w:bottom="554" w:gutter="0" w:footer="0" w:header="0"/>
          <w:type w:val="continuous"/>
        </w:sectPr>
      </w:pPr>
    </w:p>
    <w:bookmarkStart w:id="162" w:name="page163"/>
    <w:bookmarkEnd w:id="162"/>
    <w:p>
      <w:pPr>
        <w:jc w:val="both"/>
        <w:ind w:right="180"/>
        <w:spacing w:after="0" w:line="249" w:lineRule="auto"/>
        <w:rPr>
          <w:sz w:val="20"/>
          <w:szCs w:val="20"/>
          <w:color w:val="auto"/>
        </w:rPr>
      </w:pPr>
      <w:r>
        <w:rPr>
          <w:rFonts w:ascii="Arial" w:cs="Arial" w:eastAsia="Arial" w:hAnsi="Arial"/>
          <w:sz w:val="20"/>
          <w:szCs w:val="20"/>
          <w:color w:val="auto"/>
        </w:rPr>
        <w:t>During the years ended December 31, 2024 and 2023, the Company made payments of $7,395 and $5,200 and incurred research and development expenses of $6,322 and $0, in-process research and development expenses of $0 and $5,000 and legal fees of $87 and $200, respectively, related to the FCDI agreements.</w:t>
      </w:r>
    </w:p>
    <w:p>
      <w:pPr>
        <w:ind w:right="380"/>
        <w:spacing w:after="0" w:line="256" w:lineRule="auto"/>
        <w:rPr>
          <w:sz w:val="20"/>
          <w:szCs w:val="20"/>
          <w:color w:val="auto"/>
        </w:rPr>
      </w:pPr>
      <w:r>
        <w:rPr>
          <w:rFonts w:ascii="Arial" w:cs="Arial" w:eastAsia="Arial" w:hAnsi="Arial"/>
          <w:sz w:val="20"/>
          <w:szCs w:val="20"/>
          <w:color w:val="auto"/>
        </w:rPr>
        <w:t>The legal fees are recorded within general and administrative expenses in the consolidated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Bayer Option Agreement</w:t>
      </w:r>
    </w:p>
    <w:p>
      <w:pPr>
        <w:spacing w:after="0" w:line="231"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Bayer Health, LLC (“Bayer”), a shareholder in the Company, has the right of first refusal to acquire certain products researched and developed by the Company. Subject to certain exceptions, Bayer’s right of first refusal is exercisable with respect to up to four products and may only exercise these option rights in a non-sequential and alternating manner, and such rights are subject to additional limitations.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color w:val="auto"/>
        </w:rPr>
        <w:t>Note 17 – Common stock</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At-The-Market</w:t>
      </w:r>
    </w:p>
    <w:p>
      <w:pPr>
        <w:spacing w:after="0" w:line="239"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The Company has a Sales Agreement (“Sales Agreement”), with Cowen and Company, LLC, or (“Cowen”) to provide for the offering, issuance and sale of up to an aggregate amount of $150,000 of common stock from time to time in “at-the-market” offerings (the “ATM Program”) pursuant to its shelf registration statement on Form S-3 (File No. 333-265975) and subject to the limitations thereof. During the year ended December 31, 2024, the Company sold 4,084,502 shares pursuant to the ATM Program for net proceeds of $17,829, after deducting commissions of $551.</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Private Placement Offering</w:t>
      </w:r>
    </w:p>
    <w:p>
      <w:pPr>
        <w:spacing w:after="0" w:line="239"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In April, 2024, the Company entered into a securities purchase agreement (the “Securities Purchase Agreement”) with certain institutional accredited investors (the “Investors”), pursuant to which the Company agreed to issue and sell to the Investors in a private placement an aggregate of 15,873,011 shares of the Company’s common stock (the “Private Placement Shares”), at a price of $3.78 per share (the “Private Placement”).</w:t>
      </w:r>
    </w:p>
    <w:p>
      <w:pPr>
        <w:spacing w:after="0" w:line="193"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The Private Placement closed on April 15, 2024. The Company received aggregate net proceeds from the Private Placement of approximately $56,593, after deducting placement agent fees and offering expenses. The Company intends to use the net proceeds from the private placement to support the expansion of CNTY-101 in autoimmune indications and for working capital and general corporate purposes.</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color w:val="auto"/>
        </w:rPr>
        <w:t>Note 18 – Impairment of long-lived assets and goodwill</w:t>
      </w:r>
    </w:p>
    <w:p>
      <w:pPr>
        <w:spacing w:after="0" w:line="245"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During 2023, the Company made the strategic decision to consolidate multiple existing leased lab facilities in Philadelphia and Seattle. The Company completed an impairment analysis of its right of use assets related to the impacted leases along with the related property and equipment at each facility (the “Asset Groups”). The Company reviewed its long-lived assets for impairment following ASC 360 for Property, Plant, and Equipment. The Company evaluated its long-lived assets for recoverability due to changes in circumstances that indicated that the carrying amounts may not be recoverable.</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Company reviewed each Asset Group for impairment by comparing the carrying values of the assets with their estimated future undiscounted cash flows. An impairment charge was calculated as the difference between asset carrying values and fair value of discounted cash flows. Indicative fair market quotes received are considered level three fair value estimates.</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20"/>
          <w:szCs w:val="20"/>
          <w:color w:val="auto"/>
        </w:rPr>
        <w:t>The Company analyzed each Asset Group for impairment based on fair values calculated as discounted cash flows estimated to be received from the lease assets where applicable. The difference between fair value and</w:t>
      </w:r>
    </w:p>
    <w:p>
      <w:pPr>
        <w:sectPr>
          <w:pgSz w:w="11880" w:h="15480" w:orient="portrait"/>
          <w:cols w:equalWidth="0" w:num="1">
            <w:col w:w="9700"/>
          </w:cols>
          <w:pgMar w:left="1080" w:top="1067"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163</w:t>
      </w:r>
    </w:p>
    <w:p>
      <w:pPr>
        <w:sectPr>
          <w:pgSz w:w="11880" w:h="15480" w:orient="portrait"/>
          <w:cols w:equalWidth="0" w:num="1">
            <w:col w:w="9700"/>
          </w:cols>
          <w:pgMar w:left="1080" w:top="1067" w:right="1100" w:bottom="554" w:gutter="0" w:footer="0" w:header="0"/>
          <w:type w:val="continuous"/>
        </w:sectPr>
      </w:pPr>
    </w:p>
    <w:bookmarkStart w:id="163" w:name="page164"/>
    <w:bookmarkEnd w:id="163"/>
    <w:p>
      <w:pPr>
        <w:ind w:right="600"/>
        <w:spacing w:after="0" w:line="283" w:lineRule="auto"/>
        <w:rPr>
          <w:sz w:val="20"/>
          <w:szCs w:val="20"/>
          <w:color w:val="auto"/>
        </w:rPr>
      </w:pPr>
      <w:r>
        <w:rPr>
          <w:rFonts w:ascii="Arial" w:cs="Arial" w:eastAsia="Arial" w:hAnsi="Arial"/>
          <w:sz w:val="20"/>
          <w:szCs w:val="20"/>
          <w:color w:val="auto"/>
        </w:rPr>
        <w:t>carrying value of the Asset Groups was recognized as an impairment of $16,365 during the year ended December 31, 2023.</w:t>
      </w:r>
    </w:p>
    <w:p>
      <w:pPr>
        <w:spacing w:after="0" w:line="148"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Company performed the required annual impairment test for goodwill during the fourth quarter of 2024. The Company tested goodwill for impairment by comparing the fair value of our single, entity-wide reporting unit to its carrying value. Given the sustained decrease of the Company’s market capitalization through December 31, 2024, the carrying value of the single, entity -wide reporting unit exceeded its fair value, and accordingly, the Company recorded a goodwill impairment charge of $4,327 to write off the goodwill balance.</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Note 19 </w:t>
      </w:r>
      <w:r>
        <w:rPr>
          <w:rFonts w:ascii="Arial" w:cs="Arial" w:eastAsia="Arial" w:hAnsi="Arial"/>
          <w:sz w:val="20"/>
          <w:szCs w:val="20"/>
          <w:color w:val="auto"/>
        </w:rPr>
        <w:t>–</w:t>
      </w:r>
      <w:r>
        <w:rPr>
          <w:rFonts w:ascii="Arial" w:cs="Arial" w:eastAsia="Arial" w:hAnsi="Arial"/>
          <w:sz w:val="24"/>
          <w:szCs w:val="24"/>
          <w:color w:val="auto"/>
        </w:rPr>
        <w:t xml:space="preserve"> Segment Reporting</w:t>
      </w:r>
    </w:p>
    <w:p>
      <w:pPr>
        <w:spacing w:after="0" w:line="234"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Operating segments are identified as components of an enterprise for which separate discrete financial information is available for evaluation by the chief operating decision maker (“CODM”) in making decisions on how to allocate resources and assess performance. The Company views its operations and manages the business as one operating segment. The Company’s CODM is its Chief Executive Officer. The CODM uses research and development expenses, general and administrative expenses, and net loss as measures of profit or loss to assess performance and allocate resources, all of which are presented on the face of the financial statements. The CODM also uses a further breakdown of research and development expenses to assess performance and allocate resources as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00"/>
              <w:spacing w:after="0" w:line="178" w:lineRule="exact"/>
              <w:rPr>
                <w:sz w:val="20"/>
                <w:szCs w:val="20"/>
                <w:color w:val="auto"/>
              </w:rPr>
            </w:pPr>
            <w:r>
              <w:rPr>
                <w:rFonts w:ascii="Arial" w:cs="Arial" w:eastAsia="Arial" w:hAnsi="Arial"/>
                <w:sz w:val="16"/>
                <w:szCs w:val="16"/>
                <w:color w:val="auto"/>
              </w:rPr>
              <w:t>Year Ended</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20"/>
              <w:spacing w:after="0" w:line="178" w:lineRule="exact"/>
              <w:rPr>
                <w:sz w:val="20"/>
                <w:szCs w:val="20"/>
                <w:color w:val="auto"/>
              </w:rPr>
            </w:pPr>
            <w:r>
              <w:rPr>
                <w:rFonts w:ascii="Arial" w:cs="Arial" w:eastAsia="Arial" w:hAnsi="Arial"/>
                <w:sz w:val="16"/>
                <w:szCs w:val="16"/>
                <w:color w:val="auto"/>
              </w:rPr>
              <w:t>Year Ended</w:t>
            </w:r>
          </w:p>
        </w:tc>
        <w:tc>
          <w:tcPr>
            <w:tcW w:w="0" w:type="dxa"/>
            <w:vAlign w:val="bottom"/>
          </w:tcPr>
          <w:p>
            <w:pPr>
              <w:spacing w:after="0"/>
              <w:rPr>
                <w:sz w:val="1"/>
                <w:szCs w:val="1"/>
                <w:color w:val="auto"/>
              </w:rPr>
            </w:pPr>
          </w:p>
        </w:tc>
      </w:tr>
      <w:tr>
        <w:trPr>
          <w:trHeight w:val="200"/>
        </w:trPr>
        <w:tc>
          <w:tcPr>
            <w:tcW w:w="6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Collaboration revenue</w:t>
            </w: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December 31, 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December 31, 2023</w:t>
            </w:r>
          </w:p>
        </w:tc>
        <w:tc>
          <w:tcPr>
            <w:tcW w:w="0" w:type="dxa"/>
            <w:vAlign w:val="bottom"/>
          </w:tcPr>
          <w:p>
            <w:pPr>
              <w:spacing w:after="0"/>
              <w:rPr>
                <w:sz w:val="1"/>
                <w:szCs w:val="1"/>
                <w:color w:val="auto"/>
              </w:rPr>
            </w:pPr>
          </w:p>
        </w:tc>
      </w:tr>
      <w:tr>
        <w:trPr>
          <w:trHeight w:val="159"/>
        </w:trPr>
        <w:tc>
          <w:tcPr>
            <w:tcW w:w="6720" w:type="dxa"/>
            <w:vAlign w:val="bottom"/>
            <w:gridSpan w:val="2"/>
            <w:vMerge w:val="continue"/>
          </w:tcPr>
          <w:p>
            <w:pPr>
              <w:jc w:val="right"/>
              <w:ind w:right="280"/>
              <w:spacing w:after="0" w:line="140" w:lineRule="exact"/>
              <w:rPr>
                <w:sz w:val="20"/>
                <w:szCs w:val="20"/>
                <w:color w:val="auto"/>
              </w:rPr>
            </w:pPr>
            <w:r>
              <w:rPr>
                <w:rFonts w:ascii="Arial" w:cs="Arial" w:eastAsia="Arial" w:hAnsi="Arial"/>
                <w:sz w:val="16"/>
                <w:szCs w:val="16"/>
                <w:color w:val="auto"/>
              </w:rPr>
              <w:t>. . . . . . . . . . . . . . . . . . . . . . . . . . . . . . . . . . . . . . . . . . . . . . . . . . . . .</w:t>
            </w:r>
          </w:p>
        </w:tc>
        <w:tc>
          <w:tcPr>
            <w:tcW w:w="180" w:type="dxa"/>
            <w:vAlign w:val="bottom"/>
          </w:tcPr>
          <w:p>
            <w:pPr>
              <w:spacing w:after="0" w:line="159"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59" w:lineRule="exact"/>
              <w:rPr>
                <w:sz w:val="20"/>
                <w:szCs w:val="20"/>
                <w:color w:val="auto"/>
              </w:rPr>
            </w:pPr>
            <w:r>
              <w:rPr>
                <w:rFonts w:ascii="Arial" w:cs="Arial" w:eastAsia="Arial" w:hAnsi="Arial"/>
                <w:sz w:val="16"/>
                <w:szCs w:val="16"/>
                <w:color w:val="auto"/>
              </w:rPr>
              <w:t>6,589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line="159"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59" w:lineRule="exact"/>
              <w:rPr>
                <w:sz w:val="20"/>
                <w:szCs w:val="20"/>
                <w:color w:val="auto"/>
              </w:rPr>
            </w:pPr>
            <w:r>
              <w:rPr>
                <w:rFonts w:ascii="Arial" w:cs="Arial" w:eastAsia="Arial" w:hAnsi="Arial"/>
                <w:sz w:val="16"/>
                <w:szCs w:val="16"/>
                <w:color w:val="auto"/>
              </w:rPr>
              <w:t>2,235</w:t>
            </w:r>
          </w:p>
        </w:tc>
        <w:tc>
          <w:tcPr>
            <w:tcW w:w="0" w:type="dxa"/>
            <w:vAlign w:val="bottom"/>
          </w:tcPr>
          <w:p>
            <w:pPr>
              <w:spacing w:after="0"/>
              <w:rPr>
                <w:sz w:val="1"/>
                <w:szCs w:val="1"/>
                <w:color w:val="auto"/>
              </w:rPr>
            </w:pPr>
          </w:p>
        </w:tc>
      </w:tr>
      <w:tr>
        <w:trPr>
          <w:trHeight w:val="185"/>
        </w:trPr>
        <w:tc>
          <w:tcPr>
            <w:tcW w:w="6720" w:type="dxa"/>
            <w:vAlign w:val="bottom"/>
            <w:gridSpan w:val="2"/>
          </w:tcPr>
          <w:p>
            <w:pPr>
              <w:spacing w:after="0"/>
              <w:rPr>
                <w:sz w:val="20"/>
                <w:szCs w:val="20"/>
                <w:color w:val="auto"/>
              </w:rPr>
            </w:pPr>
            <w:r>
              <w:rPr>
                <w:rFonts w:ascii="Arial" w:cs="Arial" w:eastAsia="Arial" w:hAnsi="Arial"/>
                <w:sz w:val="16"/>
                <w:szCs w:val="16"/>
                <w:color w:val="auto"/>
              </w:rPr>
              <w:t>Less cost and expense:</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720" w:type="dxa"/>
            <w:vAlign w:val="bottom"/>
            <w:gridSpan w:val="2"/>
          </w:tcPr>
          <w:p>
            <w:pPr>
              <w:ind w:left="1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20" w:type="dxa"/>
            <w:vAlign w:val="bottom"/>
            <w:gridSpan w:val="2"/>
          </w:tcPr>
          <w:p>
            <w:pPr>
              <w:jc w:val="right"/>
              <w:ind w:right="280"/>
              <w:spacing w:after="0"/>
              <w:rPr>
                <w:sz w:val="20"/>
                <w:szCs w:val="20"/>
                <w:color w:val="auto"/>
              </w:rPr>
            </w:pPr>
            <w:r>
              <w:rPr>
                <w:rFonts w:ascii="Arial" w:cs="Arial" w:eastAsia="Arial" w:hAnsi="Arial"/>
                <w:sz w:val="16"/>
                <w:szCs w:val="16"/>
                <w:color w:val="auto"/>
              </w:rPr>
              <w:t>Personnel and related costs . . . . . . . . . . . . . . . . . . . . . . . . . . . . . . . . . . . . . . . . . . . . . . .</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42,398</w:t>
            </w:r>
          </w:p>
        </w:tc>
        <w:tc>
          <w:tcPr>
            <w:tcW w:w="38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41,826</w:t>
            </w:r>
          </w:p>
        </w:tc>
        <w:tc>
          <w:tcPr>
            <w:tcW w:w="0" w:type="dxa"/>
            <w:vAlign w:val="bottom"/>
          </w:tcPr>
          <w:p>
            <w:pPr>
              <w:spacing w:after="0"/>
              <w:rPr>
                <w:sz w:val="1"/>
                <w:szCs w:val="1"/>
                <w:color w:val="auto"/>
              </w:rPr>
            </w:pPr>
          </w:p>
        </w:tc>
      </w:tr>
      <w:tr>
        <w:trPr>
          <w:trHeight w:val="185"/>
        </w:trPr>
        <w:tc>
          <w:tcPr>
            <w:tcW w:w="6720" w:type="dxa"/>
            <w:vAlign w:val="bottom"/>
            <w:gridSpan w:val="2"/>
          </w:tcPr>
          <w:p>
            <w:pPr>
              <w:jc w:val="right"/>
              <w:ind w:right="280"/>
              <w:spacing w:after="0"/>
              <w:rPr>
                <w:sz w:val="20"/>
                <w:szCs w:val="20"/>
                <w:color w:val="auto"/>
              </w:rPr>
            </w:pPr>
            <w:r>
              <w:rPr>
                <w:rFonts w:ascii="Arial" w:cs="Arial" w:eastAsia="Arial" w:hAnsi="Arial"/>
                <w:sz w:val="16"/>
                <w:szCs w:val="16"/>
                <w:color w:val="auto"/>
              </w:rPr>
              <w:t>Facility and other allocated costs . . . . . . . . .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22,485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24,411</w:t>
            </w:r>
          </w:p>
        </w:tc>
        <w:tc>
          <w:tcPr>
            <w:tcW w:w="0" w:type="dxa"/>
            <w:vAlign w:val="bottom"/>
          </w:tcPr>
          <w:p>
            <w:pPr>
              <w:spacing w:after="0"/>
              <w:rPr>
                <w:sz w:val="1"/>
                <w:szCs w:val="1"/>
                <w:color w:val="auto"/>
              </w:rPr>
            </w:pPr>
          </w:p>
        </w:tc>
      </w:tr>
      <w:tr>
        <w:trPr>
          <w:trHeight w:val="184"/>
        </w:trPr>
        <w:tc>
          <w:tcPr>
            <w:tcW w:w="6720" w:type="dxa"/>
            <w:vAlign w:val="bottom"/>
            <w:gridSpan w:val="2"/>
          </w:tcPr>
          <w:p>
            <w:pPr>
              <w:jc w:val="right"/>
              <w:ind w:right="280"/>
              <w:spacing w:after="0"/>
              <w:rPr>
                <w:sz w:val="20"/>
                <w:szCs w:val="20"/>
                <w:color w:val="auto"/>
              </w:rPr>
            </w:pPr>
            <w:r>
              <w:rPr>
                <w:rFonts w:ascii="Arial" w:cs="Arial" w:eastAsia="Arial" w:hAnsi="Arial"/>
                <w:sz w:val="16"/>
                <w:szCs w:val="16"/>
                <w:color w:val="auto"/>
              </w:rPr>
              <w:t>Research and laboratory . . . . . . . . . . . . . . . . . . . . . . . . . . . . . . . . . . . . . . . . . . . . . . . . .</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30,655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23,816</w:t>
            </w:r>
          </w:p>
        </w:tc>
        <w:tc>
          <w:tcPr>
            <w:tcW w:w="0" w:type="dxa"/>
            <w:vAlign w:val="bottom"/>
          </w:tcPr>
          <w:p>
            <w:pPr>
              <w:spacing w:after="0"/>
              <w:rPr>
                <w:sz w:val="1"/>
                <w:szCs w:val="1"/>
                <w:color w:val="auto"/>
              </w:rPr>
            </w:pPr>
          </w:p>
        </w:tc>
      </w:tr>
      <w:tr>
        <w:trPr>
          <w:trHeight w:val="184"/>
        </w:trPr>
        <w:tc>
          <w:tcPr>
            <w:tcW w:w="6720" w:type="dxa"/>
            <w:vAlign w:val="bottom"/>
            <w:gridSpan w:val="2"/>
          </w:tcPr>
          <w:p>
            <w:pPr>
              <w:jc w:val="right"/>
              <w:ind w:right="280"/>
              <w:spacing w:after="0"/>
              <w:rPr>
                <w:sz w:val="20"/>
                <w:szCs w:val="20"/>
                <w:color w:val="auto"/>
              </w:rPr>
            </w:pPr>
            <w:r>
              <w:rPr>
                <w:rFonts w:ascii="Arial" w:cs="Arial" w:eastAsia="Arial" w:hAnsi="Arial"/>
                <w:sz w:val="16"/>
                <w:szCs w:val="16"/>
                <w:color w:val="auto"/>
              </w:rPr>
              <w:t>Other research and development . . . . . . . . . . . . . . . . . . . . . . . . . . . . . . . . . . . . . . . . . . .</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11,706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2,657</w:t>
            </w:r>
          </w:p>
        </w:tc>
        <w:tc>
          <w:tcPr>
            <w:tcW w:w="0" w:type="dxa"/>
            <w:vAlign w:val="bottom"/>
          </w:tcPr>
          <w:p>
            <w:pPr>
              <w:spacing w:after="0"/>
              <w:rPr>
                <w:sz w:val="1"/>
                <w:szCs w:val="1"/>
                <w:color w:val="auto"/>
              </w:rPr>
            </w:pPr>
          </w:p>
        </w:tc>
      </w:tr>
      <w:tr>
        <w:trPr>
          <w:trHeight w:val="185"/>
        </w:trPr>
        <w:tc>
          <w:tcPr>
            <w:tcW w:w="6720" w:type="dxa"/>
            <w:vAlign w:val="bottom"/>
            <w:gridSpan w:val="2"/>
          </w:tcPr>
          <w:p>
            <w:pPr>
              <w:jc w:val="right"/>
              <w:ind w:right="280"/>
              <w:spacing w:after="0"/>
              <w:rPr>
                <w:sz w:val="20"/>
                <w:szCs w:val="20"/>
                <w:color w:val="auto"/>
              </w:rPr>
            </w:pPr>
            <w:r>
              <w:rPr>
                <w:rFonts w:ascii="Arial" w:cs="Arial" w:eastAsia="Arial" w:hAnsi="Arial"/>
                <w:sz w:val="16"/>
                <w:szCs w:val="16"/>
                <w:color w:val="auto"/>
              </w:rPr>
              <w:t>General and administrative . . . . . . . . . . . . . . . . . . . . . . . . . . . . . . . . . . . . . . . . . . . . . . . . .</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33,155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34,706</w:t>
            </w:r>
          </w:p>
        </w:tc>
        <w:tc>
          <w:tcPr>
            <w:tcW w:w="0" w:type="dxa"/>
            <w:vAlign w:val="bottom"/>
          </w:tcPr>
          <w:p>
            <w:pPr>
              <w:spacing w:after="0"/>
              <w:rPr>
                <w:sz w:val="1"/>
                <w:szCs w:val="1"/>
                <w:color w:val="auto"/>
              </w:rPr>
            </w:pPr>
          </w:p>
        </w:tc>
      </w:tr>
      <w:tr>
        <w:trPr>
          <w:trHeight w:val="198"/>
        </w:trPr>
        <w:tc>
          <w:tcPr>
            <w:tcW w:w="6720" w:type="dxa"/>
            <w:vAlign w:val="bottom"/>
            <w:gridSpan w:val="2"/>
          </w:tcPr>
          <w:p>
            <w:pPr>
              <w:jc w:val="right"/>
              <w:ind w:right="280"/>
              <w:spacing w:after="0"/>
              <w:rPr>
                <w:sz w:val="20"/>
                <w:szCs w:val="20"/>
                <w:color w:val="auto"/>
              </w:rPr>
            </w:pPr>
            <w:r>
              <w:rPr>
                <w:rFonts w:ascii="Arial" w:cs="Arial" w:eastAsia="Arial" w:hAnsi="Arial"/>
                <w:sz w:val="16"/>
                <w:szCs w:val="16"/>
                <w:color w:val="auto"/>
              </w:rPr>
              <w:t>Other segment (income)/expense . . . . . . . . . . . . . . . . . . . . . . . . . . . . . . . . . . . . . . . . . . . .</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11,492</w:t>
            </w:r>
          </w:p>
        </w:tc>
        <w:tc>
          <w:tcPr>
            <w:tcW w:w="0" w:type="dxa"/>
            <w:vAlign w:val="bottom"/>
          </w:tcPr>
          <w:p>
            <w:pPr>
              <w:spacing w:after="0"/>
              <w:rPr>
                <w:sz w:val="1"/>
                <w:szCs w:val="1"/>
                <w:color w:val="auto"/>
              </w:rPr>
            </w:pPr>
          </w:p>
        </w:tc>
      </w:tr>
      <w:tr>
        <w:trPr>
          <w:trHeight w:val="184"/>
        </w:trPr>
        <w:tc>
          <w:tcPr>
            <w:tcW w:w="6700" w:type="dxa"/>
            <w:vAlign w:val="bottom"/>
          </w:tcPr>
          <w:p>
            <w:pPr>
              <w:jc w:val="right"/>
              <w:ind w:right="180"/>
              <w:spacing w:after="0" w:line="176" w:lineRule="exact"/>
              <w:rPr>
                <w:sz w:val="20"/>
                <w:szCs w:val="20"/>
                <w:color w:val="auto"/>
              </w:rPr>
            </w:pPr>
            <w:r>
              <w:rPr>
                <w:rFonts w:ascii="Arial" w:cs="Arial" w:eastAsia="Arial" w:hAnsi="Arial"/>
                <w:sz w:val="16"/>
                <w:szCs w:val="16"/>
                <w:color w:val="auto"/>
              </w:rPr>
              <w:t>Net loss . . . . . . . . . . . . . . . . . . . . . . . . . . . . . . . . . . . . . . . . . . . . . . . . . . . . . . . . . . . . . . . . .</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(126,566)</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(136,673)</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Other segment (income)/expense includes in-process research and development, impairment of long-lived assets, impairment of goodwill, interest expense, interest income, other income (expense), and provision for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color w:val="auto"/>
        </w:rPr>
        <w:t>Note 20 – Subsequent Events</w:t>
      </w:r>
    </w:p>
    <w:p>
      <w:pPr>
        <w:spacing w:after="0" w:line="234" w:lineRule="exact"/>
        <w:rPr>
          <w:sz w:val="20"/>
          <w:szCs w:val="20"/>
          <w:color w:val="auto"/>
        </w:rPr>
      </w:pPr>
    </w:p>
    <w:p>
      <w:pPr>
        <w:ind w:right="640"/>
        <w:spacing w:after="0" w:line="262" w:lineRule="auto"/>
        <w:rPr>
          <w:sz w:val="20"/>
          <w:szCs w:val="20"/>
          <w:color w:val="auto"/>
        </w:rPr>
      </w:pPr>
      <w:r>
        <w:rPr>
          <w:rFonts w:ascii="Arial" w:cs="Arial" w:eastAsia="Arial" w:hAnsi="Arial"/>
          <w:sz w:val="20"/>
          <w:szCs w:val="20"/>
          <w:color w:val="auto"/>
        </w:rPr>
        <w:t>On March 12, 2025, the Collaboration Agreement with BMS was officially terminated and the Company recognized $109,164 in collaboration revenue, representing the remaining deferred revenue from the Collaboration Agreement, upon the expiration of the license option rights.</w:t>
      </w:r>
    </w:p>
    <w:p>
      <w:pPr>
        <w:sectPr>
          <w:pgSz w:w="11880" w:h="15480" w:orient="portrait"/>
          <w:cols w:equalWidth="0" w:num="1">
            <w:col w:w="9720"/>
          </w:cols>
          <w:pgMar w:left="1080" w:top="1067"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164</w:t>
      </w:r>
    </w:p>
    <w:p>
      <w:pPr>
        <w:sectPr>
          <w:pgSz w:w="11880" w:h="15480" w:orient="portrait"/>
          <w:cols w:equalWidth="0" w:num="1">
            <w:col w:w="9720"/>
          </w:cols>
          <w:pgMar w:left="1080" w:top="1067" w:right="1080" w:bottom="554" w:gutter="0" w:footer="0" w:header="0"/>
          <w:type w:val="continuous"/>
        </w:sectPr>
      </w:pPr>
    </w:p>
    <w:bookmarkStart w:id="164" w:name="page165"/>
    <w:bookmarkEnd w:id="164"/>
    <w:p>
      <w:pPr>
        <w:ind w:right="1000"/>
        <w:spacing w:after="0" w:line="298" w:lineRule="auto"/>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Disclosure Controls and Procedures</w:t>
      </w:r>
    </w:p>
    <w:p>
      <w:pPr>
        <w:spacing w:after="0" w:line="27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term “disclosure controls and procedures,” as defined in Rules 13a-15(e) and 15d-15(e) of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 -15(b) of the Exchange Act, our management, with the participation of our Chief Executive Officer and interim Principal Financial Officer, evaluated the effectiveness of our disclosure controls and procedures as of the end of the period covered by this Annual Report on Form 10-K. Based on that evaluation, our Chief Executive Officer and our interim Principal Financial Officer concluded that our disclosure controls and procedures were effective as of December 31, 2024.</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consolidated financial statements for external purposes in accordance with GAAP. Because of its inherent limitations,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applicable policies or procedures may deteriorate.</w:t>
      </w:r>
    </w:p>
    <w:p>
      <w:pPr>
        <w:spacing w:after="0" w:line="195"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Management has assessed the effectiveness of our internal control over financial reporting based on the framework set forth by the Committee of Sponsoring Organizations of the Treadway Commission in Internal Control -Integrated Framework (2013). Based on our evaluation, management has concluded that our internal control over financial reporting was effective as of December 31, 2024. Management reviewed the results of this assessment with our audit committee.</w:t>
      </w:r>
    </w:p>
    <w:p>
      <w:pPr>
        <w:spacing w:after="0" w:line="192"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This Annual Report on Form 10-K does not include an attestation report of our independent registered public accounting firm regarding internal control over financial reporting. For as long as we remain an “emerging growth company” as defined in Section 2(a) of the Securities Act, as modified by the Jumpstart Our Business Startups Act of 2012,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43"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auto"/>
        </w:rPr>
        <w:t>There were no changes to our internal control over financial reporting that occurred during our most recent fiscal quarter that has materially affected, or is reasonably likely to materially affect, our internal control over financial reporting.</w:t>
      </w:r>
    </w:p>
    <w:p>
      <w:pPr>
        <w:sectPr>
          <w:pgSz w:w="11880" w:h="15480" w:orient="portrait"/>
          <w:cols w:equalWidth="0" w:num="1">
            <w:col w:w="9720"/>
          </w:cols>
          <w:pgMar w:left="1080" w:top="1063"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165</w:t>
      </w:r>
    </w:p>
    <w:p>
      <w:pPr>
        <w:sectPr>
          <w:pgSz w:w="11880" w:h="15480" w:orient="portrait"/>
          <w:cols w:equalWidth="0" w:num="1">
            <w:col w:w="9720"/>
          </w:cols>
          <w:pgMar w:left="1080" w:top="1063" w:right="1080" w:bottom="554" w:gutter="0" w:footer="0" w:header="0"/>
          <w:type w:val="continuous"/>
        </w:sectPr>
      </w:pPr>
    </w:p>
    <w:bookmarkStart w:id="165" w:name="page166"/>
    <w:bookmarkEnd w:id="165"/>
    <w:p>
      <w:pPr>
        <w:spacing w:after="0"/>
        <w:rPr>
          <w:sz w:val="20"/>
          <w:szCs w:val="20"/>
          <w:color w:val="auto"/>
        </w:rPr>
      </w:pPr>
      <w:r>
        <w:rPr>
          <w:rFonts w:ascii="Arial" w:cs="Arial" w:eastAsia="Arial" w:hAnsi="Arial"/>
          <w:sz w:val="20"/>
          <w:szCs w:val="20"/>
          <w:b w:val="1"/>
          <w:bCs w:val="1"/>
          <w:color w:val="auto"/>
        </w:rPr>
        <w:t>ITEM 9B. OTHER INFORMATION</w:t>
      </w:r>
    </w:p>
    <w:p>
      <w:pPr>
        <w:spacing w:after="0" w:line="243" w:lineRule="exact"/>
        <w:rPr>
          <w:sz w:val="20"/>
          <w:szCs w:val="20"/>
          <w:color w:val="auto"/>
        </w:rPr>
      </w:pPr>
    </w:p>
    <w:p>
      <w:pPr>
        <w:ind w:left="780" w:hanging="413"/>
        <w:spacing w:after="0"/>
        <w:tabs>
          <w:tab w:leader="none" w:pos="7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None.</w:t>
      </w:r>
    </w:p>
    <w:p>
      <w:pPr>
        <w:spacing w:after="0" w:line="240" w:lineRule="exact"/>
        <w:rPr>
          <w:rFonts w:ascii="Arial" w:cs="Arial" w:eastAsia="Arial" w:hAnsi="Arial"/>
          <w:sz w:val="20"/>
          <w:szCs w:val="20"/>
          <w:color w:val="auto"/>
        </w:rPr>
      </w:pPr>
    </w:p>
    <w:p>
      <w:pPr>
        <w:ind w:left="720" w:right="520" w:hanging="353"/>
        <w:spacing w:after="0" w:line="261" w:lineRule="auto"/>
        <w:tabs>
          <w:tab w:leader="none" w:pos="72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following table shows the “Rule 10b5-1 trading arrangements” or “non-Rule 10b5-1 trading arrangements” (as each term is defined in Item 408(a) of Regulation S-K) adopted, amended, or terminated by our directors and officers during the three months ended December 31, 2024:</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Trading Arrangement</w:t>
            </w:r>
          </w:p>
        </w:tc>
        <w:tc>
          <w:tcPr>
            <w:tcW w:w="1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56"/>
        </w:trPr>
        <w:tc>
          <w:tcPr>
            <w:tcW w:w="1480" w:type="dxa"/>
            <w:vAlign w:val="bottom"/>
            <w:tcBorders>
              <w:left w:val="single" w:sz="8" w:color="auto"/>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b w:val="1"/>
                <w:bCs w:val="1"/>
                <w:color w:val="auto"/>
                <w:w w:val="98"/>
              </w:rPr>
              <w:t>Scheduled</w:t>
            </w:r>
          </w:p>
        </w:tc>
        <w:tc>
          <w:tcPr>
            <w:tcW w:w="12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b w:val="1"/>
                <w:bCs w:val="1"/>
                <w:color w:val="auto"/>
              </w:rPr>
              <w:t>Maximum</w:t>
            </w:r>
          </w:p>
        </w:tc>
      </w:tr>
      <w:tr>
        <w:trPr>
          <w:trHeight w:val="184"/>
        </w:trPr>
        <w:tc>
          <w:tcPr>
            <w:tcW w:w="1480" w:type="dxa"/>
            <w:vAlign w:val="bottom"/>
            <w:tcBorders>
              <w:left w:val="single" w:sz="8" w:color="auto"/>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Non-</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Expiration Date of</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Shares Subject</w:t>
            </w:r>
          </w:p>
        </w:tc>
      </w:tr>
      <w:tr>
        <w:trPr>
          <w:trHeight w:val="202"/>
        </w:trPr>
        <w:tc>
          <w:tcPr>
            <w:tcW w:w="148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6"/>
                <w:szCs w:val="16"/>
                <w:b w:val="1"/>
                <w:bCs w:val="1"/>
                <w:color w:val="auto"/>
              </w:rPr>
              <w:t>Name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Action</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Effective Date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Rule 10b5-1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Rule 10b5-1</w:t>
            </w:r>
          </w:p>
        </w:tc>
        <w:tc>
          <w:tcPr>
            <w:tcW w:w="140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6"/>
                <w:szCs w:val="16"/>
                <w:b w:val="1"/>
                <w:bCs w:val="1"/>
                <w:color w:val="auto"/>
                <w:w w:val="97"/>
              </w:rPr>
              <w:t xml:space="preserve">Trading Plan </w:t>
            </w:r>
            <w:r>
              <w:rPr>
                <w:rFonts w:ascii="Arial" w:cs="Arial" w:eastAsia="Arial" w:hAnsi="Arial"/>
                <w:sz w:val="19"/>
                <w:szCs w:val="19"/>
                <w:b w:val="1"/>
                <w:bCs w:val="1"/>
                <w:color w:val="auto"/>
                <w:w w:val="97"/>
                <w:vertAlign w:val="superscript"/>
              </w:rPr>
              <w:t>(1)</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to Trading Plan</w:t>
            </w:r>
          </w:p>
        </w:tc>
      </w:tr>
      <w:tr>
        <w:trPr>
          <w:trHeight w:val="160"/>
        </w:trPr>
        <w:tc>
          <w:tcPr>
            <w:tcW w:w="1480" w:type="dxa"/>
            <w:vAlign w:val="bottom"/>
            <w:tcBorders>
              <w:left w:val="single" w:sz="8" w:color="auto"/>
              <w:right w:val="single" w:sz="8" w:color="auto"/>
            </w:tcBorders>
          </w:tcPr>
          <w:p>
            <w:pPr>
              <w:spacing w:after="0"/>
              <w:rPr>
                <w:sz w:val="13"/>
                <w:szCs w:val="13"/>
                <w:color w:val="auto"/>
              </w:rPr>
            </w:pPr>
          </w:p>
        </w:tc>
        <w:tc>
          <w:tcPr>
            <w:tcW w:w="11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6"/>
                <w:szCs w:val="16"/>
                <w:color w:val="auto"/>
              </w:rPr>
              <w:t>Chief</w:t>
            </w:r>
          </w:p>
        </w:tc>
        <w:tc>
          <w:tcPr>
            <w:tcW w:w="9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r>
      <w:tr>
        <w:trPr>
          <w:trHeight w:val="184"/>
        </w:trPr>
        <w:tc>
          <w:tcPr>
            <w:tcW w:w="1480" w:type="dxa"/>
            <w:vAlign w:val="bottom"/>
            <w:tcBorders>
              <w:left w:val="single" w:sz="8" w:color="auto"/>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Technology and</w:t>
            </w:r>
          </w:p>
        </w:tc>
        <w:tc>
          <w:tcPr>
            <w:tcW w:w="9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r>
      <w:tr>
        <w:trPr>
          <w:trHeight w:val="185"/>
        </w:trPr>
        <w:tc>
          <w:tcPr>
            <w:tcW w:w="148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Manufacturing</w:t>
            </w:r>
          </w:p>
        </w:tc>
        <w:tc>
          <w:tcPr>
            <w:tcW w:w="9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198"/>
        </w:trPr>
        <w:tc>
          <w:tcPr>
            <w:tcW w:w="1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Gregory Russotti . .</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Officer</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Adoption</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December 9, 2024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X</w:t>
            </w:r>
          </w:p>
        </w:tc>
        <w:tc>
          <w:tcPr>
            <w:tcW w:w="106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December 31, 2025</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160,000</w:t>
            </w:r>
          </w:p>
        </w:tc>
      </w:tr>
    </w:tbl>
    <w:p>
      <w:pPr>
        <w:spacing w:after="0" w:line="211" w:lineRule="exact"/>
        <w:rPr>
          <w:sz w:val="20"/>
          <w:szCs w:val="20"/>
          <w:color w:val="auto"/>
        </w:rPr>
      </w:pPr>
    </w:p>
    <w:p>
      <w:pPr>
        <w:ind w:left="360" w:right="40" w:hanging="353"/>
        <w:spacing w:after="0" w:line="261" w:lineRule="auto"/>
        <w:tabs>
          <w:tab w:leader="none" w:pos="361" w:val="left"/>
        </w:tabs>
        <w:numPr>
          <w:ilvl w:val="0"/>
          <w:numId w:val="78"/>
        </w:numPr>
        <w:rPr>
          <w:rFonts w:ascii="Arial" w:cs="Arial" w:eastAsia="Arial" w:hAnsi="Arial"/>
          <w:sz w:val="20"/>
          <w:szCs w:val="20"/>
          <w:color w:val="auto"/>
        </w:rPr>
      </w:pPr>
      <w:r>
        <w:rPr>
          <w:rFonts w:ascii="Arial" w:cs="Arial" w:eastAsia="Arial" w:hAnsi="Arial"/>
          <w:sz w:val="20"/>
          <w:szCs w:val="20"/>
          <w:color w:val="auto"/>
        </w:rPr>
        <w:t>A trading arrangement may expire on an earlier date if all contemplated transactions are completed before such trading arrangement’s expiration date, upon termination by broker or the holder of the trading arrangement, or as otherwise provided in the trading arrangement.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720"/>
          </w:cols>
          <w:pgMar w:left="1080" w:top="1064" w:right="108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166</w:t>
      </w:r>
    </w:p>
    <w:p>
      <w:pPr>
        <w:sectPr>
          <w:pgSz w:w="11880" w:h="15480" w:orient="portrait"/>
          <w:cols w:equalWidth="0" w:num="1">
            <w:col w:w="9720"/>
          </w:cols>
          <w:pgMar w:left="1080" w:top="1064" w:right="1080" w:bottom="554" w:gutter="0" w:footer="0" w:header="0"/>
          <w:type w:val="continuous"/>
        </w:sectPr>
      </w:pPr>
    </w:p>
    <w:bookmarkStart w:id="166" w:name="page167"/>
    <w:bookmarkEnd w:id="166"/>
    <w:p>
      <w:pPr>
        <w:jc w:val="center"/>
        <w:ind w:right="-59"/>
        <w:spacing w:after="0"/>
        <w:rPr>
          <w:sz w:val="20"/>
          <w:szCs w:val="20"/>
          <w:color w:val="auto"/>
        </w:rPr>
      </w:pPr>
      <w:r>
        <w:rPr>
          <w:rFonts w:ascii="Arial" w:cs="Arial" w:eastAsia="Arial" w:hAnsi="Arial"/>
          <w:sz w:val="20"/>
          <w:szCs w:val="20"/>
          <w:b w:val="1"/>
          <w:bCs w:val="1"/>
          <w:color w:val="auto"/>
        </w:rPr>
        <w:t>PART III</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44"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The information required by Item 11 of Form 10-K is incorporated by reference to the information contained in our definitive proxy statement for the 2025 annual meeting of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Insider trading arrangements and policies</w:t>
      </w:r>
    </w:p>
    <w:p>
      <w:pPr>
        <w:spacing w:after="0" w:line="234"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color w:val="auto"/>
        </w:rPr>
        <w:t>We have adopted insider trading policies and procedures governing the purchase, sale, and other dispositions of securities of Century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In addition, with regard to trading in our own securities, it is our policy to comply with the federal securities laws and the applicable exchange listing requirements. The foregoing summary of our insider trading policies and procedures does not purport to be complete and is qualified by reference to our insider trading policy attached hereto as Exhibit 19.1 and incorporated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44"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The information required by Item 11 of Form 10-K is incorporated by reference to the information contained in our definitive proxy statement for the 2025 annual meeting of stockholders.</w:t>
      </w:r>
    </w:p>
    <w:p>
      <w:pPr>
        <w:spacing w:after="0" w:line="145" w:lineRule="exact"/>
        <w:rPr>
          <w:sz w:val="20"/>
          <w:szCs w:val="20"/>
          <w:color w:val="auto"/>
        </w:rPr>
      </w:pPr>
    </w:p>
    <w:p>
      <w:pPr>
        <w:ind w:right="500"/>
        <w:spacing w:after="0" w:line="298"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34"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The information required by Item 12 of Form 10-K is incorporated by reference to the information contained in our definitive proxy statement for the 2025 annual meeting of stockholders.</w:t>
      </w:r>
    </w:p>
    <w:p>
      <w:pPr>
        <w:spacing w:after="0" w:line="146" w:lineRule="exact"/>
        <w:rPr>
          <w:sz w:val="20"/>
          <w:szCs w:val="20"/>
          <w:color w:val="auto"/>
        </w:rPr>
      </w:pPr>
    </w:p>
    <w:p>
      <w:pPr>
        <w:ind w:right="1440"/>
        <w:spacing w:after="0" w:line="298" w:lineRule="auto"/>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32"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The information required by Item 13 of Form 10-K is incorporated by reference to the information contained in our definitive proxy statement for the 2025 annual meeting of stockholders.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44" w:lineRule="exact"/>
        <w:rPr>
          <w:sz w:val="20"/>
          <w:szCs w:val="20"/>
          <w:color w:val="auto"/>
        </w:rPr>
      </w:pPr>
    </w:p>
    <w:p>
      <w:pPr>
        <w:ind w:right="160"/>
        <w:spacing w:after="0" w:line="282" w:lineRule="auto"/>
        <w:rPr>
          <w:sz w:val="20"/>
          <w:szCs w:val="20"/>
          <w:color w:val="auto"/>
        </w:rPr>
      </w:pPr>
      <w:r>
        <w:rPr>
          <w:rFonts w:ascii="Arial" w:cs="Arial" w:eastAsia="Arial" w:hAnsi="Arial"/>
          <w:sz w:val="20"/>
          <w:szCs w:val="20"/>
          <w:color w:val="auto"/>
        </w:rPr>
        <w:t>Our independent public accounting firm is Ernst &amp; Young, LLP, Philadelphia, Pennsylvania, PCAOB Auditor ID:42</w:t>
      </w:r>
    </w:p>
    <w:p>
      <w:pPr>
        <w:spacing w:after="0" w:line="150"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The information required by Item 14 of Form 10-K is incorporated by reference to the information contained in our definitive proxy statement for the 2025 annual meeting of stockholders.</w:t>
      </w:r>
    </w:p>
    <w:p>
      <w:pPr>
        <w:sectPr>
          <w:pgSz w:w="11880" w:h="15480" w:orient="portrait"/>
          <w:cols w:equalWidth="0" w:num="1">
            <w:col w:w="9660"/>
          </w:cols>
          <w:pgMar w:left="1080" w:top="1064" w:right="114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167</w:t>
      </w:r>
    </w:p>
    <w:p>
      <w:pPr>
        <w:sectPr>
          <w:pgSz w:w="11880" w:h="15480" w:orient="portrait"/>
          <w:cols w:equalWidth="0" w:num="1">
            <w:col w:w="9660"/>
          </w:cols>
          <w:pgMar w:left="1080" w:top="1064" w:right="1140" w:bottom="554" w:gutter="0" w:footer="0" w:header="0"/>
          <w:type w:val="continuous"/>
        </w:sectPr>
      </w:pPr>
    </w:p>
    <w:bookmarkStart w:id="167" w:name="page168"/>
    <w:bookmarkEnd w:id="167"/>
    <w:p>
      <w:pPr>
        <w:jc w:val="center"/>
        <w:ind w:right="-199"/>
        <w:spacing w:after="0"/>
        <w:rPr>
          <w:sz w:val="20"/>
          <w:szCs w:val="20"/>
          <w:color w:val="auto"/>
        </w:rPr>
      </w:pPr>
      <w:r>
        <w:rPr>
          <w:rFonts w:ascii="Arial" w:cs="Arial" w:eastAsia="Arial" w:hAnsi="Arial"/>
          <w:sz w:val="20"/>
          <w:szCs w:val="20"/>
          <w:b w:val="1"/>
          <w:bCs w:val="1"/>
          <w:color w:val="auto"/>
        </w:rPr>
        <w:t>PART IV</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(a)(1) Financial Statements</w:t>
      </w:r>
    </w:p>
    <w:p>
      <w:pPr>
        <w:spacing w:after="0" w:line="240" w:lineRule="exact"/>
        <w:rPr>
          <w:sz w:val="20"/>
          <w:szCs w:val="20"/>
          <w:color w:val="auto"/>
        </w:rPr>
      </w:pPr>
    </w:p>
    <w:p>
      <w:pPr>
        <w:ind w:right="1800"/>
        <w:spacing w:after="0" w:line="490" w:lineRule="auto"/>
        <w:rPr>
          <w:sz w:val="20"/>
          <w:szCs w:val="20"/>
          <w:color w:val="auto"/>
        </w:rPr>
      </w:pPr>
      <w:r>
        <w:rPr>
          <w:rFonts w:ascii="Arial" w:cs="Arial" w:eastAsia="Arial" w:hAnsi="Arial"/>
          <w:sz w:val="20"/>
          <w:szCs w:val="20"/>
          <w:color w:val="auto"/>
        </w:rPr>
        <w:t>See Index to the Consolidated Financial Statements on page F-1 of this Annual Report. (a)(2) Financial Statement Schedules</w:t>
      </w:r>
    </w:p>
    <w:p>
      <w:pPr>
        <w:ind w:right="160"/>
        <w:spacing w:after="0" w:line="283" w:lineRule="auto"/>
        <w:rPr>
          <w:sz w:val="20"/>
          <w:szCs w:val="20"/>
          <w:color w:val="auto"/>
        </w:rPr>
      </w:pPr>
      <w:r>
        <w:rPr>
          <w:rFonts w:ascii="Arial" w:cs="Arial" w:eastAsia="Arial" w:hAnsi="Arial"/>
          <w:sz w:val="20"/>
          <w:szCs w:val="20"/>
          <w:color w:val="auto"/>
        </w:rPr>
        <w:t>None, as all information required in these schedules is included in the Notes to the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(a)(3); (b) Exhibits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exhibits are filed as part of this Annual Report on Form 10-K:</w:t>
      </w:r>
    </w:p>
    <w:p>
      <w:pPr>
        <w:sectPr>
          <w:pgSz w:w="11880" w:h="15480" w:orient="portrait"/>
          <w:cols w:equalWidth="0" w:num="1">
            <w:col w:w="9520"/>
          </w:cols>
          <w:pgMar w:left="1080" w:top="1064" w:right="1280" w:bottom="554" w:gutter="0" w:footer="0" w:header="0"/>
        </w:sectPr>
      </w:pP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6985</wp:posOffset>
                </wp:positionV>
                <wp:extent cx="74295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295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55pt" to="58.85pt,0.55pt" o:allowincell="f" strokecolor="#000000" strokeweight="0.4799pt"/>
            </w:pict>
          </mc:Fallback>
        </mc:AlternateContent>
      </w:r>
    </w:p>
    <w:p>
      <w:pPr>
        <w:ind w:left="380"/>
        <w:spacing w:after="0" w:line="333" w:lineRule="exact"/>
        <w:rPr>
          <w:sz w:val="20"/>
          <w:szCs w:val="20"/>
          <w:color w:val="auto"/>
        </w:rPr>
      </w:pPr>
      <w:r>
        <w:rPr>
          <w:rFonts w:ascii="Arial" w:cs="Arial" w:eastAsia="Arial" w:hAnsi="Arial"/>
          <w:sz w:val="18"/>
          <w:szCs w:val="18"/>
          <w:color w:val="auto"/>
        </w:rPr>
        <w:t>2.1†</w:t>
      </w:r>
      <w:r>
        <w:rPr>
          <w:rFonts w:ascii="Arial Unicode MS" w:cs="Arial Unicode MS" w:eastAsia="Arial Unicode MS" w:hAnsi="Arial Unicode MS"/>
          <w:sz w:val="25"/>
          <w:szCs w:val="25"/>
          <w:b w:val="1"/>
          <w:bCs w:val="1"/>
          <w:color w:val="auto"/>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16510</wp:posOffset>
                </wp:positionV>
                <wp:extent cx="522795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279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3pt" to="411.6pt,1.3pt" o:allowincell="f" strokecolor="#000000" strokeweight="0.4799pt"/>
            </w:pict>
          </mc:Fallback>
        </mc:AlternateConten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Agreement and Plan Merger, dated April 11, 2024, by and among the Company and the other parties thereto (incorporated by reference to Exhibit 2.1 of the Company’s Current Report on Form 8-K (File No. 001-40498) filed on April 11, 2024).</w:t>
      </w:r>
    </w:p>
    <w:p>
      <w:pPr>
        <w:spacing w:after="0" w:line="35" w:lineRule="exact"/>
        <w:rPr>
          <w:sz w:val="20"/>
          <w:szCs w:val="20"/>
          <w:color w:val="auto"/>
        </w:rPr>
      </w:pPr>
    </w:p>
    <w:p>
      <w:pPr>
        <w:sectPr>
          <w:pgSz w:w="11880" w:h="15480" w:orient="portrait"/>
          <w:cols w:equalWidth="0" w:num="2">
            <w:col w:w="940" w:space="540"/>
            <w:col w:w="8040"/>
          </w:cols>
          <w:pgMar w:left="1080" w:top="1064" w:right="1280" w:bottom="554" w:gutter="0" w:footer="0" w:header="0"/>
          <w:type w:val="continuous"/>
        </w:sectPr>
      </w:pPr>
    </w:p>
    <w:tbl>
      <w:tblPr>
        <w:tblLayout w:type="fixed"/>
        <w:tblInd w:w="360" w:type="dxa"/>
        <w:tblCellMar>
          <w:top w:w="0" w:type="dxa"/>
          <w:left w:w="0" w:type="dxa"/>
          <w:bottom w:w="0" w:type="dxa"/>
          <w:right w:w="0" w:type="dxa"/>
        </w:tblCellMar>
      </w:tblPr>
      <w:tr>
        <w:trPr>
          <w:trHeight w:val="209"/>
        </w:trPr>
        <w:tc>
          <w:tcPr>
            <w:tcW w:w="780" w:type="dxa"/>
            <w:vAlign w:val="bottom"/>
          </w:tcPr>
          <w:p>
            <w:pPr>
              <w:jc w:val="center"/>
              <w:ind w:right="230"/>
              <w:spacing w:after="0"/>
              <w:rPr>
                <w:sz w:val="20"/>
                <w:szCs w:val="20"/>
                <w:color w:val="auto"/>
              </w:rPr>
            </w:pPr>
            <w:r>
              <w:rPr>
                <w:rFonts w:ascii="Arial" w:cs="Arial" w:eastAsia="Arial" w:hAnsi="Arial"/>
                <w:sz w:val="18"/>
                <w:szCs w:val="18"/>
                <w:color w:val="auto"/>
              </w:rPr>
              <w:t>3.2</w:t>
            </w:r>
          </w:p>
        </w:tc>
        <w:tc>
          <w:tcPr>
            <w:tcW w:w="8340" w:type="dxa"/>
            <w:vAlign w:val="bottom"/>
          </w:tcPr>
          <w:p>
            <w:pPr>
              <w:ind w:left="340"/>
              <w:spacing w:after="0"/>
              <w:rPr>
                <w:sz w:val="20"/>
                <w:szCs w:val="20"/>
                <w:color w:val="auto"/>
              </w:rPr>
            </w:pPr>
            <w:r>
              <w:rPr>
                <w:rFonts w:ascii="Arial" w:cs="Arial" w:eastAsia="Arial" w:hAnsi="Arial"/>
                <w:sz w:val="18"/>
                <w:szCs w:val="18"/>
                <w:color w:val="auto"/>
              </w:rPr>
              <w:t>Second Amended and Restated Bylaws (incorporated by reference to Exhibit 3.2 of the Company’s</w:t>
            </w:r>
          </w:p>
        </w:tc>
      </w:tr>
      <w:tr>
        <w:trPr>
          <w:trHeight w:val="245"/>
        </w:trPr>
        <w:tc>
          <w:tcPr>
            <w:tcW w:w="780" w:type="dxa"/>
            <w:vAlign w:val="bottom"/>
          </w:tcPr>
          <w:p>
            <w:pPr>
              <w:spacing w:after="0"/>
              <w:rPr>
                <w:sz w:val="21"/>
                <w:szCs w:val="21"/>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Annual Report on Form 10-K (File No. 001-40498) filed on March 16, 2023)</w:t>
            </w:r>
          </w:p>
        </w:tc>
      </w:tr>
      <w:tr>
        <w:trPr>
          <w:trHeight w:val="249"/>
        </w:trPr>
        <w:tc>
          <w:tcPr>
            <w:tcW w:w="780" w:type="dxa"/>
            <w:vAlign w:val="bottom"/>
          </w:tcPr>
          <w:p>
            <w:pPr>
              <w:jc w:val="center"/>
              <w:ind w:right="230"/>
              <w:spacing w:after="0"/>
              <w:rPr>
                <w:sz w:val="20"/>
                <w:szCs w:val="20"/>
                <w:color w:val="auto"/>
              </w:rPr>
            </w:pPr>
            <w:r>
              <w:rPr>
                <w:rFonts w:ascii="Arial" w:cs="Arial" w:eastAsia="Arial" w:hAnsi="Arial"/>
                <w:sz w:val="18"/>
                <w:szCs w:val="18"/>
                <w:color w:val="auto"/>
              </w:rPr>
              <w:t>4.1</w:t>
            </w:r>
          </w:p>
        </w:tc>
        <w:tc>
          <w:tcPr>
            <w:tcW w:w="8340" w:type="dxa"/>
            <w:vAlign w:val="bottom"/>
          </w:tcPr>
          <w:p>
            <w:pPr>
              <w:ind w:left="340"/>
              <w:spacing w:after="0"/>
              <w:rPr>
                <w:sz w:val="20"/>
                <w:szCs w:val="20"/>
                <w:color w:val="auto"/>
              </w:rPr>
            </w:pPr>
            <w:r>
              <w:rPr>
                <w:rFonts w:ascii="Arial" w:cs="Arial" w:eastAsia="Arial" w:hAnsi="Arial"/>
                <w:sz w:val="18"/>
                <w:szCs w:val="18"/>
                <w:color w:val="auto"/>
              </w:rPr>
              <w:t>Specimen Common Stock Certificate of Registrant (incorporated by reference to Exhibit 4.1 to the</w:t>
            </w:r>
          </w:p>
        </w:tc>
      </w:tr>
      <w:tr>
        <w:trPr>
          <w:trHeight w:val="245"/>
        </w:trPr>
        <w:tc>
          <w:tcPr>
            <w:tcW w:w="780" w:type="dxa"/>
            <w:vAlign w:val="bottom"/>
          </w:tcPr>
          <w:p>
            <w:pPr>
              <w:spacing w:after="0"/>
              <w:rPr>
                <w:sz w:val="21"/>
                <w:szCs w:val="21"/>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Company’s Registration Statement on Form S-1/A (File No. 333-256648), dated June 14, 2021)</w:t>
            </w:r>
          </w:p>
        </w:tc>
      </w:tr>
      <w:tr>
        <w:trPr>
          <w:trHeight w:val="247"/>
        </w:trPr>
        <w:tc>
          <w:tcPr>
            <w:tcW w:w="780" w:type="dxa"/>
            <w:vAlign w:val="bottom"/>
          </w:tcPr>
          <w:p>
            <w:pPr>
              <w:jc w:val="center"/>
              <w:ind w:right="230"/>
              <w:spacing w:after="0"/>
              <w:rPr>
                <w:sz w:val="20"/>
                <w:szCs w:val="20"/>
                <w:color w:val="auto"/>
              </w:rPr>
            </w:pPr>
            <w:r>
              <w:rPr>
                <w:rFonts w:ascii="Arial" w:cs="Arial" w:eastAsia="Arial" w:hAnsi="Arial"/>
                <w:sz w:val="18"/>
                <w:szCs w:val="18"/>
                <w:color w:val="auto"/>
              </w:rPr>
              <w:t>4.2</w:t>
            </w:r>
          </w:p>
        </w:tc>
        <w:tc>
          <w:tcPr>
            <w:tcW w:w="8340" w:type="dxa"/>
            <w:vAlign w:val="bottom"/>
          </w:tcPr>
          <w:p>
            <w:pPr>
              <w:ind w:left="340"/>
              <w:spacing w:after="0"/>
              <w:rPr>
                <w:sz w:val="20"/>
                <w:szCs w:val="20"/>
                <w:color w:val="auto"/>
              </w:rPr>
            </w:pPr>
            <w:r>
              <w:rPr>
                <w:rFonts w:ascii="Arial" w:cs="Arial" w:eastAsia="Arial" w:hAnsi="Arial"/>
                <w:sz w:val="18"/>
                <w:szCs w:val="18"/>
                <w:color w:val="auto"/>
              </w:rPr>
              <w:t>Description of the Registrant’s Securities Registered Pursuant to Section 12 of the Securities</w:t>
            </w:r>
          </w:p>
        </w:tc>
      </w:tr>
      <w:tr>
        <w:trPr>
          <w:trHeight w:val="209"/>
        </w:trPr>
        <w:tc>
          <w:tcPr>
            <w:tcW w:w="78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Exchange Act of 1934 (incorporated by reference to Exhibit 4.2 to the Company’s Annual Report on</w:t>
            </w:r>
          </w:p>
        </w:tc>
      </w:tr>
      <w:tr>
        <w:trPr>
          <w:trHeight w:val="245"/>
        </w:trPr>
        <w:tc>
          <w:tcPr>
            <w:tcW w:w="780" w:type="dxa"/>
            <w:vAlign w:val="bottom"/>
          </w:tcPr>
          <w:p>
            <w:pPr>
              <w:spacing w:after="0"/>
              <w:rPr>
                <w:sz w:val="21"/>
                <w:szCs w:val="21"/>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Form 10-K (File No. 001-40498), dated March 17, 2022)</w:t>
            </w:r>
          </w:p>
        </w:tc>
      </w:tr>
      <w:tr>
        <w:trPr>
          <w:trHeight w:val="247"/>
        </w:trPr>
        <w:tc>
          <w:tcPr>
            <w:tcW w:w="780" w:type="dxa"/>
            <w:vAlign w:val="bottom"/>
          </w:tcPr>
          <w:p>
            <w:pPr>
              <w:jc w:val="center"/>
              <w:ind w:right="230"/>
              <w:spacing w:after="0"/>
              <w:rPr>
                <w:sz w:val="20"/>
                <w:szCs w:val="20"/>
                <w:color w:val="auto"/>
              </w:rPr>
            </w:pPr>
            <w:r>
              <w:rPr>
                <w:rFonts w:ascii="Arial" w:cs="Arial" w:eastAsia="Arial" w:hAnsi="Arial"/>
                <w:sz w:val="18"/>
                <w:szCs w:val="18"/>
                <w:color w:val="auto"/>
              </w:rPr>
              <w:t>4.4</w:t>
            </w:r>
          </w:p>
        </w:tc>
        <w:tc>
          <w:tcPr>
            <w:tcW w:w="8340" w:type="dxa"/>
            <w:vAlign w:val="bottom"/>
          </w:tcPr>
          <w:p>
            <w:pPr>
              <w:ind w:left="340"/>
              <w:spacing w:after="0"/>
              <w:rPr>
                <w:sz w:val="20"/>
                <w:szCs w:val="20"/>
                <w:color w:val="auto"/>
              </w:rPr>
            </w:pPr>
            <w:r>
              <w:rPr>
                <w:rFonts w:ascii="Arial" w:cs="Arial" w:eastAsia="Arial" w:hAnsi="Arial"/>
                <w:sz w:val="18"/>
                <w:szCs w:val="18"/>
                <w:color w:val="auto"/>
              </w:rPr>
              <w:t>Warrant to Purchase Units of Century Therapeutics, LLC, in favor of Hercules Technology</w:t>
            </w:r>
          </w:p>
        </w:tc>
      </w:tr>
      <w:tr>
        <w:trPr>
          <w:trHeight w:val="209"/>
        </w:trPr>
        <w:tc>
          <w:tcPr>
            <w:tcW w:w="78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Management Co II, Inc., dated September 14, 2020 (incorporated by reference to Exhibit 4.3 to the</w:t>
            </w:r>
          </w:p>
        </w:tc>
      </w:tr>
      <w:tr>
        <w:trPr>
          <w:trHeight w:val="245"/>
        </w:trPr>
        <w:tc>
          <w:tcPr>
            <w:tcW w:w="780" w:type="dxa"/>
            <w:vAlign w:val="bottom"/>
          </w:tcPr>
          <w:p>
            <w:pPr>
              <w:spacing w:after="0"/>
              <w:rPr>
                <w:sz w:val="21"/>
                <w:szCs w:val="21"/>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Company’s Registration Statement on Form S-1 (File No. 333-256648), dated May 28, 2021)</w:t>
            </w:r>
          </w:p>
        </w:tc>
      </w:tr>
      <w:tr>
        <w:trPr>
          <w:trHeight w:val="262"/>
        </w:trPr>
        <w:tc>
          <w:tcPr>
            <w:tcW w:w="780" w:type="dxa"/>
            <w:vAlign w:val="bottom"/>
          </w:tcPr>
          <w:p>
            <w:pPr>
              <w:jc w:val="center"/>
              <w:ind w:right="230"/>
              <w:spacing w:after="0"/>
              <w:rPr>
                <w:sz w:val="20"/>
                <w:szCs w:val="20"/>
                <w:color w:val="auto"/>
              </w:rPr>
            </w:pPr>
            <w:r>
              <w:rPr>
                <w:rFonts w:ascii="Arial" w:cs="Arial" w:eastAsia="Arial" w:hAnsi="Arial"/>
                <w:sz w:val="18"/>
                <w:szCs w:val="18"/>
                <w:color w:val="auto"/>
              </w:rPr>
              <w:t>10.1</w:t>
            </w:r>
            <w:r>
              <w:rPr>
                <w:rFonts w:ascii="Arial" w:cs="Arial" w:eastAsia="Arial" w:hAnsi="Arial"/>
                <w:sz w:val="20"/>
                <w:szCs w:val="20"/>
                <w:color w:val="auto"/>
              </w:rPr>
              <w:t>•</w:t>
            </w:r>
          </w:p>
        </w:tc>
        <w:tc>
          <w:tcPr>
            <w:tcW w:w="8340" w:type="dxa"/>
            <w:vAlign w:val="bottom"/>
          </w:tcPr>
          <w:p>
            <w:pPr>
              <w:ind w:left="340"/>
              <w:spacing w:after="0"/>
              <w:rPr>
                <w:sz w:val="20"/>
                <w:szCs w:val="20"/>
                <w:color w:val="auto"/>
              </w:rPr>
            </w:pPr>
            <w:r>
              <w:rPr>
                <w:rFonts w:ascii="Arial" w:cs="Arial" w:eastAsia="Arial" w:hAnsi="Arial"/>
                <w:sz w:val="18"/>
                <w:szCs w:val="18"/>
                <w:color w:val="auto"/>
              </w:rPr>
              <w:t>Form of Indemnification Agreement by and between the Registrant and its individual directors and</w:t>
            </w:r>
          </w:p>
        </w:tc>
      </w:tr>
      <w:tr>
        <w:trPr>
          <w:trHeight w:val="195"/>
        </w:trPr>
        <w:tc>
          <w:tcPr>
            <w:tcW w:w="780" w:type="dxa"/>
            <w:vAlign w:val="bottom"/>
          </w:tcPr>
          <w:p>
            <w:pPr>
              <w:spacing w:after="0"/>
              <w:rPr>
                <w:sz w:val="16"/>
                <w:szCs w:val="16"/>
                <w:color w:val="auto"/>
              </w:rPr>
            </w:pPr>
          </w:p>
        </w:tc>
        <w:tc>
          <w:tcPr>
            <w:tcW w:w="8340" w:type="dxa"/>
            <w:vAlign w:val="bottom"/>
          </w:tcPr>
          <w:p>
            <w:pPr>
              <w:ind w:left="340"/>
              <w:spacing w:after="0" w:line="195" w:lineRule="exact"/>
              <w:rPr>
                <w:sz w:val="20"/>
                <w:szCs w:val="20"/>
                <w:color w:val="auto"/>
              </w:rPr>
            </w:pPr>
            <w:r>
              <w:rPr>
                <w:rFonts w:ascii="Arial" w:cs="Arial" w:eastAsia="Arial" w:hAnsi="Arial"/>
                <w:sz w:val="18"/>
                <w:szCs w:val="18"/>
                <w:color w:val="auto"/>
              </w:rPr>
              <w:t>officers (incorporated by reference to Exhibit 10.1 to the Company’s Registration Statement on</w:t>
            </w:r>
          </w:p>
        </w:tc>
      </w:tr>
      <w:tr>
        <w:trPr>
          <w:trHeight w:val="245"/>
        </w:trPr>
        <w:tc>
          <w:tcPr>
            <w:tcW w:w="780" w:type="dxa"/>
            <w:vAlign w:val="bottom"/>
          </w:tcPr>
          <w:p>
            <w:pPr>
              <w:spacing w:after="0"/>
              <w:rPr>
                <w:sz w:val="21"/>
                <w:szCs w:val="21"/>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Form S-1 (File No. 333-256648), dated May 28, 2021)</w:t>
            </w:r>
          </w:p>
        </w:tc>
      </w:tr>
      <w:tr>
        <w:trPr>
          <w:trHeight w:val="261"/>
        </w:trPr>
        <w:tc>
          <w:tcPr>
            <w:tcW w:w="780" w:type="dxa"/>
            <w:vAlign w:val="bottom"/>
          </w:tcPr>
          <w:p>
            <w:pPr>
              <w:jc w:val="center"/>
              <w:ind w:right="230"/>
              <w:spacing w:after="0"/>
              <w:rPr>
                <w:sz w:val="20"/>
                <w:szCs w:val="20"/>
                <w:color w:val="auto"/>
              </w:rPr>
            </w:pPr>
            <w:r>
              <w:rPr>
                <w:rFonts w:ascii="Arial" w:cs="Arial" w:eastAsia="Arial" w:hAnsi="Arial"/>
                <w:sz w:val="18"/>
                <w:szCs w:val="18"/>
                <w:color w:val="auto"/>
              </w:rPr>
              <w:t>10.2</w:t>
            </w:r>
            <w:r>
              <w:rPr>
                <w:rFonts w:ascii="Arial" w:cs="Arial" w:eastAsia="Arial" w:hAnsi="Arial"/>
                <w:sz w:val="20"/>
                <w:szCs w:val="20"/>
                <w:color w:val="auto"/>
              </w:rPr>
              <w:t>•</w:t>
            </w:r>
          </w:p>
        </w:tc>
        <w:tc>
          <w:tcPr>
            <w:tcW w:w="8340" w:type="dxa"/>
            <w:vAlign w:val="bottom"/>
          </w:tcPr>
          <w:p>
            <w:pPr>
              <w:ind w:left="340"/>
              <w:spacing w:after="0"/>
              <w:rPr>
                <w:sz w:val="20"/>
                <w:szCs w:val="20"/>
                <w:color w:val="auto"/>
              </w:rPr>
            </w:pPr>
            <w:r>
              <w:rPr>
                <w:rFonts w:ascii="Arial" w:cs="Arial" w:eastAsia="Arial" w:hAnsi="Arial"/>
                <w:sz w:val="18"/>
                <w:szCs w:val="18"/>
                <w:color w:val="auto"/>
              </w:rPr>
              <w:t>2018 Stock Option and Grant Plan (incorporated by reference to Exhibit 10.2 to the Company’s</w:t>
            </w:r>
          </w:p>
        </w:tc>
      </w:tr>
      <w:tr>
        <w:trPr>
          <w:trHeight w:val="245"/>
        </w:trPr>
        <w:tc>
          <w:tcPr>
            <w:tcW w:w="780" w:type="dxa"/>
            <w:vAlign w:val="bottom"/>
          </w:tcPr>
          <w:p>
            <w:pPr>
              <w:spacing w:after="0"/>
              <w:rPr>
                <w:sz w:val="21"/>
                <w:szCs w:val="21"/>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Registration Statement on Form S-1 (File No. 333-256648), dated May 28, 2021)</w:t>
            </w:r>
          </w:p>
        </w:tc>
      </w:tr>
      <w:tr>
        <w:trPr>
          <w:trHeight w:val="250"/>
        </w:trPr>
        <w:tc>
          <w:tcPr>
            <w:tcW w:w="780" w:type="dxa"/>
            <w:vAlign w:val="bottom"/>
          </w:tcPr>
          <w:p>
            <w:pPr>
              <w:jc w:val="center"/>
              <w:ind w:right="230"/>
              <w:spacing w:after="0"/>
              <w:rPr>
                <w:sz w:val="20"/>
                <w:szCs w:val="20"/>
                <w:color w:val="auto"/>
              </w:rPr>
            </w:pPr>
            <w:r>
              <w:rPr>
                <w:rFonts w:ascii="Arial" w:cs="Arial" w:eastAsia="Arial" w:hAnsi="Arial"/>
                <w:sz w:val="18"/>
                <w:szCs w:val="18"/>
                <w:color w:val="auto"/>
              </w:rPr>
              <w:t>10.3</w:t>
            </w:r>
            <w:r>
              <w:rPr>
                <w:rFonts w:ascii="Arial" w:cs="Arial" w:eastAsia="Arial" w:hAnsi="Arial"/>
                <w:sz w:val="20"/>
                <w:szCs w:val="20"/>
                <w:color w:val="auto"/>
              </w:rPr>
              <w:t>•</w:t>
            </w:r>
          </w:p>
        </w:tc>
        <w:tc>
          <w:tcPr>
            <w:tcW w:w="8340" w:type="dxa"/>
            <w:vAlign w:val="bottom"/>
          </w:tcPr>
          <w:p>
            <w:pPr>
              <w:ind w:left="340"/>
              <w:spacing w:after="0"/>
              <w:rPr>
                <w:sz w:val="20"/>
                <w:szCs w:val="20"/>
                <w:color w:val="auto"/>
              </w:rPr>
            </w:pPr>
            <w:r>
              <w:rPr>
                <w:rFonts w:ascii="Arial" w:cs="Arial" w:eastAsia="Arial" w:hAnsi="Arial"/>
                <w:sz w:val="18"/>
                <w:szCs w:val="18"/>
                <w:color w:val="auto"/>
                <w:w w:val="99"/>
              </w:rPr>
              <w:t>Amendment No. 1 to 2018 Stock Option and Grant Plan (incorporated by reference to Exhibit 10.3 to</w:t>
            </w:r>
          </w:p>
        </w:tc>
      </w:tr>
      <w:tr>
        <w:trPr>
          <w:trHeight w:val="245"/>
        </w:trPr>
        <w:tc>
          <w:tcPr>
            <w:tcW w:w="780" w:type="dxa"/>
            <w:vAlign w:val="bottom"/>
          </w:tcPr>
          <w:p>
            <w:pPr>
              <w:spacing w:after="0"/>
              <w:rPr>
                <w:sz w:val="21"/>
                <w:szCs w:val="21"/>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the Company’s Registration Statement on Form S-1 (File No. 333-256648), dated May 28, 2021)</w:t>
            </w:r>
          </w:p>
        </w:tc>
      </w:tr>
      <w:tr>
        <w:trPr>
          <w:trHeight w:val="248"/>
        </w:trPr>
        <w:tc>
          <w:tcPr>
            <w:tcW w:w="780" w:type="dxa"/>
            <w:vAlign w:val="bottom"/>
          </w:tcPr>
          <w:p>
            <w:pPr>
              <w:jc w:val="center"/>
              <w:ind w:right="230"/>
              <w:spacing w:after="0"/>
              <w:rPr>
                <w:sz w:val="20"/>
                <w:szCs w:val="20"/>
                <w:color w:val="auto"/>
              </w:rPr>
            </w:pPr>
            <w:r>
              <w:rPr>
                <w:rFonts w:ascii="Arial" w:cs="Arial" w:eastAsia="Arial" w:hAnsi="Arial"/>
                <w:sz w:val="18"/>
                <w:szCs w:val="18"/>
                <w:color w:val="auto"/>
              </w:rPr>
              <w:t>10.4</w:t>
            </w:r>
            <w:r>
              <w:rPr>
                <w:rFonts w:ascii="Arial" w:cs="Arial" w:eastAsia="Arial" w:hAnsi="Arial"/>
                <w:sz w:val="20"/>
                <w:szCs w:val="20"/>
                <w:color w:val="auto"/>
              </w:rPr>
              <w:t>•</w:t>
            </w:r>
          </w:p>
        </w:tc>
        <w:tc>
          <w:tcPr>
            <w:tcW w:w="8340" w:type="dxa"/>
            <w:vAlign w:val="bottom"/>
          </w:tcPr>
          <w:p>
            <w:pPr>
              <w:ind w:left="340"/>
              <w:spacing w:after="0"/>
              <w:rPr>
                <w:sz w:val="20"/>
                <w:szCs w:val="20"/>
                <w:color w:val="auto"/>
              </w:rPr>
            </w:pPr>
            <w:r>
              <w:rPr>
                <w:rFonts w:ascii="Arial" w:cs="Arial" w:eastAsia="Arial" w:hAnsi="Arial"/>
                <w:sz w:val="18"/>
                <w:szCs w:val="18"/>
                <w:color w:val="auto"/>
                <w:w w:val="99"/>
              </w:rPr>
              <w:t>Amendment No. 2 to 2018 Stock Option and Grant Plan (incorporated by reference to Exhibit 10.4 to</w:t>
            </w:r>
          </w:p>
        </w:tc>
      </w:tr>
      <w:tr>
        <w:trPr>
          <w:trHeight w:val="245"/>
        </w:trPr>
        <w:tc>
          <w:tcPr>
            <w:tcW w:w="780" w:type="dxa"/>
            <w:vAlign w:val="bottom"/>
          </w:tcPr>
          <w:p>
            <w:pPr>
              <w:spacing w:after="0"/>
              <w:rPr>
                <w:sz w:val="21"/>
                <w:szCs w:val="21"/>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the Company’s Registration Statement on Form S-1 (File No. 333-256648), dated May 28, 2021)</w:t>
            </w:r>
          </w:p>
        </w:tc>
      </w:tr>
      <w:tr>
        <w:trPr>
          <w:trHeight w:val="250"/>
        </w:trPr>
        <w:tc>
          <w:tcPr>
            <w:tcW w:w="780" w:type="dxa"/>
            <w:vAlign w:val="bottom"/>
          </w:tcPr>
          <w:p>
            <w:pPr>
              <w:jc w:val="center"/>
              <w:ind w:right="230"/>
              <w:spacing w:after="0"/>
              <w:rPr>
                <w:sz w:val="20"/>
                <w:szCs w:val="20"/>
                <w:color w:val="auto"/>
              </w:rPr>
            </w:pPr>
            <w:r>
              <w:rPr>
                <w:rFonts w:ascii="Arial" w:cs="Arial" w:eastAsia="Arial" w:hAnsi="Arial"/>
                <w:sz w:val="18"/>
                <w:szCs w:val="18"/>
                <w:color w:val="auto"/>
              </w:rPr>
              <w:t>10.5</w:t>
            </w:r>
            <w:r>
              <w:rPr>
                <w:rFonts w:ascii="Arial" w:cs="Arial" w:eastAsia="Arial" w:hAnsi="Arial"/>
                <w:sz w:val="20"/>
                <w:szCs w:val="20"/>
                <w:color w:val="auto"/>
              </w:rPr>
              <w:t>•</w:t>
            </w:r>
          </w:p>
        </w:tc>
        <w:tc>
          <w:tcPr>
            <w:tcW w:w="8340" w:type="dxa"/>
            <w:vAlign w:val="bottom"/>
          </w:tcPr>
          <w:p>
            <w:pPr>
              <w:ind w:left="340"/>
              <w:spacing w:after="0"/>
              <w:rPr>
                <w:sz w:val="20"/>
                <w:szCs w:val="20"/>
                <w:color w:val="auto"/>
              </w:rPr>
            </w:pPr>
            <w:r>
              <w:rPr>
                <w:rFonts w:ascii="Arial" w:cs="Arial" w:eastAsia="Arial" w:hAnsi="Arial"/>
                <w:sz w:val="18"/>
                <w:szCs w:val="18"/>
                <w:color w:val="auto"/>
                <w:w w:val="99"/>
              </w:rPr>
              <w:t>Amendment No. 3 to 2018 Stock Option and Grant Plan (incorporated by reference to Exhibit 10.5 to</w:t>
            </w:r>
          </w:p>
        </w:tc>
      </w:tr>
      <w:tr>
        <w:trPr>
          <w:trHeight w:val="245"/>
        </w:trPr>
        <w:tc>
          <w:tcPr>
            <w:tcW w:w="780" w:type="dxa"/>
            <w:vAlign w:val="bottom"/>
          </w:tcPr>
          <w:p>
            <w:pPr>
              <w:spacing w:after="0"/>
              <w:rPr>
                <w:sz w:val="21"/>
                <w:szCs w:val="21"/>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the Company’s Registration Statement on Form S-1 (File No. 333-256648), dated May 28, 2021)</w:t>
            </w:r>
          </w:p>
        </w:tc>
      </w:tr>
      <w:tr>
        <w:trPr>
          <w:trHeight w:val="250"/>
        </w:trPr>
        <w:tc>
          <w:tcPr>
            <w:tcW w:w="780" w:type="dxa"/>
            <w:vAlign w:val="bottom"/>
          </w:tcPr>
          <w:p>
            <w:pPr>
              <w:jc w:val="center"/>
              <w:ind w:right="230"/>
              <w:spacing w:after="0"/>
              <w:rPr>
                <w:sz w:val="20"/>
                <w:szCs w:val="20"/>
                <w:color w:val="auto"/>
              </w:rPr>
            </w:pPr>
            <w:r>
              <w:rPr>
                <w:rFonts w:ascii="Arial" w:cs="Arial" w:eastAsia="Arial" w:hAnsi="Arial"/>
                <w:sz w:val="18"/>
                <w:szCs w:val="18"/>
                <w:color w:val="auto"/>
              </w:rPr>
              <w:t>10.6</w:t>
            </w:r>
            <w:r>
              <w:rPr>
                <w:rFonts w:ascii="Arial" w:cs="Arial" w:eastAsia="Arial" w:hAnsi="Arial"/>
                <w:sz w:val="20"/>
                <w:szCs w:val="20"/>
                <w:color w:val="auto"/>
              </w:rPr>
              <w:t>•</w:t>
            </w:r>
          </w:p>
        </w:tc>
        <w:tc>
          <w:tcPr>
            <w:tcW w:w="8340" w:type="dxa"/>
            <w:vAlign w:val="bottom"/>
          </w:tcPr>
          <w:p>
            <w:pPr>
              <w:ind w:left="340"/>
              <w:spacing w:after="0"/>
              <w:rPr>
                <w:sz w:val="20"/>
                <w:szCs w:val="20"/>
                <w:color w:val="auto"/>
              </w:rPr>
            </w:pPr>
            <w:r>
              <w:rPr>
                <w:rFonts w:ascii="Arial" w:cs="Arial" w:eastAsia="Arial" w:hAnsi="Arial"/>
                <w:sz w:val="18"/>
                <w:szCs w:val="18"/>
                <w:color w:val="auto"/>
                <w:w w:val="99"/>
              </w:rPr>
              <w:t>Amendment No. 4 to 2018 Stock Option and Grant Plan (incorporated by reference to Exhibit 10.6 to</w:t>
            </w:r>
          </w:p>
        </w:tc>
      </w:tr>
      <w:tr>
        <w:trPr>
          <w:trHeight w:val="245"/>
        </w:trPr>
        <w:tc>
          <w:tcPr>
            <w:tcW w:w="780" w:type="dxa"/>
            <w:vAlign w:val="bottom"/>
          </w:tcPr>
          <w:p>
            <w:pPr>
              <w:spacing w:after="0"/>
              <w:rPr>
                <w:sz w:val="21"/>
                <w:szCs w:val="21"/>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the Company’s Registration Statement on Form S-1 (File No. 333-256648), dated May 28, 2021)</w:t>
            </w:r>
          </w:p>
        </w:tc>
      </w:tr>
      <w:tr>
        <w:trPr>
          <w:trHeight w:val="248"/>
        </w:trPr>
        <w:tc>
          <w:tcPr>
            <w:tcW w:w="780" w:type="dxa"/>
            <w:vAlign w:val="bottom"/>
          </w:tcPr>
          <w:p>
            <w:pPr>
              <w:jc w:val="center"/>
              <w:ind w:right="230"/>
              <w:spacing w:after="0"/>
              <w:rPr>
                <w:sz w:val="20"/>
                <w:szCs w:val="20"/>
                <w:color w:val="auto"/>
              </w:rPr>
            </w:pPr>
            <w:r>
              <w:rPr>
                <w:rFonts w:ascii="Arial" w:cs="Arial" w:eastAsia="Arial" w:hAnsi="Arial"/>
                <w:sz w:val="18"/>
                <w:szCs w:val="18"/>
                <w:color w:val="auto"/>
              </w:rPr>
              <w:t>10.7</w:t>
            </w:r>
            <w:r>
              <w:rPr>
                <w:rFonts w:ascii="Arial" w:cs="Arial" w:eastAsia="Arial" w:hAnsi="Arial"/>
                <w:sz w:val="20"/>
                <w:szCs w:val="20"/>
                <w:color w:val="auto"/>
              </w:rPr>
              <w:t>•</w:t>
            </w:r>
          </w:p>
        </w:tc>
        <w:tc>
          <w:tcPr>
            <w:tcW w:w="8340" w:type="dxa"/>
            <w:vAlign w:val="bottom"/>
          </w:tcPr>
          <w:p>
            <w:pPr>
              <w:ind w:left="340"/>
              <w:spacing w:after="0"/>
              <w:rPr>
                <w:sz w:val="20"/>
                <w:szCs w:val="20"/>
                <w:color w:val="auto"/>
              </w:rPr>
            </w:pPr>
            <w:r>
              <w:rPr>
                <w:rFonts w:ascii="Arial" w:cs="Arial" w:eastAsia="Arial" w:hAnsi="Arial"/>
                <w:sz w:val="18"/>
                <w:szCs w:val="18"/>
                <w:color w:val="auto"/>
                <w:w w:val="99"/>
              </w:rPr>
              <w:t>Amendment No. 5 to 2018 Stock Option and Grant Plan (incorporated by reference to Exhibit 10.7 to</w:t>
            </w:r>
          </w:p>
        </w:tc>
      </w:tr>
      <w:tr>
        <w:trPr>
          <w:trHeight w:val="245"/>
        </w:trPr>
        <w:tc>
          <w:tcPr>
            <w:tcW w:w="780" w:type="dxa"/>
            <w:vAlign w:val="bottom"/>
          </w:tcPr>
          <w:p>
            <w:pPr>
              <w:spacing w:after="0"/>
              <w:rPr>
                <w:sz w:val="21"/>
                <w:szCs w:val="21"/>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the Company’s Registration Statement on Form S-1 (File No. 333-256648), dated May 28, 2021)</w:t>
            </w:r>
          </w:p>
        </w:tc>
      </w:tr>
      <w:tr>
        <w:trPr>
          <w:trHeight w:val="250"/>
        </w:trPr>
        <w:tc>
          <w:tcPr>
            <w:tcW w:w="780" w:type="dxa"/>
            <w:vAlign w:val="bottom"/>
          </w:tcPr>
          <w:p>
            <w:pPr>
              <w:jc w:val="center"/>
              <w:ind w:right="230"/>
              <w:spacing w:after="0"/>
              <w:rPr>
                <w:sz w:val="20"/>
                <w:szCs w:val="20"/>
                <w:color w:val="auto"/>
              </w:rPr>
            </w:pPr>
            <w:r>
              <w:rPr>
                <w:rFonts w:ascii="Arial" w:cs="Arial" w:eastAsia="Arial" w:hAnsi="Arial"/>
                <w:sz w:val="18"/>
                <w:szCs w:val="18"/>
                <w:color w:val="auto"/>
              </w:rPr>
              <w:t>10.8</w:t>
            </w:r>
            <w:r>
              <w:rPr>
                <w:rFonts w:ascii="Arial" w:cs="Arial" w:eastAsia="Arial" w:hAnsi="Arial"/>
                <w:sz w:val="20"/>
                <w:szCs w:val="20"/>
                <w:color w:val="auto"/>
              </w:rPr>
              <w:t>•</w:t>
            </w:r>
          </w:p>
        </w:tc>
        <w:tc>
          <w:tcPr>
            <w:tcW w:w="8340" w:type="dxa"/>
            <w:vAlign w:val="bottom"/>
          </w:tcPr>
          <w:p>
            <w:pPr>
              <w:ind w:left="340"/>
              <w:spacing w:after="0"/>
              <w:rPr>
                <w:sz w:val="20"/>
                <w:szCs w:val="20"/>
                <w:color w:val="auto"/>
              </w:rPr>
            </w:pPr>
            <w:r>
              <w:rPr>
                <w:rFonts w:ascii="Arial" w:cs="Arial" w:eastAsia="Arial" w:hAnsi="Arial"/>
                <w:sz w:val="18"/>
                <w:szCs w:val="18"/>
                <w:color w:val="auto"/>
              </w:rPr>
              <w:t>2021 Equity Incentive Plan (incorporated by reference to Exhibit 10.8 to the Company’s Registration</w:t>
            </w:r>
          </w:p>
        </w:tc>
      </w:tr>
      <w:tr>
        <w:trPr>
          <w:trHeight w:val="245"/>
        </w:trPr>
        <w:tc>
          <w:tcPr>
            <w:tcW w:w="780" w:type="dxa"/>
            <w:vAlign w:val="bottom"/>
          </w:tcPr>
          <w:p>
            <w:pPr>
              <w:spacing w:after="0"/>
              <w:rPr>
                <w:sz w:val="21"/>
                <w:szCs w:val="21"/>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Statement on Form S-1/A (File No. 333-256648), dated June 14, 2021)</w:t>
            </w:r>
          </w:p>
        </w:tc>
      </w:tr>
      <w:tr>
        <w:trPr>
          <w:trHeight w:val="250"/>
        </w:trPr>
        <w:tc>
          <w:tcPr>
            <w:tcW w:w="780" w:type="dxa"/>
            <w:vAlign w:val="bottom"/>
          </w:tcPr>
          <w:p>
            <w:pPr>
              <w:jc w:val="center"/>
              <w:ind w:right="230"/>
              <w:spacing w:after="0"/>
              <w:rPr>
                <w:sz w:val="20"/>
                <w:szCs w:val="20"/>
                <w:color w:val="auto"/>
              </w:rPr>
            </w:pPr>
            <w:r>
              <w:rPr>
                <w:rFonts w:ascii="Arial" w:cs="Arial" w:eastAsia="Arial" w:hAnsi="Arial"/>
                <w:sz w:val="18"/>
                <w:szCs w:val="18"/>
                <w:color w:val="auto"/>
              </w:rPr>
              <w:t>10.9</w:t>
            </w:r>
            <w:r>
              <w:rPr>
                <w:rFonts w:ascii="Arial" w:cs="Arial" w:eastAsia="Arial" w:hAnsi="Arial"/>
                <w:sz w:val="20"/>
                <w:szCs w:val="20"/>
                <w:color w:val="auto"/>
              </w:rPr>
              <w:t>•</w:t>
            </w:r>
          </w:p>
        </w:tc>
        <w:tc>
          <w:tcPr>
            <w:tcW w:w="8340" w:type="dxa"/>
            <w:vAlign w:val="bottom"/>
          </w:tcPr>
          <w:p>
            <w:pPr>
              <w:ind w:left="340"/>
              <w:spacing w:after="0"/>
              <w:rPr>
                <w:sz w:val="20"/>
                <w:szCs w:val="20"/>
                <w:color w:val="auto"/>
              </w:rPr>
            </w:pPr>
            <w:r>
              <w:rPr>
                <w:rFonts w:ascii="Arial" w:cs="Arial" w:eastAsia="Arial" w:hAnsi="Arial"/>
                <w:sz w:val="18"/>
                <w:szCs w:val="18"/>
                <w:color w:val="auto"/>
              </w:rPr>
              <w:t>2021 Employee Stock Purchase Plan (incorporated by reference to Exhibit 10.9 to the Company’s</w:t>
            </w:r>
          </w:p>
        </w:tc>
      </w:tr>
      <w:tr>
        <w:trPr>
          <w:trHeight w:val="245"/>
        </w:trPr>
        <w:tc>
          <w:tcPr>
            <w:tcW w:w="780" w:type="dxa"/>
            <w:vAlign w:val="bottom"/>
          </w:tcPr>
          <w:p>
            <w:pPr>
              <w:spacing w:after="0"/>
              <w:rPr>
                <w:sz w:val="21"/>
                <w:szCs w:val="21"/>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Registration Statement on Form S-1/A (File No. 333-256648), dated June 14, 2021)</w:t>
            </w:r>
          </w:p>
        </w:tc>
      </w:tr>
    </w:tbl>
    <w:p>
      <w:pPr>
        <w:spacing w:after="0" w:line="200" w:lineRule="exact"/>
        <w:rPr>
          <w:sz w:val="20"/>
          <w:szCs w:val="20"/>
          <w:color w:val="auto"/>
        </w:rPr>
      </w:pPr>
    </w:p>
    <w:p>
      <w:pPr>
        <w:sectPr>
          <w:pgSz w:w="11880" w:h="15480" w:orient="portrait"/>
          <w:cols w:equalWidth="0" w:num="1">
            <w:col w:w="9520"/>
          </w:cols>
          <w:pgMar w:left="1080" w:top="1064" w:right="1280" w:bottom="55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168</w:t>
      </w:r>
    </w:p>
    <w:p>
      <w:pPr>
        <w:sectPr>
          <w:pgSz w:w="11880" w:h="15480" w:orient="portrait"/>
          <w:cols w:equalWidth="0" w:num="1">
            <w:col w:w="9520"/>
          </w:cols>
          <w:pgMar w:left="1080" w:top="1064" w:right="1280" w:bottom="554" w:gutter="0" w:footer="0" w:header="0"/>
          <w:type w:val="continuous"/>
        </w:sectPr>
      </w:pPr>
    </w:p>
    <w:bookmarkStart w:id="168" w:name="page169"/>
    <w:bookmarkEnd w:id="168"/>
    <w:tbl>
      <w:tblPr>
        <w:tblLayout w:type="fixed"/>
        <w:tblInd w:w="0" w:type="dxa"/>
        <w:tblCellMar>
          <w:top w:w="0" w:type="dxa"/>
          <w:left w:w="0" w:type="dxa"/>
          <w:bottom w:w="0" w:type="dxa"/>
          <w:right w:w="0" w:type="dxa"/>
        </w:tblCellMar>
      </w:tblPr>
      <w:tr>
        <w:trPr>
          <w:trHeight w:val="230"/>
        </w:trPr>
        <w:tc>
          <w:tcPr>
            <w:tcW w:w="860" w:type="dxa"/>
            <w:vAlign w:val="bottom"/>
          </w:tcPr>
          <w:p>
            <w:pPr>
              <w:jc w:val="center"/>
              <w:ind w:right="230"/>
              <w:spacing w:after="0"/>
              <w:rPr>
                <w:sz w:val="20"/>
                <w:szCs w:val="20"/>
                <w:color w:val="auto"/>
              </w:rPr>
            </w:pPr>
            <w:r>
              <w:rPr>
                <w:rFonts w:ascii="Arial" w:cs="Arial" w:eastAsia="Arial" w:hAnsi="Arial"/>
                <w:sz w:val="18"/>
                <w:szCs w:val="18"/>
                <w:color w:val="auto"/>
              </w:rPr>
              <w:t>10.10</w:t>
            </w:r>
            <w:r>
              <w:rPr>
                <w:rFonts w:ascii="Arial" w:cs="Arial" w:eastAsia="Arial" w:hAnsi="Arial"/>
                <w:sz w:val="20"/>
                <w:szCs w:val="20"/>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Form of Restricted Stock Award Agreement, under the 2018 Stock Option and Grant Plan</w:t>
            </w:r>
          </w:p>
        </w:tc>
      </w:tr>
      <w:tr>
        <w:trPr>
          <w:trHeight w:val="195"/>
        </w:trPr>
        <w:tc>
          <w:tcPr>
            <w:tcW w:w="860" w:type="dxa"/>
            <w:vAlign w:val="bottom"/>
          </w:tcPr>
          <w:p>
            <w:pPr>
              <w:spacing w:after="0"/>
              <w:rPr>
                <w:sz w:val="16"/>
                <w:szCs w:val="16"/>
                <w:color w:val="auto"/>
              </w:rPr>
            </w:pPr>
          </w:p>
        </w:tc>
        <w:tc>
          <w:tcPr>
            <w:tcW w:w="8520" w:type="dxa"/>
            <w:vAlign w:val="bottom"/>
          </w:tcPr>
          <w:p>
            <w:pPr>
              <w:ind w:left="300"/>
              <w:spacing w:after="0" w:line="195" w:lineRule="exact"/>
              <w:rPr>
                <w:sz w:val="20"/>
                <w:szCs w:val="20"/>
                <w:color w:val="auto"/>
              </w:rPr>
            </w:pPr>
            <w:r>
              <w:rPr>
                <w:rFonts w:ascii="Arial" w:cs="Arial" w:eastAsia="Arial" w:hAnsi="Arial"/>
                <w:sz w:val="18"/>
                <w:szCs w:val="18"/>
                <w:color w:val="auto"/>
              </w:rPr>
              <w:t>(incorporated by reference to Exhibit 10.10 to the Company’s Registration Statement on Form S-1 (File</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No. 333-256648), dated May 28, 2021)</w:t>
            </w:r>
          </w:p>
        </w:tc>
      </w:tr>
      <w:tr>
        <w:trPr>
          <w:trHeight w:val="261"/>
        </w:trPr>
        <w:tc>
          <w:tcPr>
            <w:tcW w:w="860" w:type="dxa"/>
            <w:vAlign w:val="bottom"/>
          </w:tcPr>
          <w:p>
            <w:pPr>
              <w:jc w:val="center"/>
              <w:ind w:right="230"/>
              <w:spacing w:after="0"/>
              <w:rPr>
                <w:sz w:val="20"/>
                <w:szCs w:val="20"/>
                <w:color w:val="auto"/>
              </w:rPr>
            </w:pPr>
            <w:r>
              <w:rPr>
                <w:rFonts w:ascii="Arial" w:cs="Arial" w:eastAsia="Arial" w:hAnsi="Arial"/>
                <w:sz w:val="18"/>
                <w:szCs w:val="18"/>
                <w:color w:val="auto"/>
              </w:rPr>
              <w:t>10.11</w:t>
            </w:r>
            <w:r>
              <w:rPr>
                <w:rFonts w:ascii="Arial" w:cs="Arial" w:eastAsia="Arial" w:hAnsi="Arial"/>
                <w:sz w:val="20"/>
                <w:szCs w:val="20"/>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Form of Non-Qualified Stock Option Agreement, under the 2018 Stock Option and Grant Plan</w:t>
            </w:r>
          </w:p>
        </w:tc>
      </w:tr>
      <w:tr>
        <w:trPr>
          <w:trHeight w:val="195"/>
        </w:trPr>
        <w:tc>
          <w:tcPr>
            <w:tcW w:w="860" w:type="dxa"/>
            <w:vAlign w:val="bottom"/>
          </w:tcPr>
          <w:p>
            <w:pPr>
              <w:spacing w:after="0"/>
              <w:rPr>
                <w:sz w:val="16"/>
                <w:szCs w:val="16"/>
                <w:color w:val="auto"/>
              </w:rPr>
            </w:pPr>
          </w:p>
        </w:tc>
        <w:tc>
          <w:tcPr>
            <w:tcW w:w="8520" w:type="dxa"/>
            <w:vAlign w:val="bottom"/>
          </w:tcPr>
          <w:p>
            <w:pPr>
              <w:ind w:left="300"/>
              <w:spacing w:after="0" w:line="195" w:lineRule="exact"/>
              <w:rPr>
                <w:sz w:val="20"/>
                <w:szCs w:val="20"/>
                <w:color w:val="auto"/>
              </w:rPr>
            </w:pPr>
            <w:r>
              <w:rPr>
                <w:rFonts w:ascii="Arial" w:cs="Arial" w:eastAsia="Arial" w:hAnsi="Arial"/>
                <w:sz w:val="18"/>
                <w:szCs w:val="18"/>
                <w:color w:val="auto"/>
              </w:rPr>
              <w:t>(incorporated by reference to Exhibit 10.11 to the Company’s Registration Statement on Form S-1 (File</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No. 333-256648), dated May 28, 2021)</w:t>
            </w:r>
          </w:p>
        </w:tc>
      </w:tr>
      <w:tr>
        <w:trPr>
          <w:trHeight w:val="261"/>
        </w:trPr>
        <w:tc>
          <w:tcPr>
            <w:tcW w:w="860" w:type="dxa"/>
            <w:vAlign w:val="bottom"/>
          </w:tcPr>
          <w:p>
            <w:pPr>
              <w:jc w:val="center"/>
              <w:ind w:right="230"/>
              <w:spacing w:after="0"/>
              <w:rPr>
                <w:sz w:val="20"/>
                <w:szCs w:val="20"/>
                <w:color w:val="auto"/>
              </w:rPr>
            </w:pPr>
            <w:r>
              <w:rPr>
                <w:rFonts w:ascii="Arial" w:cs="Arial" w:eastAsia="Arial" w:hAnsi="Arial"/>
                <w:sz w:val="18"/>
                <w:szCs w:val="18"/>
                <w:color w:val="auto"/>
              </w:rPr>
              <w:t>10.12</w:t>
            </w:r>
            <w:r>
              <w:rPr>
                <w:rFonts w:ascii="Arial" w:cs="Arial" w:eastAsia="Arial" w:hAnsi="Arial"/>
                <w:sz w:val="20"/>
                <w:szCs w:val="20"/>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Form of Incentive Stock Option Agreement, under the 2018 Stock Option and Grant Plan (incorporated</w:t>
            </w:r>
          </w:p>
        </w:tc>
      </w:tr>
      <w:tr>
        <w:trPr>
          <w:trHeight w:val="195"/>
        </w:trPr>
        <w:tc>
          <w:tcPr>
            <w:tcW w:w="860" w:type="dxa"/>
            <w:vAlign w:val="bottom"/>
          </w:tcPr>
          <w:p>
            <w:pPr>
              <w:spacing w:after="0"/>
              <w:rPr>
                <w:sz w:val="16"/>
                <w:szCs w:val="16"/>
                <w:color w:val="auto"/>
              </w:rPr>
            </w:pPr>
          </w:p>
        </w:tc>
        <w:tc>
          <w:tcPr>
            <w:tcW w:w="8520" w:type="dxa"/>
            <w:vAlign w:val="bottom"/>
          </w:tcPr>
          <w:p>
            <w:pPr>
              <w:ind w:left="300"/>
              <w:spacing w:after="0" w:line="195" w:lineRule="exact"/>
              <w:rPr>
                <w:sz w:val="20"/>
                <w:szCs w:val="20"/>
                <w:color w:val="auto"/>
              </w:rPr>
            </w:pPr>
            <w:r>
              <w:rPr>
                <w:rFonts w:ascii="Arial" w:cs="Arial" w:eastAsia="Arial" w:hAnsi="Arial"/>
                <w:sz w:val="18"/>
                <w:szCs w:val="18"/>
                <w:color w:val="auto"/>
              </w:rPr>
              <w:t>by reference to Exhibit 10.12 to the Company’s Registration Statement on Form S-1 (File</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No. 333-256648), dated May 28, 2021)</w:t>
            </w:r>
          </w:p>
        </w:tc>
      </w:tr>
      <w:tr>
        <w:trPr>
          <w:trHeight w:val="261"/>
        </w:trPr>
        <w:tc>
          <w:tcPr>
            <w:tcW w:w="860" w:type="dxa"/>
            <w:vAlign w:val="bottom"/>
          </w:tcPr>
          <w:p>
            <w:pPr>
              <w:jc w:val="center"/>
              <w:ind w:right="230"/>
              <w:spacing w:after="0"/>
              <w:rPr>
                <w:sz w:val="20"/>
                <w:szCs w:val="20"/>
                <w:color w:val="auto"/>
              </w:rPr>
            </w:pPr>
            <w:r>
              <w:rPr>
                <w:rFonts w:ascii="Arial" w:cs="Arial" w:eastAsia="Arial" w:hAnsi="Arial"/>
                <w:sz w:val="18"/>
                <w:szCs w:val="18"/>
                <w:color w:val="auto"/>
              </w:rPr>
              <w:t>10.13</w:t>
            </w:r>
            <w:r>
              <w:rPr>
                <w:rFonts w:ascii="Arial" w:cs="Arial" w:eastAsia="Arial" w:hAnsi="Arial"/>
                <w:sz w:val="20"/>
                <w:szCs w:val="20"/>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Form of Stock Option Grant Notice and Award Agreement, under the 2021 Plan (incorporated by</w:t>
            </w:r>
          </w:p>
        </w:tc>
      </w:tr>
      <w:tr>
        <w:trPr>
          <w:trHeight w:val="195"/>
        </w:trPr>
        <w:tc>
          <w:tcPr>
            <w:tcW w:w="860" w:type="dxa"/>
            <w:vAlign w:val="bottom"/>
          </w:tcPr>
          <w:p>
            <w:pPr>
              <w:spacing w:after="0"/>
              <w:rPr>
                <w:sz w:val="16"/>
                <w:szCs w:val="16"/>
                <w:color w:val="auto"/>
              </w:rPr>
            </w:pPr>
          </w:p>
        </w:tc>
        <w:tc>
          <w:tcPr>
            <w:tcW w:w="8520" w:type="dxa"/>
            <w:vAlign w:val="bottom"/>
          </w:tcPr>
          <w:p>
            <w:pPr>
              <w:ind w:left="300"/>
              <w:spacing w:after="0" w:line="195" w:lineRule="exact"/>
              <w:rPr>
                <w:sz w:val="20"/>
                <w:szCs w:val="20"/>
                <w:color w:val="auto"/>
              </w:rPr>
            </w:pPr>
            <w:r>
              <w:rPr>
                <w:rFonts w:ascii="Arial" w:cs="Arial" w:eastAsia="Arial" w:hAnsi="Arial"/>
                <w:sz w:val="18"/>
                <w:szCs w:val="18"/>
                <w:color w:val="auto"/>
              </w:rPr>
              <w:t>reference to Exhibit 10.13 to the Company’s Registration Statement on Form S-1 (File</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No. 333-256648), dated May 28, 2021)</w:t>
            </w:r>
          </w:p>
        </w:tc>
      </w:tr>
      <w:tr>
        <w:trPr>
          <w:trHeight w:val="261"/>
        </w:trPr>
        <w:tc>
          <w:tcPr>
            <w:tcW w:w="860" w:type="dxa"/>
            <w:vAlign w:val="bottom"/>
          </w:tcPr>
          <w:p>
            <w:pPr>
              <w:jc w:val="center"/>
              <w:ind w:right="230"/>
              <w:spacing w:after="0"/>
              <w:rPr>
                <w:sz w:val="20"/>
                <w:szCs w:val="20"/>
                <w:color w:val="auto"/>
              </w:rPr>
            </w:pPr>
            <w:r>
              <w:rPr>
                <w:rFonts w:ascii="Arial" w:cs="Arial" w:eastAsia="Arial" w:hAnsi="Arial"/>
                <w:sz w:val="18"/>
                <w:szCs w:val="18"/>
                <w:color w:val="auto"/>
              </w:rPr>
              <w:t>10.14</w:t>
            </w:r>
            <w:r>
              <w:rPr>
                <w:rFonts w:ascii="Arial" w:cs="Arial" w:eastAsia="Arial" w:hAnsi="Arial"/>
                <w:sz w:val="20"/>
                <w:szCs w:val="20"/>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Form of Restricted Stock Unit Grant Notice and Award Agreement, under the 2021 Plan (incorporated</w:t>
            </w:r>
          </w:p>
        </w:tc>
      </w:tr>
      <w:tr>
        <w:trPr>
          <w:trHeight w:val="195"/>
        </w:trPr>
        <w:tc>
          <w:tcPr>
            <w:tcW w:w="860" w:type="dxa"/>
            <w:vAlign w:val="bottom"/>
          </w:tcPr>
          <w:p>
            <w:pPr>
              <w:spacing w:after="0"/>
              <w:rPr>
                <w:sz w:val="16"/>
                <w:szCs w:val="16"/>
                <w:color w:val="auto"/>
              </w:rPr>
            </w:pPr>
          </w:p>
        </w:tc>
        <w:tc>
          <w:tcPr>
            <w:tcW w:w="8520" w:type="dxa"/>
            <w:vAlign w:val="bottom"/>
          </w:tcPr>
          <w:p>
            <w:pPr>
              <w:ind w:left="300"/>
              <w:spacing w:after="0" w:line="195" w:lineRule="exact"/>
              <w:rPr>
                <w:sz w:val="20"/>
                <w:szCs w:val="20"/>
                <w:color w:val="auto"/>
              </w:rPr>
            </w:pPr>
            <w:r>
              <w:rPr>
                <w:rFonts w:ascii="Arial" w:cs="Arial" w:eastAsia="Arial" w:hAnsi="Arial"/>
                <w:sz w:val="18"/>
                <w:szCs w:val="18"/>
                <w:color w:val="auto"/>
              </w:rPr>
              <w:t>by reference to Exhibit 10.14 to the Company’s Registration Statement on Form S-1 (File</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No. 333-256648), dated May 28, 2021)</w:t>
            </w:r>
          </w:p>
        </w:tc>
      </w:tr>
      <w:tr>
        <w:trPr>
          <w:trHeight w:val="261"/>
        </w:trPr>
        <w:tc>
          <w:tcPr>
            <w:tcW w:w="860" w:type="dxa"/>
            <w:vAlign w:val="bottom"/>
          </w:tcPr>
          <w:p>
            <w:pPr>
              <w:jc w:val="center"/>
              <w:ind w:right="230"/>
              <w:spacing w:after="0"/>
              <w:rPr>
                <w:sz w:val="20"/>
                <w:szCs w:val="20"/>
                <w:color w:val="auto"/>
              </w:rPr>
            </w:pPr>
            <w:r>
              <w:rPr>
                <w:rFonts w:ascii="Arial" w:cs="Arial" w:eastAsia="Arial" w:hAnsi="Arial"/>
                <w:sz w:val="18"/>
                <w:szCs w:val="18"/>
                <w:color w:val="auto"/>
              </w:rPr>
              <w:t>10.15</w:t>
            </w:r>
            <w:r>
              <w:rPr>
                <w:rFonts w:ascii="Arial" w:cs="Arial" w:eastAsia="Arial" w:hAnsi="Arial"/>
                <w:sz w:val="20"/>
                <w:szCs w:val="20"/>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Form of Performance-Based Restricted Stock Unit Grant Notice and Award Agreement, under the</w:t>
            </w:r>
          </w:p>
        </w:tc>
      </w:tr>
      <w:tr>
        <w:trPr>
          <w:trHeight w:val="195"/>
        </w:trPr>
        <w:tc>
          <w:tcPr>
            <w:tcW w:w="860" w:type="dxa"/>
            <w:vAlign w:val="bottom"/>
          </w:tcPr>
          <w:p>
            <w:pPr>
              <w:spacing w:after="0"/>
              <w:rPr>
                <w:sz w:val="16"/>
                <w:szCs w:val="16"/>
                <w:color w:val="auto"/>
              </w:rPr>
            </w:pPr>
          </w:p>
        </w:tc>
        <w:tc>
          <w:tcPr>
            <w:tcW w:w="8520" w:type="dxa"/>
            <w:vAlign w:val="bottom"/>
          </w:tcPr>
          <w:p>
            <w:pPr>
              <w:ind w:left="300"/>
              <w:spacing w:after="0" w:line="195" w:lineRule="exact"/>
              <w:rPr>
                <w:sz w:val="20"/>
                <w:szCs w:val="20"/>
                <w:color w:val="auto"/>
              </w:rPr>
            </w:pPr>
            <w:r>
              <w:rPr>
                <w:rFonts w:ascii="Arial" w:cs="Arial" w:eastAsia="Arial" w:hAnsi="Arial"/>
                <w:sz w:val="18"/>
                <w:szCs w:val="18"/>
                <w:color w:val="auto"/>
              </w:rPr>
              <w:t>Company’s 2021 Equity Incentive Plan (incorporated by reference to Exhibit 10.3 of the Company’s</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Quarterly Report on Form 10-Q (File No. 001-40498) filed on November 05, 2024)</w:t>
            </w:r>
          </w:p>
        </w:tc>
      </w:tr>
      <w:tr>
        <w:trPr>
          <w:trHeight w:val="248"/>
        </w:trPr>
        <w:tc>
          <w:tcPr>
            <w:tcW w:w="860" w:type="dxa"/>
            <w:vAlign w:val="bottom"/>
          </w:tcPr>
          <w:p>
            <w:pPr>
              <w:jc w:val="center"/>
              <w:ind w:right="210"/>
              <w:spacing w:after="0"/>
              <w:rPr>
                <w:sz w:val="20"/>
                <w:szCs w:val="20"/>
                <w:color w:val="auto"/>
              </w:rPr>
            </w:pPr>
            <w:r>
              <w:rPr>
                <w:rFonts w:ascii="Arial" w:cs="Arial" w:eastAsia="Arial" w:hAnsi="Arial"/>
                <w:sz w:val="18"/>
                <w:szCs w:val="18"/>
                <w:color w:val="auto"/>
                <w:w w:val="99"/>
              </w:rPr>
              <w:t>10.16*</w:t>
            </w:r>
          </w:p>
        </w:tc>
        <w:tc>
          <w:tcPr>
            <w:tcW w:w="8520" w:type="dxa"/>
            <w:vAlign w:val="bottom"/>
          </w:tcPr>
          <w:p>
            <w:pPr>
              <w:ind w:left="300"/>
              <w:spacing w:after="0"/>
              <w:rPr>
                <w:sz w:val="20"/>
                <w:szCs w:val="20"/>
                <w:color w:val="auto"/>
              </w:rPr>
            </w:pPr>
            <w:r>
              <w:rPr>
                <w:rFonts w:ascii="Arial" w:cs="Arial" w:eastAsia="Arial" w:hAnsi="Arial"/>
                <w:sz w:val="18"/>
                <w:szCs w:val="18"/>
                <w:color w:val="auto"/>
              </w:rPr>
              <w:t>Amended and Restated Option Agreement, by and between Century Therapeutics, Inc. and Bayer</w:t>
            </w:r>
          </w:p>
        </w:tc>
      </w:tr>
      <w:tr>
        <w:trPr>
          <w:trHeight w:val="209"/>
        </w:trPr>
        <w:tc>
          <w:tcPr>
            <w:tcW w:w="86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HealthCare LLC, dated February 25, 2021 (incorporated by reference to Exhibit 10.15 to the</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Company’s Registration Statement on Form S-1 (File No. 333-256648), dated May 28, 2021)</w:t>
            </w:r>
          </w:p>
        </w:tc>
      </w:tr>
      <w:tr>
        <w:trPr>
          <w:trHeight w:val="247"/>
        </w:trPr>
        <w:tc>
          <w:tcPr>
            <w:tcW w:w="860" w:type="dxa"/>
            <w:vAlign w:val="bottom"/>
          </w:tcPr>
          <w:p>
            <w:pPr>
              <w:jc w:val="center"/>
              <w:ind w:right="210"/>
              <w:spacing w:after="0"/>
              <w:rPr>
                <w:sz w:val="20"/>
                <w:szCs w:val="20"/>
                <w:color w:val="auto"/>
              </w:rPr>
            </w:pPr>
            <w:r>
              <w:rPr>
                <w:rFonts w:ascii="Arial" w:cs="Arial" w:eastAsia="Arial" w:hAnsi="Arial"/>
                <w:sz w:val="18"/>
                <w:szCs w:val="18"/>
                <w:color w:val="auto"/>
                <w:w w:val="99"/>
              </w:rPr>
              <w:t>10.17*</w:t>
            </w:r>
          </w:p>
        </w:tc>
        <w:tc>
          <w:tcPr>
            <w:tcW w:w="8520" w:type="dxa"/>
            <w:vAlign w:val="bottom"/>
          </w:tcPr>
          <w:p>
            <w:pPr>
              <w:ind w:left="300"/>
              <w:spacing w:after="0"/>
              <w:rPr>
                <w:sz w:val="20"/>
                <w:szCs w:val="20"/>
                <w:color w:val="auto"/>
              </w:rPr>
            </w:pPr>
            <w:r>
              <w:rPr>
                <w:rFonts w:ascii="Arial" w:cs="Arial" w:eastAsia="Arial" w:hAnsi="Arial"/>
                <w:sz w:val="18"/>
                <w:szCs w:val="18"/>
                <w:color w:val="auto"/>
              </w:rPr>
              <w:t>Master Collaboration Agreement, by and between Century Therapeutics, Inc. and FUJIFILM Cellular</w:t>
            </w:r>
          </w:p>
        </w:tc>
      </w:tr>
      <w:tr>
        <w:trPr>
          <w:trHeight w:val="209"/>
        </w:trPr>
        <w:tc>
          <w:tcPr>
            <w:tcW w:w="86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Dynamics, Inc., dated October 21, 2019 (incorporated by reference to Exhibit 10.16 to the Company’s</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Registration Statement on Form S-1 (File No. 333-256648), dated May 28, 2021)</w:t>
            </w:r>
          </w:p>
        </w:tc>
      </w:tr>
      <w:tr>
        <w:trPr>
          <w:trHeight w:val="247"/>
        </w:trPr>
        <w:tc>
          <w:tcPr>
            <w:tcW w:w="860" w:type="dxa"/>
            <w:vAlign w:val="bottom"/>
          </w:tcPr>
          <w:p>
            <w:pPr>
              <w:jc w:val="center"/>
              <w:ind w:right="230"/>
              <w:spacing w:after="0"/>
              <w:rPr>
                <w:sz w:val="20"/>
                <w:szCs w:val="20"/>
                <w:color w:val="auto"/>
              </w:rPr>
            </w:pPr>
            <w:r>
              <w:rPr>
                <w:rFonts w:ascii="Arial" w:cs="Arial" w:eastAsia="Arial" w:hAnsi="Arial"/>
                <w:sz w:val="18"/>
                <w:szCs w:val="18"/>
                <w:color w:val="auto"/>
              </w:rPr>
              <w:t>10.18</w:t>
            </w:r>
          </w:p>
        </w:tc>
        <w:tc>
          <w:tcPr>
            <w:tcW w:w="8520" w:type="dxa"/>
            <w:vAlign w:val="bottom"/>
          </w:tcPr>
          <w:p>
            <w:pPr>
              <w:ind w:left="300"/>
              <w:spacing w:after="0"/>
              <w:rPr>
                <w:sz w:val="20"/>
                <w:szCs w:val="20"/>
                <w:color w:val="auto"/>
              </w:rPr>
            </w:pPr>
            <w:r>
              <w:rPr>
                <w:rFonts w:ascii="Arial" w:cs="Arial" w:eastAsia="Arial" w:hAnsi="Arial"/>
                <w:sz w:val="18"/>
                <w:szCs w:val="18"/>
                <w:color w:val="auto"/>
              </w:rPr>
              <w:t>Amendment No. 1 to Master Collaboration Agreement, by and between Century Therapeutics, Inc. and</w:t>
            </w:r>
          </w:p>
        </w:tc>
      </w:tr>
      <w:tr>
        <w:trPr>
          <w:trHeight w:val="209"/>
        </w:trPr>
        <w:tc>
          <w:tcPr>
            <w:tcW w:w="86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FUJIFILM Cellular Dynamics, Inc., dated July 17, 2020 (incorporated by reference to Exhibit 10.17 to</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the Company’s Registration Statement on Form S-1 (File No. 333-256648), dated May 28, 2021)</w:t>
            </w:r>
          </w:p>
        </w:tc>
      </w:tr>
      <w:tr>
        <w:trPr>
          <w:trHeight w:val="247"/>
        </w:trPr>
        <w:tc>
          <w:tcPr>
            <w:tcW w:w="860" w:type="dxa"/>
            <w:vAlign w:val="bottom"/>
          </w:tcPr>
          <w:p>
            <w:pPr>
              <w:jc w:val="center"/>
              <w:ind w:right="210"/>
              <w:spacing w:after="0"/>
              <w:rPr>
                <w:sz w:val="20"/>
                <w:szCs w:val="20"/>
                <w:color w:val="auto"/>
              </w:rPr>
            </w:pPr>
            <w:r>
              <w:rPr>
                <w:rFonts w:ascii="Arial" w:cs="Arial" w:eastAsia="Arial" w:hAnsi="Arial"/>
                <w:sz w:val="18"/>
                <w:szCs w:val="18"/>
                <w:color w:val="auto"/>
                <w:w w:val="99"/>
              </w:rPr>
              <w:t>10.19*</w:t>
            </w:r>
          </w:p>
        </w:tc>
        <w:tc>
          <w:tcPr>
            <w:tcW w:w="8520" w:type="dxa"/>
            <w:vAlign w:val="bottom"/>
          </w:tcPr>
          <w:p>
            <w:pPr>
              <w:ind w:left="300"/>
              <w:spacing w:after="0"/>
              <w:rPr>
                <w:sz w:val="20"/>
                <w:szCs w:val="20"/>
                <w:color w:val="auto"/>
              </w:rPr>
            </w:pPr>
            <w:r>
              <w:rPr>
                <w:rFonts w:ascii="Arial" w:cs="Arial" w:eastAsia="Arial" w:hAnsi="Arial"/>
                <w:sz w:val="18"/>
                <w:szCs w:val="18"/>
                <w:color w:val="auto"/>
              </w:rPr>
              <w:t>Amendment No. 2 to Master Collaboration Agreement by and between Century Therapeutics, Inc. and</w:t>
            </w:r>
          </w:p>
        </w:tc>
      </w:tr>
      <w:tr>
        <w:trPr>
          <w:trHeight w:val="209"/>
        </w:trPr>
        <w:tc>
          <w:tcPr>
            <w:tcW w:w="86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FUJIFILM Cellular Dynamics, Inc., dated March 23, 2021 (incorporated by reference to Exhibit 10.18 to</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the Company’s Registration Statement on Form S-1 (File No. 333-256648), dated May 28, 2021)</w:t>
            </w:r>
          </w:p>
        </w:tc>
      </w:tr>
      <w:tr>
        <w:trPr>
          <w:trHeight w:val="248"/>
        </w:trPr>
        <w:tc>
          <w:tcPr>
            <w:tcW w:w="860" w:type="dxa"/>
            <w:vAlign w:val="bottom"/>
          </w:tcPr>
          <w:p>
            <w:pPr>
              <w:jc w:val="center"/>
              <w:ind w:right="230"/>
              <w:spacing w:after="0"/>
              <w:rPr>
                <w:sz w:val="20"/>
                <w:szCs w:val="20"/>
                <w:color w:val="auto"/>
              </w:rPr>
            </w:pPr>
            <w:r>
              <w:rPr>
                <w:rFonts w:ascii="Arial" w:cs="Arial" w:eastAsia="Arial" w:hAnsi="Arial"/>
                <w:sz w:val="18"/>
                <w:szCs w:val="18"/>
                <w:color w:val="auto"/>
              </w:rPr>
              <w:t>10.20</w:t>
            </w:r>
          </w:p>
        </w:tc>
        <w:tc>
          <w:tcPr>
            <w:tcW w:w="8520" w:type="dxa"/>
            <w:vAlign w:val="bottom"/>
          </w:tcPr>
          <w:p>
            <w:pPr>
              <w:ind w:left="300"/>
              <w:spacing w:after="0"/>
              <w:rPr>
                <w:sz w:val="20"/>
                <w:szCs w:val="20"/>
                <w:color w:val="auto"/>
              </w:rPr>
            </w:pPr>
            <w:r>
              <w:rPr>
                <w:rFonts w:ascii="Arial" w:cs="Arial" w:eastAsia="Arial" w:hAnsi="Arial"/>
                <w:sz w:val="18"/>
                <w:szCs w:val="18"/>
                <w:color w:val="auto"/>
              </w:rPr>
              <w:t>Amendment No. 3 to Master Collaboration Agreement by and between Century Therapeutics, Inc. and</w:t>
            </w:r>
          </w:p>
        </w:tc>
      </w:tr>
      <w:tr>
        <w:trPr>
          <w:trHeight w:val="208"/>
        </w:trPr>
        <w:tc>
          <w:tcPr>
            <w:tcW w:w="86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FUJIFILM Cellular Dynamics, Inc., dated March 29, 2021 (incorporated by reference to Exhibit 10.19 to</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the Company’s Registration Statement on Form S-1 (File No. 333-256648), dated May 28, 2021)</w:t>
            </w:r>
          </w:p>
        </w:tc>
      </w:tr>
      <w:tr>
        <w:trPr>
          <w:trHeight w:val="248"/>
        </w:trPr>
        <w:tc>
          <w:tcPr>
            <w:tcW w:w="860" w:type="dxa"/>
            <w:vAlign w:val="bottom"/>
          </w:tcPr>
          <w:p>
            <w:pPr>
              <w:jc w:val="center"/>
              <w:ind w:right="210"/>
              <w:spacing w:after="0"/>
              <w:rPr>
                <w:sz w:val="20"/>
                <w:szCs w:val="20"/>
                <w:color w:val="auto"/>
              </w:rPr>
            </w:pPr>
            <w:r>
              <w:rPr>
                <w:rFonts w:ascii="Arial" w:cs="Arial" w:eastAsia="Arial" w:hAnsi="Arial"/>
                <w:sz w:val="18"/>
                <w:szCs w:val="18"/>
                <w:color w:val="auto"/>
                <w:w w:val="99"/>
              </w:rPr>
              <w:t>10.21*</w:t>
            </w:r>
          </w:p>
        </w:tc>
        <w:tc>
          <w:tcPr>
            <w:tcW w:w="8520" w:type="dxa"/>
            <w:vAlign w:val="bottom"/>
          </w:tcPr>
          <w:p>
            <w:pPr>
              <w:ind w:left="300"/>
              <w:spacing w:after="0"/>
              <w:rPr>
                <w:sz w:val="20"/>
                <w:szCs w:val="20"/>
                <w:color w:val="auto"/>
              </w:rPr>
            </w:pPr>
            <w:r>
              <w:rPr>
                <w:rFonts w:ascii="Arial" w:cs="Arial" w:eastAsia="Arial" w:hAnsi="Arial"/>
                <w:sz w:val="18"/>
                <w:szCs w:val="18"/>
                <w:color w:val="auto"/>
              </w:rPr>
              <w:t>Amendment No. 4 to Master Collaboration Agreement, by and between Century Therapeutics, Inc. and</w:t>
            </w:r>
          </w:p>
        </w:tc>
      </w:tr>
      <w:tr>
        <w:trPr>
          <w:trHeight w:val="208"/>
        </w:trPr>
        <w:tc>
          <w:tcPr>
            <w:tcW w:w="86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w w:val="99"/>
              </w:rPr>
              <w:t>FUJIFILM Cellular Dynamics, Inc., dated July 29, 2022 (incorporated by reference to Exhibit 10.1 to the</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Company’s Quarterly Report on Form 10-Q (File No. 001-40498), dated November 10, 2022)</w:t>
            </w:r>
          </w:p>
        </w:tc>
      </w:tr>
      <w:tr>
        <w:trPr>
          <w:trHeight w:val="248"/>
        </w:trPr>
        <w:tc>
          <w:tcPr>
            <w:tcW w:w="860" w:type="dxa"/>
            <w:vAlign w:val="bottom"/>
          </w:tcPr>
          <w:p>
            <w:pPr>
              <w:jc w:val="center"/>
              <w:ind w:right="230"/>
              <w:spacing w:after="0"/>
              <w:rPr>
                <w:sz w:val="20"/>
                <w:szCs w:val="20"/>
                <w:color w:val="auto"/>
              </w:rPr>
            </w:pPr>
            <w:r>
              <w:rPr>
                <w:rFonts w:ascii="Arial" w:cs="Arial" w:eastAsia="Arial" w:hAnsi="Arial"/>
                <w:sz w:val="18"/>
                <w:szCs w:val="18"/>
                <w:color w:val="auto"/>
              </w:rPr>
              <w:t>10.22</w:t>
            </w:r>
          </w:p>
        </w:tc>
        <w:tc>
          <w:tcPr>
            <w:tcW w:w="8520" w:type="dxa"/>
            <w:vAlign w:val="bottom"/>
          </w:tcPr>
          <w:p>
            <w:pPr>
              <w:ind w:left="300"/>
              <w:spacing w:after="0"/>
              <w:rPr>
                <w:sz w:val="20"/>
                <w:szCs w:val="20"/>
                <w:color w:val="auto"/>
              </w:rPr>
            </w:pPr>
            <w:r>
              <w:rPr>
                <w:rFonts w:ascii="Arial" w:cs="Arial" w:eastAsia="Arial" w:hAnsi="Arial"/>
                <w:sz w:val="18"/>
                <w:szCs w:val="18"/>
                <w:color w:val="auto"/>
              </w:rPr>
              <w:t>Letter Agreement, by and among Century Therapeutics, Inc., FUJIFILM Cellular Dynamics, Inc. and</w:t>
            </w:r>
          </w:p>
        </w:tc>
      </w:tr>
      <w:tr>
        <w:trPr>
          <w:trHeight w:val="208"/>
        </w:trPr>
        <w:tc>
          <w:tcPr>
            <w:tcW w:w="86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w w:val="99"/>
              </w:rPr>
              <w:t>Wisconsin Alumni Research Foundation, dated July 2, 2019 (incorporated by reference to Exhibit 10.20</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to the Company’s Registration Statement on Form S-1 (File No. 333-256648), dated May 28, 2021)</w:t>
            </w:r>
          </w:p>
        </w:tc>
      </w:tr>
      <w:tr>
        <w:trPr>
          <w:trHeight w:val="248"/>
        </w:trPr>
        <w:tc>
          <w:tcPr>
            <w:tcW w:w="860" w:type="dxa"/>
            <w:vAlign w:val="bottom"/>
          </w:tcPr>
          <w:p>
            <w:pPr>
              <w:jc w:val="center"/>
              <w:ind w:right="210"/>
              <w:spacing w:after="0"/>
              <w:rPr>
                <w:sz w:val="20"/>
                <w:szCs w:val="20"/>
                <w:color w:val="auto"/>
              </w:rPr>
            </w:pPr>
            <w:r>
              <w:rPr>
                <w:rFonts w:ascii="Arial" w:cs="Arial" w:eastAsia="Arial" w:hAnsi="Arial"/>
                <w:sz w:val="18"/>
                <w:szCs w:val="18"/>
                <w:color w:val="auto"/>
                <w:w w:val="99"/>
              </w:rPr>
              <w:t>10.23*</w:t>
            </w:r>
          </w:p>
        </w:tc>
        <w:tc>
          <w:tcPr>
            <w:tcW w:w="8520" w:type="dxa"/>
            <w:vAlign w:val="bottom"/>
          </w:tcPr>
          <w:p>
            <w:pPr>
              <w:ind w:left="300"/>
              <w:spacing w:after="0"/>
              <w:rPr>
                <w:sz w:val="20"/>
                <w:szCs w:val="20"/>
                <w:color w:val="auto"/>
              </w:rPr>
            </w:pPr>
            <w:r>
              <w:rPr>
                <w:rFonts w:ascii="Arial" w:cs="Arial" w:eastAsia="Arial" w:hAnsi="Arial"/>
                <w:sz w:val="18"/>
                <w:szCs w:val="18"/>
                <w:color w:val="auto"/>
                <w:w w:val="99"/>
              </w:rPr>
              <w:t>License Agreement (Differentiation), by and between Century Therapeutics, Inc. and FUJIFILM Cellular</w:t>
            </w:r>
          </w:p>
        </w:tc>
      </w:tr>
      <w:tr>
        <w:trPr>
          <w:trHeight w:val="208"/>
        </w:trPr>
        <w:tc>
          <w:tcPr>
            <w:tcW w:w="86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Dynamics, Inc., dated September 18, 2018 (incorporated by reference to Exhibit 10.21 to the</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Company’s Registration Statement on Form S-1 (File No. 333-256648), dated May 28, 2021)</w:t>
            </w:r>
          </w:p>
        </w:tc>
      </w:tr>
      <w:tr>
        <w:trPr>
          <w:trHeight w:val="248"/>
        </w:trPr>
        <w:tc>
          <w:tcPr>
            <w:tcW w:w="860" w:type="dxa"/>
            <w:vAlign w:val="bottom"/>
          </w:tcPr>
          <w:p>
            <w:pPr>
              <w:jc w:val="center"/>
              <w:ind w:right="210"/>
              <w:spacing w:after="0"/>
              <w:rPr>
                <w:sz w:val="20"/>
                <w:szCs w:val="20"/>
                <w:color w:val="auto"/>
              </w:rPr>
            </w:pPr>
            <w:r>
              <w:rPr>
                <w:rFonts w:ascii="Arial" w:cs="Arial" w:eastAsia="Arial" w:hAnsi="Arial"/>
                <w:sz w:val="18"/>
                <w:szCs w:val="18"/>
                <w:color w:val="auto"/>
                <w:w w:val="99"/>
              </w:rPr>
              <w:t>10.24*</w:t>
            </w:r>
          </w:p>
        </w:tc>
        <w:tc>
          <w:tcPr>
            <w:tcW w:w="8520" w:type="dxa"/>
            <w:vAlign w:val="bottom"/>
          </w:tcPr>
          <w:p>
            <w:pPr>
              <w:ind w:left="300"/>
              <w:spacing w:after="0"/>
              <w:rPr>
                <w:sz w:val="20"/>
                <w:szCs w:val="20"/>
                <w:color w:val="auto"/>
              </w:rPr>
            </w:pPr>
            <w:r>
              <w:rPr>
                <w:rFonts w:ascii="Arial" w:cs="Arial" w:eastAsia="Arial" w:hAnsi="Arial"/>
                <w:sz w:val="18"/>
                <w:szCs w:val="18"/>
                <w:color w:val="auto"/>
              </w:rPr>
              <w:t>Amendment No. 1 to License Agreement (Differentiation), by and between Century Therapeutics, Inc.</w:t>
            </w:r>
          </w:p>
        </w:tc>
      </w:tr>
      <w:tr>
        <w:trPr>
          <w:trHeight w:val="208"/>
        </w:trPr>
        <w:tc>
          <w:tcPr>
            <w:tcW w:w="86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and FUJIFILM Cellular Dynamics, Inc., dated March 23, 2021 (incorporated by reference to</w:t>
            </w:r>
          </w:p>
        </w:tc>
      </w:tr>
      <w:tr>
        <w:trPr>
          <w:trHeight w:val="208"/>
        </w:trPr>
        <w:tc>
          <w:tcPr>
            <w:tcW w:w="86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Exhibit 10.22 to the Company’s Registration Statement on Form S-1 (File No. 333-256648), dated</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May 28, 2021)</w:t>
            </w:r>
          </w:p>
        </w:tc>
      </w:tr>
      <w:tr>
        <w:trPr>
          <w:trHeight w:val="248"/>
        </w:trPr>
        <w:tc>
          <w:tcPr>
            <w:tcW w:w="860" w:type="dxa"/>
            <w:vAlign w:val="bottom"/>
          </w:tcPr>
          <w:p>
            <w:pPr>
              <w:jc w:val="center"/>
              <w:ind w:right="210"/>
              <w:spacing w:after="0"/>
              <w:rPr>
                <w:sz w:val="20"/>
                <w:szCs w:val="20"/>
                <w:color w:val="auto"/>
              </w:rPr>
            </w:pPr>
            <w:r>
              <w:rPr>
                <w:rFonts w:ascii="Arial" w:cs="Arial" w:eastAsia="Arial" w:hAnsi="Arial"/>
                <w:sz w:val="18"/>
                <w:szCs w:val="18"/>
                <w:color w:val="auto"/>
                <w:w w:val="99"/>
              </w:rPr>
              <w:t>10.25*</w:t>
            </w:r>
          </w:p>
        </w:tc>
        <w:tc>
          <w:tcPr>
            <w:tcW w:w="8520" w:type="dxa"/>
            <w:vAlign w:val="bottom"/>
          </w:tcPr>
          <w:p>
            <w:pPr>
              <w:ind w:left="300"/>
              <w:spacing w:after="0"/>
              <w:rPr>
                <w:sz w:val="20"/>
                <w:szCs w:val="20"/>
                <w:color w:val="auto"/>
              </w:rPr>
            </w:pPr>
            <w:r>
              <w:rPr>
                <w:rFonts w:ascii="Arial" w:cs="Arial" w:eastAsia="Arial" w:hAnsi="Arial"/>
                <w:sz w:val="18"/>
                <w:szCs w:val="18"/>
                <w:color w:val="auto"/>
              </w:rPr>
              <w:t>License Agreement (Reprogramming), by and between Century Therapeutics, Inc. and FUJIFILM</w:t>
            </w:r>
          </w:p>
        </w:tc>
      </w:tr>
      <w:tr>
        <w:trPr>
          <w:trHeight w:val="208"/>
        </w:trPr>
        <w:tc>
          <w:tcPr>
            <w:tcW w:w="86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Cellular Dynamics, Inc., dated September 18, 2018 (incorporated by reference to Exhibit 10.23 to the</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Company’s Registration Statement on Form S-1 (File No. 333-256648), dated May 28, 2021)</w:t>
            </w:r>
          </w:p>
        </w:tc>
      </w:tr>
      <w:tr>
        <w:trPr>
          <w:trHeight w:val="248"/>
        </w:trPr>
        <w:tc>
          <w:tcPr>
            <w:tcW w:w="860" w:type="dxa"/>
            <w:vAlign w:val="bottom"/>
          </w:tcPr>
          <w:p>
            <w:pPr>
              <w:jc w:val="center"/>
              <w:ind w:right="210"/>
              <w:spacing w:after="0"/>
              <w:rPr>
                <w:sz w:val="20"/>
                <w:szCs w:val="20"/>
                <w:color w:val="auto"/>
              </w:rPr>
            </w:pPr>
            <w:r>
              <w:rPr>
                <w:rFonts w:ascii="Arial" w:cs="Arial" w:eastAsia="Arial" w:hAnsi="Arial"/>
                <w:sz w:val="18"/>
                <w:szCs w:val="18"/>
                <w:color w:val="auto"/>
                <w:w w:val="99"/>
              </w:rPr>
              <w:t>10.26*</w:t>
            </w:r>
          </w:p>
        </w:tc>
        <w:tc>
          <w:tcPr>
            <w:tcW w:w="8520" w:type="dxa"/>
            <w:vAlign w:val="bottom"/>
          </w:tcPr>
          <w:p>
            <w:pPr>
              <w:ind w:left="300"/>
              <w:spacing w:after="0"/>
              <w:rPr>
                <w:sz w:val="20"/>
                <w:szCs w:val="20"/>
                <w:color w:val="auto"/>
              </w:rPr>
            </w:pPr>
            <w:r>
              <w:rPr>
                <w:rFonts w:ascii="Arial" w:cs="Arial" w:eastAsia="Arial" w:hAnsi="Arial"/>
                <w:sz w:val="18"/>
                <w:szCs w:val="18"/>
                <w:color w:val="auto"/>
              </w:rPr>
              <w:t>Amendment No. 1 to License Agreement (Reprogramming), by and between Century</w:t>
            </w:r>
          </w:p>
        </w:tc>
      </w:tr>
      <w:tr>
        <w:trPr>
          <w:trHeight w:val="206"/>
        </w:trPr>
        <w:tc>
          <w:tcPr>
            <w:tcW w:w="860" w:type="dxa"/>
            <w:vAlign w:val="bottom"/>
          </w:tcPr>
          <w:p>
            <w:pPr>
              <w:spacing w:after="0"/>
              <w:rPr>
                <w:sz w:val="17"/>
                <w:szCs w:val="17"/>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Therapeutics, Inc. and FUJIFILM Cellular Dynamics, Inc., dated March 23, 2021 (incorporated by</w:t>
            </w:r>
          </w:p>
        </w:tc>
      </w:tr>
      <w:tr>
        <w:trPr>
          <w:trHeight w:val="209"/>
        </w:trPr>
        <w:tc>
          <w:tcPr>
            <w:tcW w:w="86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reference to Exhibit 10.24 to the Company’s Registration Statement on Form S-1 (File</w:t>
            </w:r>
          </w:p>
        </w:tc>
      </w:tr>
      <w:tr>
        <w:trPr>
          <w:trHeight w:val="245"/>
        </w:trPr>
        <w:tc>
          <w:tcPr>
            <w:tcW w:w="86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No. 333-256648), dated May 28, 2021)</w:t>
            </w:r>
          </w:p>
        </w:tc>
      </w:tr>
    </w:tbl>
    <w:p>
      <w:pPr>
        <w:spacing w:after="0" w:line="200" w:lineRule="exact"/>
        <w:rPr>
          <w:sz w:val="20"/>
          <w:szCs w:val="20"/>
          <w:color w:val="auto"/>
        </w:rPr>
      </w:pPr>
    </w:p>
    <w:p>
      <w:pPr>
        <w:sectPr>
          <w:pgSz w:w="11880" w:h="15480" w:orient="portrait"/>
          <w:cols w:equalWidth="0" w:num="1">
            <w:col w:w="9380"/>
          </w:cols>
          <w:pgMar w:left="1400" w:top="1058" w:right="1100" w:bottom="554"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300"/>
        <w:spacing w:after="0"/>
        <w:rPr>
          <w:sz w:val="20"/>
          <w:szCs w:val="20"/>
          <w:color w:val="auto"/>
        </w:rPr>
      </w:pPr>
      <w:r>
        <w:rPr>
          <w:rFonts w:ascii="Arial" w:cs="Arial" w:eastAsia="Arial" w:hAnsi="Arial"/>
          <w:sz w:val="19"/>
          <w:szCs w:val="19"/>
          <w:color w:val="auto"/>
        </w:rPr>
        <w:t>169</w:t>
      </w:r>
    </w:p>
    <w:p>
      <w:pPr>
        <w:sectPr>
          <w:pgSz w:w="11880" w:h="15480" w:orient="portrait"/>
          <w:cols w:equalWidth="0" w:num="1">
            <w:col w:w="9380"/>
          </w:cols>
          <w:pgMar w:left="1400" w:top="1058" w:right="1100" w:bottom="554" w:gutter="0" w:footer="0" w:header="0"/>
          <w:type w:val="continuous"/>
        </w:sectPr>
      </w:pPr>
    </w:p>
    <w:bookmarkStart w:id="169" w:name="page170"/>
    <w:bookmarkEnd w:id="169"/>
    <w:tbl>
      <w:tblPr>
        <w:tblLayout w:type="fixed"/>
        <w:tblInd w:w="0" w:type="dxa"/>
        <w:tblCellMar>
          <w:top w:w="0" w:type="dxa"/>
          <w:left w:w="0" w:type="dxa"/>
          <w:bottom w:w="0" w:type="dxa"/>
          <w:right w:w="0" w:type="dxa"/>
        </w:tblCellMar>
      </w:tblPr>
      <w:tr>
        <w:trPr>
          <w:trHeight w:val="207"/>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9"/>
              </w:rPr>
              <w:t>10.27*</w:t>
            </w:r>
          </w:p>
        </w:tc>
        <w:tc>
          <w:tcPr>
            <w:tcW w:w="8520" w:type="dxa"/>
            <w:vAlign w:val="bottom"/>
          </w:tcPr>
          <w:p>
            <w:pPr>
              <w:ind w:left="300"/>
              <w:spacing w:after="0"/>
              <w:rPr>
                <w:sz w:val="20"/>
                <w:szCs w:val="20"/>
                <w:color w:val="auto"/>
              </w:rPr>
            </w:pPr>
            <w:r>
              <w:rPr>
                <w:rFonts w:ascii="Arial" w:cs="Arial" w:eastAsia="Arial" w:hAnsi="Arial"/>
                <w:sz w:val="18"/>
                <w:szCs w:val="18"/>
                <w:color w:val="auto"/>
              </w:rPr>
              <w:t>Letter Agreement by and between Century Therapeutics, Inc. and FUJIFILM Cellular Dynamics, Inc.,</w:t>
            </w:r>
          </w:p>
        </w:tc>
      </w:tr>
      <w:tr>
        <w:trPr>
          <w:trHeight w:val="209"/>
        </w:trPr>
        <w:tc>
          <w:tcPr>
            <w:tcW w:w="88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dated January 7, 2022 (incorporated by reference to Exhibit 10.25 to the Company’s Annual Report on</w:t>
            </w:r>
          </w:p>
        </w:tc>
      </w:tr>
      <w:tr>
        <w:trPr>
          <w:trHeight w:val="245"/>
        </w:trPr>
        <w:tc>
          <w:tcPr>
            <w:tcW w:w="88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Form 10-K (File No. 001-40498), dated March 17, 2022)</w:t>
            </w:r>
          </w:p>
        </w:tc>
      </w:tr>
      <w:tr>
        <w:trPr>
          <w:trHeight w:val="247"/>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9"/>
              </w:rPr>
              <w:t>10.28*</w:t>
            </w:r>
          </w:p>
        </w:tc>
        <w:tc>
          <w:tcPr>
            <w:tcW w:w="8520" w:type="dxa"/>
            <w:vAlign w:val="bottom"/>
          </w:tcPr>
          <w:p>
            <w:pPr>
              <w:ind w:left="300"/>
              <w:spacing w:after="0"/>
              <w:rPr>
                <w:sz w:val="20"/>
                <w:szCs w:val="20"/>
                <w:color w:val="auto"/>
              </w:rPr>
            </w:pPr>
            <w:r>
              <w:rPr>
                <w:rFonts w:ascii="Arial" w:cs="Arial" w:eastAsia="Arial" w:hAnsi="Arial"/>
                <w:sz w:val="18"/>
                <w:szCs w:val="18"/>
                <w:color w:val="auto"/>
              </w:rPr>
              <w:t>Manufacturing Agreement, by and between Century Therapeutics, Inc. and FUJIFILM Cellular</w:t>
            </w:r>
          </w:p>
        </w:tc>
      </w:tr>
      <w:tr>
        <w:trPr>
          <w:trHeight w:val="209"/>
        </w:trPr>
        <w:tc>
          <w:tcPr>
            <w:tcW w:w="88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Dynamics, Inc., dated March 23, 2021 (incorporated by reference to Exhibit 10.25 to the Company’s</w:t>
            </w:r>
          </w:p>
        </w:tc>
      </w:tr>
      <w:tr>
        <w:trPr>
          <w:trHeight w:val="245"/>
        </w:trPr>
        <w:tc>
          <w:tcPr>
            <w:tcW w:w="88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Registration Statement on Form S-1 (File No. 333-256648), dated May 28, 2021)</w:t>
            </w:r>
          </w:p>
        </w:tc>
      </w:tr>
      <w:tr>
        <w:trPr>
          <w:trHeight w:val="248"/>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9"/>
              </w:rPr>
              <w:t>10.29*</w:t>
            </w:r>
          </w:p>
        </w:tc>
        <w:tc>
          <w:tcPr>
            <w:tcW w:w="8520" w:type="dxa"/>
            <w:vAlign w:val="bottom"/>
          </w:tcPr>
          <w:p>
            <w:pPr>
              <w:ind w:left="300"/>
              <w:spacing w:after="0"/>
              <w:rPr>
                <w:sz w:val="20"/>
                <w:szCs w:val="20"/>
                <w:color w:val="auto"/>
              </w:rPr>
            </w:pPr>
            <w:r>
              <w:rPr>
                <w:rFonts w:ascii="Arial" w:cs="Arial" w:eastAsia="Arial" w:hAnsi="Arial"/>
                <w:sz w:val="18"/>
                <w:szCs w:val="18"/>
                <w:color w:val="auto"/>
              </w:rPr>
              <w:t>Sublicense Agreement, by and between iCELL Inc. and Century Therapeutics, Inc., dated March 20,</w:t>
            </w:r>
          </w:p>
        </w:tc>
      </w:tr>
      <w:tr>
        <w:trPr>
          <w:trHeight w:val="208"/>
        </w:trPr>
        <w:tc>
          <w:tcPr>
            <w:tcW w:w="88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2020 (incorporated by reference to Exhibit 10.27 to the Company’s Registration Statement on</w:t>
            </w:r>
          </w:p>
        </w:tc>
      </w:tr>
      <w:tr>
        <w:trPr>
          <w:trHeight w:val="245"/>
        </w:trPr>
        <w:tc>
          <w:tcPr>
            <w:tcW w:w="88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Form S-1 (File No. 333-256648), dated May 28, 2021)</w:t>
            </w:r>
          </w:p>
        </w:tc>
      </w:tr>
      <w:tr>
        <w:trPr>
          <w:trHeight w:val="248"/>
        </w:trPr>
        <w:tc>
          <w:tcPr>
            <w:tcW w:w="880" w:type="dxa"/>
            <w:vAlign w:val="bottom"/>
          </w:tcPr>
          <w:p>
            <w:pPr>
              <w:jc w:val="center"/>
              <w:ind w:right="210"/>
              <w:spacing w:after="0"/>
              <w:rPr>
                <w:sz w:val="20"/>
                <w:szCs w:val="20"/>
                <w:color w:val="auto"/>
              </w:rPr>
            </w:pPr>
            <w:r>
              <w:rPr>
                <w:rFonts w:ascii="Arial" w:cs="Arial" w:eastAsia="Arial" w:hAnsi="Arial"/>
                <w:sz w:val="18"/>
                <w:szCs w:val="18"/>
                <w:color w:val="auto"/>
              </w:rPr>
              <w:t>10.30</w:t>
            </w:r>
          </w:p>
        </w:tc>
        <w:tc>
          <w:tcPr>
            <w:tcW w:w="8520" w:type="dxa"/>
            <w:vAlign w:val="bottom"/>
          </w:tcPr>
          <w:p>
            <w:pPr>
              <w:ind w:left="300"/>
              <w:spacing w:after="0"/>
              <w:rPr>
                <w:sz w:val="20"/>
                <w:szCs w:val="20"/>
                <w:color w:val="auto"/>
              </w:rPr>
            </w:pPr>
            <w:r>
              <w:rPr>
                <w:rFonts w:ascii="Arial" w:cs="Arial" w:eastAsia="Arial" w:hAnsi="Arial"/>
                <w:sz w:val="18"/>
                <w:szCs w:val="18"/>
                <w:color w:val="auto"/>
              </w:rPr>
              <w:t>License Agreement, by and between Inscripta, Inc. and Century Therapeutics, Inc., dated January 1,</w:t>
            </w:r>
          </w:p>
        </w:tc>
      </w:tr>
      <w:tr>
        <w:trPr>
          <w:trHeight w:val="208"/>
        </w:trPr>
        <w:tc>
          <w:tcPr>
            <w:tcW w:w="88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2019 (incorporated by reference to Exhibit 10.29 to the Company’s Registration Statement on</w:t>
            </w:r>
          </w:p>
        </w:tc>
      </w:tr>
      <w:tr>
        <w:trPr>
          <w:trHeight w:val="245"/>
        </w:trPr>
        <w:tc>
          <w:tcPr>
            <w:tcW w:w="88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Form S-1 (File No. 333-256648), dated May 28, 2021)</w:t>
            </w:r>
          </w:p>
        </w:tc>
      </w:tr>
      <w:tr>
        <w:trPr>
          <w:trHeight w:val="248"/>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9"/>
              </w:rPr>
              <w:t>10.31*</w:t>
            </w:r>
          </w:p>
        </w:tc>
        <w:tc>
          <w:tcPr>
            <w:tcW w:w="8520" w:type="dxa"/>
            <w:vAlign w:val="bottom"/>
          </w:tcPr>
          <w:p>
            <w:pPr>
              <w:ind w:left="300"/>
              <w:spacing w:after="0"/>
              <w:rPr>
                <w:sz w:val="20"/>
                <w:szCs w:val="20"/>
                <w:color w:val="auto"/>
              </w:rPr>
            </w:pPr>
            <w:r>
              <w:rPr>
                <w:rFonts w:ascii="Arial" w:cs="Arial" w:eastAsia="Arial" w:hAnsi="Arial"/>
                <w:sz w:val="18"/>
                <w:szCs w:val="18"/>
                <w:color w:val="auto"/>
              </w:rPr>
              <w:t>Research Collaboration and License Agreement, by and between Century Therapeutics, Inc. and</w:t>
            </w:r>
          </w:p>
        </w:tc>
      </w:tr>
      <w:tr>
        <w:trPr>
          <w:trHeight w:val="208"/>
        </w:trPr>
        <w:tc>
          <w:tcPr>
            <w:tcW w:w="88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Bristol-Myers Squibb Company, dated January 7, 2022 (incorporated by reference to Exhibit 10.31 to</w:t>
            </w:r>
          </w:p>
        </w:tc>
      </w:tr>
      <w:tr>
        <w:trPr>
          <w:trHeight w:val="245"/>
        </w:trPr>
        <w:tc>
          <w:tcPr>
            <w:tcW w:w="88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the Company’s Annual Report on Form 10-K (File No. 001-40498), dated March 17, 2022)</w:t>
            </w:r>
          </w:p>
        </w:tc>
      </w:tr>
      <w:tr>
        <w:trPr>
          <w:trHeight w:val="262"/>
        </w:trPr>
        <w:tc>
          <w:tcPr>
            <w:tcW w:w="880" w:type="dxa"/>
            <w:vAlign w:val="bottom"/>
          </w:tcPr>
          <w:p>
            <w:pPr>
              <w:jc w:val="center"/>
              <w:ind w:right="210"/>
              <w:spacing w:after="0"/>
              <w:rPr>
                <w:sz w:val="20"/>
                <w:szCs w:val="20"/>
                <w:color w:val="auto"/>
              </w:rPr>
            </w:pPr>
            <w:r>
              <w:rPr>
                <w:rFonts w:ascii="Arial" w:cs="Arial" w:eastAsia="Arial" w:hAnsi="Arial"/>
                <w:sz w:val="18"/>
                <w:szCs w:val="18"/>
                <w:color w:val="auto"/>
              </w:rPr>
              <w:t>10.32</w:t>
            </w:r>
            <w:r>
              <w:rPr>
                <w:rFonts w:ascii="Arial" w:cs="Arial" w:eastAsia="Arial" w:hAnsi="Arial"/>
                <w:sz w:val="20"/>
                <w:szCs w:val="20"/>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Executive Employment Agreement, by and between the Registrant and Adrienne Farid, Ph.D., dated</w:t>
            </w:r>
          </w:p>
        </w:tc>
      </w:tr>
      <w:tr>
        <w:trPr>
          <w:trHeight w:val="195"/>
        </w:trPr>
        <w:tc>
          <w:tcPr>
            <w:tcW w:w="880" w:type="dxa"/>
            <w:vAlign w:val="bottom"/>
          </w:tcPr>
          <w:p>
            <w:pPr>
              <w:spacing w:after="0"/>
              <w:rPr>
                <w:sz w:val="16"/>
                <w:szCs w:val="16"/>
                <w:color w:val="auto"/>
              </w:rPr>
            </w:pPr>
          </w:p>
        </w:tc>
        <w:tc>
          <w:tcPr>
            <w:tcW w:w="8520" w:type="dxa"/>
            <w:vAlign w:val="bottom"/>
          </w:tcPr>
          <w:p>
            <w:pPr>
              <w:ind w:left="300"/>
              <w:spacing w:after="0" w:line="195" w:lineRule="exact"/>
              <w:rPr>
                <w:sz w:val="20"/>
                <w:szCs w:val="20"/>
                <w:color w:val="auto"/>
              </w:rPr>
            </w:pPr>
            <w:r>
              <w:rPr>
                <w:rFonts w:ascii="Arial" w:cs="Arial" w:eastAsia="Arial" w:hAnsi="Arial"/>
                <w:sz w:val="18"/>
                <w:szCs w:val="18"/>
                <w:color w:val="auto"/>
              </w:rPr>
              <w:t>May 26, 2021 (incorporated by reference to Exhibit 10.34 to the Company’s Registration Statement on</w:t>
            </w:r>
          </w:p>
        </w:tc>
      </w:tr>
      <w:tr>
        <w:trPr>
          <w:trHeight w:val="245"/>
        </w:trPr>
        <w:tc>
          <w:tcPr>
            <w:tcW w:w="88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Form S-1/A (File No. 333-256648), dated June 14, 2021)</w:t>
            </w:r>
          </w:p>
        </w:tc>
      </w:tr>
      <w:tr>
        <w:trPr>
          <w:trHeight w:val="263"/>
        </w:trPr>
        <w:tc>
          <w:tcPr>
            <w:tcW w:w="880" w:type="dxa"/>
            <w:vAlign w:val="bottom"/>
          </w:tcPr>
          <w:p>
            <w:pPr>
              <w:jc w:val="center"/>
              <w:ind w:right="210"/>
              <w:spacing w:after="0"/>
              <w:rPr>
                <w:sz w:val="20"/>
                <w:szCs w:val="20"/>
                <w:color w:val="auto"/>
              </w:rPr>
            </w:pPr>
            <w:r>
              <w:rPr>
                <w:rFonts w:ascii="Arial" w:cs="Arial" w:eastAsia="Arial" w:hAnsi="Arial"/>
                <w:sz w:val="18"/>
                <w:szCs w:val="18"/>
                <w:color w:val="auto"/>
              </w:rPr>
              <w:t>10.33</w:t>
            </w:r>
            <w:r>
              <w:rPr>
                <w:rFonts w:ascii="Arial" w:cs="Arial" w:eastAsia="Arial" w:hAnsi="Arial"/>
                <w:sz w:val="20"/>
                <w:szCs w:val="20"/>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Executive Employment Agreement, by and between the Registrant and Gregory Russotti, Ph.D., dated</w:t>
            </w:r>
          </w:p>
        </w:tc>
      </w:tr>
      <w:tr>
        <w:trPr>
          <w:trHeight w:val="195"/>
        </w:trPr>
        <w:tc>
          <w:tcPr>
            <w:tcW w:w="880" w:type="dxa"/>
            <w:vAlign w:val="bottom"/>
          </w:tcPr>
          <w:p>
            <w:pPr>
              <w:spacing w:after="0"/>
              <w:rPr>
                <w:sz w:val="16"/>
                <w:szCs w:val="16"/>
                <w:color w:val="auto"/>
              </w:rPr>
            </w:pPr>
          </w:p>
        </w:tc>
        <w:tc>
          <w:tcPr>
            <w:tcW w:w="8520" w:type="dxa"/>
            <w:vAlign w:val="bottom"/>
          </w:tcPr>
          <w:p>
            <w:pPr>
              <w:ind w:left="300"/>
              <w:spacing w:after="0" w:line="195" w:lineRule="exact"/>
              <w:rPr>
                <w:sz w:val="20"/>
                <w:szCs w:val="20"/>
                <w:color w:val="auto"/>
              </w:rPr>
            </w:pPr>
            <w:r>
              <w:rPr>
                <w:rFonts w:ascii="Arial" w:cs="Arial" w:eastAsia="Arial" w:hAnsi="Arial"/>
                <w:sz w:val="18"/>
                <w:szCs w:val="18"/>
                <w:color w:val="auto"/>
              </w:rPr>
              <w:t>May 26, 2021 (incorporated by reference to Exhibit 10.35 to the Company’s Registration Statement on</w:t>
            </w:r>
          </w:p>
        </w:tc>
      </w:tr>
      <w:tr>
        <w:trPr>
          <w:trHeight w:val="245"/>
        </w:trPr>
        <w:tc>
          <w:tcPr>
            <w:tcW w:w="88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Form S-1/A (File No. 333-256648), dated June 14, 2021)</w:t>
            </w:r>
          </w:p>
        </w:tc>
      </w:tr>
      <w:tr>
        <w:trPr>
          <w:trHeight w:val="247"/>
        </w:trPr>
        <w:tc>
          <w:tcPr>
            <w:tcW w:w="880" w:type="dxa"/>
            <w:vAlign w:val="bottom"/>
          </w:tcPr>
          <w:p>
            <w:pPr>
              <w:jc w:val="center"/>
              <w:ind w:right="210"/>
              <w:spacing w:after="0"/>
              <w:rPr>
                <w:sz w:val="20"/>
                <w:szCs w:val="20"/>
                <w:color w:val="auto"/>
              </w:rPr>
            </w:pPr>
            <w:r>
              <w:rPr>
                <w:rFonts w:ascii="Arial" w:cs="Arial" w:eastAsia="Arial" w:hAnsi="Arial"/>
                <w:sz w:val="18"/>
                <w:szCs w:val="18"/>
                <w:color w:val="auto"/>
              </w:rPr>
              <w:t>10.34</w:t>
            </w:r>
          </w:p>
        </w:tc>
        <w:tc>
          <w:tcPr>
            <w:tcW w:w="8520" w:type="dxa"/>
            <w:vAlign w:val="bottom"/>
          </w:tcPr>
          <w:p>
            <w:pPr>
              <w:ind w:left="300"/>
              <w:spacing w:after="0"/>
              <w:rPr>
                <w:sz w:val="20"/>
                <w:szCs w:val="20"/>
                <w:color w:val="auto"/>
              </w:rPr>
            </w:pPr>
            <w:r>
              <w:rPr>
                <w:rFonts w:ascii="Arial" w:cs="Arial" w:eastAsia="Arial" w:hAnsi="Arial"/>
                <w:sz w:val="18"/>
                <w:szCs w:val="18"/>
                <w:color w:val="auto"/>
              </w:rPr>
              <w:t>Sales Agreement, dated as of July 1, 2022, by and between Century Therapeutics, Inc. and Cowen</w:t>
            </w:r>
          </w:p>
        </w:tc>
      </w:tr>
      <w:tr>
        <w:trPr>
          <w:trHeight w:val="209"/>
        </w:trPr>
        <w:tc>
          <w:tcPr>
            <w:tcW w:w="88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and Company, LLC (incorporated by reference to Exhibit 1.2 to the Company’s Registration Statement</w:t>
            </w:r>
          </w:p>
        </w:tc>
      </w:tr>
      <w:tr>
        <w:trPr>
          <w:trHeight w:val="245"/>
        </w:trPr>
        <w:tc>
          <w:tcPr>
            <w:tcW w:w="88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on Form S-3 (File No. 333-265975), dated July 13, 2022)</w:t>
            </w:r>
          </w:p>
        </w:tc>
      </w:tr>
      <w:tr>
        <w:trPr>
          <w:trHeight w:val="261"/>
        </w:trPr>
        <w:tc>
          <w:tcPr>
            <w:tcW w:w="880" w:type="dxa"/>
            <w:vAlign w:val="bottom"/>
          </w:tcPr>
          <w:p>
            <w:pPr>
              <w:jc w:val="center"/>
              <w:ind w:right="210"/>
              <w:spacing w:after="0"/>
              <w:rPr>
                <w:sz w:val="20"/>
                <w:szCs w:val="20"/>
                <w:color w:val="auto"/>
              </w:rPr>
            </w:pPr>
            <w:r>
              <w:rPr>
                <w:rFonts w:ascii="Arial" w:cs="Arial" w:eastAsia="Arial" w:hAnsi="Arial"/>
                <w:sz w:val="18"/>
                <w:szCs w:val="18"/>
                <w:color w:val="auto"/>
              </w:rPr>
              <w:t>10.35</w:t>
            </w:r>
            <w:r>
              <w:rPr>
                <w:rFonts w:ascii="Arial" w:cs="Arial" w:eastAsia="Arial" w:hAnsi="Arial"/>
                <w:sz w:val="20"/>
                <w:szCs w:val="20"/>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Executive Employment Agreement, by and between the Registrant and Brent Pfeiffenberger,</w:t>
            </w:r>
          </w:p>
        </w:tc>
      </w:tr>
      <w:tr>
        <w:trPr>
          <w:trHeight w:val="195"/>
        </w:trPr>
        <w:tc>
          <w:tcPr>
            <w:tcW w:w="880" w:type="dxa"/>
            <w:vAlign w:val="bottom"/>
          </w:tcPr>
          <w:p>
            <w:pPr>
              <w:spacing w:after="0"/>
              <w:rPr>
                <w:sz w:val="16"/>
                <w:szCs w:val="16"/>
                <w:color w:val="auto"/>
              </w:rPr>
            </w:pPr>
          </w:p>
        </w:tc>
        <w:tc>
          <w:tcPr>
            <w:tcW w:w="8520" w:type="dxa"/>
            <w:vAlign w:val="bottom"/>
          </w:tcPr>
          <w:p>
            <w:pPr>
              <w:ind w:left="300"/>
              <w:spacing w:after="0" w:line="195" w:lineRule="exact"/>
              <w:rPr>
                <w:sz w:val="20"/>
                <w:szCs w:val="20"/>
                <w:color w:val="auto"/>
              </w:rPr>
            </w:pPr>
            <w:r>
              <w:rPr>
                <w:rFonts w:ascii="Arial" w:cs="Arial" w:eastAsia="Arial" w:hAnsi="Arial"/>
                <w:sz w:val="18"/>
                <w:szCs w:val="18"/>
                <w:color w:val="auto"/>
              </w:rPr>
              <w:t>Pharm.D., MBA, dated November 7, 2023 (incorporated by reference to Exhibit 10.35 of the</w:t>
            </w:r>
          </w:p>
        </w:tc>
      </w:tr>
      <w:tr>
        <w:trPr>
          <w:trHeight w:val="245"/>
        </w:trPr>
        <w:tc>
          <w:tcPr>
            <w:tcW w:w="88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Company’s Annual Report on Form 10-K (File No. 001-40498) filed on March 14, 2024)</w:t>
            </w:r>
          </w:p>
        </w:tc>
      </w:tr>
      <w:tr>
        <w:trPr>
          <w:trHeight w:val="261"/>
        </w:trPr>
        <w:tc>
          <w:tcPr>
            <w:tcW w:w="880" w:type="dxa"/>
            <w:vAlign w:val="bottom"/>
          </w:tcPr>
          <w:p>
            <w:pPr>
              <w:jc w:val="center"/>
              <w:ind w:right="210"/>
              <w:spacing w:after="0"/>
              <w:rPr>
                <w:sz w:val="20"/>
                <w:szCs w:val="20"/>
                <w:color w:val="auto"/>
              </w:rPr>
            </w:pPr>
            <w:r>
              <w:rPr>
                <w:rFonts w:ascii="Arial" w:cs="Arial" w:eastAsia="Arial" w:hAnsi="Arial"/>
                <w:sz w:val="18"/>
                <w:szCs w:val="18"/>
                <w:color w:val="auto"/>
              </w:rPr>
              <w:t>10.36</w:t>
            </w:r>
            <w:r>
              <w:rPr>
                <w:rFonts w:ascii="Arial" w:cs="Arial" w:eastAsia="Arial" w:hAnsi="Arial"/>
                <w:sz w:val="20"/>
                <w:szCs w:val="20"/>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Executive Employment Agreement, by and between the Registrant and Hyam Levitsky, M.D., dated</w:t>
            </w:r>
          </w:p>
        </w:tc>
      </w:tr>
      <w:tr>
        <w:trPr>
          <w:trHeight w:val="193"/>
        </w:trPr>
        <w:tc>
          <w:tcPr>
            <w:tcW w:w="880" w:type="dxa"/>
            <w:vAlign w:val="bottom"/>
          </w:tcPr>
          <w:p>
            <w:pPr>
              <w:spacing w:after="0"/>
              <w:rPr>
                <w:sz w:val="16"/>
                <w:szCs w:val="16"/>
                <w:color w:val="auto"/>
              </w:rPr>
            </w:pPr>
          </w:p>
        </w:tc>
        <w:tc>
          <w:tcPr>
            <w:tcW w:w="8520" w:type="dxa"/>
            <w:vAlign w:val="bottom"/>
          </w:tcPr>
          <w:p>
            <w:pPr>
              <w:ind w:left="300"/>
              <w:spacing w:after="0" w:line="194" w:lineRule="exact"/>
              <w:rPr>
                <w:sz w:val="20"/>
                <w:szCs w:val="20"/>
                <w:color w:val="auto"/>
              </w:rPr>
            </w:pPr>
            <w:r>
              <w:rPr>
                <w:rFonts w:ascii="Arial" w:cs="Arial" w:eastAsia="Arial" w:hAnsi="Arial"/>
                <w:sz w:val="18"/>
                <w:szCs w:val="18"/>
                <w:color w:val="auto"/>
              </w:rPr>
              <w:t>April 15, 2023 (incorporated by reference to Exhibit 10.1 to the Company’s Quarterly Report on</w:t>
            </w:r>
          </w:p>
        </w:tc>
      </w:tr>
      <w:tr>
        <w:trPr>
          <w:trHeight w:val="206"/>
        </w:trPr>
        <w:tc>
          <w:tcPr>
            <w:tcW w:w="880" w:type="dxa"/>
            <w:vAlign w:val="bottom"/>
          </w:tcPr>
          <w:p>
            <w:pPr>
              <w:spacing w:after="0"/>
              <w:rPr>
                <w:sz w:val="17"/>
                <w:szCs w:val="17"/>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Form 10-Q (File No. 001-40498), dated May 11, 2023)</w:t>
            </w:r>
          </w:p>
        </w:tc>
      </w:tr>
      <w:tr>
        <w:trPr>
          <w:trHeight w:val="221"/>
        </w:trPr>
        <w:tc>
          <w:tcPr>
            <w:tcW w:w="880" w:type="dxa"/>
            <w:vAlign w:val="bottom"/>
          </w:tcPr>
          <w:p>
            <w:pPr>
              <w:jc w:val="center"/>
              <w:ind w:right="210"/>
              <w:spacing w:after="0" w:line="221" w:lineRule="exact"/>
              <w:rPr>
                <w:sz w:val="20"/>
                <w:szCs w:val="20"/>
                <w:color w:val="auto"/>
              </w:rPr>
            </w:pPr>
            <w:r>
              <w:rPr>
                <w:rFonts w:ascii="Arial" w:cs="Arial" w:eastAsia="Arial" w:hAnsi="Arial"/>
                <w:sz w:val="18"/>
                <w:szCs w:val="18"/>
                <w:color w:val="auto"/>
              </w:rPr>
              <w:t>10.37</w:t>
            </w:r>
            <w:r>
              <w:rPr>
                <w:rFonts w:ascii="Arial" w:cs="Arial" w:eastAsia="Arial" w:hAnsi="Arial"/>
                <w:sz w:val="20"/>
                <w:szCs w:val="20"/>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Executive Employment Agreement, dated September 20, 2024, by and between the Company and</w:t>
            </w:r>
          </w:p>
        </w:tc>
      </w:tr>
      <w:tr>
        <w:trPr>
          <w:trHeight w:val="193"/>
        </w:trPr>
        <w:tc>
          <w:tcPr>
            <w:tcW w:w="880" w:type="dxa"/>
            <w:vAlign w:val="bottom"/>
          </w:tcPr>
          <w:p>
            <w:pPr>
              <w:spacing w:after="0"/>
              <w:rPr>
                <w:sz w:val="16"/>
                <w:szCs w:val="16"/>
                <w:color w:val="auto"/>
              </w:rPr>
            </w:pPr>
          </w:p>
        </w:tc>
        <w:tc>
          <w:tcPr>
            <w:tcW w:w="8520" w:type="dxa"/>
            <w:vAlign w:val="bottom"/>
          </w:tcPr>
          <w:p>
            <w:pPr>
              <w:ind w:left="300"/>
              <w:spacing w:after="0" w:line="194" w:lineRule="exact"/>
              <w:rPr>
                <w:sz w:val="20"/>
                <w:szCs w:val="20"/>
                <w:color w:val="auto"/>
              </w:rPr>
            </w:pPr>
            <w:r>
              <w:rPr>
                <w:rFonts w:ascii="Arial" w:cs="Arial" w:eastAsia="Arial" w:hAnsi="Arial"/>
                <w:sz w:val="18"/>
                <w:szCs w:val="18"/>
                <w:color w:val="auto"/>
              </w:rPr>
              <w:t>Morgan Conn (incorporated by reference to Exhibit 10.1 of the Company’s Quarterly Report on</w:t>
            </w:r>
          </w:p>
        </w:tc>
      </w:tr>
      <w:tr>
        <w:trPr>
          <w:trHeight w:val="208"/>
        </w:trPr>
        <w:tc>
          <w:tcPr>
            <w:tcW w:w="88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Form 10-Q (File No. 001-40498) filed on November 05, 2024)</w:t>
            </w:r>
          </w:p>
        </w:tc>
      </w:tr>
      <w:tr>
        <w:trPr>
          <w:trHeight w:val="221"/>
        </w:trPr>
        <w:tc>
          <w:tcPr>
            <w:tcW w:w="880" w:type="dxa"/>
            <w:vAlign w:val="bottom"/>
          </w:tcPr>
          <w:p>
            <w:pPr>
              <w:jc w:val="center"/>
              <w:ind w:right="210"/>
              <w:spacing w:after="0" w:line="221" w:lineRule="exact"/>
              <w:rPr>
                <w:sz w:val="20"/>
                <w:szCs w:val="20"/>
                <w:color w:val="auto"/>
              </w:rPr>
            </w:pPr>
            <w:r>
              <w:rPr>
                <w:rFonts w:ascii="Arial" w:cs="Arial" w:eastAsia="Arial" w:hAnsi="Arial"/>
                <w:sz w:val="18"/>
                <w:szCs w:val="18"/>
                <w:color w:val="auto"/>
              </w:rPr>
              <w:t>10. 38</w:t>
            </w:r>
            <w:r>
              <w:rPr>
                <w:rFonts w:ascii="Arial" w:cs="Arial" w:eastAsia="Arial" w:hAnsi="Arial"/>
                <w:sz w:val="20"/>
                <w:szCs w:val="20"/>
                <w:color w:val="auto"/>
              </w:rPr>
              <w:t>•</w:t>
            </w:r>
          </w:p>
        </w:tc>
        <w:tc>
          <w:tcPr>
            <w:tcW w:w="8520" w:type="dxa"/>
            <w:vAlign w:val="bottom"/>
          </w:tcPr>
          <w:p>
            <w:pPr>
              <w:ind w:left="300"/>
              <w:spacing w:after="0"/>
              <w:rPr>
                <w:sz w:val="20"/>
                <w:szCs w:val="20"/>
                <w:color w:val="auto"/>
              </w:rPr>
            </w:pPr>
            <w:r>
              <w:rPr>
                <w:rFonts w:ascii="Arial" w:cs="Arial" w:eastAsia="Arial" w:hAnsi="Arial"/>
                <w:sz w:val="18"/>
                <w:szCs w:val="18"/>
                <w:color w:val="auto"/>
              </w:rPr>
              <w:t>Executive Employment Agreement, dated September 13, 2024, by and between the Company and</w:t>
            </w:r>
          </w:p>
        </w:tc>
      </w:tr>
      <w:tr>
        <w:trPr>
          <w:trHeight w:val="193"/>
        </w:trPr>
        <w:tc>
          <w:tcPr>
            <w:tcW w:w="880" w:type="dxa"/>
            <w:vAlign w:val="bottom"/>
          </w:tcPr>
          <w:p>
            <w:pPr>
              <w:spacing w:after="0"/>
              <w:rPr>
                <w:sz w:val="16"/>
                <w:szCs w:val="16"/>
                <w:color w:val="auto"/>
              </w:rPr>
            </w:pPr>
          </w:p>
        </w:tc>
        <w:tc>
          <w:tcPr>
            <w:tcW w:w="8520" w:type="dxa"/>
            <w:vAlign w:val="bottom"/>
          </w:tcPr>
          <w:p>
            <w:pPr>
              <w:ind w:left="300"/>
              <w:spacing w:after="0" w:line="194" w:lineRule="exact"/>
              <w:rPr>
                <w:sz w:val="20"/>
                <w:szCs w:val="20"/>
                <w:color w:val="auto"/>
              </w:rPr>
            </w:pPr>
            <w:r>
              <w:rPr>
                <w:rFonts w:ascii="Arial" w:cs="Arial" w:eastAsia="Arial" w:hAnsi="Arial"/>
                <w:sz w:val="18"/>
                <w:szCs w:val="18"/>
                <w:color w:val="auto"/>
              </w:rPr>
              <w:t>Chad Cowan (incorporated by reference to Exhibit 10.2 of the Company’s Quarterly Report on</w:t>
            </w:r>
          </w:p>
        </w:tc>
      </w:tr>
      <w:tr>
        <w:trPr>
          <w:trHeight w:val="206"/>
        </w:trPr>
        <w:tc>
          <w:tcPr>
            <w:tcW w:w="880" w:type="dxa"/>
            <w:vAlign w:val="bottom"/>
          </w:tcPr>
          <w:p>
            <w:pPr>
              <w:spacing w:after="0"/>
              <w:rPr>
                <w:sz w:val="17"/>
                <w:szCs w:val="17"/>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Form 10-Q (File No. 001-40498) filed on November 05, 2024</w:t>
            </w:r>
          </w:p>
        </w:tc>
      </w:tr>
      <w:tr>
        <w:trPr>
          <w:trHeight w:val="208"/>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9"/>
              </w:rPr>
              <w:t>10.39*</w:t>
            </w:r>
          </w:p>
        </w:tc>
        <w:tc>
          <w:tcPr>
            <w:tcW w:w="8520" w:type="dxa"/>
            <w:vAlign w:val="bottom"/>
          </w:tcPr>
          <w:p>
            <w:pPr>
              <w:ind w:left="300"/>
              <w:spacing w:after="0"/>
              <w:rPr>
                <w:sz w:val="20"/>
                <w:szCs w:val="20"/>
                <w:color w:val="auto"/>
              </w:rPr>
            </w:pPr>
            <w:r>
              <w:rPr>
                <w:rFonts w:ascii="Arial" w:cs="Arial" w:eastAsia="Arial" w:hAnsi="Arial"/>
                <w:sz w:val="18"/>
                <w:szCs w:val="18"/>
                <w:color w:val="auto"/>
              </w:rPr>
              <w:t>Second Amendment to License Agreement (Reprogramming), by and between Century Therapeutics,</w:t>
            </w:r>
          </w:p>
        </w:tc>
      </w:tr>
      <w:tr>
        <w:trPr>
          <w:trHeight w:val="206"/>
        </w:trPr>
        <w:tc>
          <w:tcPr>
            <w:tcW w:w="880" w:type="dxa"/>
            <w:vAlign w:val="bottom"/>
          </w:tcPr>
          <w:p>
            <w:pPr>
              <w:spacing w:after="0"/>
              <w:rPr>
                <w:sz w:val="17"/>
                <w:szCs w:val="17"/>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Inc. and FUJIFILM Cellular Dynamics Inc., dated September 22, 2023 (incorporated by reference to</w:t>
            </w:r>
          </w:p>
        </w:tc>
      </w:tr>
      <w:tr>
        <w:trPr>
          <w:trHeight w:val="208"/>
        </w:trPr>
        <w:tc>
          <w:tcPr>
            <w:tcW w:w="88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Exhibit 10.1 to the Company’s Quarterly Report on Form 10-Q (File No. 001-404098), dated</w:t>
            </w:r>
          </w:p>
        </w:tc>
      </w:tr>
      <w:tr>
        <w:trPr>
          <w:trHeight w:val="206"/>
        </w:trPr>
        <w:tc>
          <w:tcPr>
            <w:tcW w:w="880" w:type="dxa"/>
            <w:vAlign w:val="bottom"/>
          </w:tcPr>
          <w:p>
            <w:pPr>
              <w:spacing w:after="0"/>
              <w:rPr>
                <w:sz w:val="17"/>
                <w:szCs w:val="17"/>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November 9, 2023)</w:t>
            </w:r>
          </w:p>
        </w:tc>
      </w:tr>
      <w:tr>
        <w:trPr>
          <w:trHeight w:val="208"/>
        </w:trPr>
        <w:tc>
          <w:tcPr>
            <w:tcW w:w="880" w:type="dxa"/>
            <w:vAlign w:val="bottom"/>
          </w:tcPr>
          <w:p>
            <w:pPr>
              <w:jc w:val="center"/>
              <w:ind w:right="210"/>
              <w:spacing w:after="0"/>
              <w:rPr>
                <w:sz w:val="20"/>
                <w:szCs w:val="20"/>
                <w:color w:val="auto"/>
              </w:rPr>
            </w:pPr>
            <w:r>
              <w:rPr>
                <w:rFonts w:ascii="Arial" w:cs="Arial" w:eastAsia="Arial" w:hAnsi="Arial"/>
                <w:sz w:val="18"/>
                <w:szCs w:val="18"/>
                <w:color w:val="auto"/>
              </w:rPr>
              <w:t>10.40</w:t>
            </w:r>
          </w:p>
        </w:tc>
        <w:tc>
          <w:tcPr>
            <w:tcW w:w="8520" w:type="dxa"/>
            <w:vAlign w:val="bottom"/>
          </w:tcPr>
          <w:p>
            <w:pPr>
              <w:ind w:left="300"/>
              <w:spacing w:after="0"/>
              <w:rPr>
                <w:sz w:val="20"/>
                <w:szCs w:val="20"/>
                <w:color w:val="auto"/>
              </w:rPr>
            </w:pPr>
            <w:r>
              <w:rPr>
                <w:rFonts w:ascii="Arial" w:cs="Arial" w:eastAsia="Arial" w:hAnsi="Arial"/>
                <w:sz w:val="18"/>
                <w:szCs w:val="18"/>
                <w:color w:val="auto"/>
              </w:rPr>
              <w:t>Amendment No. 5 to Master Collaboration Agreement, by and between Century Therapeutics, Inc. and</w:t>
            </w:r>
          </w:p>
        </w:tc>
      </w:tr>
      <w:tr>
        <w:trPr>
          <w:trHeight w:val="208"/>
        </w:trPr>
        <w:tc>
          <w:tcPr>
            <w:tcW w:w="88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w w:val="99"/>
              </w:rPr>
              <w:t>FUJIFILM Cellular Dynamics Inc., dated September 22, 2023 (incorporated by reference to Exhibit 10.2</w:t>
            </w:r>
          </w:p>
        </w:tc>
      </w:tr>
      <w:tr>
        <w:trPr>
          <w:trHeight w:val="245"/>
        </w:trPr>
        <w:tc>
          <w:tcPr>
            <w:tcW w:w="88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to the Company’s Quarterly Report on Form 10-Q (File No. 001-404098), dated November 9, 2023)</w:t>
            </w:r>
          </w:p>
        </w:tc>
      </w:tr>
      <w:tr>
        <w:trPr>
          <w:trHeight w:val="248"/>
        </w:trPr>
        <w:tc>
          <w:tcPr>
            <w:tcW w:w="880" w:type="dxa"/>
            <w:vAlign w:val="bottom"/>
          </w:tcPr>
          <w:p>
            <w:pPr>
              <w:jc w:val="center"/>
              <w:ind w:right="210"/>
              <w:spacing w:after="0"/>
              <w:rPr>
                <w:sz w:val="20"/>
                <w:szCs w:val="20"/>
                <w:color w:val="auto"/>
              </w:rPr>
            </w:pPr>
            <w:r>
              <w:rPr>
                <w:rFonts w:ascii="Arial" w:cs="Arial" w:eastAsia="Arial" w:hAnsi="Arial"/>
                <w:sz w:val="18"/>
                <w:szCs w:val="18"/>
                <w:color w:val="auto"/>
              </w:rPr>
              <w:t>10.41</w:t>
            </w:r>
          </w:p>
        </w:tc>
        <w:tc>
          <w:tcPr>
            <w:tcW w:w="8520" w:type="dxa"/>
            <w:vAlign w:val="bottom"/>
          </w:tcPr>
          <w:p>
            <w:pPr>
              <w:ind w:left="300"/>
              <w:spacing w:after="0"/>
              <w:rPr>
                <w:sz w:val="20"/>
                <w:szCs w:val="20"/>
                <w:color w:val="auto"/>
              </w:rPr>
            </w:pPr>
            <w:r>
              <w:rPr>
                <w:rFonts w:ascii="Arial" w:cs="Arial" w:eastAsia="Arial" w:hAnsi="Arial"/>
                <w:sz w:val="18"/>
                <w:szCs w:val="18"/>
                <w:color w:val="auto"/>
              </w:rPr>
              <w:t>Second Amendment to License Agreement (Differentiation), by and between Century Therapeutics,</w:t>
            </w:r>
          </w:p>
        </w:tc>
      </w:tr>
      <w:tr>
        <w:trPr>
          <w:trHeight w:val="206"/>
        </w:trPr>
        <w:tc>
          <w:tcPr>
            <w:tcW w:w="880" w:type="dxa"/>
            <w:vAlign w:val="bottom"/>
          </w:tcPr>
          <w:p>
            <w:pPr>
              <w:spacing w:after="0"/>
              <w:rPr>
                <w:sz w:val="17"/>
                <w:szCs w:val="17"/>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Inc. and FUJIFILM Cellular Dynamics Inc., dated September 22, 2023 (incorporated by reference to</w:t>
            </w:r>
          </w:p>
        </w:tc>
      </w:tr>
      <w:tr>
        <w:trPr>
          <w:trHeight w:val="209"/>
        </w:trPr>
        <w:tc>
          <w:tcPr>
            <w:tcW w:w="88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Exhibit 10.3 to the Company’s Quarterly Report on Form 10-Q (File No. 001-404098), dated</w:t>
            </w:r>
          </w:p>
        </w:tc>
      </w:tr>
      <w:tr>
        <w:trPr>
          <w:trHeight w:val="245"/>
        </w:trPr>
        <w:tc>
          <w:tcPr>
            <w:tcW w:w="88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November 9, 2023)</w:t>
            </w:r>
          </w:p>
        </w:tc>
      </w:tr>
      <w:tr>
        <w:trPr>
          <w:trHeight w:val="247"/>
        </w:trPr>
        <w:tc>
          <w:tcPr>
            <w:tcW w:w="880" w:type="dxa"/>
            <w:vAlign w:val="bottom"/>
          </w:tcPr>
          <w:p>
            <w:pPr>
              <w:jc w:val="center"/>
              <w:ind w:right="190"/>
              <w:spacing w:after="0"/>
              <w:rPr>
                <w:sz w:val="20"/>
                <w:szCs w:val="20"/>
                <w:color w:val="auto"/>
              </w:rPr>
            </w:pPr>
            <w:r>
              <w:rPr>
                <w:rFonts w:ascii="Arial" w:cs="Arial" w:eastAsia="Arial" w:hAnsi="Arial"/>
                <w:sz w:val="18"/>
                <w:szCs w:val="18"/>
                <w:color w:val="auto"/>
                <w:w w:val="99"/>
              </w:rPr>
              <w:t>10.42*</w:t>
            </w:r>
          </w:p>
        </w:tc>
        <w:tc>
          <w:tcPr>
            <w:tcW w:w="8520" w:type="dxa"/>
            <w:vAlign w:val="bottom"/>
          </w:tcPr>
          <w:p>
            <w:pPr>
              <w:ind w:left="300"/>
              <w:spacing w:after="0"/>
              <w:rPr>
                <w:sz w:val="20"/>
                <w:szCs w:val="20"/>
                <w:color w:val="auto"/>
              </w:rPr>
            </w:pPr>
            <w:r>
              <w:rPr>
                <w:rFonts w:ascii="Arial" w:cs="Arial" w:eastAsia="Arial" w:hAnsi="Arial"/>
                <w:sz w:val="18"/>
                <w:szCs w:val="18"/>
                <w:color w:val="auto"/>
              </w:rPr>
              <w:t>License Agreement by and between Century Therapeutics, Inc. and FUJIFILM Cellular Dynamics, Inc.,</w:t>
            </w:r>
          </w:p>
        </w:tc>
      </w:tr>
      <w:tr>
        <w:trPr>
          <w:trHeight w:val="209"/>
        </w:trPr>
        <w:tc>
          <w:tcPr>
            <w:tcW w:w="880" w:type="dxa"/>
            <w:vAlign w:val="bottom"/>
          </w:tcPr>
          <w:p>
            <w:pPr>
              <w:spacing w:after="0"/>
              <w:rPr>
                <w:sz w:val="18"/>
                <w:szCs w:val="18"/>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dated September 22, 2023 (incorporated by reference to Exhibit 10.40 to the Company’s Annual</w:t>
            </w:r>
          </w:p>
        </w:tc>
      </w:tr>
      <w:tr>
        <w:trPr>
          <w:trHeight w:val="245"/>
        </w:trPr>
        <w:tc>
          <w:tcPr>
            <w:tcW w:w="880" w:type="dxa"/>
            <w:vAlign w:val="bottom"/>
          </w:tcPr>
          <w:p>
            <w:pPr>
              <w:spacing w:after="0"/>
              <w:rPr>
                <w:sz w:val="21"/>
                <w:szCs w:val="21"/>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Report on Form 10-K (File No. 001-40498), dated March 14, 2024).</w:t>
            </w:r>
          </w:p>
        </w:tc>
      </w:tr>
      <w:tr>
        <w:trPr>
          <w:trHeight w:val="287"/>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96"/>
              </w:rPr>
              <w:t>19.1</w:t>
            </w:r>
          </w:p>
        </w:tc>
        <w:tc>
          <w:tcPr>
            <w:tcW w:w="8520" w:type="dxa"/>
            <w:vAlign w:val="bottom"/>
          </w:tcPr>
          <w:p>
            <w:pPr>
              <w:ind w:left="300"/>
              <w:spacing w:after="0"/>
              <w:rPr>
                <w:sz w:val="20"/>
                <w:szCs w:val="20"/>
                <w:color w:val="auto"/>
              </w:rPr>
            </w:pPr>
            <w:r>
              <w:rPr>
                <w:rFonts w:ascii="Arial" w:cs="Arial" w:eastAsia="Arial" w:hAnsi="Arial"/>
                <w:sz w:val="18"/>
                <w:szCs w:val="18"/>
                <w:color w:val="auto"/>
              </w:rPr>
              <w:t>Century Therapeutics, Inc. Insider Trading Policy</w:t>
            </w:r>
          </w:p>
        </w:tc>
      </w:tr>
      <w:tr>
        <w:trPr>
          <w:trHeight w:val="287"/>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96"/>
              </w:rPr>
              <w:t>21.1</w:t>
            </w:r>
          </w:p>
        </w:tc>
        <w:tc>
          <w:tcPr>
            <w:tcW w:w="8520" w:type="dxa"/>
            <w:vAlign w:val="bottom"/>
          </w:tcPr>
          <w:p>
            <w:pPr>
              <w:ind w:left="300"/>
              <w:spacing w:after="0"/>
              <w:rPr>
                <w:sz w:val="20"/>
                <w:szCs w:val="20"/>
                <w:color w:val="auto"/>
              </w:rPr>
            </w:pPr>
            <w:r>
              <w:rPr>
                <w:rFonts w:ascii="Arial" w:cs="Arial" w:eastAsia="Arial" w:hAnsi="Arial"/>
                <w:sz w:val="18"/>
                <w:szCs w:val="18"/>
                <w:color w:val="auto"/>
              </w:rPr>
              <w:t>Subsidiaries of the Registrant</w:t>
            </w:r>
          </w:p>
        </w:tc>
      </w:tr>
      <w:tr>
        <w:trPr>
          <w:trHeight w:val="287"/>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96"/>
              </w:rPr>
              <w:t>23.1</w:t>
            </w:r>
          </w:p>
        </w:tc>
        <w:tc>
          <w:tcPr>
            <w:tcW w:w="8520" w:type="dxa"/>
            <w:vAlign w:val="bottom"/>
          </w:tcPr>
          <w:p>
            <w:pPr>
              <w:ind w:left="300"/>
              <w:spacing w:after="0"/>
              <w:rPr>
                <w:sz w:val="20"/>
                <w:szCs w:val="20"/>
                <w:color w:val="auto"/>
              </w:rPr>
            </w:pPr>
            <w:r>
              <w:rPr>
                <w:rFonts w:ascii="Arial" w:cs="Arial" w:eastAsia="Arial" w:hAnsi="Arial"/>
                <w:sz w:val="18"/>
                <w:szCs w:val="18"/>
                <w:color w:val="auto"/>
              </w:rPr>
              <w:t>Consent of Ernst &amp; Young LLP, an Independent Registered Public Accounting Firm</w:t>
            </w:r>
          </w:p>
        </w:tc>
      </w:tr>
      <w:tr>
        <w:trPr>
          <w:trHeight w:val="288"/>
        </w:trPr>
        <w:tc>
          <w:tcPr>
            <w:tcW w:w="880" w:type="dxa"/>
            <w:vAlign w:val="bottom"/>
          </w:tcPr>
          <w:p>
            <w:pPr>
              <w:jc w:val="center"/>
              <w:ind w:right="210"/>
              <w:spacing w:after="0"/>
              <w:rPr>
                <w:sz w:val="20"/>
                <w:szCs w:val="20"/>
                <w:color w:val="auto"/>
              </w:rPr>
            </w:pPr>
            <w:r>
              <w:rPr>
                <w:rFonts w:ascii="Arial" w:cs="Arial" w:eastAsia="Arial" w:hAnsi="Arial"/>
                <w:sz w:val="18"/>
                <w:szCs w:val="18"/>
                <w:color w:val="auto"/>
                <w:w w:val="96"/>
              </w:rPr>
              <w:t>31.1</w:t>
            </w:r>
          </w:p>
        </w:tc>
        <w:tc>
          <w:tcPr>
            <w:tcW w:w="8520" w:type="dxa"/>
            <w:vAlign w:val="bottom"/>
          </w:tcPr>
          <w:p>
            <w:pPr>
              <w:ind w:left="300"/>
              <w:spacing w:after="0"/>
              <w:rPr>
                <w:sz w:val="20"/>
                <w:szCs w:val="20"/>
                <w:color w:val="auto"/>
              </w:rPr>
            </w:pPr>
            <w:r>
              <w:rPr>
                <w:rFonts w:ascii="Arial" w:cs="Arial" w:eastAsia="Arial" w:hAnsi="Arial"/>
                <w:sz w:val="18"/>
                <w:szCs w:val="18"/>
                <w:color w:val="auto"/>
              </w:rPr>
              <w:t>Rule 13a-14(a)/15d-14(a) certification of Principal Executive Officer</w:t>
            </w:r>
          </w:p>
        </w:tc>
      </w:tr>
    </w:tbl>
    <w:p>
      <w:pPr>
        <w:spacing w:after="0" w:line="200" w:lineRule="exact"/>
        <w:rPr>
          <w:sz w:val="20"/>
          <w:szCs w:val="20"/>
          <w:color w:val="auto"/>
        </w:rPr>
      </w:pPr>
    </w:p>
    <w:p>
      <w:pPr>
        <w:sectPr>
          <w:pgSz w:w="11880" w:h="15480" w:orient="portrait"/>
          <w:cols w:equalWidth="0" w:num="1">
            <w:col w:w="9400"/>
          </w:cols>
          <w:pgMar w:left="1380" w:top="1067" w:right="1100" w:bottom="554"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280"/>
        <w:spacing w:after="0"/>
        <w:rPr>
          <w:sz w:val="20"/>
          <w:szCs w:val="20"/>
          <w:color w:val="auto"/>
        </w:rPr>
      </w:pPr>
      <w:r>
        <w:rPr>
          <w:rFonts w:ascii="Arial" w:cs="Arial" w:eastAsia="Arial" w:hAnsi="Arial"/>
          <w:sz w:val="19"/>
          <w:szCs w:val="19"/>
          <w:color w:val="auto"/>
        </w:rPr>
        <w:t>170</w:t>
      </w:r>
    </w:p>
    <w:p>
      <w:pPr>
        <w:sectPr>
          <w:pgSz w:w="11880" w:h="15480" w:orient="portrait"/>
          <w:cols w:equalWidth="0" w:num="1">
            <w:col w:w="9400"/>
          </w:cols>
          <w:pgMar w:left="1380" w:top="1067" w:right="1100" w:bottom="554" w:gutter="0" w:footer="0" w:header="0"/>
          <w:type w:val="continuous"/>
        </w:sectPr>
      </w:pPr>
    </w:p>
    <w:bookmarkStart w:id="170" w:name="page171"/>
    <w:bookmarkEnd w:id="170"/>
    <w:tbl>
      <w:tblPr>
        <w:tblLayout w:type="fixed"/>
        <w:tblInd w:w="220" w:type="dxa"/>
        <w:tblCellMar>
          <w:top w:w="0" w:type="dxa"/>
          <w:left w:w="0" w:type="dxa"/>
          <w:bottom w:w="0" w:type="dxa"/>
          <w:right w:w="0" w:type="dxa"/>
        </w:tblCellMar>
      </w:tblPr>
      <w:tr>
        <w:trPr>
          <w:trHeight w:val="245"/>
        </w:trPr>
        <w:tc>
          <w:tcPr>
            <w:tcW w:w="1000" w:type="dxa"/>
            <w:vAlign w:val="bottom"/>
          </w:tcPr>
          <w:p>
            <w:pPr>
              <w:jc w:val="center"/>
              <w:ind w:right="170"/>
              <w:spacing w:after="0"/>
              <w:rPr>
                <w:sz w:val="20"/>
                <w:szCs w:val="20"/>
                <w:color w:val="auto"/>
              </w:rPr>
            </w:pPr>
            <w:r>
              <w:rPr>
                <w:rFonts w:ascii="Arial" w:cs="Arial" w:eastAsia="Arial" w:hAnsi="Arial"/>
                <w:sz w:val="18"/>
                <w:szCs w:val="18"/>
                <w:color w:val="auto"/>
                <w:w w:val="96"/>
              </w:rPr>
              <w:t>31.2</w:t>
            </w:r>
          </w:p>
        </w:tc>
        <w:tc>
          <w:tcPr>
            <w:tcW w:w="8340" w:type="dxa"/>
            <w:vAlign w:val="bottom"/>
          </w:tcPr>
          <w:p>
            <w:pPr>
              <w:ind w:left="260"/>
              <w:spacing w:after="0"/>
              <w:rPr>
                <w:sz w:val="20"/>
                <w:szCs w:val="20"/>
                <w:color w:val="auto"/>
              </w:rPr>
            </w:pPr>
            <w:r>
              <w:rPr>
                <w:rFonts w:ascii="Arial" w:cs="Arial" w:eastAsia="Arial" w:hAnsi="Arial"/>
                <w:sz w:val="18"/>
                <w:szCs w:val="18"/>
                <w:color w:val="auto"/>
              </w:rPr>
              <w:t>Rule 13a-14(a)/15d-14(a) certification of Principal Financial Officer</w:t>
            </w:r>
          </w:p>
        </w:tc>
      </w:tr>
      <w:tr>
        <w:trPr>
          <w:trHeight w:val="248"/>
        </w:trPr>
        <w:tc>
          <w:tcPr>
            <w:tcW w:w="1000" w:type="dxa"/>
            <w:vAlign w:val="bottom"/>
          </w:tcPr>
          <w:p>
            <w:pPr>
              <w:jc w:val="center"/>
              <w:ind w:right="170"/>
              <w:spacing w:after="0"/>
              <w:rPr>
                <w:sz w:val="20"/>
                <w:szCs w:val="20"/>
                <w:color w:val="auto"/>
              </w:rPr>
            </w:pPr>
            <w:r>
              <w:rPr>
                <w:rFonts w:ascii="Arial" w:cs="Arial" w:eastAsia="Arial" w:hAnsi="Arial"/>
                <w:sz w:val="18"/>
                <w:szCs w:val="18"/>
                <w:color w:val="auto"/>
                <w:w w:val="96"/>
              </w:rPr>
              <w:t>32.1</w:t>
            </w:r>
          </w:p>
        </w:tc>
        <w:tc>
          <w:tcPr>
            <w:tcW w:w="8340" w:type="dxa"/>
            <w:vAlign w:val="bottom"/>
          </w:tcPr>
          <w:p>
            <w:pPr>
              <w:ind w:left="260"/>
              <w:spacing w:after="0"/>
              <w:rPr>
                <w:sz w:val="20"/>
                <w:szCs w:val="20"/>
                <w:color w:val="auto"/>
              </w:rPr>
            </w:pPr>
            <w:r>
              <w:rPr>
                <w:rFonts w:ascii="Arial" w:cs="Arial" w:eastAsia="Arial" w:hAnsi="Arial"/>
                <w:sz w:val="18"/>
                <w:szCs w:val="18"/>
                <w:color w:val="auto"/>
              </w:rPr>
              <w:t>Certification of Chief Executive Officer pursuant to 18 U.S.C. Section 1350 certification, as adopted</w:t>
            </w:r>
          </w:p>
        </w:tc>
      </w:tr>
      <w:tr>
        <w:trPr>
          <w:trHeight w:val="245"/>
        </w:trPr>
        <w:tc>
          <w:tcPr>
            <w:tcW w:w="1000" w:type="dxa"/>
            <w:vAlign w:val="bottom"/>
          </w:tcPr>
          <w:p>
            <w:pPr>
              <w:spacing w:after="0"/>
              <w:rPr>
                <w:sz w:val="21"/>
                <w:szCs w:val="21"/>
                <w:color w:val="auto"/>
              </w:rPr>
            </w:pPr>
          </w:p>
        </w:tc>
        <w:tc>
          <w:tcPr>
            <w:tcW w:w="8340" w:type="dxa"/>
            <w:vAlign w:val="bottom"/>
          </w:tcPr>
          <w:p>
            <w:pPr>
              <w:ind w:left="26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249"/>
        </w:trPr>
        <w:tc>
          <w:tcPr>
            <w:tcW w:w="1000" w:type="dxa"/>
            <w:vAlign w:val="bottom"/>
          </w:tcPr>
          <w:p>
            <w:pPr>
              <w:jc w:val="center"/>
              <w:ind w:right="170"/>
              <w:spacing w:after="0"/>
              <w:rPr>
                <w:sz w:val="20"/>
                <w:szCs w:val="20"/>
                <w:color w:val="auto"/>
              </w:rPr>
            </w:pPr>
            <w:r>
              <w:rPr>
                <w:rFonts w:ascii="Arial" w:cs="Arial" w:eastAsia="Arial" w:hAnsi="Arial"/>
                <w:sz w:val="18"/>
                <w:szCs w:val="18"/>
                <w:color w:val="auto"/>
                <w:w w:val="96"/>
              </w:rPr>
              <w:t>32.2</w:t>
            </w:r>
          </w:p>
        </w:tc>
        <w:tc>
          <w:tcPr>
            <w:tcW w:w="8340" w:type="dxa"/>
            <w:vAlign w:val="bottom"/>
          </w:tcPr>
          <w:p>
            <w:pPr>
              <w:ind w:left="260"/>
              <w:spacing w:after="0"/>
              <w:rPr>
                <w:sz w:val="20"/>
                <w:szCs w:val="20"/>
                <w:color w:val="auto"/>
              </w:rPr>
            </w:pPr>
            <w:r>
              <w:rPr>
                <w:rFonts w:ascii="Arial" w:cs="Arial" w:eastAsia="Arial" w:hAnsi="Arial"/>
                <w:sz w:val="18"/>
                <w:szCs w:val="18"/>
                <w:color w:val="auto"/>
                <w:w w:val="99"/>
              </w:rPr>
              <w:t>Certification of Principal Financial Officer pursuant to 18 U.S.C. Section 1350 certification, as adopted</w:t>
            </w:r>
          </w:p>
        </w:tc>
      </w:tr>
      <w:tr>
        <w:trPr>
          <w:trHeight w:val="245"/>
        </w:trPr>
        <w:tc>
          <w:tcPr>
            <w:tcW w:w="1000" w:type="dxa"/>
            <w:vAlign w:val="bottom"/>
          </w:tcPr>
          <w:p>
            <w:pPr>
              <w:spacing w:after="0"/>
              <w:rPr>
                <w:sz w:val="21"/>
                <w:szCs w:val="21"/>
                <w:color w:val="auto"/>
              </w:rPr>
            </w:pPr>
          </w:p>
        </w:tc>
        <w:tc>
          <w:tcPr>
            <w:tcW w:w="8340" w:type="dxa"/>
            <w:vAlign w:val="bottom"/>
          </w:tcPr>
          <w:p>
            <w:pPr>
              <w:ind w:left="26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250"/>
        </w:trPr>
        <w:tc>
          <w:tcPr>
            <w:tcW w:w="1000" w:type="dxa"/>
            <w:vAlign w:val="bottom"/>
          </w:tcPr>
          <w:p>
            <w:pPr>
              <w:jc w:val="center"/>
              <w:ind w:right="170"/>
              <w:spacing w:after="0"/>
              <w:rPr>
                <w:sz w:val="20"/>
                <w:szCs w:val="20"/>
                <w:color w:val="auto"/>
              </w:rPr>
            </w:pPr>
            <w:r>
              <w:rPr>
                <w:rFonts w:ascii="Arial" w:cs="Arial" w:eastAsia="Arial" w:hAnsi="Arial"/>
                <w:sz w:val="18"/>
                <w:szCs w:val="18"/>
                <w:color w:val="auto"/>
                <w:w w:val="96"/>
              </w:rPr>
              <w:t>97.1</w:t>
            </w:r>
          </w:p>
        </w:tc>
        <w:tc>
          <w:tcPr>
            <w:tcW w:w="8340" w:type="dxa"/>
            <w:vAlign w:val="bottom"/>
          </w:tcPr>
          <w:p>
            <w:pPr>
              <w:ind w:left="260"/>
              <w:spacing w:after="0"/>
              <w:rPr>
                <w:sz w:val="20"/>
                <w:szCs w:val="20"/>
                <w:color w:val="auto"/>
              </w:rPr>
            </w:pPr>
            <w:r>
              <w:rPr>
                <w:rFonts w:ascii="Arial" w:cs="Arial" w:eastAsia="Arial" w:hAnsi="Arial"/>
                <w:sz w:val="18"/>
                <w:szCs w:val="18"/>
                <w:color w:val="auto"/>
              </w:rPr>
              <w:t>Century Therapeutics, Inc. Compensation Recovery Policy (incorporated by reference to Exhibit 97.1</w:t>
            </w:r>
          </w:p>
        </w:tc>
      </w:tr>
      <w:tr>
        <w:trPr>
          <w:trHeight w:val="245"/>
        </w:trPr>
        <w:tc>
          <w:tcPr>
            <w:tcW w:w="1000" w:type="dxa"/>
            <w:vAlign w:val="bottom"/>
          </w:tcPr>
          <w:p>
            <w:pPr>
              <w:spacing w:after="0"/>
              <w:rPr>
                <w:sz w:val="21"/>
                <w:szCs w:val="21"/>
                <w:color w:val="auto"/>
              </w:rPr>
            </w:pPr>
          </w:p>
        </w:tc>
        <w:tc>
          <w:tcPr>
            <w:tcW w:w="8340" w:type="dxa"/>
            <w:vAlign w:val="bottom"/>
          </w:tcPr>
          <w:p>
            <w:pPr>
              <w:ind w:left="260"/>
              <w:spacing w:after="0"/>
              <w:rPr>
                <w:sz w:val="20"/>
                <w:szCs w:val="20"/>
                <w:color w:val="auto"/>
              </w:rPr>
            </w:pPr>
            <w:r>
              <w:rPr>
                <w:rFonts w:ascii="Arial" w:cs="Arial" w:eastAsia="Arial" w:hAnsi="Arial"/>
                <w:sz w:val="18"/>
                <w:szCs w:val="18"/>
                <w:color w:val="auto"/>
              </w:rPr>
              <w:t>to the Company’s Annual Report on Form 10-K (File No. 001-40498), dated March 14, 2024).</w:t>
            </w:r>
          </w:p>
        </w:tc>
      </w:tr>
      <w:tr>
        <w:trPr>
          <w:trHeight w:val="287"/>
        </w:trPr>
        <w:tc>
          <w:tcPr>
            <w:tcW w:w="1000" w:type="dxa"/>
            <w:vAlign w:val="bottom"/>
          </w:tcPr>
          <w:p>
            <w:pPr>
              <w:jc w:val="center"/>
              <w:ind w:right="170"/>
              <w:spacing w:after="0"/>
              <w:rPr>
                <w:sz w:val="20"/>
                <w:szCs w:val="20"/>
                <w:color w:val="auto"/>
              </w:rPr>
            </w:pPr>
            <w:r>
              <w:rPr>
                <w:rFonts w:ascii="Arial" w:cs="Arial" w:eastAsia="Arial" w:hAnsi="Arial"/>
                <w:sz w:val="18"/>
                <w:szCs w:val="18"/>
                <w:color w:val="auto"/>
              </w:rPr>
              <w:t>101 INS</w:t>
            </w:r>
          </w:p>
        </w:tc>
        <w:tc>
          <w:tcPr>
            <w:tcW w:w="8340" w:type="dxa"/>
            <w:vAlign w:val="bottom"/>
          </w:tcPr>
          <w:p>
            <w:pPr>
              <w:ind w:left="260"/>
              <w:spacing w:after="0"/>
              <w:rPr>
                <w:sz w:val="20"/>
                <w:szCs w:val="20"/>
                <w:color w:val="auto"/>
              </w:rPr>
            </w:pPr>
            <w:r>
              <w:rPr>
                <w:rFonts w:ascii="Arial" w:cs="Arial" w:eastAsia="Arial" w:hAnsi="Arial"/>
                <w:sz w:val="18"/>
                <w:szCs w:val="18"/>
                <w:color w:val="auto"/>
              </w:rPr>
              <w:t>Inline XBRL Instance Document</w:t>
            </w:r>
          </w:p>
        </w:tc>
      </w:tr>
      <w:tr>
        <w:trPr>
          <w:trHeight w:val="287"/>
        </w:trPr>
        <w:tc>
          <w:tcPr>
            <w:tcW w:w="1000" w:type="dxa"/>
            <w:vAlign w:val="bottom"/>
          </w:tcPr>
          <w:p>
            <w:pPr>
              <w:jc w:val="center"/>
              <w:ind w:right="170"/>
              <w:spacing w:after="0"/>
              <w:rPr>
                <w:sz w:val="20"/>
                <w:szCs w:val="20"/>
                <w:color w:val="auto"/>
              </w:rPr>
            </w:pPr>
            <w:r>
              <w:rPr>
                <w:rFonts w:ascii="Arial" w:cs="Arial" w:eastAsia="Arial" w:hAnsi="Arial"/>
                <w:sz w:val="18"/>
                <w:szCs w:val="18"/>
                <w:color w:val="auto"/>
              </w:rPr>
              <w:t>101 SCH</w:t>
            </w:r>
          </w:p>
        </w:tc>
        <w:tc>
          <w:tcPr>
            <w:tcW w:w="8340" w:type="dxa"/>
            <w:vAlign w:val="bottom"/>
          </w:tcPr>
          <w:p>
            <w:pPr>
              <w:ind w:left="260"/>
              <w:spacing w:after="0"/>
              <w:rPr>
                <w:sz w:val="20"/>
                <w:szCs w:val="20"/>
                <w:color w:val="auto"/>
              </w:rPr>
            </w:pPr>
            <w:r>
              <w:rPr>
                <w:rFonts w:ascii="Arial" w:cs="Arial" w:eastAsia="Arial" w:hAnsi="Arial"/>
                <w:sz w:val="18"/>
                <w:szCs w:val="18"/>
                <w:color w:val="auto"/>
              </w:rPr>
              <w:t>Inline XBRL Taxonomy Extension Schema Document</w:t>
            </w:r>
          </w:p>
        </w:tc>
      </w:tr>
      <w:tr>
        <w:trPr>
          <w:trHeight w:val="287"/>
        </w:trPr>
        <w:tc>
          <w:tcPr>
            <w:tcW w:w="1000" w:type="dxa"/>
            <w:vAlign w:val="bottom"/>
          </w:tcPr>
          <w:p>
            <w:pPr>
              <w:jc w:val="center"/>
              <w:ind w:right="170"/>
              <w:spacing w:after="0"/>
              <w:rPr>
                <w:sz w:val="20"/>
                <w:szCs w:val="20"/>
                <w:color w:val="auto"/>
              </w:rPr>
            </w:pPr>
            <w:r>
              <w:rPr>
                <w:rFonts w:ascii="Arial" w:cs="Arial" w:eastAsia="Arial" w:hAnsi="Arial"/>
                <w:sz w:val="18"/>
                <w:szCs w:val="18"/>
                <w:color w:val="auto"/>
                <w:w w:val="99"/>
              </w:rPr>
              <w:t>101 CAL</w:t>
            </w:r>
          </w:p>
        </w:tc>
        <w:tc>
          <w:tcPr>
            <w:tcW w:w="8340" w:type="dxa"/>
            <w:vAlign w:val="bottom"/>
          </w:tcPr>
          <w:p>
            <w:pPr>
              <w:ind w:left="2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7"/>
        </w:trPr>
        <w:tc>
          <w:tcPr>
            <w:tcW w:w="1000" w:type="dxa"/>
            <w:vAlign w:val="bottom"/>
          </w:tcPr>
          <w:p>
            <w:pPr>
              <w:jc w:val="center"/>
              <w:ind w:right="170"/>
              <w:spacing w:after="0"/>
              <w:rPr>
                <w:sz w:val="20"/>
                <w:szCs w:val="20"/>
                <w:color w:val="auto"/>
              </w:rPr>
            </w:pPr>
            <w:r>
              <w:rPr>
                <w:rFonts w:ascii="Arial" w:cs="Arial" w:eastAsia="Arial" w:hAnsi="Arial"/>
                <w:sz w:val="18"/>
                <w:szCs w:val="18"/>
                <w:color w:val="auto"/>
                <w:w w:val="98"/>
              </w:rPr>
              <w:t>101 DEF</w:t>
            </w:r>
          </w:p>
        </w:tc>
        <w:tc>
          <w:tcPr>
            <w:tcW w:w="8340" w:type="dxa"/>
            <w:vAlign w:val="bottom"/>
          </w:tcPr>
          <w:p>
            <w:pPr>
              <w:ind w:left="2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8"/>
        </w:trPr>
        <w:tc>
          <w:tcPr>
            <w:tcW w:w="1000" w:type="dxa"/>
            <w:vAlign w:val="bottom"/>
          </w:tcPr>
          <w:p>
            <w:pPr>
              <w:jc w:val="center"/>
              <w:ind w:right="170"/>
              <w:spacing w:after="0"/>
              <w:rPr>
                <w:sz w:val="20"/>
                <w:szCs w:val="20"/>
                <w:color w:val="auto"/>
              </w:rPr>
            </w:pPr>
            <w:r>
              <w:rPr>
                <w:rFonts w:ascii="Arial" w:cs="Arial" w:eastAsia="Arial" w:hAnsi="Arial"/>
                <w:sz w:val="18"/>
                <w:szCs w:val="18"/>
                <w:color w:val="auto"/>
              </w:rPr>
              <w:t>101 LAB</w:t>
            </w:r>
          </w:p>
        </w:tc>
        <w:tc>
          <w:tcPr>
            <w:tcW w:w="8340" w:type="dxa"/>
            <w:vAlign w:val="bottom"/>
          </w:tcPr>
          <w:p>
            <w:pPr>
              <w:ind w:left="2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7"/>
        </w:trPr>
        <w:tc>
          <w:tcPr>
            <w:tcW w:w="1000" w:type="dxa"/>
            <w:vAlign w:val="bottom"/>
          </w:tcPr>
          <w:p>
            <w:pPr>
              <w:jc w:val="center"/>
              <w:ind w:right="150"/>
              <w:spacing w:after="0"/>
              <w:rPr>
                <w:sz w:val="20"/>
                <w:szCs w:val="20"/>
                <w:color w:val="auto"/>
              </w:rPr>
            </w:pPr>
            <w:r>
              <w:rPr>
                <w:rFonts w:ascii="Arial" w:cs="Arial" w:eastAsia="Arial" w:hAnsi="Arial"/>
                <w:sz w:val="18"/>
                <w:szCs w:val="18"/>
                <w:color w:val="auto"/>
                <w:w w:val="99"/>
              </w:rPr>
              <w:t>101 PRE</w:t>
            </w:r>
          </w:p>
        </w:tc>
        <w:tc>
          <w:tcPr>
            <w:tcW w:w="8340" w:type="dxa"/>
            <w:vAlign w:val="bottom"/>
          </w:tcPr>
          <w:p>
            <w:pPr>
              <w:ind w:left="26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42" w:lineRule="exact"/>
        <w:rPr>
          <w:sz w:val="20"/>
          <w:szCs w:val="20"/>
          <w:color w:val="auto"/>
        </w:rPr>
      </w:pPr>
    </w:p>
    <w:p>
      <w:pPr>
        <w:ind w:left="1480" w:hanging="1038"/>
        <w:spacing w:after="0"/>
        <w:tabs>
          <w:tab w:leader="none" w:pos="1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22" w:lineRule="exact"/>
        <w:rPr>
          <w:rFonts w:ascii="Arial" w:cs="Arial" w:eastAsia="Arial" w:hAnsi="Arial"/>
          <w:sz w:val="18"/>
          <w:szCs w:val="18"/>
          <w:color w:val="auto"/>
        </w:rPr>
      </w:pPr>
    </w:p>
    <w:p>
      <w:pPr>
        <w:ind w:left="360" w:hanging="353"/>
        <w:spacing w:after="0"/>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-167005</wp:posOffset>
                </wp:positionV>
                <wp:extent cx="154178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3.1499pt" to="121.65pt,-13.1499pt" o:allowincell="f" strokecolor="#000000" strokeweight="1.02pt"/>
            </w:pict>
          </mc:Fallback>
        </mc:AlternateContent>
      </w:r>
    </w:p>
    <w:p>
      <w:pPr>
        <w:spacing w:after="0" w:line="218" w:lineRule="exact"/>
        <w:rPr>
          <w:sz w:val="20"/>
          <w:szCs w:val="20"/>
          <w:color w:val="auto"/>
        </w:rPr>
      </w:pPr>
    </w:p>
    <w:p>
      <w:pPr>
        <w:ind w:left="360" w:hanging="353"/>
        <w:spacing w:after="0"/>
        <w:tabs>
          <w:tab w:leader="none" w:pos="3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Certain identified information in the exhibit has been omitted because it is the type of information that</w:t>
      </w:r>
    </w:p>
    <w:p>
      <w:pPr>
        <w:spacing w:after="0" w:line="26" w:lineRule="exact"/>
        <w:rPr>
          <w:rFonts w:ascii="Arial" w:cs="Arial" w:eastAsia="Arial" w:hAnsi="Arial"/>
          <w:sz w:val="20"/>
          <w:szCs w:val="20"/>
          <w:color w:val="auto"/>
        </w:rPr>
      </w:pPr>
    </w:p>
    <w:p>
      <w:pPr>
        <w:ind w:left="240" w:hanging="233"/>
        <w:spacing w:after="0"/>
        <w:tabs>
          <w:tab w:leader="none" w:pos="240" w:val="left"/>
        </w:tabs>
        <w:numPr>
          <w:ilvl w:val="1"/>
          <w:numId w:val="80"/>
        </w:numPr>
        <w:rPr>
          <w:rFonts w:ascii="Arial" w:cs="Arial" w:eastAsia="Arial" w:hAnsi="Arial"/>
          <w:sz w:val="20"/>
          <w:szCs w:val="20"/>
          <w:color w:val="auto"/>
        </w:rPr>
      </w:pPr>
      <w:r>
        <w:rPr>
          <w:rFonts w:ascii="Arial" w:cs="Arial" w:eastAsia="Arial" w:hAnsi="Arial"/>
          <w:sz w:val="20"/>
          <w:szCs w:val="20"/>
          <w:color w:val="auto"/>
        </w:rPr>
        <w:t>the Company customarily and actually treats as private and confidential, and (ii) is not material.</w:t>
      </w:r>
    </w:p>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 Certain schedules, annexes or exhibits have been omitted pursuant to Item 601(a)(5) of Regulation S-K, but will be furnished supplementally to the SEC upon request.</w:t>
      </w:r>
    </w:p>
    <w:p>
      <w:pPr>
        <w:spacing w:after="0" w:line="168" w:lineRule="exact"/>
        <w:rPr>
          <w:sz w:val="20"/>
          <w:szCs w:val="20"/>
          <w:color w:val="auto"/>
        </w:rPr>
      </w:pPr>
    </w:p>
    <w:p>
      <w:pPr>
        <w:ind w:right="220"/>
        <w:spacing w:after="0" w:line="251" w:lineRule="exact"/>
        <w:rPr>
          <w:sz w:val="20"/>
          <w:szCs w:val="20"/>
          <w:color w:val="auto"/>
        </w:rPr>
      </w:pPr>
      <w:r>
        <w:rPr>
          <w:rFonts w:ascii="Arial Unicode MS" w:cs="Arial Unicode MS" w:eastAsia="Arial Unicode MS" w:hAnsi="Arial Unicode MS"/>
          <w:sz w:val="28"/>
          <w:szCs w:val="28"/>
          <w:b w:val="1"/>
          <w:bCs w:val="1"/>
          <w:color w:val="auto"/>
          <w:vertAlign w:val="superscript"/>
        </w:rPr>
        <w:t>∧</w:t>
      </w:r>
      <w:r>
        <w:rPr>
          <w:rFonts w:ascii="Arial" w:cs="Arial" w:eastAsia="Arial" w:hAnsi="Arial"/>
          <w:sz w:val="20"/>
          <w:szCs w:val="20"/>
          <w:color w:val="auto"/>
        </w:rPr>
        <w:t xml:space="preserve"> Certain portions of this Exhibit have been redacted pursuant to Item 601(b)(10)(iv) of Regulation S-K. The Company hereby agrees to furnish supplementally an unredacted copy of the exhibit to the SEC upon its request.</w:t>
      </w:r>
    </w:p>
    <w:p>
      <w:pPr>
        <w:sectPr>
          <w:pgSz w:w="11880" w:h="15480" w:orient="portrait"/>
          <w:cols w:equalWidth="0" w:num="1">
            <w:col w:w="9700"/>
          </w:cols>
          <w:pgMar w:left="1080" w:top="1069" w:right="110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171</w:t>
      </w:r>
    </w:p>
    <w:p>
      <w:pPr>
        <w:sectPr>
          <w:pgSz w:w="11880" w:h="15480" w:orient="portrait"/>
          <w:cols w:equalWidth="0" w:num="1">
            <w:col w:w="9700"/>
          </w:cols>
          <w:pgMar w:left="1080" w:top="1069" w:right="1100" w:bottom="554" w:gutter="0" w:footer="0" w:header="0"/>
          <w:type w:val="continuous"/>
        </w:sectPr>
      </w:pPr>
    </w:p>
    <w:bookmarkStart w:id="171" w:name="page172"/>
    <w:bookmarkEnd w:id="171"/>
    <w:p>
      <w:pPr>
        <w:jc w:val="center"/>
        <w:ind w:right="-259"/>
        <w:spacing w:after="0"/>
        <w:rPr>
          <w:sz w:val="20"/>
          <w:szCs w:val="20"/>
          <w:color w:val="auto"/>
        </w:rPr>
      </w:pPr>
      <w:r>
        <w:rPr>
          <w:rFonts w:ascii="Arial" w:cs="Arial" w:eastAsia="Arial" w:hAnsi="Arial"/>
          <w:sz w:val="20"/>
          <w:szCs w:val="20"/>
          <w:b w:val="1"/>
          <w:bCs w:val="1"/>
          <w:color w:val="auto"/>
        </w:rPr>
        <w:t>SIGNATURES</w:t>
      </w:r>
    </w:p>
    <w:p>
      <w:pPr>
        <w:spacing w:after="0" w:line="243" w:lineRule="exact"/>
        <w:rPr>
          <w:sz w:val="20"/>
          <w:szCs w:val="20"/>
          <w:color w:val="auto"/>
        </w:rPr>
      </w:pPr>
    </w:p>
    <w:p>
      <w:pPr>
        <w:ind w:right="120"/>
        <w:spacing w:after="0" w:line="283"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4860"/>
        <w:spacing w:after="0"/>
        <w:rPr>
          <w:sz w:val="20"/>
          <w:szCs w:val="20"/>
          <w:color w:val="auto"/>
        </w:rPr>
      </w:pPr>
      <w:r>
        <w:rPr>
          <w:rFonts w:ascii="Arial" w:cs="Arial" w:eastAsia="Arial" w:hAnsi="Arial"/>
          <w:sz w:val="20"/>
          <w:szCs w:val="20"/>
          <w:b w:val="1"/>
          <w:bCs w:val="1"/>
          <w:color w:val="auto"/>
        </w:rPr>
        <w:t>CENTURY THERAPEUTICS, INC.</w:t>
      </w:r>
    </w:p>
    <w:p>
      <w:pPr>
        <w:spacing w:after="0" w:line="50"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By: /s/ Brent Pfeiffenberger, PharmD, MBA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3319145</wp:posOffset>
                </wp:positionH>
                <wp:positionV relativeFrom="paragraph">
                  <wp:posOffset>5715</wp:posOffset>
                </wp:positionV>
                <wp:extent cx="284797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4797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35pt,0.45pt" to="485.6pt,0.45pt" o:allowincell="f" strokecolor="#000000" strokeweight="0.48pt"/>
            </w:pict>
          </mc:Fallback>
        </mc:AlternateContent>
      </w:r>
    </w:p>
    <w:p>
      <w:pPr>
        <w:ind w:left="5240"/>
        <w:spacing w:after="0"/>
        <w:rPr>
          <w:sz w:val="20"/>
          <w:szCs w:val="20"/>
          <w:color w:val="auto"/>
        </w:rPr>
      </w:pPr>
      <w:r>
        <w:rPr>
          <w:rFonts w:ascii="Arial" w:cs="Arial" w:eastAsia="Arial" w:hAnsi="Arial"/>
          <w:sz w:val="20"/>
          <w:szCs w:val="20"/>
          <w:color w:val="auto"/>
        </w:rPr>
        <w:t>Brent Pfeiffenberger, PharmD, MBA</w:t>
      </w:r>
    </w:p>
    <w:p>
      <w:pPr>
        <w:spacing w:after="0" w:line="25" w:lineRule="exact"/>
        <w:rPr>
          <w:sz w:val="20"/>
          <w:szCs w:val="20"/>
          <w:color w:val="auto"/>
        </w:rPr>
      </w:pPr>
    </w:p>
    <w:p>
      <w:pPr>
        <w:ind w:left="5240"/>
        <w:spacing w:after="0"/>
        <w:rPr>
          <w:sz w:val="20"/>
          <w:szCs w:val="20"/>
          <w:color w:val="auto"/>
        </w:rPr>
      </w:pPr>
      <w:r>
        <w:rPr>
          <w:rFonts w:ascii="Arial" w:cs="Arial" w:eastAsia="Arial" w:hAnsi="Arial"/>
          <w:sz w:val="20"/>
          <w:szCs w:val="20"/>
          <w:i w:val="1"/>
          <w:iCs w:val="1"/>
          <w:color w:val="auto"/>
        </w:rPr>
        <w:t>Chief Executive Officer</w:t>
      </w:r>
    </w:p>
    <w:p>
      <w:pPr>
        <w:spacing w:after="0" w:line="210"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1880" w:h="15480" w:orient="portrait"/>
          <w:cols w:equalWidth="0" w:num="1">
            <w:col w:w="9460"/>
          </w:cols>
          <w:pgMar w:left="1080" w:top="1064" w:right="1340" w:bottom="554" w:gutter="0" w:footer="0" w:header="0"/>
        </w:sectPr>
      </w:pPr>
    </w:p>
    <w:p>
      <w:pPr>
        <w:spacing w:after="0" w:line="150"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23495</wp:posOffset>
                </wp:positionV>
                <wp:extent cx="204279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7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85pt" to="161.2pt,1.85pt" o:allowincell="f" strokecolor="#000000" strokeweight="0.4799pt"/>
            </w:pict>
          </mc:Fallback>
        </mc:AlternateConten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20"/>
          <w:szCs w:val="20"/>
          <w:color w:val="auto"/>
        </w:rPr>
        <w:t>/s/ Brent Pfeiffenberger, PharmD,</w:t>
      </w:r>
    </w:p>
    <w:p>
      <w:pPr>
        <w:spacing w:after="0" w:line="14"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MBA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5080</wp:posOffset>
                </wp:positionV>
                <wp:extent cx="204279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7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0.4pt" to="161.2pt,0.4pt" o:allowincell="f" strokecolor="#000000" strokeweight="0.48pt"/>
            </w:pict>
          </mc:Fallback>
        </mc:AlternateContent>
      </w:r>
    </w:p>
    <w:p>
      <w:pPr>
        <w:jc w:val="center"/>
        <w:ind w:left="20"/>
        <w:spacing w:after="0"/>
        <w:rPr>
          <w:sz w:val="20"/>
          <w:szCs w:val="20"/>
          <w:color w:val="auto"/>
        </w:rPr>
      </w:pPr>
      <w:r>
        <w:rPr>
          <w:rFonts w:ascii="Arial" w:cs="Arial" w:eastAsia="Arial" w:hAnsi="Arial"/>
          <w:sz w:val="20"/>
          <w:szCs w:val="20"/>
          <w:color w:val="auto"/>
        </w:rPr>
        <w:t>Brent Pfeiffenberger, PharmD, MBA</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 Morgan Conn,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22225</wp:posOffset>
                </wp:positionV>
                <wp:extent cx="204279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7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75pt" to="161.2pt,1.75pt" o:allowincell="f" strokecolor="#000000" strokeweight="0.4799pt"/>
            </w:pict>
          </mc:Fallback>
        </mc:AlternateContent>
      </w:r>
    </w:p>
    <w:p>
      <w:pPr>
        <w:spacing w:after="0" w:line="22" w:lineRule="exact"/>
        <w:rPr>
          <w:sz w:val="20"/>
          <w:szCs w:val="20"/>
          <w:color w:val="auto"/>
        </w:rPr>
      </w:pPr>
    </w:p>
    <w:p>
      <w:pPr>
        <w:ind w:left="780"/>
        <w:spacing w:after="0"/>
        <w:rPr>
          <w:sz w:val="20"/>
          <w:szCs w:val="20"/>
          <w:color w:val="auto"/>
        </w:rPr>
      </w:pPr>
      <w:r>
        <w:rPr>
          <w:rFonts w:ascii="Arial" w:cs="Arial" w:eastAsia="Arial" w:hAnsi="Arial"/>
          <w:sz w:val="20"/>
          <w:szCs w:val="20"/>
          <w:color w:val="auto"/>
        </w:rPr>
        <w:t>Morgan Conn, PhD</w:t>
      </w:r>
    </w:p>
    <w:p>
      <w:pPr>
        <w:spacing w:after="0" w:line="200" w:lineRule="exact"/>
        <w:rPr>
          <w:sz w:val="20"/>
          <w:szCs w:val="20"/>
          <w:color w:val="auto"/>
        </w:rPr>
      </w:pPr>
    </w:p>
    <w:p>
      <w:pPr>
        <w:spacing w:after="0" w:line="289"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/s/ Douglas Carr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21590</wp:posOffset>
                </wp:positionV>
                <wp:extent cx="204279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7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7pt" to="161.2pt,1.7pt" o:allowincell="f" strokecolor="#000000" strokeweight="0.4799pt"/>
            </w:pict>
          </mc:Fallback>
        </mc:AlternateContent>
      </w:r>
    </w:p>
    <w:p>
      <w:pPr>
        <w:spacing w:after="0" w:line="22"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Douglas Carr</w:t>
      </w:r>
    </w:p>
    <w:p>
      <w:pPr>
        <w:spacing w:after="0" w:line="259"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/s/ Kimberly Blackwell,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22225</wp:posOffset>
                </wp:positionV>
                <wp:extent cx="204279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7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75pt" to="161.2pt,1.75pt" o:allowincell="f" strokecolor="#000000" strokeweight="0.48pt"/>
            </w:pict>
          </mc:Fallback>
        </mc:AlternateContent>
      </w:r>
    </w:p>
    <w:p>
      <w:pPr>
        <w:spacing w:after="0" w:line="22"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Kimberly Blackwell, M.D.</w:t>
      </w:r>
    </w:p>
    <w:p>
      <w:pPr>
        <w:spacing w:after="0" w:line="255"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/s/ Cynthia Butitta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21590</wp:posOffset>
                </wp:positionV>
                <wp:extent cx="204279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7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7pt" to="161.2pt,1.7pt" o:allowincell="f" strokecolor="#000000" strokeweight="0.48pt"/>
            </w:pict>
          </mc:Fallback>
        </mc:AlternateContent>
      </w:r>
    </w:p>
    <w:p>
      <w:pPr>
        <w:spacing w:after="0" w:line="22"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Cynthia Butitta</w:t>
      </w:r>
    </w:p>
    <w:p>
      <w:pPr>
        <w:spacing w:after="0" w:line="244"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/s/ Joseph Jimenez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20955</wp:posOffset>
                </wp:positionV>
                <wp:extent cx="204279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7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65pt" to="161.2pt,1.65pt" o:allowincell="f" strokecolor="#000000" strokeweight="0.4799pt"/>
            </w:pict>
          </mc:Fallback>
        </mc:AlternateContent>
      </w:r>
    </w:p>
    <w:p>
      <w:pPr>
        <w:spacing w:after="0" w:line="21"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Joseph Jimenez</w:t>
      </w:r>
    </w:p>
    <w:p>
      <w:pPr>
        <w:spacing w:after="0" w:line="244"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/s/ Alessandro Riva,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20955</wp:posOffset>
                </wp:positionV>
                <wp:extent cx="204279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7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65pt" to="161.2pt,1.65pt" o:allowincell="f" strokecolor="#000000" strokeweight="0.48pt"/>
            </w:pict>
          </mc:Fallback>
        </mc:AlternateContent>
      </w:r>
    </w:p>
    <w:p>
      <w:pPr>
        <w:spacing w:after="0" w:line="21"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Alessandro Riva, M.D.</w:t>
      </w:r>
    </w:p>
    <w:p>
      <w:pPr>
        <w:spacing w:after="0" w:line="243"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/s/ Carlo Rizzuto,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21590</wp:posOffset>
                </wp:positionV>
                <wp:extent cx="204279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7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7pt" to="161.2pt,1.7pt" o:allowincell="f" strokecolor="#000000" strokeweight="0.48pt"/>
            </w:pict>
          </mc:Fallback>
        </mc:AlternateContent>
      </w:r>
    </w:p>
    <w:p>
      <w:pPr>
        <w:spacing w:after="0" w:line="21"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Carlo Rizzuto, Ph.D.</w:t>
      </w:r>
    </w:p>
    <w:p>
      <w:pPr>
        <w:spacing w:after="0" w:line="248"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/s/ Timothy Walbert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18415</wp:posOffset>
                </wp:positionV>
                <wp:extent cx="204279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7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5pt" to="161.2pt,1.45pt" o:allowincell="f" strokecolor="#000000" strokeweight="0.4799pt"/>
            </w:pict>
          </mc:Fallback>
        </mc:AlternateContent>
      </w:r>
    </w:p>
    <w:p>
      <w:pPr>
        <w:spacing w:after="0" w:line="22"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Timothy Walbert</w:t>
      </w:r>
    </w:p>
    <w:p>
      <w:pPr>
        <w:spacing w:after="0" w:line="244"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/s/ Daphne Quimi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17780</wp:posOffset>
                </wp:positionV>
                <wp:extent cx="204279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27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pt" to="161.2pt,1.4pt" o:allowincell="f" strokecolor="#000000" strokeweight="0.48pt"/>
            </w:pict>
          </mc:Fallback>
        </mc:AlternateContent>
      </w:r>
    </w:p>
    <w:p>
      <w:pPr>
        <w:spacing w:after="0" w:line="21" w:lineRule="exact"/>
        <w:rPr>
          <w:sz w:val="20"/>
          <w:szCs w:val="20"/>
          <w:color w:val="auto"/>
        </w:rPr>
      </w:pPr>
    </w:p>
    <w:p>
      <w:pPr>
        <w:jc w:val="center"/>
        <w:ind w:left="20"/>
        <w:spacing w:after="0"/>
        <w:rPr>
          <w:sz w:val="20"/>
          <w:szCs w:val="20"/>
          <w:color w:val="auto"/>
        </w:rPr>
      </w:pPr>
      <w:r>
        <w:rPr>
          <w:rFonts w:ascii="Arial" w:cs="Arial" w:eastAsia="Arial" w:hAnsi="Arial"/>
          <w:sz w:val="20"/>
          <w:szCs w:val="20"/>
          <w:color w:val="auto"/>
        </w:rPr>
        <w:t>Daphne Quimi</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1380"/>
        <w:spacing w:after="0"/>
        <w:rPr>
          <w:sz w:val="20"/>
          <w:szCs w:val="20"/>
          <w:color w:val="auto"/>
        </w:rPr>
      </w:pPr>
      <w:r>
        <w:rPr>
          <w:rFonts w:ascii="Arial" w:cs="Arial" w:eastAsia="Arial" w:hAnsi="Arial"/>
          <w:sz w:val="20"/>
          <w:szCs w:val="20"/>
          <w:b w:val="1"/>
          <w:bCs w:val="1"/>
          <w:color w:val="auto"/>
        </w:rPr>
        <w:t>Title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-236855</wp:posOffset>
                </wp:positionH>
                <wp:positionV relativeFrom="paragraph">
                  <wp:posOffset>23495</wp:posOffset>
                </wp:positionV>
                <wp:extent cx="249364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9364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6499pt,1.85pt" to="177.7pt,1.85pt" o:allowincell="f" strokecolor="#000000" strokeweight="0.4799pt"/>
            </w:pict>
          </mc:Fallback>
        </mc:AlternateConten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 and Director</w:t>
      </w:r>
    </w:p>
    <w:p>
      <w:pPr>
        <w:spacing w:after="0" w:line="26"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(principal executive officer)</w:t>
      </w:r>
    </w:p>
    <w:p>
      <w:pPr>
        <w:spacing w:after="0" w:line="205"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Chief Financial Officer</w:t>
      </w:r>
    </w:p>
    <w:p>
      <w:pPr>
        <w:spacing w:after="0" w:line="25"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(principal financial officer)</w:t>
      </w:r>
    </w:p>
    <w:p>
      <w:pPr>
        <w:spacing w:after="0" w:line="318"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Senior Vice President, Finance &amp;</w:t>
      </w:r>
    </w:p>
    <w:p>
      <w:pPr>
        <w:spacing w:after="0" w:line="26"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Operations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(principal accounting officer)</w:t>
      </w:r>
    </w:p>
    <w:p>
      <w:pPr>
        <w:spacing w:after="0" w:line="396"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320"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315" w:lineRule="exact"/>
        <w:rPr>
          <w:sz w:val="20"/>
          <w:szCs w:val="20"/>
          <w:color w:val="auto"/>
        </w:rPr>
      </w:pPr>
    </w:p>
    <w:p>
      <w:pPr>
        <w:ind w:left="180"/>
        <w:spacing w:after="0"/>
        <w:rPr>
          <w:sz w:val="20"/>
          <w:szCs w:val="20"/>
          <w:color w:val="auto"/>
        </w:rPr>
      </w:pPr>
      <w:r>
        <w:rPr>
          <w:rFonts w:ascii="Arial" w:cs="Arial" w:eastAsia="Arial" w:hAnsi="Arial"/>
          <w:sz w:val="20"/>
          <w:szCs w:val="20"/>
          <w:color w:val="auto"/>
        </w:rPr>
        <w:t>Director, Chairman of the Board</w:t>
      </w:r>
    </w:p>
    <w:p>
      <w:pPr>
        <w:spacing w:after="0" w:line="200" w:lineRule="exact"/>
        <w:rPr>
          <w:sz w:val="20"/>
          <w:szCs w:val="20"/>
          <w:color w:val="auto"/>
        </w:rPr>
      </w:pPr>
    </w:p>
    <w:p>
      <w:pPr>
        <w:spacing w:after="0" w:line="315"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315"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318"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314"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Director</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-204470</wp:posOffset>
                </wp:positionH>
                <wp:positionV relativeFrom="paragraph">
                  <wp:posOffset>23495</wp:posOffset>
                </wp:positionV>
                <wp:extent cx="129159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15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999pt,1.85pt" to="85.6pt,1.85pt" o:allowincell="f" strokecolor="#000000" strokeweight="0.4799pt"/>
            </w:pict>
          </mc:Fallback>
        </mc:AlternateConten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March 19, 2025</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March 19, 2025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March 19,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March 19, 2025</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March 19, 2025</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March 19, 2025</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March 19, 2025</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March 19, 2025</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color w:val="auto"/>
        </w:rPr>
        <w:t>March 19, 2025</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color w:val="auto"/>
        </w:rPr>
        <w:t>March 19, 2025</w:t>
      </w:r>
    </w:p>
    <w:p>
      <w:pPr>
        <w:spacing w:after="0" w:line="344" w:lineRule="exact"/>
        <w:rPr>
          <w:sz w:val="20"/>
          <w:szCs w:val="20"/>
          <w:color w:val="auto"/>
        </w:rPr>
      </w:pPr>
    </w:p>
    <w:p>
      <w:pPr>
        <w:sectPr>
          <w:pgSz w:w="11880" w:h="15480" w:orient="portrait"/>
          <w:cols w:equalWidth="0" w:num="3">
            <w:col w:w="3200" w:space="660"/>
            <w:col w:w="3420" w:space="720"/>
            <w:col w:w="1460"/>
          </w:cols>
          <w:pgMar w:left="1080" w:top="1064" w:right="1340" w:bottom="55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172</w:t>
      </w:r>
    </w:p>
    <w:p>
      <w:pPr>
        <w:sectPr>
          <w:pgSz w:w="11880" w:h="15480" w:orient="portrait"/>
          <w:cols w:equalWidth="0" w:num="1">
            <w:col w:w="9460"/>
          </w:cols>
          <w:pgMar w:left="1080" w:top="1064" w:right="1340" w:bottom="554" w:gutter="0" w:footer="0" w:header="0"/>
          <w:type w:val="continuous"/>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74" w:name="page175"/>
    <w:bookmarkEnd w:id="174"/>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75" w:name="page176"/>
    <w:bookmarkEnd w:id="175"/>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lvl w:ilvl="1">
      <w:lvlJc w:val="left"/>
      <w:lvlText w:val="%2"/>
      <w:numFmt w:val="lowerLetter"/>
      <w:start w:val="15"/>
    </w:lvl>
  </w:abstractNum>
  <w:abstractNum w:abstractNumId="8">
    <w:nsid w:val="57E4CCAF"/>
    <w:multiLevelType w:val="hybridMultilevel"/>
    <w:lvl w:ilvl="0">
      <w:lvlJc w:val="left"/>
      <w:lvlText w:val=" "/>
      <w:numFmt w:val="bullet"/>
      <w:start w:val="1"/>
    </w:lvl>
  </w:abstractNum>
  <w:abstractNum w:abstractNumId="9">
    <w:nsid w:val="7A6D8D3C"/>
    <w:multiLevelType w:val="hybridMultilevel"/>
    <w:lvl w:ilvl="0">
      <w:lvlJc w:val="left"/>
      <w:lvlText w:val="%1"/>
      <w:numFmt w:val="lowerLetter"/>
      <w:start w:val="15"/>
    </w:lvl>
  </w:abstractNum>
  <w:abstractNum w:abstractNumId="10">
    <w:nsid w:val="4B588F54"/>
    <w:multiLevelType w:val="hybridMultilevel"/>
    <w:lvl w:ilvl="0">
      <w:lvlJc w:val="left"/>
      <w:lvlText w:val=" "/>
      <w:numFmt w:val="bullet"/>
      <w:start w:val="1"/>
    </w:lvl>
  </w:abstractNum>
  <w:abstractNum w:abstractNumId="11">
    <w:nsid w:val="542289EC"/>
    <w:multiLevelType w:val="hybridMultilevel"/>
    <w:lvl w:ilvl="0">
      <w:lvlJc w:val="left"/>
      <w:lvlText w:val="•"/>
      <w:numFmt w:val="bullet"/>
      <w:start w:val="1"/>
    </w:lvl>
    <w:lvl w:ilvl="1">
      <w:lvlJc w:val="left"/>
      <w:lvlText w:val="%2"/>
      <w:numFmt w:val="lowerLetter"/>
      <w:start w:val="15"/>
    </w:lvl>
    <w:lvl w:ilvl="2">
      <w:lvlJc w:val="left"/>
      <w:lvlText w:val=" "/>
      <w:numFmt w:val="bullet"/>
      <w:start w:val="1"/>
    </w:lvl>
  </w:abstractNum>
  <w:abstractNum w:abstractNumId="12">
    <w:nsid w:val="6DE91B18"/>
    <w:multiLevelType w:val="hybridMultilevel"/>
    <w:lvl w:ilvl="0">
      <w:lvlJc w:val="left"/>
      <w:lvlText w:val="%1."/>
      <w:numFmt w:val="decimal"/>
      <w:start w:val="1"/>
    </w:lvl>
  </w:abstractNum>
  <w:abstractNum w:abstractNumId="13">
    <w:nsid w:val="38437FDB"/>
    <w:multiLevelType w:val="hybridMultilevel"/>
    <w:lvl w:ilvl="0">
      <w:lvlJc w:val="left"/>
      <w:lvlText w:val="%1."/>
      <w:numFmt w:val="decimal"/>
      <w:start w:val="2"/>
    </w:lvl>
  </w:abstractNum>
  <w:abstractNum w:abstractNumId="14">
    <w:nsid w:val="7644A45C"/>
    <w:multiLevelType w:val="hybridMultilevel"/>
    <w:lvl w:ilvl="0">
      <w:lvlJc w:val="left"/>
      <w:lvlText w:val="%1."/>
      <w:numFmt w:val="decimal"/>
      <w:start w:val="3"/>
    </w:lvl>
  </w:abstractNum>
  <w:abstractNum w:abstractNumId="15">
    <w:nsid w:val="32FFF902"/>
    <w:multiLevelType w:val="hybridMultilevel"/>
    <w:lvl w:ilvl="0">
      <w:lvlJc w:val="left"/>
      <w:lvlText w:val="%1."/>
      <w:numFmt w:val="decimal"/>
      <w:start w:val="5"/>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lowerRoman"/>
      <w:start w:val="2"/>
    </w:lvl>
  </w:abstractNum>
  <w:abstractNum w:abstractNumId="18">
    <w:nsid w:val="749ABB43"/>
    <w:multiLevelType w:val="hybridMultilevel"/>
    <w:lvl w:ilvl="0">
      <w:lvlJc w:val="left"/>
      <w:lvlText w:val="(%1)"/>
      <w:numFmt w:val="lowerRoman"/>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1"/>
      <w:numFmt w:val="upperLetter"/>
      <w:start w:val="20"/>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1)"/>
      <w:numFmt w:val="decimal"/>
      <w:start w:val="2"/>
    </w:lvl>
  </w:abstractNum>
  <w:abstractNum w:abstractNumId="49">
    <w:nsid w:val="25A70BF7"/>
    <w:multiLevelType w:val="hybridMultilevel"/>
    <w:lvl w:ilvl="0">
      <w:lvlJc w:val="left"/>
      <w:lvlText w:val="(%1)"/>
      <w:numFmt w:val="lowerRoman"/>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1)"/>
      <w:numFmt w:val="lowerRoman"/>
      <w:start w:val="1"/>
    </w:lvl>
  </w:abstractNum>
  <w:abstractNum w:abstractNumId="70">
    <w:nsid w:val="613EFDC5"/>
    <w:multiLevelType w:val="hybridMultilevel"/>
    <w:lvl w:ilvl="0">
      <w:lvlJc w:val="left"/>
      <w:lvlText w:val="%1."/>
      <w:numFmt w:val="decimal"/>
      <w:start w:val="606"/>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1)"/>
      <w:numFmt w:val="lowerRoman"/>
      <w:start w:val="3"/>
    </w:lvl>
  </w:abstractNum>
  <w:abstractNum w:abstractNumId="73">
    <w:nsid w:val="42963E5A"/>
    <w:multiLevelType w:val="hybridMultilevel"/>
    <w:lvl w:ilvl="0">
      <w:lvlJc w:val="left"/>
      <w:lvlText w:val="(%1)"/>
      <w:numFmt w:val="lowerRoman"/>
      <w:start w:val="5"/>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1)"/>
      <w:numFmt w:val="lowerRoman"/>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decimal"/>
      <w:start w:val="1"/>
    </w:lvl>
  </w:abstractNum>
  <w:abstractNum w:abstractNumId="78">
    <w:nsid w:val="68EB2F63"/>
    <w:multiLevelType w:val="hybridMultilevel"/>
    <w:lvl w:ilvl="0">
      <w:lvlJc w:val="left"/>
      <w:lvlText w:val="•"/>
      <w:numFmt w:val="bullet"/>
      <w:start w:val="1"/>
    </w:lvl>
    <w:lvl w:ilvl="1">
      <w:lvlJc w:val="left"/>
      <w:lvlText w:val="%2"/>
      <w:numFmt w:val="decimal"/>
      <w:start w:val="104"/>
    </w:lvl>
  </w:abstractNum>
  <w:abstractNum w:abstractNumId="79">
    <w:nsid w:val="4962813B"/>
    <w:multiLevelType w:val="hybridMultilevel"/>
    <w:lvl w:ilvl="0">
      <w:lvlJc w:val="left"/>
      <w:lvlText w:val="*"/>
      <w:numFmt w:val="bullet"/>
      <w:start w:val="1"/>
    </w:lvl>
    <w:lvl w:ilvl="1">
      <w:lvlJc w:val="left"/>
      <w:lvlText w:val="(%2)"/>
      <w:numFmt w:val="lowerRoman"/>
      <w:start w:val="1"/>
    </w:lvl>
  </w:abstractNum>
  <w:abstractNum w:abstractNumId="80">
    <w:nsid w:val="60B6DF70"/>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2025-04-22T15:21:51Z</dcterms:created>
  <dcterms:modified xsi:type="dcterms:W3CDTF">2025-04-22T15:21:51Z</dcterms:modified>
</cp:coreProperties>
</file>