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12, 2025, Century Therapeutics, Inc. (the “Company”) held its 2025 Annual Meeting of Stockholders (the “Annual Meeting”). As of April 16, 2025, the record date for the Annual Meeting, there were 86,158,758 outstanding shares of the Company’s common stock. The Annual Meeting was conducted virtually, and the following is a brief description of the final voting results for each of the proposals submitted to a vote of the stockholders at the Annual Meeting, which are described in detail in the Company’s Definitive Proxy Statement on Schedule 14A filed with the Securities Exchange Commission on April 22, 2025.</w:t>
      </w:r>
    </w:p>
    <w:p>
      <w:pPr>
        <w:spacing w:after="0" w:line="181" w:lineRule="exact"/>
        <w:rPr>
          <w:sz w:val="20"/>
          <w:szCs w:val="20"/>
          <w:color w:val="auto"/>
        </w:rPr>
      </w:pPr>
    </w:p>
    <w:p>
      <w:pPr>
        <w:ind w:right="120" w:firstLine="8"/>
        <w:spacing w:after="0" w:line="267"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 Election of Class I Directors</w:t>
      </w:r>
      <w:r>
        <w:rPr>
          <w:rFonts w:ascii="Times New Roman" w:cs="Times New Roman" w:eastAsia="Times New Roman" w:hAnsi="Times New Roman"/>
          <w:sz w:val="18"/>
          <w:szCs w:val="18"/>
          <w:color w:val="auto"/>
        </w:rPr>
        <w:t>. Each of Daphne Quimi and Carlo Rizzuto, Ph.D. were elected to the Company’s Board of Directors to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Class I directors until the 2028 Annual Meeting of Stockholders and until their successors, if any, are elected or appointed, or their earlier death, resignation, retirement, disqualification or removal,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Daphne Quimi</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52,593,454</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4,437,555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15,072,004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Carlo Rizzuto, Ph.D.</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51,373,990</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5,657,019</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15,072,004</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right="640" w:firstLine="8"/>
        <w:spacing w:after="0" w:line="28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 Ratification of Independent Registered Public Accountant</w:t>
      </w:r>
      <w:r>
        <w:rPr>
          <w:rFonts w:ascii="Times New Roman" w:cs="Times New Roman" w:eastAsia="Times New Roman" w:hAnsi="Times New Roman"/>
          <w:sz w:val="18"/>
          <w:szCs w:val="18"/>
          <w:color w:val="auto"/>
        </w:rPr>
        <w:t>. The appointment of Ernst &amp; Young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2025 fiscal year was ratified,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71,768,193</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302,484</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2025-06-16T16:13:59Z</dcterms:created>
  <dcterms:modified xsi:type="dcterms:W3CDTF">2025-06-16T16:13:59Z</dcterms:modified>
</cp:coreProperties>
</file>