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Versant Venture Capital VI,</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4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L.P.</w:t>
              </w:r>
            </w:hyperlink>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06"/>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ONE SANSOME STREET, SUITE</w:t>
            </w:r>
          </w:p>
        </w:tc>
      </w:tr>
      <w:tr>
        <w:trPr>
          <w:trHeight w:val="248"/>
        </w:trPr>
        <w:tc>
          <w:tcPr>
            <w:tcW w:w="780" w:type="dxa"/>
            <w:vAlign w:val="bottom"/>
          </w:tcPr>
          <w:p>
            <w:pPr>
              <w:ind w:left="40"/>
              <w:spacing w:after="0"/>
              <w:rPr>
                <w:sz w:val="20"/>
                <w:szCs w:val="20"/>
                <w:color w:val="auto"/>
              </w:rPr>
            </w:pPr>
            <w:r>
              <w:rPr>
                <w:rFonts w:ascii="Arial" w:cs="Arial" w:eastAsia="Arial" w:hAnsi="Arial"/>
                <w:sz w:val="20"/>
                <w:szCs w:val="20"/>
                <w:color w:val="0000FF"/>
              </w:rPr>
              <w:t>3630</w:t>
            </w: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94104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56"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Arial" w:cs="Arial" w:eastAsia="Arial" w:hAnsi="Arial"/>
                <w:sz w:val="20"/>
                <w:szCs w:val="20"/>
                <w:color w:val="0000FF"/>
              </w:rPr>
              <w:t>2,980,803</w:t>
            </w:r>
          </w:p>
        </w:tc>
        <w:tc>
          <w:tcPr>
            <w:tcW w:w="1000" w:type="dxa"/>
            <w:vAlign w:val="bottom"/>
            <w:tcBorders>
              <w:bottom w:val="single" w:sz="8" w:color="2C2C2C"/>
            </w:tcBorders>
            <w:gridSpan w:val="2"/>
          </w:tcPr>
          <w:p>
            <w:pPr>
              <w:ind w:left="720"/>
              <w:spacing w:after="0" w:line="359" w:lineRule="exact"/>
              <w:rPr>
                <w:sz w:val="20"/>
                <w:szCs w:val="20"/>
                <w:color w:val="auto"/>
              </w:rPr>
            </w:pPr>
            <w:r>
              <w:rPr>
                <w:rFonts w:ascii="Arial" w:cs="Arial" w:eastAsia="Arial" w:hAnsi="Arial"/>
                <w:sz w:val="39"/>
                <w:szCs w:val="39"/>
                <w:color w:val="0000FF"/>
                <w:w w:val="74"/>
                <w:vertAlign w:val="subscript"/>
              </w:rPr>
              <w:t>D</w:t>
            </w:r>
            <w:r>
              <w:rPr>
                <w:rFonts w:ascii="Arial" w:cs="Arial" w:eastAsia="Arial" w:hAnsi="Arial"/>
                <w:sz w:val="13"/>
                <w:szCs w:val="13"/>
                <w:color w:val="008000"/>
                <w:w w:val="74"/>
              </w:rPr>
              <w:t>(1)</w:t>
            </w: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9"/>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380" w:type="dxa"/>
            <w:vAlign w:val="bottom"/>
            <w:gridSpan w:val="11"/>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0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A Preferred Stock</w:t>
            </w:r>
          </w:p>
        </w:tc>
        <w:tc>
          <w:tcPr>
            <w:tcW w:w="1160" w:type="dxa"/>
            <w:vAlign w:val="bottom"/>
            <w:tcBorders>
              <w:bottom w:val="single" w:sz="8" w:color="2C2C2C"/>
            </w:tcBorders>
            <w:gridSpan w:val="4"/>
          </w:tcPr>
          <w:p>
            <w:pPr>
              <w:ind w:left="600"/>
              <w:spacing w:after="0"/>
              <w:rPr>
                <w:sz w:val="20"/>
                <w:szCs w:val="20"/>
                <w:color w:val="auto"/>
              </w:rPr>
            </w:pPr>
            <w:r>
              <w:rPr>
                <w:rFonts w:ascii="Arial" w:cs="Arial" w:eastAsia="Arial" w:hAnsi="Arial"/>
                <w:sz w:val="13"/>
                <w:szCs w:val="13"/>
                <w:color w:val="008000"/>
              </w:rPr>
              <w:t>(2)</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right"/>
              <w:ind w:right="1"/>
              <w:spacing w:after="0"/>
              <w:rPr>
                <w:sz w:val="20"/>
                <w:szCs w:val="20"/>
                <w:color w:val="auto"/>
              </w:rPr>
            </w:pPr>
            <w:r>
              <w:rPr>
                <w:rFonts w:ascii="Arial" w:cs="Arial" w:eastAsia="Arial" w:hAnsi="Arial"/>
                <w:sz w:val="20"/>
                <w:szCs w:val="20"/>
                <w:color w:val="0000FF"/>
                <w:w w:val="92"/>
              </w:rPr>
              <w:t>9,936,011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3"/>
                <w:szCs w:val="13"/>
                <w:color w:val="008000"/>
              </w:rPr>
              <w:t>(3)</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C Preferred Stock</w:t>
            </w:r>
          </w:p>
        </w:tc>
        <w:tc>
          <w:tcPr>
            <w:tcW w:w="1160" w:type="dxa"/>
            <w:vAlign w:val="bottom"/>
            <w:tcBorders>
              <w:bottom w:val="single" w:sz="8" w:color="2C2C2C"/>
            </w:tcBorders>
            <w:gridSpan w:val="4"/>
          </w:tcPr>
          <w:p>
            <w:pPr>
              <w:ind w:left="600"/>
              <w:spacing w:after="0"/>
              <w:rPr>
                <w:sz w:val="20"/>
                <w:szCs w:val="20"/>
                <w:color w:val="auto"/>
              </w:rPr>
            </w:pPr>
            <w:r>
              <w:rPr>
                <w:rFonts w:ascii="Arial" w:cs="Arial" w:eastAsia="Arial" w:hAnsi="Arial"/>
                <w:sz w:val="13"/>
                <w:szCs w:val="13"/>
                <w:color w:val="008000"/>
              </w:rPr>
              <w:t>(2)</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right"/>
              <w:ind w:right="61"/>
              <w:spacing w:after="0"/>
              <w:rPr>
                <w:sz w:val="20"/>
                <w:szCs w:val="20"/>
                <w:color w:val="auto"/>
              </w:rPr>
            </w:pPr>
            <w:r>
              <w:rPr>
                <w:rFonts w:ascii="Arial" w:cs="Arial" w:eastAsia="Arial" w:hAnsi="Arial"/>
                <w:sz w:val="20"/>
                <w:szCs w:val="20"/>
                <w:color w:val="0000FF"/>
              </w:rPr>
              <w:t>614,095</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3"/>
                <w:szCs w:val="13"/>
                <w:color w:val="008000"/>
              </w:rPr>
              <w:t>(4)</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gridSpan w:val="6"/>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Versant Venture Capital VI, L.P.</w:t>
              </w:r>
            </w:hyperlink>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6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16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6"/>
          </w:tcPr>
          <w:p>
            <w:pPr>
              <w:spacing w:after="0"/>
              <w:rPr>
                <w:sz w:val="20"/>
                <w:szCs w:val="20"/>
                <w:color w:val="auto"/>
              </w:rPr>
            </w:pPr>
            <w:r>
              <w:rPr>
                <w:rFonts w:ascii="Arial" w:cs="Arial" w:eastAsia="Arial" w:hAnsi="Arial"/>
                <w:sz w:val="20"/>
                <w:szCs w:val="20"/>
                <w:color w:val="0000FF"/>
              </w:rPr>
              <w:t>ONE SANSOME STREET, SUITE 3630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SAN</w:t>
            </w:r>
          </w:p>
        </w:tc>
        <w:tc>
          <w:tcPr>
            <w:tcW w:w="1360" w:type="dxa"/>
            <w:vAlign w:val="bottom"/>
            <w:vMerge w:val="restart"/>
          </w:tcPr>
          <w:p>
            <w:pPr>
              <w:ind w:left="100"/>
              <w:spacing w:after="0"/>
              <w:rPr>
                <w:sz w:val="20"/>
                <w:szCs w:val="20"/>
                <w:color w:val="auto"/>
              </w:rPr>
            </w:pPr>
            <w:r>
              <w:rPr>
                <w:rFonts w:ascii="Arial" w:cs="Arial" w:eastAsia="Arial" w:hAnsi="Arial"/>
                <w:sz w:val="20"/>
                <w:szCs w:val="20"/>
                <w:color w:val="0000FF"/>
              </w:rPr>
              <w:t>CA</w:t>
            </w:r>
          </w:p>
        </w:tc>
        <w:tc>
          <w:tcPr>
            <w:tcW w:w="1160" w:type="dxa"/>
            <w:vAlign w:val="bottom"/>
            <w:gridSpan w:val="4"/>
            <w:vMerge w:val="restart"/>
          </w:tcPr>
          <w:p>
            <w:pPr>
              <w:ind w:left="120"/>
              <w:spacing w:after="0"/>
              <w:rPr>
                <w:sz w:val="20"/>
                <w:szCs w:val="20"/>
                <w:color w:val="auto"/>
              </w:rPr>
            </w:pPr>
            <w:r>
              <w:rPr>
                <w:rFonts w:ascii="Arial" w:cs="Arial" w:eastAsia="Arial" w:hAnsi="Arial"/>
                <w:sz w:val="20"/>
                <w:szCs w:val="20"/>
                <w:color w:val="0000FF"/>
              </w:rPr>
              <w:t>94104</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360" w:type="dxa"/>
            <w:vAlign w:val="bottom"/>
            <w:vMerge w:val="continue"/>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gridSpan w:val="2"/>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16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2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gridSpan w:val="6"/>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Versant Ventures VI GP, L.P.</w:t>
              </w:r>
            </w:hyperlink>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16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ONE SANSOME STREET, SUITE 3630</w:t>
      </w:r>
    </w:p>
    <w:p>
      <w:pPr>
        <w:spacing w:after="0" w:line="39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ind w:left="140"/>
        <w:spacing w:after="0" w:line="214" w:lineRule="auto"/>
        <w:tabs>
          <w:tab w:leader="none" w:pos="1500" w:val="left"/>
          <w:tab w:leader="none" w:pos="28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94104</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FRANCISCO</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731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873188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Versant Ventures VI GP-GP,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 SUITE 3630</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SAN</w:t>
            </w:r>
          </w:p>
        </w:tc>
        <w:tc>
          <w:tcPr>
            <w:tcW w:w="1260" w:type="dxa"/>
            <w:vAlign w:val="bottom"/>
            <w:gridSpan w:val="2"/>
            <w:vMerge w:val="restart"/>
          </w:tcPr>
          <w:p>
            <w:pPr>
              <w:ind w:left="140"/>
              <w:spacing w:after="0"/>
              <w:rPr>
                <w:sz w:val="20"/>
                <w:szCs w:val="20"/>
                <w:color w:val="auto"/>
              </w:rPr>
            </w:pPr>
            <w:r>
              <w:rPr>
                <w:rFonts w:ascii="Arial" w:cs="Arial" w:eastAsia="Arial" w:hAnsi="Arial"/>
                <w:sz w:val="20"/>
                <w:szCs w:val="20"/>
                <w:color w:val="0000FF"/>
              </w:rPr>
              <w:t>CA</w:t>
            </w:r>
          </w:p>
        </w:tc>
        <w:tc>
          <w:tcPr>
            <w:tcW w:w="1600" w:type="dxa"/>
            <w:vAlign w:val="bottom"/>
            <w:vMerge w:val="restart"/>
          </w:tcPr>
          <w:p>
            <w:pPr>
              <w:ind w:left="260"/>
              <w:spacing w:after="0"/>
              <w:rPr>
                <w:sz w:val="20"/>
                <w:szCs w:val="20"/>
                <w:color w:val="auto"/>
              </w:rPr>
            </w:pPr>
            <w:r>
              <w:rPr>
                <w:rFonts w:ascii="Arial" w:cs="Arial" w:eastAsia="Arial" w:hAnsi="Arial"/>
                <w:sz w:val="20"/>
                <w:szCs w:val="20"/>
                <w:color w:val="0000FF"/>
              </w:rPr>
              <w:t>94104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260" w:type="dxa"/>
            <w:vAlign w:val="bottom"/>
            <w:gridSpan w:val="2"/>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26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8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gridSpan w:val="3"/>
          </w:tcPr>
          <w:p>
            <w:pPr>
              <w:spacing w:after="0" w:line="249" w:lineRule="exact"/>
              <w:rPr>
                <w:rFonts w:ascii="Arial" w:cs="Arial" w:eastAsia="Arial" w:hAnsi="Arial"/>
                <w:sz w:val="24"/>
                <w:szCs w:val="24"/>
                <w:color w:val="0000EE"/>
                <w:w w:val="97"/>
              </w:rPr>
            </w:pPr>
            <w:hyperlink r:id="rId15">
              <w:r>
                <w:rPr>
                  <w:rFonts w:ascii="Arial" w:cs="Arial" w:eastAsia="Arial" w:hAnsi="Arial"/>
                  <w:sz w:val="24"/>
                  <w:szCs w:val="24"/>
                  <w:color w:val="0000EE"/>
                  <w:w w:val="97"/>
                </w:rPr>
                <w:t>Versant Vantage II, L.P.</w:t>
              </w:r>
            </w:hyperlink>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26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SUITE 3630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SAN</w:t>
            </w:r>
          </w:p>
        </w:tc>
        <w:tc>
          <w:tcPr>
            <w:tcW w:w="1440" w:type="dxa"/>
            <w:vAlign w:val="bottom"/>
            <w:gridSpan w:val="2"/>
            <w:vMerge w:val="restart"/>
          </w:tcPr>
          <w:p>
            <w:pPr>
              <w:ind w:left="140"/>
              <w:spacing w:after="0"/>
              <w:rPr>
                <w:sz w:val="20"/>
                <w:szCs w:val="20"/>
                <w:color w:val="auto"/>
              </w:rPr>
            </w:pPr>
            <w:r>
              <w:rPr>
                <w:rFonts w:ascii="Arial" w:cs="Arial" w:eastAsia="Arial" w:hAnsi="Arial"/>
                <w:sz w:val="20"/>
                <w:szCs w:val="20"/>
                <w:color w:val="0000FF"/>
              </w:rPr>
              <w:t>CA</w:t>
            </w: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94104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4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3"/>
          </w:tcPr>
          <w:p>
            <w:pPr>
              <w:spacing w:after="0" w:line="249" w:lineRule="exact"/>
              <w:rPr>
                <w:rFonts w:ascii="Arial" w:cs="Arial" w:eastAsia="Arial" w:hAnsi="Arial"/>
                <w:sz w:val="24"/>
                <w:szCs w:val="24"/>
                <w:color w:val="0000EE"/>
                <w:w w:val="89"/>
              </w:rPr>
            </w:pPr>
            <w:hyperlink r:id="rId16">
              <w:r>
                <w:rPr>
                  <w:rFonts w:ascii="Arial" w:cs="Arial" w:eastAsia="Arial" w:hAnsi="Arial"/>
                  <w:sz w:val="24"/>
                  <w:szCs w:val="24"/>
                  <w:color w:val="0000EE"/>
                  <w:w w:val="89"/>
                </w:rPr>
                <w:t>Versant Vantage II GP, L.P.</w:t>
              </w:r>
            </w:hyperlink>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SUITE 3630</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4" w:lineRule="auto"/>
        <w:tabs>
          <w:tab w:leader="none" w:pos="1480" w:val="left"/>
          <w:tab w:leader="none" w:pos="286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94104</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Versant Vantage II GP-GP,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SUITE 3630</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4" w:lineRule="auto"/>
        <w:tabs>
          <w:tab w:leader="none" w:pos="1480" w:val="left"/>
          <w:tab w:leader="none" w:pos="286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94104</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2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reportable securities are owned directly by Versant Venture Capital VI, L.P. ("Versant VI"). Versant Ventures VI GP, L.P. ("Versant Ventures VI GP") is the general partner of Versant VI, and Versant Ventures VI GP-GP, LLC ("Versant Ventures VI GP-GP") is the general partner of Versant Ventures VI GP. Versant Ventures VI GP and Versant Ventures VI GP-GP may be deemed to indirectly beneficially own the shares beneficially owned by Versant VI, but disclaim beneficial ownership except to the extent of their pecuniary interest therein.</w:t>
      </w:r>
    </w:p>
    <w:p>
      <w:pPr>
        <w:spacing w:after="0" w:line="36" w:lineRule="exact"/>
        <w:rPr>
          <w:rFonts w:ascii="Arial" w:cs="Arial" w:eastAsia="Arial" w:hAnsi="Arial"/>
          <w:sz w:val="15"/>
          <w:szCs w:val="15"/>
          <w:color w:val="008000"/>
        </w:rPr>
      </w:pPr>
    </w:p>
    <w:p>
      <w:pPr>
        <w:ind w:left="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of Series A and Series C Preferred Stock (collectively, the "Preferred Stock") have no expiration date and are convertible, at the option of the holder, into shares of Common Stock at the then-effective conversion rate for no additional consideration (subject to the payment of cash in lieu of any fractional shares in accordance with the Issuer's Amended and Restated Certificate of Incorporation (as amended, the "Certificate of Incorporation")). The shares of Preferred Stock will automatically convert into shares of Common Stock at the then-effective conversion rate for no additional consideration (subject to the payment in cash in lieu of any fractional shares in accordance with the Certificate of Incorporation) immediately prior to the closing of the Issuer's initial public offering.</w:t>
      </w:r>
    </w:p>
    <w:p>
      <w:pPr>
        <w:spacing w:after="0" w:line="37"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Shares of Series A Preferred Stock are convertible into shares of Common Stock at a 2.5161-for-1 conversion rate, which is the applicable conversion rate as of the date hereof.</w:t>
      </w:r>
    </w:p>
    <w:p>
      <w:pPr>
        <w:spacing w:after="0" w:line="75" w:lineRule="exact"/>
        <w:rPr>
          <w:rFonts w:ascii="Arial" w:cs="Arial" w:eastAsia="Arial" w:hAnsi="Arial"/>
          <w:sz w:val="13"/>
          <w:szCs w:val="13"/>
          <w:color w:val="008000"/>
        </w:rPr>
      </w:pPr>
    </w:p>
    <w:p>
      <w:pPr>
        <w:ind w:left="180" w:hanging="155"/>
        <w:spacing w:after="0"/>
        <w:tabs>
          <w:tab w:leader="none" w:pos="18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Shares of Series C Preferred Stock are convertible into shares of Common Stock at a 2.5161-for-1 conversion rate, which is the applicable conversion rate as of the date hereof.</w:t>
      </w:r>
    </w:p>
    <w:p>
      <w:pPr>
        <w:spacing w:after="0" w:line="75" w:lineRule="exact"/>
        <w:rPr>
          <w:rFonts w:ascii="Arial" w:cs="Arial" w:eastAsia="Arial" w:hAnsi="Arial"/>
          <w:sz w:val="13"/>
          <w:szCs w:val="13"/>
          <w:color w:val="008000"/>
        </w:rPr>
      </w:pPr>
    </w:p>
    <w:p>
      <w:pPr>
        <w:ind w:left="20" w:right="20" w:firstLine="5"/>
        <w:spacing w:after="0" w:line="329"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reportable securities are owned by Versant Vantage II, L.P. ("Versant Vantage II"). Versant Vantage II GP, L.P. ("Versant Vantage II GP") is the general partner of Versant Vantage II, and Versant Vantage II GP-GP, LLC ("Versant Vantage II GP-GP") is the general partner of Versant Vantage II GP. Versant Vantage II GP and Versant Vantage II GP-GP</w:t>
      </w:r>
    </w:p>
    <w:p>
      <w:pPr>
        <w:sectPr>
          <w:pgSz w:w="11900" w:h="16838" w:orient="portrait"/>
          <w:cols w:equalWidth="0" w:num="1">
            <w:col w:w="10860"/>
          </w:cols>
          <w:pgMar w:left="500" w:top="184" w:right="539" w:bottom="0" w:gutter="0" w:footer="0" w:header="0"/>
        </w:sectPr>
      </w:pPr>
    </w:p>
    <w:bookmarkStart w:id="2" w:name="page3"/>
    <w:bookmarkEnd w:id="2"/>
    <w:p>
      <w:pPr>
        <w:ind w:right="20"/>
        <w:spacing w:after="0" w:line="253" w:lineRule="auto"/>
        <w:rPr>
          <w:sz w:val="20"/>
          <w:szCs w:val="20"/>
          <w:color w:val="auto"/>
        </w:rPr>
      </w:pPr>
      <w:r>
        <w:rPr>
          <w:rFonts w:ascii="Arial" w:cs="Arial" w:eastAsia="Arial" w:hAnsi="Arial"/>
          <w:sz w:val="15"/>
          <w:szCs w:val="15"/>
          <w:color w:val="008000"/>
        </w:rPr>
        <w:t>may be deemed to indirectly beneficially own the shares beneficially owned by Versant Vantage II, but disclaim beneficial ownership except to the extent of their pecuniary interest therein.</w:t>
      </w:r>
    </w:p>
    <w:p>
      <w:pPr>
        <w:sectPr>
          <w:pgSz w:w="11900" w:h="16838" w:orient="portrait"/>
          <w:cols w:equalWidth="0" w:num="1">
            <w:col w:w="10820"/>
          </w:cols>
          <w:pgMar w:left="520" w:top="129" w:right="559" w:bottom="144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Versant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4554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Capital VI,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42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9842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39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38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77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222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Partner By: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38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VI GP, L.P. By: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348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734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Ventures VI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619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983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380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VI GP-GP, LLC By: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556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 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382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0365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874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155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By: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Vantage II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364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983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7317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L.P. By: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155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Vantage II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364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983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7317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GP-GP, LLC By: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143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660" w:space="60"/>
            <w:col w:w="2100"/>
          </w:cols>
          <w:pgMar w:left="520" w:top="12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10" Type="http://schemas.openxmlformats.org/officeDocument/2006/relationships/hyperlink" Target="http://www.sec.gov/cgi-bin/browse-edgar?action=getcompany&amp;CIK=0001687880" TargetMode="External"/><Relationship Id="rId11" Type="http://schemas.openxmlformats.org/officeDocument/2006/relationships/hyperlink" Target="http://www.sec.gov/cgi-bin/browse-edgar?action=getcompany&amp;CIK=0001850119" TargetMode="External"/><Relationship Id="rId12" Type="http://schemas.openxmlformats.org/officeDocument/2006/relationships/hyperlink" Target="http://www.sec.gov/cgi-bin/browse-edgar?action=getcompany&amp;CIK=0001777654" TargetMode="External"/><Relationship Id="rId14" Type="http://schemas.openxmlformats.org/officeDocument/2006/relationships/hyperlink" Target="http://www.sec.gov/cgi-bin/browse-edgar?action=getcompany&amp;CIK=0001777652" TargetMode="External"/><Relationship Id="rId15" Type="http://schemas.openxmlformats.org/officeDocument/2006/relationships/hyperlink" Target="http://www.sec.gov/cgi-bin/browse-edgar?action=getcompany&amp;CIK=0001832235" TargetMode="External"/><Relationship Id="rId16" Type="http://schemas.openxmlformats.org/officeDocument/2006/relationships/hyperlink" Target="http://www.sec.gov/cgi-bin/browse-edgar?action=getcompany&amp;CIK=0001839790" TargetMode="External"/><Relationship Id="rId17" Type="http://schemas.openxmlformats.org/officeDocument/2006/relationships/hyperlink" Target="http://www.sec.gov/cgi-bin/browse-edgar?action=getcompany&amp;CIK=0001839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2021-06-17T16:08:21Z</dcterms:created>
  <dcterms:modified xsi:type="dcterms:W3CDTF">2021-06-17T16:08:21Z</dcterms:modified>
</cp:coreProperties>
</file>