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87"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0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u w:val="single" w:color="auto"/>
          <w:color w:val="auto"/>
        </w:rPr>
        <w:t>Results of Operations and Financial Condition</w:t>
      </w:r>
    </w:p>
    <w:p>
      <w:pPr>
        <w:spacing w:after="0" w:line="154"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On November 13, 2025,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issued a press release announcing its financial results for the quarter ended September 30, 2025. A copy of the press release is furnished as Exhibit 99.1 to this Current Report on Form 8-K and is incorporated herein by reference.</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 any filing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or the Exchange Act, except as shall be expressly set forth by specific reference in such filing.</w:t>
      </w:r>
    </w:p>
    <w:p>
      <w:pPr>
        <w:spacing w:after="0" w:line="25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November 13, 2025,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0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u w:val="single" w:color="auto"/>
          <w:color w:val="auto"/>
        </w:rPr>
        <w:t>Other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13, 2025, the Company also issued a press release announcing its first program for Type 1 diabetes, CNTY-813. A copy of the press release is furnished herewith as Exhibit 99.3, and incorporated herein by reference.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1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0" w:type="dxa"/>
            <w:vAlign w:val="bottom"/>
          </w:tcPr>
          <w:p>
            <w:pPr>
              <w:spacing w:after="0"/>
              <w:rPr>
                <w:sz w:val="23"/>
                <w:szCs w:val="23"/>
                <w:color w:val="auto"/>
              </w:rPr>
            </w:pPr>
          </w:p>
        </w:tc>
      </w:tr>
      <w:tr>
        <w:trPr>
          <w:trHeight w:val="159"/>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90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6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Earnings Press Release of Century Therapeutics, Inc., dated November 13, 2025</w:t>
            </w:r>
          </w:p>
        </w:tc>
      </w:tr>
      <w:tr>
        <w:trPr>
          <w:trHeight w:val="268"/>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November 13, 2025</w:t>
            </w:r>
          </w:p>
        </w:tc>
        <w:tc>
          <w:tcPr>
            <w:tcW w:w="6200" w:type="dxa"/>
            <w:vAlign w:val="bottom"/>
          </w:tcPr>
          <w:p>
            <w:pPr>
              <w:spacing w:after="0"/>
              <w:rPr>
                <w:sz w:val="23"/>
                <w:szCs w:val="23"/>
                <w:color w:val="auto"/>
              </w:rPr>
            </w:pPr>
          </w:p>
        </w:tc>
      </w:tr>
      <w:tr>
        <w:trPr>
          <w:trHeight w:val="268"/>
        </w:trPr>
        <w:tc>
          <w:tcPr>
            <w:tcW w:w="2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November 13, 2025.</w:t>
            </w:r>
          </w:p>
        </w:tc>
        <w:tc>
          <w:tcPr>
            <w:tcW w:w="320" w:type="dxa"/>
            <w:vAlign w:val="bottom"/>
            <w:tcBorders>
              <w:top w:val="single" w:sz="8" w:color="0000EE"/>
            </w:tcBorders>
          </w:tcPr>
          <w:p>
            <w:pPr>
              <w:spacing w:after="0"/>
              <w:rPr>
                <w:sz w:val="23"/>
                <w:szCs w:val="23"/>
                <w:color w:val="auto"/>
              </w:rPr>
            </w:pPr>
          </w:p>
        </w:tc>
        <w:tc>
          <w:tcPr>
            <w:tcW w:w="6300" w:type="dxa"/>
            <w:vAlign w:val="bottom"/>
            <w:gridSpan w:val="2"/>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 MBA</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 MBA</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Third Quarter 2025 Financial Results and Provides Business Update</w:t>
      </w:r>
    </w:p>
    <w:p>
      <w:pPr>
        <w:spacing w:after="0" w:line="15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iPSC derived beta islet cell program for Type 1 diabetes (T1D); Investigational New Drug (IND)-enabling studies expected to initiate by year-end 2025; IND submission planned in 2026</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CNTY-308 advancing through IND-enabling studies to support planned clinical study initiation in 2026</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cash runway into 4Q 2027</w:t>
      </w:r>
    </w:p>
    <w:p>
      <w:pPr>
        <w:spacing w:after="0" w:line="14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PHILADELPHIA, Nov. 13, 2025 </w:t>
      </w:r>
      <w:r>
        <w:rPr>
          <w:rFonts w:ascii="Times New Roman" w:cs="Times New Roman" w:eastAsia="Times New Roman" w:hAnsi="Times New Roman"/>
          <w:sz w:val="12"/>
          <w:szCs w:val="12"/>
          <w:color w:val="auto"/>
        </w:rPr>
        <w:t>-- Century Therapeutics, Inc. (‘Century’, NASDAQ: IPSC), a biotechnology company developing induced pluripotent stem cell (iPSC)-derived cell therapies for autoimmune diseases and cancer,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today reported financial results for the third quarter ended September 30, 2025, and provided a business update.</w:t>
      </w:r>
    </w:p>
    <w:p>
      <w:pPr>
        <w:spacing w:after="0" w:line="1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“Today we announced our iPSC derived beta islet program for T1D. We have generated a compelling preclinical data package that underscores the tremendous opportunity to potentially deliver a functional cure for T1D. We are moving with urgency and anticipate initiating IND-enabling studies by the end of 2025, with a projected IND submission as early as 2026. In parallel, we continue to advance CNTY-308 with plans to enter the clinic next year, supported by a strong and growing body of evidence from autologous CD19 CAR-T experience in autoimmune diseases,” said Brent Pfeiffenberger, Pharm.D., Chief Executive Officer of Century Therapeutics. “Our priority remains on developing innovative therapies for high-impact areas. Consequently, we are focusing our resources and expertise on these two programs. With our iPSC Cell Foundry, Allo-Evasion™ 5.0 technology, and manufacturing know-how, we believe Century is uniquely positioned to deliver potentially curative cell therapies, and we are eager to advance our lead programs into the clinic as soon as possible.”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2025 and Recent Highlights</w:t>
      </w:r>
    </w:p>
    <w:p>
      <w:pPr>
        <w:spacing w:after="0" w:line="150" w:lineRule="exact"/>
        <w:rPr>
          <w:sz w:val="20"/>
          <w:szCs w:val="20"/>
          <w:color w:val="auto"/>
        </w:rPr>
      </w:pPr>
    </w:p>
    <w:p>
      <w:pPr>
        <w:ind w:left="420" w:right="20" w:hanging="212"/>
        <w:spacing w:after="0" w:line="262"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Announced lead beta islet program, CNTY-813, for Type 1 diabetes: </w:t>
      </w:r>
      <w:r>
        <w:rPr>
          <w:rFonts w:ascii="Times New Roman" w:cs="Times New Roman" w:eastAsia="Times New Roman" w:hAnsi="Times New Roman"/>
          <w:sz w:val="12"/>
          <w:szCs w:val="12"/>
          <w:color w:val="auto"/>
        </w:rPr>
        <w:t>Today, Century announced its lead iPSC derived beta islet program for T1D. The company is leveraging its deep expertise in selective iPSC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differentiation to advance this program, engineered with Allo-Evasion™ 5.0, toward clinical evaluation subject to regulatory clearance. Century has generated in vitro and in vivo data sets that validate a potentially best-in-class profile: rapid and sustained glucose control without the need for chronic immune suppression along with a scalable platform. Based on the company’s current timelines and expectations, the company is poised to move CNTY-813 into IND-enabling studies by the end of 2025 and anticipates submitting an IND as early as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jc w:val="both"/>
        <w:ind w:left="420" w:right="60" w:hanging="212"/>
        <w:spacing w:after="0" w:line="26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CNTY-308 advancing through IND-enabling studies as a potential treatment for B-cell-mediated diseases: </w:t>
      </w:r>
      <w:r>
        <w:rPr>
          <w:rFonts w:ascii="Times New Roman" w:cs="Times New Roman" w:eastAsia="Times New Roman" w:hAnsi="Times New Roman"/>
          <w:sz w:val="12"/>
          <w:szCs w:val="12"/>
          <w:color w:val="auto"/>
        </w:rPr>
        <w:t>Century continues to make progress in IND-enabling studies with CNTY-308, a CD19-targeted CD4+/CD8+ ab</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CAR-iT cell therapy functionally comparable to primary T cells and engineered with Allo-Evasion™ 5.0. CNTY-308 is being developed as a potential treatment for B-cell-mediated diseases. Following successful completion of these IND-enabling studies, and the receipt of requisite regulatory approval, Century expects to initiate clinical studies in 2026.</w:t>
      </w:r>
    </w:p>
    <w:p>
      <w:pPr>
        <w:spacing w:after="0" w:line="113" w:lineRule="exact"/>
        <w:rPr>
          <w:rFonts w:ascii="Times New Roman" w:cs="Times New Roman" w:eastAsia="Times New Roman" w:hAnsi="Times New Roman"/>
          <w:sz w:val="12"/>
          <w:szCs w:val="12"/>
          <w:color w:val="auto"/>
        </w:rPr>
      </w:pPr>
    </w:p>
    <w:p>
      <w:pPr>
        <w:ind w:left="420" w:hanging="212"/>
        <w:spacing w:after="0" w:line="237"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Pursuing clinical advancement of CNTY-101 in CARAMEL IST with initial clinical data expected in December: </w:t>
      </w:r>
      <w:r>
        <w:rPr>
          <w:rFonts w:ascii="Times New Roman" w:cs="Times New Roman" w:eastAsia="Times New Roman" w:hAnsi="Times New Roman"/>
          <w:sz w:val="12"/>
          <w:szCs w:val="12"/>
          <w:color w:val="auto"/>
        </w:rPr>
        <w:t>Today, Century announced that CNTY-101 clinical development activities will continue in CARAMEL,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Phase 1/2 investigator-sponsored trial (IST) led by Professors Georg Schett and Andreas Mackensen and sponsored by the Friedrich-Alexander University Erlangen-Nürnberg. As of November 12, 2025, three B-cell-mediated autoimmune disease patients were treated in this IST. Initial clinical data from CARAMEL is expected to be presented by the trial investigators at the 14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Annual BMT &amp; Cell Therapy Workshop on December 5, 2025. As part of the company’s clinical development re-prioritization efforts, Century will be discontinuing its company-sponsored CALiPSO-1 trial in which five patients have been treated with a favorable safety profile with no DLTs, no CRS &gt;grade 2, and no ICANS. In addition, the limited but emerging clinical data suggests encouraging clinical activity in refractory patient populations.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2025 Financial Results</w:t>
      </w:r>
    </w:p>
    <w:p>
      <w:pPr>
        <w:spacing w:after="0" w:line="150" w:lineRule="exact"/>
        <w:rPr>
          <w:sz w:val="20"/>
          <w:szCs w:val="20"/>
          <w:color w:val="auto"/>
        </w:rPr>
      </w:pPr>
    </w:p>
    <w:p>
      <w:pPr>
        <w:ind w:left="420" w:right="4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$132.7 million as of September 30, 2025, as compared to $220.1 million as of December 31, 2024. The company estimates its cash, cash equivalents,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will support operations into the fourth quarter of 2027.</w:t>
      </w:r>
    </w:p>
    <w:p>
      <w:pPr>
        <w:spacing w:after="0" w:line="103" w:lineRule="exact"/>
        <w:rPr>
          <w:rFonts w:ascii="Times New Roman" w:cs="Times New Roman" w:eastAsia="Times New Roman" w:hAnsi="Times New Roman"/>
          <w:sz w:val="12"/>
          <w:szCs w:val="12"/>
          <w:color w:val="auto"/>
        </w:rPr>
      </w:pPr>
    </w:p>
    <w:p>
      <w:pPr>
        <w:ind w:left="420" w:right="6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Research and Development (R&amp;D) Expenses: </w:t>
      </w:r>
      <w:r>
        <w:rPr>
          <w:rFonts w:ascii="Times New Roman" w:cs="Times New Roman" w:eastAsia="Times New Roman" w:hAnsi="Times New Roman"/>
          <w:sz w:val="12"/>
          <w:szCs w:val="12"/>
          <w:color w:val="auto"/>
        </w:rPr>
        <w:t>R&amp;D expenses were $22.5 million for the three months ended September 30, 2025, compared to $27.2 million for the same period in 2024. The decrease in R&amp;D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a reduction of personnel and manufacturing costs, offset by an increase in research and laboratory costs to progress clinical trials and preclinical programs.</w:t>
      </w:r>
    </w:p>
    <w:p>
      <w:pPr>
        <w:spacing w:after="0" w:line="103" w:lineRule="exact"/>
        <w:rPr>
          <w:rFonts w:ascii="Times New Roman" w:cs="Times New Roman" w:eastAsia="Times New Roman" w:hAnsi="Times New Roman"/>
          <w:sz w:val="12"/>
          <w:szCs w:val="12"/>
          <w:color w:val="auto"/>
        </w:rPr>
      </w:pPr>
    </w:p>
    <w:p>
      <w:pPr>
        <w:ind w:left="420" w:right="120" w:hanging="212"/>
        <w:spacing w:after="0" w:line="286"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$6.8 million for the three months ended September 30, 2025, compared to $8.4 million for the same period in 2024. The decrease in G&amp;A expenses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primarily due to a gain on lease modification of $1.4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5" w:name="page6"/>
    <w:bookmarkEnd w:id="5"/>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Income (Loss): </w:t>
      </w:r>
      <w:r>
        <w:rPr>
          <w:rFonts w:ascii="Times New Roman" w:cs="Times New Roman" w:eastAsia="Times New Roman" w:hAnsi="Times New Roman"/>
          <w:sz w:val="12"/>
          <w:szCs w:val="12"/>
          <w:color w:val="auto"/>
        </w:rPr>
        <w:t>Net loss was $34.4 million for the three months ended September 30, 2025, compared to net loss of $31.2 million for the same period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Century Therapeutics (NASDAQ: IPSC) is a biotechnology company advancing a pipeline of induced pluripotent stem cell (iPSC)-derived cell therapies with the potential to meaningfully address autoimmune diseases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 xml:space="preserve"> and connect with us on LinkedIn.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our timing and expectations regarding our preclinical and clinical development programs, including their planned development, therapeutic potential and market opportunity, ongoing and planned regulatory interactions, the achievement of developmental milestones, corporate strategies,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Douglas Carr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investor.relations@centurytx.com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7" w:name="page8"/>
    <w:bookmarkEnd w:id="7"/>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3"/>
                <w:szCs w:val="13"/>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55,515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58,441</w:t>
            </w: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77,234</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130,851</w:t>
            </w:r>
          </w:p>
        </w:tc>
      </w:tr>
      <w:tr>
        <w:trPr>
          <w:trHeight w:val="153"/>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4,960</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4,759</w:t>
            </w: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137,709</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194,051</w:t>
            </w: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53,715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62,141</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16,566</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28,706</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2,314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2,772</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30,818</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34,200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34,200</w:t>
            </w: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213</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528</w:t>
            </w:r>
          </w:p>
        </w:tc>
      </w:tr>
      <w:tr>
        <w:trPr>
          <w:trHeight w:val="149"/>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244,717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8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2,617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3,075</w:t>
            </w: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11,071</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17,543</w:t>
            </w: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Contingent consideration liability, short term</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8,338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revenue, current</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109,164</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22,026</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129,782</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41,185</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48,960</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liability, long term</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8,738</w:t>
            </w:r>
          </w:p>
        </w:tc>
      </w:tr>
      <w:tr>
        <w:trPr>
          <w:trHeight w:val="153"/>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4,374</w:t>
            </w:r>
          </w:p>
        </w:tc>
        <w:tc>
          <w:tcPr>
            <w:tcW w:w="1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4,374</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68,369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191,854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949,015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943,366</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(772,740)</w:t>
            </w:r>
          </w:p>
        </w:tc>
        <w:tc>
          <w:tcPr>
            <w:tcW w:w="1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(782,337)</w:t>
            </w: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324</w:t>
            </w: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176,348</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161,362</w:t>
            </w:r>
          </w:p>
        </w:tc>
        <w:tc>
          <w:tcPr>
            <w:tcW w:w="120" w:type="dxa"/>
            <w:vAlign w:val="bottom"/>
            <w:tcBorders>
              <w:bottom w:val="single" w:sz="8" w:color="CCEEFF"/>
            </w:tcBorders>
          </w:tcPr>
          <w:p>
            <w:pPr>
              <w:spacing w:after="0"/>
              <w:rPr>
                <w:sz w:val="11"/>
                <w:szCs w:val="11"/>
                <w:color w:val="auto"/>
              </w:rPr>
            </w:pPr>
          </w:p>
        </w:tc>
      </w:tr>
      <w:tr>
        <w:trPr>
          <w:trHeight w:val="149"/>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244,717</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7"/>
              </w:rPr>
              <w:t>Three</w:t>
            </w:r>
          </w:p>
        </w:tc>
        <w:tc>
          <w:tcPr>
            <w:tcW w:w="20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Three</w:t>
            </w:r>
          </w:p>
        </w:tc>
        <w:tc>
          <w:tcPr>
            <w:tcW w:w="200" w:type="dxa"/>
            <w:vAlign w:val="bottom"/>
          </w:tcPr>
          <w:p>
            <w:pPr>
              <w:spacing w:after="0"/>
              <w:rPr>
                <w:sz w:val="12"/>
                <w:szCs w:val="12"/>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Nine</w:t>
            </w:r>
          </w:p>
        </w:tc>
        <w:tc>
          <w:tcPr>
            <w:tcW w:w="1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Nine</w:t>
            </w: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Months</w:t>
            </w:r>
          </w:p>
        </w:tc>
        <w:tc>
          <w:tcPr>
            <w:tcW w:w="20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Months</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Months</w:t>
            </w:r>
          </w:p>
        </w:tc>
        <w:tc>
          <w:tcPr>
            <w:tcW w:w="1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Months</w:t>
            </w: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200" w:type="dxa"/>
            <w:vAlign w:val="bottom"/>
          </w:tcPr>
          <w:p>
            <w:pPr>
              <w:spacing w:after="0"/>
              <w:rPr>
                <w:sz w:val="12"/>
                <w:szCs w:val="12"/>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5"/>
              </w:rPr>
              <w:t>Ended</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Ended</w:t>
            </w: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September</w:t>
            </w:r>
          </w:p>
        </w:tc>
        <w:tc>
          <w:tcPr>
            <w:tcW w:w="200" w:type="dxa"/>
            <w:vAlign w:val="bottom"/>
          </w:tcPr>
          <w:p>
            <w:pPr>
              <w:spacing w:after="0"/>
              <w:rPr>
                <w:sz w:val="12"/>
                <w:szCs w:val="12"/>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September</w:t>
            </w:r>
          </w:p>
        </w:tc>
        <w:tc>
          <w:tcPr>
            <w:tcW w:w="200" w:type="dxa"/>
            <w:vAlign w:val="bottom"/>
          </w:tcPr>
          <w:p>
            <w:pPr>
              <w:spacing w:after="0"/>
              <w:rPr>
                <w:sz w:val="12"/>
                <w:szCs w:val="12"/>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7"/>
              </w:rPr>
              <w:t>September</w:t>
            </w:r>
          </w:p>
        </w:tc>
        <w:tc>
          <w:tcPr>
            <w:tcW w:w="18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September</w:t>
            </w:r>
          </w:p>
        </w:tc>
      </w:tr>
      <w:tr>
        <w:trPr>
          <w:trHeight w:val="159"/>
        </w:trPr>
        <w:tc>
          <w:tcPr>
            <w:tcW w:w="55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30, 2025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30, 2024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30, 2025</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30, 2024</w:t>
            </w:r>
          </w:p>
        </w:tc>
        <w:tc>
          <w:tcPr>
            <w:tcW w:w="120" w:type="dxa"/>
            <w:vAlign w:val="bottom"/>
            <w:tcBorders>
              <w:bottom w:val="single" w:sz="8" w:color="CCEEFF"/>
            </w:tcBorders>
          </w:tcPr>
          <w:p>
            <w:pPr>
              <w:spacing w:after="0"/>
              <w:rPr>
                <w:sz w:val="13"/>
                <w:szCs w:val="13"/>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Collaboration Revenue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791</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109,164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2,416</w:t>
            </w:r>
          </w:p>
        </w:tc>
        <w:tc>
          <w:tcPr>
            <w:tcW w:w="120" w:type="dxa"/>
            <w:vAlign w:val="bottom"/>
            <w:shd w:val="clear" w:color="auto" w:fill="CCEEFF"/>
          </w:tcPr>
          <w:p>
            <w:pPr>
              <w:spacing w:after="0"/>
              <w:rPr>
                <w:sz w:val="11"/>
                <w:szCs w:val="11"/>
                <w:color w:val="auto"/>
              </w:rPr>
            </w:pP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22,526</w:t>
            </w:r>
          </w:p>
        </w:tc>
        <w:tc>
          <w:tcPr>
            <w:tcW w:w="2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27,228</w:t>
            </w:r>
          </w:p>
        </w:tc>
        <w:tc>
          <w:tcPr>
            <w:tcW w:w="2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75,972</w:t>
            </w: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77,869</w:t>
            </w:r>
          </w:p>
        </w:tc>
      </w:tr>
      <w:tr>
        <w:trPr>
          <w:trHeight w:val="144"/>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6,835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8,352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23,047</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25,400</w:t>
            </w:r>
          </w:p>
        </w:tc>
      </w:tr>
      <w:tr>
        <w:trPr>
          <w:trHeight w:val="153"/>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6,763</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6,763</w:t>
            </w:r>
          </w:p>
        </w:tc>
        <w:tc>
          <w:tcPr>
            <w:tcW w:w="1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54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36,124</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35,580</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105,782</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103,269</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(36,124)</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(34,789)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3,382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(100,853)</w:t>
            </w: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1,605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3,305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6,037</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10,126</w:t>
            </w: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172</w:t>
            </w:r>
          </w:p>
        </w:tc>
        <w:tc>
          <w:tcPr>
            <w:tcW w:w="1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248</w:t>
            </w:r>
          </w:p>
        </w:tc>
      </w:tr>
      <w:tr>
        <w:trPr>
          <w:trHeight w:val="133"/>
        </w:trPr>
        <w:tc>
          <w:tcPr>
            <w:tcW w:w="5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(34,422)</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(31,234)</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9,591</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(90,479)</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r>
      <w:tr>
        <w:trPr>
          <w:trHeight w:val="149"/>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(34,422)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investments</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1,075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622</w:t>
            </w:r>
          </w:p>
        </w:tc>
      </w:tr>
      <w:tr>
        <w:trPr>
          <w:trHeight w:val="153"/>
        </w:trPr>
        <w:tc>
          <w:tcPr>
            <w:tcW w:w="55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adjustment gain (loss)</w:t>
            </w:r>
          </w:p>
        </w:tc>
        <w:tc>
          <w:tcPr>
            <w:tcW w:w="2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w:t>
            </w:r>
          </w:p>
        </w:tc>
      </w:tr>
      <w:tr>
        <w:trPr>
          <w:trHeight w:val="149"/>
        </w:trPr>
        <w:tc>
          <w:tcPr>
            <w:tcW w:w="55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Comprehensive income (loss)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(34,441)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(30,159)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(89,843)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5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per common share Basic</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(0.40)</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(0.37)</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0.11</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w:t>
            </w:r>
          </w:p>
        </w:tc>
      </w:tr>
      <w:tr>
        <w:trPr>
          <w:trHeight w:val="138"/>
        </w:trPr>
        <w:tc>
          <w:tcPr>
            <w:tcW w:w="5540" w:type="dxa"/>
            <w:vAlign w:val="bottom"/>
            <w:tcBorders>
              <w:top w:val="single" w:sz="8" w:color="CCEEFF"/>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Net income (loss) per common share Diluted</w:t>
            </w: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(0.40)</w:t>
            </w:r>
          </w:p>
        </w:tc>
        <w:tc>
          <w:tcPr>
            <w:tcW w:w="2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(0.37)</w:t>
            </w:r>
          </w:p>
        </w:tc>
        <w:tc>
          <w:tcPr>
            <w:tcW w:w="2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0.11</w:t>
            </w:r>
          </w:p>
        </w:tc>
        <w:tc>
          <w:tcPr>
            <w:tcW w:w="2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(1.18)</w:t>
            </w:r>
          </w:p>
        </w:tc>
        <w:tc>
          <w:tcPr>
            <w:tcW w:w="120" w:type="dxa"/>
            <w:vAlign w:val="bottom"/>
            <w:tcBorders>
              <w:top w:val="single" w:sz="8" w:color="CCEEFF"/>
              <w:bottom w:val="single" w:sz="8" w:color="CCEEFF"/>
            </w:tcBorders>
          </w:tcPr>
          <w:p>
            <w:pPr>
              <w:spacing w:after="0"/>
              <w:rPr>
                <w:sz w:val="12"/>
                <w:szCs w:val="12"/>
                <w:color w:val="auto"/>
              </w:rPr>
            </w:pPr>
          </w:p>
        </w:tc>
      </w:tr>
      <w:tr>
        <w:trPr>
          <w:trHeight w:val="144"/>
        </w:trPr>
        <w:tc>
          <w:tcPr>
            <w:tcW w:w="5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w:t>
            </w:r>
          </w:p>
        </w:tc>
        <w:tc>
          <w:tcPr>
            <w:tcW w:w="2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86,464,066</w:t>
            </w:r>
          </w:p>
        </w:tc>
        <w:tc>
          <w:tcPr>
            <w:tcW w:w="2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84,704,352</w:t>
            </w:r>
          </w:p>
        </w:tc>
        <w:tc>
          <w:tcPr>
            <w:tcW w:w="2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86,312,863</w:t>
            </w: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76,394,266</w:t>
            </w:r>
          </w:p>
        </w:tc>
      </w:tr>
      <w:tr>
        <w:trPr>
          <w:trHeight w:val="151"/>
        </w:trPr>
        <w:tc>
          <w:tcPr>
            <w:tcW w:w="5540" w:type="dxa"/>
            <w:vAlign w:val="bottom"/>
            <w:tcBorders>
              <w:top w:val="single" w:sz="8" w:color="CCEEFF"/>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Weighted average common shares outstanding Diluted</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86,464,066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84,704,352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86,390,294</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76,394,266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450"/>
        </w:trPr>
        <w:tc>
          <w:tcPr>
            <w:tcW w:w="5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9" w:name="page10"/>
    <w:bookmarkEnd w:id="9"/>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Announces New Beta Islet Program for Type 1 Diabetes</w:t>
      </w:r>
    </w:p>
    <w:p>
      <w:pPr>
        <w:spacing w:after="0" w:line="154"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Allo-Evasion™ 5.0-engineered iPSC beta islets are designed to overcome immune rejection and provide durable glucose control without chronic immunosuppression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Compelling preclinical data demonstrate rapid reversal of diabetes and sustained normoglycemia, human C-peptide production and mature GSIS, supported by scalable bioreactor-based manufacturing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Investigational New Drug (IND)-enabling studies on track to initiate by year-end 2025; IND submission planned as early as 2026</w:t>
      </w:r>
    </w:p>
    <w:p>
      <w:pPr>
        <w:spacing w:after="0" w:line="14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PHILADELPHIA, Nov. 13, 2025 </w:t>
      </w:r>
      <w:r>
        <w:rPr>
          <w:rFonts w:ascii="Times New Roman" w:cs="Times New Roman" w:eastAsia="Times New Roman" w:hAnsi="Times New Roman"/>
          <w:sz w:val="12"/>
          <w:szCs w:val="12"/>
          <w:color w:val="auto"/>
        </w:rPr>
        <w:t>-- Century Therapeutics, Inc. (‘Century’, NASDAQ: IPSC), a biotechnology company developing induced pluripotent stem cell (iPSC)-derived cell therapies for autoimmune diseases and cancer,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today announced its first program for Type 1 diabetes (T1D), CNTY-813. The program comprises iPSC-derived beta islets engineered with the company’s proprietary Allo-Evasion™ 5.0 technology, designed to protect from T cell, NK cell and humoral immune rejection, with the goal of durable glycemic control without the need for systemic immunosuppression.</w:t>
      </w:r>
    </w:p>
    <w:p>
      <w:pPr>
        <w:spacing w:after="0" w:line="11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2"/>
          <w:szCs w:val="12"/>
          <w:color w:val="auto"/>
        </w:rPr>
        <w:t>“With our cell foundry and Allo-Evasion™ 5.0 technology, we have engineered iPSC derived beta islets that we believe can deliver durable glycemic control without chronic immunosuppression,” said Chad Cowan, Ph.D., Chief Scientific Officer of Century Therapeutics. “After initiating discovery activities earlier this year, we have now generated compelling preclinical data that underscores the deep potential of this program, including rapid and sustained normalization of glucose in diabetic mouse models, significant glucose-stimulated insulin secretion with detectable human C-peptide and engineered resistance to NK cell-mediated killing and antibody-dependent cellular cytotoxicity. Additionally, our suspension bioreactor process is capable of delivering mature, functional beta islets at scale, which we believe positions us to produce a consistent drug product suitable for broad patient access, if approved by regulatory authorities. Considering the large, underserved T1D patient population, we believe this program has great promise to be a potentially curative new therapy.”</w:t>
      </w:r>
    </w:p>
    <w:p>
      <w:pPr>
        <w:spacing w:after="0" w:line="125"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“Today, people with T1D struggle with unpredictable glucose swings, the burden of lifelong insulin, and diabetes related complications. An off-the-shelf, immune-evasive beta islet therapy that restores physiologic insulin production without systemic immunosuppression would represent a paradigm shift,” said James Markmann, M.D., Ph.D., Vice President for Transplantation Services, Perelman School of Medicine,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color w:val="auto"/>
        </w:rPr>
        <w:t>Century has generated in vitro and in vivo preclinical data demonstrating:</w:t>
      </w:r>
    </w:p>
    <w:p>
      <w:pPr>
        <w:spacing w:after="0" w:line="150"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Rapid and sustained glucose control in streptozotocin (STZ)-induced diabetic models following transplantation of iPSC-derived beta islets, including maintenance of normoglycemia and human C-peptide production.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in vitro function, including glucose-stimulated insulin secretion (GSIS) with stimulation indices consistent with mature beta cell phenotypes.</w:t>
      </w:r>
    </w:p>
    <w:p>
      <w:pPr>
        <w:spacing w:after="0" w:line="150" w:lineRule="exact"/>
        <w:rPr>
          <w:rFonts w:ascii="Times New Roman" w:cs="Times New Roman" w:eastAsia="Times New Roman" w:hAnsi="Times New Roman"/>
          <w:sz w:val="12"/>
          <w:szCs w:val="12"/>
          <w:color w:val="auto"/>
        </w:rPr>
      </w:pPr>
    </w:p>
    <w:p>
      <w:pPr>
        <w:ind w:left="420" w:right="180" w:hanging="212"/>
        <w:spacing w:after="0" w:line="279"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Allo-Evasion™ 5.0 enables immune protection with knockout of human leukocyte antigen (HLA) class I and II, expression of CD300a-based pan-NK inhibitory ligand and immunoglobulin-degrading enzyme that reduces antibody-dependent cellular toxicity (ADCC), resulting in preserved cell survival in NK cytotoxicity and ADCC assays.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expects to initiate IND-enabling studies by year-end 2025 and plans to submit an IND application to the U.S. Food and Drug Administration (FDA) as early as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Type 1 Diabetes (T1D)</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T1D affects approximately 9 million people worldwide, including approximately 2 million in the U.S., with a significant subset facing persistent hypoglycemia, glycemic variability, and long-term complications despite exogenous insulin. The current treatment of T1D also places a significant burden on the healthcare system, with approximately $6-8 billion spent on insulin annually in the U.S. A scalable, off-the-shelf, immune-evasion-enabled beta islet therapy could reach broad patient segments and expand access relative to donor-dependent transplantation or device-limited solutions. Century’s beta islet program is designed to combine clinical impact with a path to profitable scalability, supporting the potential for long-term value creation.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 xml:space="preserve">Century Therapeutics (NASDAQ: IPSC) is a biotechnology company advancing a pipeline of induced pluripotent stem cell (iPSC)-derived cell therapies with the potential to meaningfully address autoimmune diseases and cancer. The company’s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t>
      </w:r>
      <w:r>
        <w:rPr>
          <w:rFonts w:ascii="Times New Roman" w:cs="Times New Roman" w:eastAsia="Times New Roman" w:hAnsi="Times New Roman"/>
          <w:sz w:val="12"/>
          <w:szCs w:val="12"/>
          <w:u w:val="single" w:color="auto"/>
          <w:color w:val="auto"/>
        </w:rPr>
        <w:t>www.centurytx.com</w:t>
      </w:r>
      <w:r>
        <w:rPr>
          <w:rFonts w:ascii="Times New Roman" w:cs="Times New Roman" w:eastAsia="Times New Roman" w:hAnsi="Times New Roman"/>
          <w:sz w:val="12"/>
          <w:szCs w:val="12"/>
          <w:color w:val="auto"/>
        </w:rPr>
        <w:t xml:space="preserve"> and connect with us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00" w:top="65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timing and expectations regarding our preclinical and clinical development programs, including their planned development, therapeutic potential and market opportunity, ongoing and planned regulatory interactions, the achievement of developmental milestones, and corporate strategies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clearance of our future IND or Clinical Trial Application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Douglas Carr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Vice President, Finance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investor.relations@centurytx.com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0159"/>
      </w:cols>
      <w:pgMar w:left="300" w:top="6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2025-11-13T07:11:47Z</dcterms:created>
  <dcterms:modified xsi:type="dcterms:W3CDTF">2025-11-13T07:11:47Z</dcterms:modified>
</cp:coreProperties>
</file>