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13d-102)</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jc w:val="center"/>
        <w:ind w:right="-79"/>
        <w:spacing w:after="0" w:line="230" w:lineRule="auto"/>
        <w:rPr>
          <w:sz w:val="20"/>
          <w:szCs w:val="20"/>
          <w:color w:val="auto"/>
        </w:rPr>
      </w:pPr>
      <w:r>
        <w:rPr>
          <w:rFonts w:ascii="Arial" w:cs="Arial" w:eastAsia="Arial" w:hAnsi="Arial"/>
          <w:sz w:val="22"/>
          <w:szCs w:val="22"/>
          <w:b w:val="1"/>
          <w:bCs w:val="1"/>
          <w:color w:val="auto"/>
        </w:rPr>
        <w:t>RULES 13d-1 (b), (c) AND (d) AND AMENDMENTS THERETO FILED PURSUANT TO</w:t>
      </w:r>
    </w:p>
    <w:p>
      <w:pPr>
        <w:jc w:val="center"/>
        <w:ind w:right="-79"/>
        <w:spacing w:after="0" w:line="231" w:lineRule="auto"/>
        <w:rPr>
          <w:sz w:val="20"/>
          <w:szCs w:val="20"/>
          <w:color w:val="auto"/>
        </w:rPr>
      </w:pPr>
      <w:r>
        <w:rPr>
          <w:rFonts w:ascii="Arial" w:cs="Arial" w:eastAsia="Arial" w:hAnsi="Arial"/>
          <w:sz w:val="22"/>
          <w:szCs w:val="22"/>
          <w:b w:val="1"/>
          <w:bCs w:val="1"/>
          <w:color w:val="auto"/>
        </w:rPr>
        <w:t>13d-2 (b)</w:t>
      </w: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Century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15673T100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7" w:right="5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20" w:hanging="397"/>
        <w:spacing w:after="0" w:line="457" w:lineRule="auto"/>
        <w:tabs>
          <w:tab w:leader="none" w:pos="647"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Persons Versant Venture Capital VI,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12,366,814 shares of Common Stock (2)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12,366,814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40" w:hanging="417"/>
        <w:spacing w:after="0" w:line="406" w:lineRule="auto"/>
        <w:tabs>
          <w:tab w:leader="none" w:pos="65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12,366,814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22.6%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5" w:lineRule="exact"/>
        <w:rPr>
          <w:rFonts w:ascii="Arial" w:cs="Arial" w:eastAsia="Arial" w:hAnsi="Arial"/>
          <w:sz w:val="18"/>
          <w:szCs w:val="18"/>
          <w:color w:val="auto"/>
        </w:rPr>
      </w:pPr>
    </w:p>
    <w:p>
      <w:pPr>
        <w:ind w:left="424" w:hanging="424"/>
        <w:spacing w:after="0" w:line="26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Schedule 13G is filed by Versant Venture Capital VI, L.P. (“Versant VI”), Versant Ventures VI GP, L.P. (“Versant VI GP LP”), Versant Ventures VI GP-GP, LLC (“Versant VI GP LLC”), Versant Vantage II, L.P. (“Vantage II”), Versant Vantage II GP, L.P. (“Vantage II GP LP”) and Versant Vantage II GP-GP, LLC (“Vantage II GP LLC” and together with Vantage II, Vantage II GP LP, Versant VI, Versant VI GP LP and Versant VI GP LLC, the “Reporting Persons”). Versant VI GP LP is the sole general partner of Versant VI and Versant VI GP LLC is the sole general partner of Versant VI GP LP, each of which may be deemed to have voting and investment power over the securities held by Versant VI. Vantage II GP LP is the sole general partner of Vantage II and Vantage II GP LLC is the sole general partner of Vantage II GP LP, each of which may be deemed to have voting and investment power over the securities held by Vantage II. The Reporting Persons expressly disclaim status as a “group” for purposes of this Schedule 13G.</w:t>
      </w:r>
    </w:p>
    <w:p>
      <w:pPr>
        <w:spacing w:after="0" w:line="2" w:lineRule="exact"/>
        <w:rPr>
          <w:rFonts w:ascii="Arial" w:cs="Arial" w:eastAsia="Arial" w:hAnsi="Arial"/>
          <w:sz w:val="17"/>
          <w:szCs w:val="17"/>
          <w:color w:val="auto"/>
        </w:rPr>
      </w:pPr>
    </w:p>
    <w:p>
      <w:pPr>
        <w:ind w:left="424" w:right="6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jc w:val="both"/>
        <w:ind w:left="424" w:right="16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Issuer’s quarterly report on Form 10-Q for the quarter ended September 30, 2021, filed with the United States Securities and Exchange Commission (the “Commission”) on November 10, 2021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-1961515</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200" w:hanging="397"/>
        <w:spacing w:after="0" w:line="488" w:lineRule="auto"/>
        <w:tabs>
          <w:tab w:leader="none" w:pos="647" w:val="left"/>
        </w:tabs>
        <w:numPr>
          <w:ilvl w:val="0"/>
          <w:numId w:val="6"/>
        </w:numPr>
        <w:rPr>
          <w:rFonts w:ascii="Arial" w:cs="Arial" w:eastAsia="Arial" w:hAnsi="Arial"/>
          <w:sz w:val="15"/>
          <w:szCs w:val="15"/>
          <w:color w:val="auto"/>
        </w:rPr>
      </w:pPr>
      <w:r>
        <w:rPr>
          <w:rFonts w:ascii="Arial" w:cs="Arial" w:eastAsia="Arial" w:hAnsi="Arial"/>
          <w:sz w:val="15"/>
          <w:szCs w:val="15"/>
          <w:color w:val="auto"/>
        </w:rPr>
        <w:t>Name of Reporting Persons Versant Ventures VI GP, L.P.</w:t>
      </w: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40" w:hanging="417"/>
        <w:spacing w:after="0" w:line="406"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12,366,814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12,366,814 shares of Common Stock (2)</w:t>
      </w:r>
    </w:p>
    <w:p>
      <w:pPr>
        <w:spacing w:after="0" w:line="36" w:lineRule="exact"/>
        <w:rPr>
          <w:sz w:val="20"/>
          <w:szCs w:val="20"/>
          <w:color w:val="auto"/>
        </w:rPr>
      </w:pPr>
    </w:p>
    <w:p>
      <w:pPr>
        <w:ind w:left="664" w:right="5480" w:hanging="417"/>
        <w:spacing w:after="0" w:line="406" w:lineRule="auto"/>
        <w:tabs>
          <w:tab w:leader="none" w:pos="65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12,366,814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00" w:hanging="507"/>
        <w:spacing w:after="0" w:line="402" w:lineRule="auto"/>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22.6%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right="2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840" w:hanging="397"/>
        <w:spacing w:after="0" w:line="457" w:lineRule="auto"/>
        <w:tabs>
          <w:tab w:leader="none" w:pos="647"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Reporting Persons Versant Ventures VI GP-GP,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4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12,366,814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12,366,814 shares of Common Stock (2)</w:t>
      </w:r>
    </w:p>
    <w:p>
      <w:pPr>
        <w:spacing w:after="0" w:line="36" w:lineRule="exact"/>
        <w:rPr>
          <w:sz w:val="20"/>
          <w:szCs w:val="20"/>
          <w:color w:val="auto"/>
        </w:rPr>
      </w:pPr>
    </w:p>
    <w:p>
      <w:pPr>
        <w:ind w:left="664" w:right="548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12,366,814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00" w:hanging="507"/>
        <w:spacing w:after="0" w:line="402" w:lineRule="auto"/>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22.6%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right="2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260" w:hanging="397"/>
        <w:spacing w:after="0" w:line="457"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Reporting Persons Versant Vantage 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714,095 shares of Common Stock (2)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714,095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460" w:hanging="417"/>
        <w:spacing w:after="0" w:line="406"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714,095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80" w:hanging="507"/>
        <w:spacing w:after="0" w:line="402" w:lineRule="auto"/>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5"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shares are held by Vantage II. Vantage II GP LLC is the sole general partner of Vantage II GP LP, which is the sole general partner of Vantage II. Each of Vantage II GP LLC and Vantage II GP LP share voting and investment power over the securities held by Vantage II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04"/>
          </w:cols>
          <w:pgMar w:left="436" w:top="274" w:right="5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44" w:right="8260" w:hanging="397"/>
        <w:spacing w:after="0" w:line="457" w:lineRule="auto"/>
        <w:tabs>
          <w:tab w:leader="none" w:pos="6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 of Reporting Persons Versant Vantage 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714,095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714,095 shares of Common Stock (2)</w:t>
      </w:r>
    </w:p>
    <w:p>
      <w:pPr>
        <w:spacing w:after="0" w:line="36" w:lineRule="exact"/>
        <w:rPr>
          <w:sz w:val="20"/>
          <w:szCs w:val="20"/>
          <w:color w:val="auto"/>
        </w:rPr>
      </w:pPr>
    </w:p>
    <w:p>
      <w:pPr>
        <w:ind w:left="664" w:right="5460" w:hanging="417"/>
        <w:spacing w:after="0" w:line="406"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714,095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80" w:hanging="507"/>
        <w:spacing w:after="0" w:line="402" w:lineRule="auto"/>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5"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shares are held by Vantage II. Vantage II GP LLC is the sole general partner of Vantage II GP LP, which is the sole general partner of Vantage II. Each of Vantage II GP LLC and Vantage II GP LP share voting and investment power over the securities held by Vantage II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04"/>
          </w:cols>
          <w:pgMar w:left="436" w:top="274" w:right="55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15673T100</w:t>
            </w:r>
          </w:p>
        </w:tc>
        <w:tc>
          <w:tcPr>
            <w:tcW w:w="2260" w:type="dxa"/>
            <w:vAlign w:val="bottom"/>
          </w:tcPr>
          <w:p>
            <w:pPr>
              <w:ind w:left="1940"/>
              <w:spacing w:after="0"/>
              <w:rPr>
                <w:sz w:val="20"/>
                <w:szCs w:val="20"/>
                <w:color w:val="auto"/>
              </w:rPr>
            </w:pPr>
            <w:r>
              <w:rPr>
                <w:rFonts w:ascii="Arial" w:cs="Arial" w:eastAsia="Arial" w:hAnsi="Arial"/>
                <w:sz w:val="18"/>
                <w:szCs w:val="18"/>
                <w:color w:val="auto"/>
                <w:w w:val="88"/>
              </w:rPr>
              <w:t>13G</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940" w:hanging="397"/>
        <w:spacing w:after="0" w:line="457" w:lineRule="auto"/>
        <w:tabs>
          <w:tab w:leader="none" w:pos="6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Persons Versant Vantage II GP-GP,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714,095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714,095 shares of Common Stock (2)</w:t>
      </w:r>
    </w:p>
    <w:p>
      <w:pPr>
        <w:spacing w:after="0" w:line="36" w:lineRule="exact"/>
        <w:rPr>
          <w:sz w:val="20"/>
          <w:szCs w:val="20"/>
          <w:color w:val="auto"/>
        </w:rPr>
      </w:pPr>
    </w:p>
    <w:p>
      <w:pPr>
        <w:ind w:left="664" w:right="5460" w:hanging="417"/>
        <w:spacing w:after="0" w:line="406"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714,095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80" w:hanging="507"/>
        <w:spacing w:after="0" w:line="402"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shares are held by Vantage II. Vantage II GP LLC is the sole general partner of Vantage II GP LP, which is the sole general partner of Vantage II. Each of Vantage II GP LLC and Vantage II GP LP share voting and investment power over the securities held by Vantage II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calculation is based upon 54,641,380 shares of the Issuer’s Common Stock outstanding as of November 8, 2021,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04"/>
          </w:cols>
          <w:pgMar w:left="436" w:top="274" w:right="559" w:bottom="1440" w:gutter="0" w:footer="0" w:header="0"/>
        </w:sectPr>
      </w:pPr>
    </w:p>
    <w:bookmarkStart w:id="7" w:name="page8"/>
    <w:bookmarkEnd w:id="7"/>
    <w:p>
      <w:pPr>
        <w:ind w:left="4"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 This statement on Schedule 13G (this “Statement”) is filed on behalf of the Reporting Persons, in respect of shares of Common Stock, par value $0.0001 per share (“Common Stock”), of Century Therapeutics, Inc. (the “Issuer”).</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424" w:hanging="24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Century Therapeutics, Inc.</w:t>
      </w:r>
    </w:p>
    <w:p>
      <w:pPr>
        <w:spacing w:after="0" w:line="210" w:lineRule="exact"/>
        <w:rPr>
          <w:rFonts w:ascii="Arial" w:cs="Arial" w:eastAsia="Arial" w:hAnsi="Arial"/>
          <w:sz w:val="18"/>
          <w:szCs w:val="18"/>
          <w:color w:val="auto"/>
        </w:rPr>
      </w:pPr>
    </w:p>
    <w:p>
      <w:pPr>
        <w:ind w:left="444" w:right="7020" w:hanging="264"/>
        <w:spacing w:after="0" w:line="258" w:lineRule="auto"/>
        <w:tabs>
          <w:tab w:leader="none" w:pos="4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of Issuer’s Principal Executive Offices: 3675 Market Street</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Philadelphia, PA 19104</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424" w:hanging="24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3" w:lineRule="exact"/>
        <w:rPr>
          <w:rFonts w:ascii="Arial" w:cs="Arial" w:eastAsia="Arial" w:hAnsi="Arial"/>
          <w:sz w:val="18"/>
          <w:szCs w:val="18"/>
          <w:color w:val="auto"/>
        </w:rPr>
      </w:pPr>
    </w:p>
    <w:p>
      <w:pPr>
        <w:ind w:left="444" w:right="6300"/>
        <w:spacing w:after="0" w:line="250" w:lineRule="auto"/>
        <w:rPr>
          <w:rFonts w:ascii="Arial" w:cs="Arial" w:eastAsia="Arial" w:hAnsi="Arial"/>
          <w:sz w:val="18"/>
          <w:szCs w:val="18"/>
          <w:color w:val="auto"/>
        </w:rPr>
      </w:pPr>
      <w:r>
        <w:rPr>
          <w:rFonts w:ascii="Arial" w:cs="Arial" w:eastAsia="Arial" w:hAnsi="Arial"/>
          <w:sz w:val="18"/>
          <w:szCs w:val="18"/>
          <w:color w:val="auto"/>
        </w:rPr>
        <w:t>Versant Venture Capital VI, L.P. (“Versant VI”) Versant Ventures VI GP, L.P. (“Versant VI GP LP”) Versant Ventures VI GP-GP, LLC (“Versant VI GP LLC”) Versant Vantage II, L.P. (“Vantage II”)</w:t>
      </w:r>
    </w:p>
    <w:p>
      <w:pPr>
        <w:spacing w:after="0" w:line="1" w:lineRule="exact"/>
        <w:rPr>
          <w:rFonts w:ascii="Arial" w:cs="Arial" w:eastAsia="Arial" w:hAnsi="Arial"/>
          <w:sz w:val="18"/>
          <w:szCs w:val="18"/>
          <w:color w:val="auto"/>
        </w:rPr>
      </w:pPr>
    </w:p>
    <w:p>
      <w:pPr>
        <w:ind w:left="444" w:right="6460"/>
        <w:spacing w:after="0" w:line="323" w:lineRule="auto"/>
        <w:rPr>
          <w:rFonts w:ascii="Arial" w:cs="Arial" w:eastAsia="Arial" w:hAnsi="Arial"/>
          <w:sz w:val="18"/>
          <w:szCs w:val="18"/>
          <w:color w:val="auto"/>
        </w:rPr>
      </w:pPr>
      <w:r>
        <w:rPr>
          <w:rFonts w:ascii="Arial" w:cs="Arial" w:eastAsia="Arial" w:hAnsi="Arial"/>
          <w:sz w:val="16"/>
          <w:szCs w:val="16"/>
          <w:color w:val="auto"/>
        </w:rPr>
        <w:t>Versant Vantage II GP, L.P. (“Vantage II GP LP”) Versant Vantage II GP-GP, LLC (“Vantage II GP LLC”)</w:t>
      </w:r>
    </w:p>
    <w:p>
      <w:pPr>
        <w:spacing w:after="0" w:line="138" w:lineRule="exact"/>
        <w:rPr>
          <w:rFonts w:ascii="Arial" w:cs="Arial" w:eastAsia="Arial" w:hAnsi="Arial"/>
          <w:sz w:val="18"/>
          <w:szCs w:val="18"/>
          <w:color w:val="auto"/>
        </w:rPr>
      </w:pPr>
    </w:p>
    <w:p>
      <w:pPr>
        <w:ind w:left="444" w:right="7780" w:hanging="264"/>
        <w:spacing w:after="0" w:line="258" w:lineRule="auto"/>
        <w:tabs>
          <w:tab w:leader="none" w:pos="4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Principal Business Office: c/o Versant Ventures</w:t>
      </w:r>
    </w:p>
    <w:p>
      <w:pPr>
        <w:spacing w:after="0" w:line="1" w:lineRule="exact"/>
        <w:rPr>
          <w:rFonts w:ascii="Arial" w:cs="Arial" w:eastAsia="Arial" w:hAnsi="Arial"/>
          <w:sz w:val="18"/>
          <w:szCs w:val="18"/>
          <w:color w:val="auto"/>
        </w:rPr>
      </w:pPr>
    </w:p>
    <w:p>
      <w:pPr>
        <w:ind w:left="444" w:right="8160"/>
        <w:spacing w:after="0" w:line="323" w:lineRule="auto"/>
        <w:rPr>
          <w:rFonts w:ascii="Arial" w:cs="Arial" w:eastAsia="Arial" w:hAnsi="Arial"/>
          <w:sz w:val="18"/>
          <w:szCs w:val="18"/>
          <w:color w:val="auto"/>
        </w:rPr>
      </w:pPr>
      <w:r>
        <w:rPr>
          <w:rFonts w:ascii="Arial" w:cs="Arial" w:eastAsia="Arial" w:hAnsi="Arial"/>
          <w:sz w:val="16"/>
          <w:szCs w:val="16"/>
          <w:color w:val="auto"/>
        </w:rPr>
        <w:t>One Sansome Street, Suite 3630 San Francisco, CA 94104</w:t>
      </w:r>
    </w:p>
    <w:p>
      <w:pPr>
        <w:spacing w:after="0" w:line="30" w:lineRule="exact"/>
        <w:rPr>
          <w:rFonts w:ascii="Arial" w:cs="Arial" w:eastAsia="Arial" w:hAnsi="Arial"/>
          <w:sz w:val="18"/>
          <w:szCs w:val="18"/>
          <w:color w:val="auto"/>
        </w:rPr>
      </w:pPr>
    </w:p>
    <w:p>
      <w:pPr>
        <w:ind w:left="424" w:hanging="24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Entities:  Versant VI</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2380" w:type="dxa"/>
            <w:vAlign w:val="bottom"/>
          </w:tcPr>
          <w:p>
            <w:pPr>
              <w:ind w:left="780"/>
              <w:spacing w:after="0"/>
              <w:rPr>
                <w:sz w:val="20"/>
                <w:szCs w:val="20"/>
                <w:color w:val="auto"/>
              </w:rPr>
            </w:pPr>
            <w:r>
              <w:rPr>
                <w:rFonts w:ascii="Arial" w:cs="Arial" w:eastAsia="Arial" w:hAnsi="Arial"/>
                <w:sz w:val="18"/>
                <w:szCs w:val="18"/>
                <w:color w:val="auto"/>
              </w:rPr>
              <w:t>Versant VI GP LP</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2380" w:type="dxa"/>
            <w:vAlign w:val="bottom"/>
          </w:tcPr>
          <w:p>
            <w:pPr>
              <w:ind w:left="780"/>
              <w:spacing w:after="0"/>
              <w:rPr>
                <w:sz w:val="20"/>
                <w:szCs w:val="20"/>
                <w:color w:val="auto"/>
              </w:rPr>
            </w:pPr>
            <w:r>
              <w:rPr>
                <w:rFonts w:ascii="Arial" w:cs="Arial" w:eastAsia="Arial" w:hAnsi="Arial"/>
                <w:sz w:val="18"/>
                <w:szCs w:val="18"/>
                <w:color w:val="auto"/>
              </w:rPr>
              <w:t>Versant VI GP LLC</w:t>
            </w: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8"/>
              </w:rPr>
              <w:t>—   Delaware Limited Liability Company</w:t>
            </w:r>
          </w:p>
        </w:tc>
      </w:tr>
      <w:tr>
        <w:trPr>
          <w:trHeight w:val="216"/>
        </w:trPr>
        <w:tc>
          <w:tcPr>
            <w:tcW w:w="2380" w:type="dxa"/>
            <w:vAlign w:val="bottom"/>
          </w:tcPr>
          <w:p>
            <w:pPr>
              <w:ind w:left="780"/>
              <w:spacing w:after="0"/>
              <w:rPr>
                <w:sz w:val="20"/>
                <w:szCs w:val="20"/>
                <w:color w:val="auto"/>
              </w:rPr>
            </w:pPr>
            <w:r>
              <w:rPr>
                <w:rFonts w:ascii="Arial" w:cs="Arial" w:eastAsia="Arial" w:hAnsi="Arial"/>
                <w:sz w:val="18"/>
                <w:szCs w:val="18"/>
                <w:color w:val="auto"/>
              </w:rPr>
              <w:t>Vantage II</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2380" w:type="dxa"/>
            <w:vAlign w:val="bottom"/>
          </w:tcPr>
          <w:p>
            <w:pPr>
              <w:ind w:left="780"/>
              <w:spacing w:after="0"/>
              <w:rPr>
                <w:sz w:val="20"/>
                <w:szCs w:val="20"/>
                <w:color w:val="auto"/>
              </w:rPr>
            </w:pPr>
            <w:r>
              <w:rPr>
                <w:rFonts w:ascii="Arial" w:cs="Arial" w:eastAsia="Arial" w:hAnsi="Arial"/>
                <w:sz w:val="18"/>
                <w:szCs w:val="18"/>
                <w:color w:val="auto"/>
              </w:rPr>
              <w:t>Vantage II GP LP</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Delaware Limited Partnership</w:t>
            </w:r>
          </w:p>
        </w:tc>
      </w:tr>
      <w:tr>
        <w:trPr>
          <w:trHeight w:val="230"/>
        </w:trPr>
        <w:tc>
          <w:tcPr>
            <w:tcW w:w="2380" w:type="dxa"/>
            <w:vAlign w:val="bottom"/>
          </w:tcPr>
          <w:p>
            <w:pPr>
              <w:ind w:left="780"/>
              <w:spacing w:after="0"/>
              <w:rPr>
                <w:sz w:val="20"/>
                <w:szCs w:val="20"/>
                <w:color w:val="auto"/>
              </w:rPr>
            </w:pPr>
            <w:r>
              <w:rPr>
                <w:rFonts w:ascii="Arial" w:cs="Arial" w:eastAsia="Arial" w:hAnsi="Arial"/>
                <w:sz w:val="18"/>
                <w:szCs w:val="18"/>
                <w:color w:val="auto"/>
              </w:rPr>
              <w:t>Vantage II GP LLC</w:t>
            </w: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8"/>
              </w:rPr>
              <w:t>—   Delaware Limited Liability Company</w:t>
            </w:r>
          </w:p>
        </w:tc>
      </w:tr>
    </w:tbl>
    <w:p>
      <w:pPr>
        <w:spacing w:after="0" w:line="202" w:lineRule="exact"/>
        <w:rPr>
          <w:sz w:val="20"/>
          <w:szCs w:val="20"/>
          <w:color w:val="auto"/>
        </w:rPr>
      </w:pPr>
    </w:p>
    <w:p>
      <w:pPr>
        <w:ind w:left="444" w:right="8520" w:hanging="264"/>
        <w:spacing w:after="0" w:line="342" w:lineRule="auto"/>
        <w:tabs>
          <w:tab w:leader="none" w:pos="4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444" w:right="9320" w:hanging="264"/>
        <w:spacing w:after="0" w:line="342" w:lineRule="auto"/>
        <w:tabs>
          <w:tab w:leader="none" w:pos="4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CUSIP Number: 15673T100</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information with respect to the ownership of the Issuer’s Common Stock by the Reporting Persons filing this Statement is provided as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31, 2022:</w:t>
      </w:r>
    </w:p>
    <w:p>
      <w:pPr>
        <w:spacing w:after="0" w:line="211" w:lineRule="exact"/>
        <w:rPr>
          <w:sz w:val="20"/>
          <w:szCs w:val="20"/>
          <w:color w:val="auto"/>
        </w:rPr>
      </w:pPr>
    </w:p>
    <w:p>
      <w:pPr>
        <w:ind w:left="544" w:hanging="544"/>
        <w:spacing w:after="0"/>
        <w:tabs>
          <w:tab w:leader="none" w:pos="5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9 of the cover page for each Reporting Person.*</w:t>
      </w:r>
    </w:p>
    <w:p>
      <w:pPr>
        <w:sectPr>
          <w:pgSz w:w="11900" w:h="16838" w:orient="portrait"/>
          <w:cols w:equalWidth="0" w:num="1">
            <w:col w:w="10924"/>
          </w:cols>
          <w:pgMar w:left="436" w:top="274" w:right="539" w:bottom="1440" w:gutter="0" w:footer="0" w:header="0"/>
        </w:sectPr>
      </w:pPr>
    </w:p>
    <w:bookmarkStart w:id="8" w:name="page9"/>
    <w:bookmarkEnd w:id="8"/>
    <w:p>
      <w:pPr>
        <w:ind w:left="384" w:hanging="384"/>
        <w:spacing w:after="0"/>
        <w:tabs>
          <w:tab w:leader="none" w:pos="384"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Percent of class: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w:t>
      </w:r>
    </w:p>
    <w:p>
      <w:pPr>
        <w:spacing w:after="0" w:line="211" w:lineRule="exact"/>
        <w:rPr>
          <w:sz w:val="20"/>
          <w:szCs w:val="20"/>
          <w:color w:val="auto"/>
        </w:rPr>
      </w:pPr>
    </w:p>
    <w:p>
      <w:pPr>
        <w:ind w:left="384" w:hanging="384"/>
        <w:spacing w:after="0"/>
        <w:tabs>
          <w:tab w:leader="none" w:pos="3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57" w:lineRule="exact"/>
        <w:rPr>
          <w:rFonts w:ascii="Arial" w:cs="Arial" w:eastAsia="Arial" w:hAnsi="Arial"/>
          <w:sz w:val="18"/>
          <w:szCs w:val="18"/>
          <w:color w:val="auto"/>
        </w:rPr>
      </w:pPr>
    </w:p>
    <w:p>
      <w:pPr>
        <w:ind w:left="404" w:hanging="224"/>
        <w:spacing w:after="0"/>
        <w:tabs>
          <w:tab w:leader="none" w:pos="4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5 of the cover page for each Reporting Person.*</w:t>
      </w:r>
    </w:p>
    <w:p>
      <w:pPr>
        <w:spacing w:after="0" w:line="130" w:lineRule="exact"/>
        <w:rPr>
          <w:sz w:val="20"/>
          <w:szCs w:val="20"/>
          <w:color w:val="auto"/>
        </w:rPr>
      </w:pPr>
    </w:p>
    <w:p>
      <w:pPr>
        <w:ind w:left="184"/>
        <w:spacing w:after="0"/>
        <w:rPr>
          <w:sz w:val="20"/>
          <w:szCs w:val="20"/>
          <w:color w:val="auto"/>
        </w:rPr>
      </w:pPr>
      <w:r>
        <w:rPr>
          <w:rFonts w:ascii="Arial" w:cs="Arial" w:eastAsia="Arial" w:hAnsi="Arial"/>
          <w:sz w:val="18"/>
          <w:szCs w:val="18"/>
          <w:color w:val="auto"/>
        </w:rPr>
        <w:t>(ii) Shared power to vote or to direct the vote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6 of the cover page for each Reporting Person.*</w:t>
      </w:r>
    </w:p>
    <w:p>
      <w:pPr>
        <w:spacing w:after="0" w:line="143" w:lineRule="exact"/>
        <w:rPr>
          <w:sz w:val="20"/>
          <w:szCs w:val="20"/>
          <w:color w:val="auto"/>
        </w:rPr>
      </w:pPr>
    </w:p>
    <w:p>
      <w:pPr>
        <w:ind w:left="4" w:right="6780" w:firstLine="176"/>
        <w:spacing w:after="0" w:line="342" w:lineRule="auto"/>
        <w:tabs>
          <w:tab w:leader="none" w:pos="499" w:val="left"/>
        </w:tabs>
        <w:numPr>
          <w:ilvl w:val="1"/>
          <w:numId w:val="2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for each Reporting Person.*</w:t>
      </w:r>
    </w:p>
    <w:p>
      <w:pPr>
        <w:spacing w:after="0" w:line="56" w:lineRule="exact"/>
        <w:rPr>
          <w:rFonts w:ascii="Arial" w:cs="Arial" w:eastAsia="Arial" w:hAnsi="Arial"/>
          <w:sz w:val="16"/>
          <w:szCs w:val="16"/>
          <w:color w:val="auto"/>
        </w:rPr>
      </w:pPr>
    </w:p>
    <w:p>
      <w:pPr>
        <w:ind w:left="4" w:right="6600" w:firstLine="176"/>
        <w:spacing w:after="0" w:line="342" w:lineRule="auto"/>
        <w:tabs>
          <w:tab w:leader="none" w:pos="4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 for each Reporting Person.*</w:t>
      </w:r>
    </w:p>
    <w:p>
      <w:pPr>
        <w:spacing w:after="0" w:line="1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Each of the Reporting Persons disclaims beneficial ownership as to such securities, except to the extent of his, her or its pecuniary interest therein.</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left="4" w:right="160"/>
        <w:spacing w:after="0" w:line="279" w:lineRule="auto"/>
        <w:rPr>
          <w:sz w:val="20"/>
          <w:szCs w:val="20"/>
          <w:color w:val="auto"/>
        </w:rPr>
      </w:pPr>
      <w:r>
        <w:rPr>
          <w:rFonts w:ascii="Arial" w:cs="Arial" w:eastAsia="Arial" w:hAnsi="Arial"/>
          <w:sz w:val="17"/>
          <w:szCs w:val="17"/>
          <w:color w:val="auto"/>
        </w:rPr>
        <w:t>Under certain circumstances set forth in the limited partnership agreements of each of Versant VI, Versant VI GP LP, Vantage II and Vantage II GP LP and the limited liability company agreements of each of Versant VI GP LLC and Vantage II GP LLC,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316" w:lineRule="exact"/>
        <w:rPr>
          <w:sz w:val="20"/>
          <w:szCs w:val="20"/>
          <w:color w:val="auto"/>
        </w:rPr>
      </w:pPr>
    </w:p>
    <w:p>
      <w:pPr>
        <w:ind w:left="1084" w:right="54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4"/>
          </w:cols>
          <w:pgMar w:left="436" w:top="274" w:right="479" w:bottom="1440" w:gutter="0" w:footer="0" w:header="0"/>
        </w:sectPr>
      </w:pPr>
    </w:p>
    <w:p>
      <w:pPr>
        <w:spacing w:after="0" w:line="37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4" w:space="580"/>
            <w:col w:w="99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84"/>
          </w:cols>
          <w:pgMar w:left="436" w:top="274" w:right="47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4" w:space="580"/>
            <w:col w:w="99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Exhibit 1 – Joint Filing Agreement.</w:t>
      </w:r>
    </w:p>
    <w:p>
      <w:pPr>
        <w:sectPr>
          <w:pgSz w:w="11900" w:h="16838" w:orient="portrait"/>
          <w:cols w:equalWidth="0" w:num="1">
            <w:col w:w="10984"/>
          </w:cols>
          <w:pgMar w:left="436" w:top="274" w:right="479" w:bottom="1440" w:gutter="0" w:footer="0" w:header="0"/>
          <w:type w:val="continuous"/>
        </w:sectPr>
      </w:pPr>
    </w:p>
    <w:bookmarkStart w:id="9" w:name="page10"/>
    <w:bookmarkEnd w:id="9"/>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ectPr>
          <w:pgSz w:w="11900" w:h="16838" w:orient="portrait"/>
          <w:cols w:equalWidth="0" w:num="1">
            <w:col w:w="10460"/>
          </w:cols>
          <w:pgMar w:left="440" w:top="270" w:right="9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A7C4C9"/>
    <w:multiLevelType w:val="hybridMultilevel"/>
    <w:lvl w:ilvl="0">
      <w:lvlJc w:val="left"/>
      <w:lvlText w:val="%1"/>
      <w:numFmt w:val="decimal"/>
      <w:start w:val="1"/>
    </w:lvl>
    <w:lvl w:ilvl="1">
      <w:lvlJc w:val="left"/>
      <w:lvlText w:val="%2."/>
      <w:numFmt w:val="decimal"/>
      <w:start w:val="9"/>
    </w:lvl>
  </w:abstractNum>
  <w:abstractNum w:abstractNumId="4">
    <w:nsid w:val="6B68079A"/>
    <w:multiLevelType w:val="hybridMultilevel"/>
    <w:lvl w:ilvl="0">
      <w:lvlJc w:val="left"/>
      <w:lvlText w:val="(%1)"/>
      <w:numFmt w:val="decimal"/>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25E45D32"/>
    <w:multiLevelType w:val="hybridMultilevel"/>
    <w:lvl w:ilvl="0">
      <w:lvlJc w:val="left"/>
      <w:lvlText w:val="%1"/>
      <w:numFmt w:val="decimal"/>
      <w:start w:val="1"/>
    </w:lvl>
    <w:lvl w:ilvl="1">
      <w:lvlJc w:val="left"/>
      <w:lvlText w:val="%2."/>
      <w:numFmt w:val="decimal"/>
      <w:start w:val="9"/>
    </w:lvl>
  </w:abstractNum>
  <w:abstractNum w:abstractNumId="7">
    <w:nsid w:val="519B500D"/>
    <w:multiLevelType w:val="hybridMultilevel"/>
    <w:lvl w:ilvl="0">
      <w:lvlJc w:val="left"/>
      <w:lvlText w:val="(%1)"/>
      <w:numFmt w:val="decimal"/>
      <w:start w:val="1"/>
    </w:lvl>
    <w:lvl w:ilvl="1">
      <w:lvlJc w:val="left"/>
      <w:lvlText w:val="%2"/>
      <w:numFmt w:val="decimal"/>
      <w:start w:val="1"/>
    </w:lvl>
  </w:abstractNum>
  <w:abstractNum w:abstractNumId="8">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3F2DBA31"/>
    <w:multiLevelType w:val="hybridMultilevel"/>
    <w:lvl w:ilvl="0">
      <w:lvlJc w:val="left"/>
      <w:lvlText w:val="%1"/>
      <w:numFmt w:val="decimal"/>
      <w:start w:val="1"/>
    </w:lvl>
    <w:lvl w:ilvl="1">
      <w:lvlJc w:val="left"/>
      <w:lvlText w:val="%2."/>
      <w:numFmt w:val="decimal"/>
      <w:start w:val="9"/>
    </w:lvl>
  </w:abstractNum>
  <w:abstractNum w:abstractNumId="10">
    <w:nsid w:val="7C83E458"/>
    <w:multiLevelType w:val="hybridMultilevel"/>
    <w:lvl w:ilvl="0">
      <w:lvlJc w:val="left"/>
      <w:lvlText w:val="(%1)"/>
      <w:numFmt w:val="decimal"/>
      <w:start w:val="1"/>
    </w:lvl>
    <w:lvl w:ilvl="1">
      <w:lvlJc w:val="left"/>
      <w:lvlText w:val="%2"/>
      <w:numFmt w:val="decimal"/>
      <w:start w:val="1"/>
    </w:lvl>
  </w:abstractNum>
  <w:abstractNum w:abstractNumId="11">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62BBD95A"/>
    <w:multiLevelType w:val="hybridMultilevel"/>
    <w:lvl w:ilvl="0">
      <w:lvlJc w:val="left"/>
      <w:lvlText w:val="%1"/>
      <w:numFmt w:val="decimal"/>
      <w:start w:val="1"/>
    </w:lvl>
    <w:lvl w:ilvl="1">
      <w:lvlJc w:val="left"/>
      <w:lvlText w:val="%2."/>
      <w:numFmt w:val="decimal"/>
      <w:start w:val="9"/>
    </w:lvl>
  </w:abstractNum>
  <w:abstractNum w:abstractNumId="13">
    <w:nsid w:val="436C6125"/>
    <w:multiLevelType w:val="hybridMultilevel"/>
    <w:lvl w:ilvl="0">
      <w:lvlJc w:val="left"/>
      <w:lvlText w:val="(%1)"/>
      <w:numFmt w:val="decimal"/>
      <w:start w:val="1"/>
    </w:lvl>
    <w:lvl w:ilvl="1">
      <w:lvlJc w:val="left"/>
      <w:lvlText w:val="%2"/>
      <w:numFmt w:val="decimal"/>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333AB105"/>
    <w:multiLevelType w:val="hybridMultilevel"/>
    <w:lvl w:ilvl="0">
      <w:lvlJc w:val="left"/>
      <w:lvlText w:val="%1"/>
      <w:numFmt w:val="decimal"/>
      <w:start w:val="1"/>
    </w:lvl>
    <w:lvl w:ilvl="1">
      <w:lvlJc w:val="left"/>
      <w:lvlText w:val="%2."/>
      <w:numFmt w:val="decimal"/>
      <w:start w:val="9"/>
    </w:lvl>
  </w:abstractNum>
  <w:abstractNum w:abstractNumId="16">
    <w:nsid w:val="721DA317"/>
    <w:multiLevelType w:val="hybridMultilevel"/>
    <w:lvl w:ilvl="0">
      <w:lvlJc w:val="left"/>
      <w:lvlText w:val="(%1)"/>
      <w:numFmt w:val="decimal"/>
      <w:start w:val="1"/>
    </w:lvl>
    <w:lvl w:ilvl="1">
      <w:lvlJc w:val="left"/>
      <w:lvlText w:val="%2"/>
      <w:numFmt w:val="decimal"/>
      <w:start w:val="1"/>
    </w:lvl>
  </w:abstractNum>
  <w:abstractNum w:abstractNumId="17">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2D1D5AE9"/>
    <w:multiLevelType w:val="hybridMultilevel"/>
    <w:lvl w:ilvl="0">
      <w:lvlJc w:val="left"/>
      <w:lvlText w:val="%1"/>
      <w:numFmt w:val="decimal"/>
      <w:start w:val="1"/>
    </w:lvl>
    <w:lvl w:ilvl="1">
      <w:lvlJc w:val="left"/>
      <w:lvlText w:val="%2."/>
      <w:numFmt w:val="decimal"/>
      <w:start w:val="9"/>
    </w:lvl>
  </w:abstractNum>
  <w:abstractNum w:abstractNumId="19">
    <w:nsid w:val="6763845E"/>
    <w:multiLevelType w:val="hybridMultilevel"/>
    <w:lvl w:ilvl="0">
      <w:lvlJc w:val="left"/>
      <w:lvlText w:val="(%1)"/>
      <w:numFmt w:val="decimal"/>
      <w:start w:val="1"/>
    </w:lvl>
    <w:lvl w:ilvl="1">
      <w:lvlJc w:val="left"/>
      <w:lvlText w:val="%2"/>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4"/>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1)"/>
      <w:numFmt w:val="lowerLetter"/>
      <w:start w:val="3"/>
    </w:lvl>
    <w:lvl w:ilvl="1">
      <w:lvlJc w:val="left"/>
      <w:lvlText w:val="(%2)"/>
      <w:numFmt w:val="lowerLetter"/>
      <w:start w:val="9"/>
    </w:lvl>
  </w:abstractNum>
  <w:abstractNum w:abstractNumId="26">
    <w:nsid w:val="54E49EB4"/>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2022-02-12T00:54:37Z</dcterms:created>
  <dcterms:modified xsi:type="dcterms:W3CDTF">2022-02-12T00:54:37Z</dcterms:modified>
</cp:coreProperties>
</file>