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ipsc-20250331x10q.htm"/>
        <w:bookmarkStart w:id="1" w:name="ksipsc20250331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00"/>
        <w:ind w:left="0" w:right="0" w:hanging="0"/>
        <w:jc w:val="center"/>
        <w:rPr/>
      </w:pPr>
      <w:r>
        <w:rPr/>
        <w:t>​</w:t>
      </w:r>
    </w:p>
    <w:p>
      <w:pPr>
        <w:pStyle w:val="TextBody"/>
        <w:bidi w:val="0"/>
        <w:spacing w:before="0" w:after="200"/>
        <w:ind w:left="0" w:right="0" w:hanging="0"/>
        <w:jc w:val="center"/>
        <w:rPr/>
      </w:pPr>
      <w:bookmarkStart w:id="2" w:name="_0275819f_8f95_40f4_9a13_e91f5619eec5"/>
      <w:bookmarkEnd w:id="2"/>
      <w:r>
        <w:rPr/>
        <w:t>​</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UNITED STATES</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SECURITIES AND EXCHANGE COMMISSION</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FORM 10-Q</w:t>
      </w:r>
    </w:p>
    <w:p>
      <w:pPr>
        <w:pStyle w:val="TextBody"/>
        <w:bidi w:val="0"/>
        <w:spacing w:before="0" w:after="60"/>
        <w:ind w:left="0" w:right="0" w:hanging="0"/>
        <w:jc w:val="left"/>
        <w:rPr>
          <w:rFonts w:ascii="Arial;Helvetica;sans-serif" w:hAnsi="Arial;Helvetica;sans-serif"/>
          <w:b/>
          <w:sz w:val="14"/>
        </w:rPr>
      </w:pPr>
      <w:r>
        <w:rPr>
          <w:rFonts w:ascii="Arial;Helvetica;sans-serif" w:hAnsi="Arial;Helvetica;sans-serif"/>
          <w:b/>
          <w:sz w:val="14"/>
        </w:rPr>
        <w:t>(Mark One)</w:t>
      </w:r>
    </w:p>
    <w:p>
      <w:pPr>
        <w:pStyle w:val="Normal"/>
        <w:bidi w:val="0"/>
        <w:spacing w:before="0" w:after="0"/>
        <w:jc w:val="left"/>
        <w:rPr>
          <w:sz w:val="4"/>
          <w:szCs w:val="4"/>
        </w:rPr>
      </w:pPr>
      <w:r>
        <w:rPr>
          <w:sz w:val="4"/>
          <w:szCs w:val="4"/>
        </w:rPr>
      </w:r>
      <w:bookmarkStart w:id="3" w:name="_852794"/>
      <w:bookmarkStart w:id="4" w:name="Tc_1jyos6w8tUWotMS2Zq1kEw_1_1"/>
      <w:bookmarkStart w:id="5" w:name="_99325598_a0dd_455e_bf0c_52aaf1954ac5"/>
      <w:bookmarkStart w:id="6" w:name="_852794"/>
      <w:bookmarkStart w:id="7" w:name="Tc_1jyos6w8tUWotMS2Zq1kEw_1_1"/>
      <w:bookmarkStart w:id="8" w:name="_99325598_a0dd_455e_bf0c_52aaf1954ac5"/>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quarterly period ended March 31, 2025</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OR</w:t>
      </w:r>
    </w:p>
    <w:p>
      <w:pPr>
        <w:pStyle w:val="Normal"/>
        <w:bidi w:val="0"/>
        <w:spacing w:before="0" w:after="0"/>
        <w:jc w:val="left"/>
        <w:rPr>
          <w:sz w:val="4"/>
          <w:szCs w:val="4"/>
        </w:rPr>
      </w:pPr>
      <w:r>
        <w:rPr>
          <w:sz w:val="4"/>
          <w:szCs w:val="4"/>
        </w:rPr>
      </w:r>
      <w:bookmarkStart w:id="9" w:name="Tc_nhvoG9USNkCs9KHNyt7POw_1_1"/>
      <w:bookmarkStart w:id="10" w:name="_16bf1854_9087_471e_896b_12fda20e71d7"/>
      <w:bookmarkStart w:id="11" w:name="Tc_nhvoG9USNkCs9KHNyt7POw_1_1"/>
      <w:bookmarkStart w:id="12" w:name="_16bf1854_9087_471e_896b_12fda20e71d7"/>
      <w:bookmarkEnd w:id="11"/>
      <w:bookmarkEnd w:id="12"/>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For the transition period from _______ to _______                      </w:t>
      </w:r>
    </w:p>
    <w:p>
      <w:pPr>
        <w:pStyle w:val="TextBody"/>
        <w:bidi w:val="0"/>
        <w:spacing w:before="0" w:after="80"/>
        <w:ind w:left="0" w:right="0" w:hanging="0"/>
        <w:jc w:val="center"/>
        <w:rPr>
          <w:rFonts w:ascii="Arial;Helvetica;sans-serif" w:hAnsi="Arial;Helvetica;sans-serif"/>
          <w:b/>
          <w:sz w:val="18"/>
        </w:rPr>
      </w:pPr>
      <w:r>
        <w:rPr>
          <w:rFonts w:ascii="Arial;Helvetica;sans-serif" w:hAnsi="Arial;Helvetica;sans-serif"/>
          <w:b/>
          <w:sz w:val="18"/>
        </w:rPr>
        <w:t>Commission File Number: 001-40498</w:t>
      </w:r>
    </w:p>
    <w:p>
      <w:pPr>
        <w:pStyle w:val="TextBody"/>
        <w:pBdr>
          <w:top w:val="single" w:sz="2" w:space="1" w:color="000000"/>
        </w:pBdr>
        <w:bidi w:val="0"/>
        <w:spacing w:before="0" w:after="200"/>
        <w:ind w:left="0" w:right="0" w:hanging="0"/>
        <w:jc w:val="center"/>
        <w:rPr/>
      </w:pPr>
      <w:r>
        <w:rPr/>
        <w:t>​</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Century Therapeutics,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(Exact Name of Registrant as Specified in its Charter)</w:t>
      </w:r>
    </w:p>
    <w:p>
      <w:pPr>
        <w:pStyle w:val="TextBody"/>
        <w:pBdr>
          <w:bottom w:val="single" w:sz="2" w:space="1" w:color="000000"/>
        </w:pBdr>
        <w:bidi w:val="0"/>
        <w:spacing w:before="0" w:after="200"/>
        <w:ind w:left="0" w:right="0" w:hanging="0"/>
        <w:jc w:val="center"/>
        <w:rPr/>
      </w:pPr>
      <w:r>
        <w:rPr/>
        <w: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13" w:name="Tc_5XTCMZKdAU2FGvwdDOJhXA_3_2"/>
      <w:bookmarkStart w:id="14" w:name="Tc_YsdIn4gZ1UGEbIhnLkpPLQ_3_0"/>
      <w:bookmarkStart w:id="15" w:name="Tc_bcJCS-7Pe0KF97xlU8RpXA_2_2"/>
      <w:bookmarkStart w:id="16" w:name="Tc_3GyR1ARns06HP_Lzr_wWsw_2_0"/>
      <w:bookmarkStart w:id="17" w:name="_60df09c4_9c2c_42e4_bec1_217472bb9c49"/>
      <w:bookmarkStart w:id="18" w:name="Tc_5XTCMZKdAU2FGvwdDOJhXA_3_2"/>
      <w:bookmarkStart w:id="19" w:name="Tc_YsdIn4gZ1UGEbIhnLkpPLQ_3_0"/>
      <w:bookmarkStart w:id="20" w:name="Tc_bcJCS-7Pe0KF97xlU8RpXA_2_2"/>
      <w:bookmarkStart w:id="21" w:name="Tc_3GyR1ARns06HP_Lzr_wWsw_2_0"/>
      <w:bookmarkStart w:id="22" w:name="_60df09c4_9c2c_42e4_bec1_217472bb9c49"/>
      <w:bookmarkEnd w:id="18"/>
      <w:bookmarkEnd w:id="19"/>
      <w:bookmarkEnd w:id="20"/>
      <w:bookmarkEnd w:id="21"/>
      <w:bookmarkEnd w:id="22"/>
    </w:p>
    <w:tbl>
      <w:tblPr>
        <w:tblW w:w="5443" w:type="dxa"/>
        <w:jc w:val="left"/>
        <w:tblInd w:w="0" w:type="dxa"/>
        <w:tblLayout w:type="fixed"/>
        <w:tblCellMar>
          <w:top w:w="0" w:type="dxa"/>
          <w:left w:w="0" w:type="dxa"/>
          <w:bottom w:w="0" w:type="dxa"/>
          <w:right w:w="0" w:type="dxa"/>
        </w:tblCellMar>
      </w:tblPr>
      <w:tblGrid>
        <w:gridCol w:w="3481"/>
        <w:gridCol w:w="326"/>
        <w:gridCol w:w="1636"/>
      </w:tblGrid>
      <w:tr>
        <w:trPr/>
        <w:tc>
          <w:tcPr>
            <w:tcW w:w="3481" w:type="dxa"/>
            <w:tcBorders/>
            <w:vAlign w:val="center"/>
          </w:tcPr>
          <w:p>
            <w:pPr>
              <w:pStyle w:val="TableContents"/>
              <w:bidi w:val="0"/>
              <w:spacing w:before="0" w:after="0"/>
              <w:ind w:left="0" w:right="0" w:hanging="0"/>
              <w:jc w:val="left"/>
              <w:rPr>
                <w:shd w:fill="00FF00" w:val="clear"/>
              </w:rPr>
            </w:pPr>
            <w:r>
              <w:rPr>
                <w:shd w:fill="00FF00" w:val="clea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07010" cy="175260"/>
                      <wp:effectExtent l="0" t="0" r="0" b="0"/>
                      <wp:wrapNone/>
                      <wp:docPr id="1" name="Frame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Delaware</w:t>
            </w:r>
          </w:p>
        </w:tc>
        <w:tc>
          <w:tcPr>
            <w:tcW w:w="32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84-2040295</w:t>
            </w:r>
          </w:p>
        </w:tc>
      </w:tr>
      <w:tr>
        <w:trPr/>
        <w:tc>
          <w:tcPr>
            <w:tcW w:w="348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(State or other jurisdiction of</w:t>
              <w:br/>
              <w:t>incorporation or organization)</w:t>
            </w:r>
          </w:p>
        </w:tc>
        <w:tc>
          <w:tcPr>
            <w:tcW w:w="326" w:type="dxa"/>
            <w:tcBorders/>
            <w:vAlign w:val="center"/>
          </w:tcPr>
          <w:p>
            <w:pPr>
              <w:pStyle w:val="TableContents"/>
              <w:bidi w:val="0"/>
              <w:spacing w:before="0" w:after="20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(I.R.S. Employer</w:t>
              <w:br/>
              <w:t>Identification No.)</w:t>
            </w:r>
          </w:p>
        </w:tc>
      </w:tr>
      <w:tr>
        <w:trPr/>
        <w:tc>
          <w:tcPr>
            <w:tcW w:w="3481"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b/>
                <w:sz w:val="18"/>
              </w:rPr>
              <w:t>25 N 38</w:t>
            </w:r>
            <w:r>
              <w:rPr>
                <w:rFonts w:ascii="Arial;Helvetica;sans-serif" w:hAnsi="Arial;Helvetica;sans-serif"/>
                <w:b/>
                <w:sz w:val="14"/>
              </w:rPr>
              <w:t>th</w:t>
            </w:r>
            <w:r>
              <w:rPr>
                <w:rFonts w:ascii="Arial;Helvetica;sans-serif" w:hAnsi="Arial;Helvetica;sans-serif"/>
                <w:sz w:val="20"/>
              </w:rPr>
              <w:t xml:space="preserve"> </w:t>
            </w:r>
            <w:r>
              <w:rPr>
                <w:rFonts w:ascii="Arial;Helvetica;sans-serif" w:hAnsi="Arial;Helvetica;sans-serif"/>
                <w:b/>
                <w:sz w:val="18"/>
              </w:rPr>
              <w:t>Street, 11</w:t>
            </w:r>
            <w:r>
              <w:rPr>
                <w:rFonts w:ascii="Arial;Helvetica;sans-serif" w:hAnsi="Arial;Helvetica;sans-serif"/>
                <w:b/>
                <w:sz w:val="14"/>
              </w:rPr>
              <w:t>th</w:t>
            </w:r>
            <w:r>
              <w:rPr>
                <w:rFonts w:ascii="Arial;Helvetica;sans-serif" w:hAnsi="Arial;Helvetica;sans-serif"/>
                <w:sz w:val="20"/>
              </w:rPr>
              <w:t xml:space="preserve"> </w:t>
            </w:r>
            <w:r>
              <w:rPr>
                <w:rFonts w:ascii="Arial;Helvetica;sans-serif" w:hAnsi="Arial;Helvetica;sans-serif"/>
                <w:b/>
                <w:sz w:val="18"/>
              </w:rPr>
              <w:t>Floor</w:t>
              <w:br/>
              <w:t>Philadelphia, Pennsylvania</w:t>
              <w:br/>
              <w:t>(Address of principal executive offices)</w:t>
            </w:r>
          </w:p>
        </w:tc>
        <w:tc>
          <w:tcPr>
            <w:tcW w:w="326" w:type="dxa"/>
            <w:tcBorders/>
            <w:vAlign w:val="center"/>
          </w:tcPr>
          <w:p>
            <w:pPr>
              <w:pStyle w:val="TableContents"/>
              <w:bidi w:val="0"/>
              <w:spacing w:before="0" w:after="20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19104</w:t>
              <w:b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(267) 817-5790</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(Registrant’s telephone number, including area code)</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Not applicable</w:t>
      </w:r>
    </w:p>
    <w:p>
      <w:pPr>
        <w:pStyle w:val="TextBody"/>
        <w:pBdr/>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(Former name, former address and former fiscal year, if changed since last report)</w:t>
      </w:r>
    </w:p>
    <w:p>
      <w:pPr>
        <w:pStyle w:val="TextBody"/>
        <w:pBdr>
          <w:bottom w:val="single" w:sz="2" w:space="1" w:color="000000"/>
        </w:pBdr>
        <w:bidi w:val="0"/>
        <w:spacing w:before="0" w:after="0"/>
        <w:ind w:left="0" w:right="0" w:hanging="0"/>
        <w:jc w:val="center"/>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23" w:name="Tc_6xIcNhFhSkm0Uv4corFOUg_2_4"/>
      <w:bookmarkStart w:id="24" w:name="Tc_y5QvDaIJFU2eVCin6i05WA_1_4"/>
      <w:bookmarkStart w:id="25" w:name="Tc_NGYV2FdmTEmryc5ZtA_Zpg_1_2"/>
      <w:bookmarkStart w:id="26" w:name="Tc_RiFaTtRO0ECGat7MLQy5iA_1_0"/>
      <w:bookmarkStart w:id="27" w:name="_16e6ba66_a886_4f4f_a59d_33fe753f5682"/>
      <w:bookmarkStart w:id="28" w:name="Tc_6xIcNhFhSkm0Uv4corFOUg_2_4"/>
      <w:bookmarkStart w:id="29" w:name="Tc_y5QvDaIJFU2eVCin6i05WA_1_4"/>
      <w:bookmarkStart w:id="30" w:name="Tc_NGYV2FdmTEmryc5ZtA_Zpg_1_2"/>
      <w:bookmarkStart w:id="31" w:name="Tc_RiFaTtRO0ECGat7MLQy5iA_1_0"/>
      <w:bookmarkStart w:id="32" w:name="_16e6ba66_a886_4f4f_a59d_33fe753f5682"/>
      <w:bookmarkEnd w:id="28"/>
      <w:bookmarkEnd w:id="29"/>
      <w:bookmarkEnd w:id="30"/>
      <w:bookmarkEnd w:id="31"/>
      <w:bookmarkEnd w:id="32"/>
    </w:p>
    <w:tbl>
      <w:tblPr>
        <w:tblW w:w="7270" w:type="dxa"/>
        <w:jc w:val="left"/>
        <w:tblInd w:w="0" w:type="dxa"/>
        <w:tblLayout w:type="fixed"/>
        <w:tblCellMar>
          <w:top w:w="0" w:type="dxa"/>
          <w:left w:w="0" w:type="dxa"/>
          <w:bottom w:w="0" w:type="dxa"/>
          <w:right w:w="0" w:type="dxa"/>
        </w:tblCellMar>
      </w:tblPr>
      <w:tblGrid>
        <w:gridCol w:w="2881"/>
        <w:gridCol w:w="326"/>
        <w:gridCol w:w="751"/>
        <w:gridCol w:w="326"/>
        <w:gridCol w:w="2986"/>
      </w:tblGrid>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Title of each class</w:t>
            </w:r>
          </w:p>
        </w:tc>
        <w:tc>
          <w:tcPr>
            <w:tcW w:w="326" w:type="dxa"/>
            <w:tcBorders/>
            <w:vAlign w:val="center"/>
          </w:tcPr>
          <w:p>
            <w:pPr>
              <w:pStyle w:val="TableContents"/>
              <w:bidi w:val="0"/>
              <w:spacing w:before="0" w:after="0"/>
              <w:ind w:left="0" w:right="0" w:hanging="0"/>
              <w:jc w:val="center"/>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Trading </w:t>
              <w:br/>
              <w:t>Symbol(s)</w:t>
            </w:r>
          </w:p>
        </w:tc>
        <w:tc>
          <w:tcPr>
            <w:tcW w:w="326" w:type="dxa"/>
            <w:tcBorders/>
            <w:vAlign w:val="center"/>
          </w:tcPr>
          <w:p>
            <w:pPr>
              <w:pStyle w:val="TableContents"/>
              <w:bidi w:val="0"/>
              <w:spacing w:before="0" w:after="0"/>
              <w:ind w:left="0" w:right="0" w:hanging="0"/>
              <w:jc w:val="center"/>
              <w:rPr/>
            </w:pPr>
            <w:r>
              <w:rPr/>
              <w:t>    </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Name of each exchange on which registered</w:t>
            </w:r>
          </w:p>
        </w:tc>
      </w:tr>
      <w:tr>
        <w:trPr/>
        <w:tc>
          <w:tcPr>
            <w:tcW w:w="288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Common Stock, $0.0001 par value per share</w:t>
            </w:r>
          </w:p>
        </w:tc>
        <w:tc>
          <w:tcPr>
            <w:tcW w:w="326" w:type="dxa"/>
            <w:tcBorders/>
            <w:vAlign w:val="center"/>
          </w:tcPr>
          <w:p>
            <w:pPr>
              <w:pStyle w:val="TableContents"/>
              <w:bidi w:val="0"/>
              <w:spacing w:before="0" w:after="0"/>
              <w:ind w:left="0" w:right="0" w:hanging="0"/>
              <w:jc w:val="center"/>
              <w:rPr/>
            </w:pPr>
            <w:r>
              <w:rPr/>
              <w:t>​</w:t>
            </w:r>
          </w:p>
        </w:tc>
        <w:tc>
          <w:tcPr>
            <w:tcW w:w="75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IPSC</w:t>
            </w:r>
          </w:p>
        </w:tc>
        <w:tc>
          <w:tcPr>
            <w:tcW w:w="326" w:type="dxa"/>
            <w:tcBorders/>
            <w:vAlign w:val="center"/>
          </w:tcPr>
          <w:p>
            <w:pPr>
              <w:pStyle w:val="TableContents"/>
              <w:bidi w:val="0"/>
              <w:spacing w:before="0" w:after="0"/>
              <w:ind w:left="0" w:right="0" w:hanging="0"/>
              <w:jc w:val="center"/>
              <w:rPr/>
            </w:pPr>
            <w:r>
              <w:rPr/>
              <w:t>​</w:t>
            </w:r>
          </w:p>
        </w:tc>
        <w:tc>
          <w:tcPr>
            <w:tcW w:w="298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The Nasdaq</w:t>
            </w:r>
            <w:r>
              <w:rPr>
                <w:rFonts w:ascii="Arial;Helvetica;sans-serif" w:hAnsi="Arial;Helvetica;sans-serif"/>
                <w:sz w:val="20"/>
              </w:rPr>
              <w:t xml:space="preserve"> </w:t>
            </w:r>
            <w:r>
              <w:rPr>
                <w:rFonts w:ascii="Arial;Helvetica;sans-serif" w:hAnsi="Arial;Helvetica;sans-serif"/>
                <w:sz w:val="14"/>
              </w:rPr>
              <w:t>Global Select Market</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Arial;Helvetica;sans-serif" w:hAnsi="Arial;Helvetica;sans-serif"/>
          <w:sz w:val="20"/>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 </w:t>
      </w:r>
      <w:r>
        <w:rPr>
          <w:rFonts w:ascii="Arial;Helvetica;sans-serif" w:hAnsi="Arial;Helvetica;sans-serif"/>
          <w:sz w:val="18"/>
        </w:rPr>
        <w:t>No </w:t>
      </w:r>
      <w:r>
        <w:rPr>
          <w:rFonts w:ascii="Arial;Helvetica;sans-serif" w:hAnsi="Arial;Helvetica;sans-serif"/>
          <w:sz w:val="20"/>
        </w:rPr>
        <w:t>☐</w:t>
      </w:r>
    </w:p>
    <w:p>
      <w:pPr>
        <w:pStyle w:val="TextBody"/>
        <w:bidi w:val="0"/>
        <w:spacing w:before="0" w:after="60"/>
        <w:ind w:left="0" w:right="0" w:hanging="0"/>
        <w:jc w:val="left"/>
        <w:rPr>
          <w:rFonts w:ascii="Arial;Helvetica;sans-serif" w:hAnsi="Arial;Helvetica;san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 </w:t>
      </w:r>
      <w:r>
        <w:rPr>
          <w:rFonts w:ascii="Arial;Helvetica;sans-serif" w:hAnsi="Arial;Helvetica;sans-serif"/>
          <w:sz w:val="18"/>
        </w:rPr>
        <w:t>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00"/>
        <w:ind w:left="0" w:right="0" w:hanging="0"/>
        <w:jc w:val="left"/>
        <w:rPr/>
      </w:pPr>
      <w:r>
        <w:rPr/>
        <w:t>​</w:t>
      </w:r>
    </w:p>
    <w:tbl>
      <w:tblPr>
        <w:tblW w:w="5507" w:type="dxa"/>
        <w:jc w:val="left"/>
        <w:tblInd w:w="0" w:type="dxa"/>
        <w:tblLayout w:type="fixed"/>
        <w:tblCellMar>
          <w:top w:w="0" w:type="dxa"/>
          <w:left w:w="0" w:type="dxa"/>
          <w:bottom w:w="0" w:type="dxa"/>
          <w:right w:w="0" w:type="dxa"/>
        </w:tblCellMar>
      </w:tblPr>
      <w:tblGrid>
        <w:gridCol w:w="2911"/>
        <w:gridCol w:w="2596"/>
      </w:tblGrid>
      <w:tr>
        <w:trPr/>
        <w:tc>
          <w:tcPr>
            <w:tcW w:w="2911" w:type="dxa"/>
            <w:tcBorders/>
            <w:vAlign w:val="center"/>
          </w:tcPr>
          <w:p>
            <w:pPr>
              <w:pStyle w:val="TableContents"/>
              <w:bidi w:val="0"/>
              <w:spacing w:before="0" w:after="200"/>
              <w:ind w:left="0" w:right="0" w:hanging="0"/>
              <w:jc w:val="left"/>
              <w:rPr/>
            </w:pPr>
            <w:r>
              <w:rPr/>
              <w:t>​</w:t>
            </w:r>
          </w:p>
        </w:tc>
        <w:tc>
          <w:tcPr>
            <w:tcW w:w="2596" w:type="dxa"/>
            <w:tcBorders/>
            <w:vAlign w:val="center"/>
          </w:tcPr>
          <w:p>
            <w:pPr>
              <w:pStyle w:val="TableContents"/>
              <w:bidi w:val="0"/>
              <w:spacing w:before="0" w:after="200"/>
              <w:ind w:left="0" w:right="0" w:hanging="0"/>
              <w:jc w:val="left"/>
              <w:rPr/>
            </w:pPr>
            <w:r>
              <w:rPr/>
              <w:t>​</w:t>
            </w:r>
          </w:p>
        </w:tc>
      </w:tr>
      <w:tr>
        <w:trPr/>
        <w:tc>
          <w:tcPr>
            <w:tcW w:w="2911" w:type="dxa"/>
            <w:tcBorders/>
            <w:vAlign w:val="center"/>
          </w:tcPr>
          <w:p>
            <w:pPr>
              <w:pStyle w:val="TableContents"/>
              <w:pBdr/>
              <w:bidi w:val="0"/>
              <w:spacing w:before="0" w:after="0"/>
              <w:ind w:left="0" w:right="0" w:hanging="0"/>
              <w:jc w:val="both"/>
              <w:rPr>
                <w:rFonts w:ascii="Arial;Helvetica;sans-serif" w:hAnsi="Arial;Helvetica;sans-serif"/>
                <w:sz w:val="18"/>
              </w:rPr>
            </w:pPr>
            <w:r>
              <w:rPr>
                <w:rFonts w:ascii="Arial;Helvetica;sans-serif" w:hAnsi="Arial;Helvetica;sans-serif"/>
                <w:sz w:val="18"/>
              </w:rPr>
              <w:t>Large accelerated filer          ☐</w:t>
            </w:r>
          </w:p>
        </w:tc>
        <w:tc>
          <w:tcPr>
            <w:tcW w:w="25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Accelerated filer                  ☐</w:t>
            </w:r>
          </w:p>
        </w:tc>
      </w:tr>
      <w:tr>
        <w:trPr/>
        <w:tc>
          <w:tcPr>
            <w:tcW w:w="2911"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18"/>
              </w:rPr>
              <w:t>Non-accelerated filer</w:t>
            </w:r>
            <w:r>
              <w:rPr>
                <w:rFonts w:ascii="Arial;Helvetica;sans-serif" w:hAnsi="Arial;Helvetica;sans-serif"/>
                <w:sz w:val="20"/>
              </w:rPr>
              <w:t xml:space="preserve">              ☒ </w:t>
            </w:r>
          </w:p>
        </w:tc>
        <w:tc>
          <w:tcPr>
            <w:tcW w:w="2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18"/>
              </w:rPr>
              <w:t>Smaller reporting company</w:t>
            </w:r>
            <w:r>
              <w:rPr>
                <w:rFonts w:ascii="Arial;Helvetica;sans-serif" w:hAnsi="Arial;Helvetica;sans-serif"/>
                <w:sz w:val="20"/>
              </w:rPr>
              <w:t> ☒</w:t>
            </w:r>
          </w:p>
        </w:tc>
      </w:tr>
      <w:tr>
        <w:trPr/>
        <w:tc>
          <w:tcPr>
            <w:tcW w:w="2911"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18"/>
              </w:rPr>
              <w:t>Emerging growth company</w:t>
            </w:r>
            <w:r>
              <w:rPr>
                <w:rFonts w:ascii="Arial;Helvetica;sans-serif" w:hAnsi="Arial;Helvetica;sans-serif"/>
                <w:sz w:val="20"/>
              </w:rPr>
              <w:t>    ☒</w:t>
            </w:r>
          </w:p>
        </w:tc>
        <w:tc>
          <w:tcPr>
            <w:tcW w:w="2596" w:type="dxa"/>
            <w:tcBorders/>
            <w:vAlign w:val="center"/>
          </w:tcPr>
          <w:p>
            <w:pPr>
              <w:pStyle w:val="TableContents"/>
              <w:bidi w:val="0"/>
              <w:spacing w:before="0" w:after="200"/>
              <w:ind w:left="0" w:right="0" w:hanging="0"/>
              <w:jc w:val="right"/>
              <w:rPr/>
            </w:pPr>
            <w:r>
              <w:rPr/>
              <w:t>​</w:t>
            </w:r>
          </w:p>
        </w:tc>
      </w:tr>
    </w:tbl>
    <w:p>
      <w:pPr>
        <w:pStyle w:val="TextBody"/>
        <w:bidi w:val="0"/>
        <w:spacing w:before="0" w:after="200"/>
        <w:ind w:left="0" w:right="0" w:hanging="0"/>
        <w:jc w:val="left"/>
        <w:rPr/>
      </w:pPr>
      <w:r>
        <w:rPr/>
        <w:t>​</w:t>
      </w:r>
    </w:p>
    <w:p>
      <w:pPr>
        <w:pStyle w:val="TextBody"/>
        <w:bidi w:val="0"/>
        <w:spacing w:before="0" w:after="60"/>
        <w:ind w:left="0" w:right="0" w:hanging="0"/>
        <w:jc w:val="left"/>
        <w:rPr>
          <w:rFonts w:ascii="Arial;Helvetica;sans-serif" w:hAnsi="Arial;Helvetica;sans-serif"/>
          <w:sz w:val="20"/>
        </w:rPr>
      </w:pPr>
      <w:r>
        <w:rPr>
          <w:rFonts w:ascii="Arial;Helvetica;sans-serif" w:hAnsi="Arial;Helvetica;san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w:t>
      </w:r>
    </w:p>
    <w:p>
      <w:pPr>
        <w:pStyle w:val="TextBody"/>
        <w:bidi w:val="0"/>
        <w:spacing w:before="0" w:after="60"/>
        <w:ind w:left="0" w:right="0" w:hanging="0"/>
        <w:jc w:val="left"/>
        <w:rPr>
          <w:rFonts w:ascii="Arial;Helvetica;sans-serif" w:hAnsi="Arial;Helvetica;sans-serif"/>
          <w:sz w:val="20"/>
        </w:rPr>
      </w:pPr>
      <w:r>
        <w:rPr>
          <w:rFonts w:ascii="Arial;Helvetica;sans-serif" w:hAnsi="Arial;Helvetica;sans-serif"/>
          <w:sz w:val="18"/>
        </w:rPr>
        <w:t>Indicate by check mark whether the registrant is a shell company (as defined in Rule 12b-2 of the Exchange Act). Yes </w:t>
      </w:r>
      <w:r>
        <w:rPr>
          <w:rFonts w:ascii="Arial;Helvetica;sans-serif" w:hAnsi="Arial;Helvetica;sans-serif"/>
          <w:sz w:val="20"/>
        </w:rPr>
        <w:t>☐  </w:t>
      </w:r>
      <w:r>
        <w:rPr>
          <w:rFonts w:ascii="Arial;Helvetica;sans-serif" w:hAnsi="Arial;Helvetica;sans-serif"/>
          <w:sz w:val="18"/>
        </w:rPr>
        <w:t>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As of May 1, 2025 the registrant had 86,158,758 shares of common stock, $0.0001 par value per share, outstanding.</w:t>
      </w:r>
    </w:p>
    <w:p>
      <w:pPr>
        <w:pStyle w:val="TextBody"/>
        <w:bidi w:val="0"/>
        <w:spacing w:before="0" w:after="200"/>
        <w:ind w:left="0" w:right="0" w:hanging="0"/>
        <w:jc w:val="left"/>
        <w:rPr/>
      </w:pPr>
      <w:r>
        <w:rPr/>
        <w:t>​</w:t>
      </w:r>
    </w:p>
    <w:p>
      <w:pPr>
        <w:pStyle w:val="TextBody"/>
        <w:pBdr>
          <w:top w:val="single" w:sz="8" w:space="1" w:color="000000"/>
          <w:bottom w:val="single" w:sz="24" w:space="1" w:color="000000"/>
        </w:pBdr>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33" w:name="_345a10e2_744b_46a7_a006_e7448448d37e"/>
      <w:bookmarkStart w:id="34" w:name="TOC"/>
      <w:bookmarkEnd w:id="33"/>
      <w:bookmarkEnd w:id="34"/>
      <w:r>
        <w:rPr>
          <w:rFonts w:ascii="Arial;Helvetica;sans-serif" w:hAnsi="Arial;Helvetica;sans-serif"/>
          <w:b/>
          <w:sz w:val="20"/>
        </w:rPr>
        <w:t>Table of Contents</w:t>
      </w:r>
    </w:p>
    <w:tbl>
      <w:tblPr>
        <w:tblW w:w="10205" w:type="dxa"/>
        <w:jc w:val="left"/>
        <w:tblInd w:w="0" w:type="dxa"/>
        <w:tblLayout w:type="fixed"/>
        <w:tblCellMar>
          <w:top w:w="0" w:type="dxa"/>
          <w:left w:w="0" w:type="dxa"/>
          <w:bottom w:w="0" w:type="dxa"/>
          <w:right w:w="0" w:type="dxa"/>
        </w:tblCellMar>
      </w:tblPr>
      <w:tblGrid>
        <w:gridCol w:w="809"/>
        <w:gridCol w:w="8854"/>
        <w:gridCol w:w="542"/>
      </w:tblGrid>
      <w:tr>
        <w:trPr/>
        <w:tc>
          <w:tcPr>
            <w:tcW w:w="809" w:type="dxa"/>
            <w:tcBorders/>
            <w:vAlign w:val="center"/>
          </w:tcPr>
          <w:p>
            <w:pPr>
              <w:pStyle w:val="TableContents"/>
              <w:bidi w:val="0"/>
              <w:spacing w:before="0" w:after="283"/>
              <w:ind w:left="0" w:right="0" w:hanging="0"/>
              <w:jc w:val="left"/>
              <w:rPr>
                <w:sz w:val="4"/>
                <w:szCs w:val="4"/>
              </w:rPr>
            </w:pPr>
            <w:r>
              <w:rPr>
                <w:sz w:val="4"/>
                <w:szCs w:val="4"/>
              </w:rPr>
            </w:r>
          </w:p>
        </w:tc>
        <w:tc>
          <w:tcPr>
            <w:tcW w:w="8854" w:type="dxa"/>
            <w:tcBorders/>
            <w:vAlign w:val="center"/>
          </w:tcPr>
          <w:p>
            <w:pPr>
              <w:pStyle w:val="TableContents"/>
              <w:bidi w:val="0"/>
              <w:spacing w:before="0" w:after="283"/>
              <w:ind w:left="0" w:right="0" w:hanging="0"/>
              <w:jc w:val="left"/>
              <w:rPr>
                <w:sz w:val="4"/>
                <w:szCs w:val="4"/>
              </w:rPr>
            </w:pPr>
            <w:r>
              <w:rPr>
                <w:sz w:val="4"/>
                <w:szCs w:val="4"/>
              </w:rPr>
            </w:r>
          </w:p>
        </w:tc>
        <w:tc>
          <w:tcPr>
            <w:tcW w:w="542" w:type="dxa"/>
            <w:tcBorders/>
            <w:vAlign w:val="center"/>
          </w:tcPr>
          <w:p>
            <w:pPr>
              <w:pStyle w:val="TableContents"/>
              <w:bidi w:val="0"/>
              <w:spacing w:before="0" w:after="283"/>
              <w:ind w:left="0" w:right="0" w:hanging="0"/>
              <w:jc w:val="left"/>
              <w:rPr>
                <w:sz w:val="4"/>
                <w:szCs w:val="4"/>
              </w:rPr>
            </w:pPr>
            <w:r>
              <w:rPr>
                <w:sz w:val="4"/>
                <w:szCs w:val="4"/>
              </w:rPr>
            </w:r>
          </w:p>
        </w:tc>
      </w:tr>
      <w:tr>
        <w:trPr/>
        <w:tc>
          <w:tcPr>
            <w:tcW w:w="809" w:type="dxa"/>
            <w:tcBorders>
              <w:bottom w:val="single" w:sz="2" w:space="0" w:color="FFFFFF"/>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8854" w:type="dxa"/>
            <w:tcBorders>
              <w:bottom w:val="single" w:sz="2" w:space="0" w:color="FFFFFF"/>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Page</w:t>
            </w:r>
          </w:p>
        </w:tc>
      </w:tr>
      <w:tr>
        <w:trPr/>
        <w:tc>
          <w:tcPr>
            <w:tcW w:w="809" w:type="dxa"/>
            <w:tcBorders/>
            <w:vAlign w:val="center"/>
          </w:tcPr>
          <w:p>
            <w:pPr>
              <w:pStyle w:val="TableContents"/>
              <w:bidi w:val="0"/>
              <w:spacing w:before="0" w:after="0"/>
              <w:ind w:left="0" w:right="0" w:hanging="0"/>
              <w:jc w:val="left"/>
              <w:rPr/>
            </w:pPr>
            <w:hyperlink w:anchor="PARTIFINANCIALINFORMATION_835812">
              <w:r>
                <w:rPr>
                  <w:rStyle w:val="InternetLink"/>
                  <w:rFonts w:ascii="Arial;Helvetica;sans-serif" w:hAnsi="Arial;Helvetica;sans-serif"/>
                  <w:b/>
                  <w:i w:val="false"/>
                  <w:caps w:val="false"/>
                  <w:smallCaps w:val="false"/>
                  <w:sz w:val="20"/>
                </w:rPr>
                <w:t>PART I.</w:t>
              </w:r>
            </w:hyperlink>
          </w:p>
        </w:tc>
        <w:tc>
          <w:tcPr>
            <w:tcW w:w="8854" w:type="dxa"/>
            <w:tcBorders/>
            <w:vAlign w:val="center"/>
          </w:tcPr>
          <w:p>
            <w:pPr>
              <w:pStyle w:val="TableContents"/>
              <w:bidi w:val="0"/>
              <w:spacing w:before="0" w:after="0"/>
              <w:ind w:left="0" w:right="0" w:hanging="0"/>
              <w:jc w:val="left"/>
              <w:rPr/>
            </w:pPr>
            <w:hyperlink w:anchor="PARTIFINANCIALINFORMATION_835812">
              <w:r>
                <w:rPr>
                  <w:rStyle w:val="InternetLink"/>
                  <w:rFonts w:ascii="Arial;Helvetica;sans-serif" w:hAnsi="Arial;Helvetica;sans-serif"/>
                  <w:b/>
                  <w:i w:val="false"/>
                  <w:caps w:val="false"/>
                  <w:smallCaps w:val="false"/>
                  <w:sz w:val="20"/>
                </w:rPr>
                <w:t>FINANCIAL INFORMATION</w:t>
              </w:r>
            </w:hyperlink>
          </w:p>
        </w:tc>
        <w:tc>
          <w:tcPr>
            <w:tcW w:w="542"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tc>
      </w:tr>
      <w:tr>
        <w:trPr/>
        <w:tc>
          <w:tcPr>
            <w:tcW w:w="809" w:type="dxa"/>
            <w:tcBorders/>
            <w:vAlign w:val="center"/>
          </w:tcPr>
          <w:p>
            <w:pPr>
              <w:pStyle w:val="TableContents"/>
              <w:bidi w:val="0"/>
              <w:spacing w:before="0" w:after="0"/>
              <w:ind w:left="0" w:right="0" w:hanging="0"/>
              <w:jc w:val="left"/>
              <w:rPr/>
            </w:pPr>
            <w:hyperlink w:anchor="Item1FinancialStatements_257227">
              <w:r>
                <w:rPr>
                  <w:rStyle w:val="InternetLink"/>
                  <w:rFonts w:ascii="Arial;Helvetica;sans-serif" w:hAnsi="Arial;Helvetica;sans-serif"/>
                  <w:b w:val="false"/>
                  <w:i w:val="false"/>
                  <w:caps w:val="false"/>
                  <w:smallCaps w:val="false"/>
                  <w:sz w:val="20"/>
                </w:rPr>
                <w:t>Item 1.</w:t>
              </w:r>
            </w:hyperlink>
          </w:p>
        </w:tc>
        <w:tc>
          <w:tcPr>
            <w:tcW w:w="8854" w:type="dxa"/>
            <w:tcBorders/>
            <w:vAlign w:val="center"/>
          </w:tcPr>
          <w:p>
            <w:pPr>
              <w:pStyle w:val="TableContents"/>
              <w:bidi w:val="0"/>
              <w:spacing w:before="0" w:after="0"/>
              <w:ind w:left="0" w:right="0" w:hanging="0"/>
              <w:jc w:val="left"/>
              <w:rPr/>
            </w:pPr>
            <w:hyperlink w:anchor="Item1FinancialStatements_257227">
              <w:r>
                <w:rPr>
                  <w:rStyle w:val="InternetLink"/>
                  <w:rFonts w:ascii="Arial;Helvetica;sans-serif" w:hAnsi="Arial;Helvetica;sans-serif"/>
                  <w:b w:val="false"/>
                  <w:i w:val="false"/>
                  <w:caps w:val="false"/>
                  <w:smallCaps w:val="false"/>
                  <w:sz w:val="20"/>
                </w:rPr>
                <w:t>Unaudited Consolidated Financial Statements: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tc>
      </w:tr>
      <w:tr>
        <w:trPr/>
        <w:tc>
          <w:tcPr>
            <w:tcW w:w="809" w:type="dxa"/>
            <w:tcBorders/>
            <w:vAlign w:val="center"/>
          </w:tcPr>
          <w:p>
            <w:pPr>
              <w:pStyle w:val="TableContents"/>
              <w:bidi w:val="0"/>
              <w:spacing w:before="0" w:after="0"/>
              <w:ind w:left="0" w:right="0" w:hanging="0"/>
              <w:jc w:val="left"/>
              <w:rPr/>
            </w:pPr>
            <w:r>
              <w:rPr/>
              <w:t>​</w:t>
            </w:r>
          </w:p>
        </w:tc>
        <w:tc>
          <w:tcPr>
            <w:tcW w:w="8854" w:type="dxa"/>
            <w:tcBorders/>
            <w:vAlign w:val="center"/>
          </w:tcPr>
          <w:p>
            <w:pPr>
              <w:pStyle w:val="TableContents"/>
              <w:bidi w:val="0"/>
              <w:spacing w:before="0" w:after="0"/>
              <w:ind w:left="0" w:right="0" w:hanging="0"/>
              <w:jc w:val="left"/>
              <w:rPr/>
            </w:pPr>
            <w:hyperlink w:anchor="Consolidatedbalancesheets_453664">
              <w:r>
                <w:rPr>
                  <w:rStyle w:val="InternetLink"/>
                  <w:rFonts w:ascii="Arial;Helvetica;sans-serif" w:hAnsi="Arial;Helvetica;sans-serif"/>
                  <w:b w:val="false"/>
                  <w:i w:val="false"/>
                  <w:caps w:val="false"/>
                  <w:smallCaps w:val="false"/>
                  <w:sz w:val="20"/>
                </w:rPr>
                <w:t>Consolidated Balance Sheets as of March 31, 2025 (unaudited) and December 31, 2024</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tc>
      </w:tr>
      <w:tr>
        <w:trPr/>
        <w:tc>
          <w:tcPr>
            <w:tcW w:w="809" w:type="dxa"/>
            <w:tcBorders/>
            <w:vAlign w:val="center"/>
          </w:tcPr>
          <w:p>
            <w:pPr>
              <w:pStyle w:val="TableContents"/>
              <w:bidi w:val="0"/>
              <w:spacing w:before="0" w:after="0"/>
              <w:ind w:left="0" w:right="0" w:hanging="0"/>
              <w:jc w:val="left"/>
              <w:rPr/>
            </w:pPr>
            <w:r>
              <w:rPr/>
              <w:t>​</w:t>
            </w:r>
          </w:p>
        </w:tc>
        <w:tc>
          <w:tcPr>
            <w:tcW w:w="8854" w:type="dxa"/>
            <w:tcBorders/>
            <w:vAlign w:val="center"/>
          </w:tcPr>
          <w:p>
            <w:pPr>
              <w:pStyle w:val="TableContents"/>
              <w:bidi w:val="0"/>
              <w:spacing w:before="0" w:after="0"/>
              <w:ind w:left="0" w:right="0" w:hanging="0"/>
              <w:jc w:val="left"/>
              <w:rPr/>
            </w:pPr>
            <w:hyperlink w:anchor="Consolidatedstatementsofoperationsandcom">
              <w:r>
                <w:rPr>
                  <w:rStyle w:val="InternetLink"/>
                  <w:rFonts w:ascii="Arial;Helvetica;sans-serif" w:hAnsi="Arial;Helvetica;sans-serif"/>
                  <w:b w:val="false"/>
                  <w:i w:val="false"/>
                  <w:caps w:val="false"/>
                  <w:smallCaps w:val="false"/>
                  <w:sz w:val="20"/>
                </w:rPr>
                <w:t>Consolidated Statements of Operations and Comprehensive Income (Loss) for the three months ended March 31, 2025 and 2024 (unaudited)</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tc>
      </w:tr>
      <w:tr>
        <w:trPr/>
        <w:tc>
          <w:tcPr>
            <w:tcW w:w="809" w:type="dxa"/>
            <w:tcBorders/>
            <w:vAlign w:val="center"/>
          </w:tcPr>
          <w:p>
            <w:pPr>
              <w:pStyle w:val="TableContents"/>
              <w:bidi w:val="0"/>
              <w:spacing w:before="0" w:after="0"/>
              <w:ind w:left="0" w:right="0" w:hanging="0"/>
              <w:jc w:val="left"/>
              <w:rPr/>
            </w:pPr>
            <w:r>
              <w:rPr/>
              <w:t>​</w:t>
            </w:r>
          </w:p>
        </w:tc>
        <w:tc>
          <w:tcPr>
            <w:tcW w:w="8854" w:type="dxa"/>
            <w:tcBorders/>
            <w:vAlign w:val="center"/>
          </w:tcPr>
          <w:p>
            <w:pPr>
              <w:pStyle w:val="TableContents"/>
              <w:bidi w:val="0"/>
              <w:spacing w:before="0" w:after="0"/>
              <w:ind w:left="0" w:right="0" w:hanging="0"/>
              <w:jc w:val="left"/>
              <w:rPr/>
            </w:pPr>
            <w:hyperlink w:anchor="Consolidatedstatementsofchangesinconvert">
              <w:r>
                <w:rPr>
                  <w:rStyle w:val="InternetLink"/>
                  <w:rFonts w:ascii="Arial;Helvetica;sans-serif" w:hAnsi="Arial;Helvetica;sans-serif"/>
                  <w:b w:val="false"/>
                  <w:i w:val="false"/>
                  <w:caps w:val="false"/>
                  <w:smallCaps w:val="false"/>
                  <w:sz w:val="20"/>
                </w:rPr>
                <w:t>Consolidated Statements of Changes in Stockholders’ Equity for the three months ended March 31, 2025 and 2024 (unaudited)</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w:t>
            </w:r>
          </w:p>
        </w:tc>
      </w:tr>
      <w:tr>
        <w:trPr/>
        <w:tc>
          <w:tcPr>
            <w:tcW w:w="809" w:type="dxa"/>
            <w:tcBorders/>
            <w:vAlign w:val="center"/>
          </w:tcPr>
          <w:p>
            <w:pPr>
              <w:pStyle w:val="TableContents"/>
              <w:bidi w:val="0"/>
              <w:spacing w:before="0" w:after="0"/>
              <w:ind w:left="0" w:right="0" w:hanging="0"/>
              <w:jc w:val="left"/>
              <w:rPr/>
            </w:pPr>
            <w:r>
              <w:rPr/>
              <w:t>​</w:t>
            </w:r>
          </w:p>
        </w:tc>
        <w:tc>
          <w:tcPr>
            <w:tcW w:w="8854" w:type="dxa"/>
            <w:tcBorders/>
            <w:vAlign w:val="center"/>
          </w:tcPr>
          <w:p>
            <w:pPr>
              <w:pStyle w:val="TableContents"/>
              <w:bidi w:val="0"/>
              <w:spacing w:before="0" w:after="0"/>
              <w:ind w:left="0" w:right="0" w:hanging="0"/>
              <w:jc w:val="left"/>
              <w:rPr/>
            </w:pPr>
            <w:hyperlink w:anchor="CONDENSEDSTATEMENTOFCASHFLOWS_471502">
              <w:r>
                <w:rPr>
                  <w:rStyle w:val="InternetLink"/>
                  <w:rFonts w:ascii="Arial;Helvetica;sans-serif" w:hAnsi="Arial;Helvetica;sans-serif"/>
                  <w:b w:val="false"/>
                  <w:i w:val="false"/>
                  <w:caps w:val="false"/>
                  <w:smallCaps w:val="false"/>
                  <w:sz w:val="20"/>
                </w:rPr>
                <w:t>Consolidated Statements of Cash Flows for the three months ended March 31, 2025 and 2024 (unaudited)</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tc>
      </w:tr>
      <w:tr>
        <w:trPr/>
        <w:tc>
          <w:tcPr>
            <w:tcW w:w="809" w:type="dxa"/>
            <w:tcBorders/>
            <w:vAlign w:val="center"/>
          </w:tcPr>
          <w:p>
            <w:pPr>
              <w:pStyle w:val="TableContents"/>
              <w:bidi w:val="0"/>
              <w:spacing w:before="0" w:after="0"/>
              <w:ind w:left="0" w:right="0" w:hanging="0"/>
              <w:jc w:val="left"/>
              <w:rPr/>
            </w:pPr>
            <w:r>
              <w:rPr/>
              <w:t>​</w:t>
            </w:r>
          </w:p>
        </w:tc>
        <w:tc>
          <w:tcPr>
            <w:tcW w:w="8854" w:type="dxa"/>
            <w:tcBorders/>
            <w:vAlign w:val="center"/>
          </w:tcPr>
          <w:p>
            <w:pPr>
              <w:pStyle w:val="TableContents"/>
              <w:bidi w:val="0"/>
              <w:spacing w:before="0" w:after="0"/>
              <w:ind w:left="0" w:right="0" w:hanging="0"/>
              <w:jc w:val="left"/>
              <w:rPr/>
            </w:pPr>
            <w:hyperlink w:anchor="NOTESTOFINANCIALSTATEMENTS5_641597">
              <w:r>
                <w:rPr>
                  <w:rStyle w:val="InternetLink"/>
                  <w:rFonts w:ascii="Arial;Helvetica;sans-serif" w:hAnsi="Arial;Helvetica;sans-serif"/>
                  <w:b w:val="false"/>
                  <w:i w:val="false"/>
                  <w:caps w:val="false"/>
                  <w:smallCaps w:val="false"/>
                  <w:sz w:val="20"/>
                </w:rPr>
                <w:t>Notes to Unaudited Consolidated Financial Statements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r>
        <w:trPr/>
        <w:tc>
          <w:tcPr>
            <w:tcW w:w="809" w:type="dxa"/>
            <w:tcBorders/>
            <w:vAlign w:val="center"/>
          </w:tcPr>
          <w:p>
            <w:pPr>
              <w:pStyle w:val="TableContents"/>
              <w:bidi w:val="0"/>
              <w:spacing w:before="0" w:after="0"/>
              <w:ind w:left="0" w:right="0" w:hanging="0"/>
              <w:jc w:val="left"/>
              <w:rPr/>
            </w:pPr>
            <w:hyperlink w:anchor="Managementsdiscussionandanalysisoffinanc">
              <w:r>
                <w:rPr>
                  <w:rStyle w:val="InternetLink"/>
                  <w:rFonts w:ascii="Arial;Helvetica;sans-serif" w:hAnsi="Arial;Helvetica;sans-serif"/>
                  <w:b w:val="false"/>
                  <w:i w:val="false"/>
                  <w:caps w:val="false"/>
                  <w:smallCaps w:val="false"/>
                  <w:sz w:val="20"/>
                </w:rPr>
                <w:t>Item 2.</w:t>
              </w:r>
            </w:hyperlink>
          </w:p>
        </w:tc>
        <w:tc>
          <w:tcPr>
            <w:tcW w:w="8854" w:type="dxa"/>
            <w:tcBorders/>
            <w:vAlign w:val="center"/>
          </w:tcPr>
          <w:p>
            <w:pPr>
              <w:pStyle w:val="TableContents"/>
              <w:bidi w:val="0"/>
              <w:spacing w:before="0" w:after="0"/>
              <w:ind w:left="0" w:right="0" w:hanging="0"/>
              <w:jc w:val="left"/>
              <w:rPr/>
            </w:pPr>
            <w:hyperlink w:anchor="Managementsdiscussionandanalysisoffinanc">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30</w:t>
            </w:r>
          </w:p>
        </w:tc>
      </w:tr>
      <w:tr>
        <w:trPr/>
        <w:tc>
          <w:tcPr>
            <w:tcW w:w="809"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8854"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40</w:t>
            </w:r>
          </w:p>
        </w:tc>
      </w:tr>
      <w:tr>
        <w:trPr/>
        <w:tc>
          <w:tcPr>
            <w:tcW w:w="809" w:type="dxa"/>
            <w:tcBorders/>
            <w:vAlign w:val="center"/>
          </w:tcPr>
          <w:p>
            <w:pPr>
              <w:pStyle w:val="TableContents"/>
              <w:bidi w:val="0"/>
              <w:spacing w:before="0" w:after="0"/>
              <w:ind w:left="0" w:right="0" w:hanging="0"/>
              <w:jc w:val="left"/>
              <w:rPr/>
            </w:pPr>
            <w:hyperlink w:anchor="Item4ControlsandProcedures_438957">
              <w:r>
                <w:rPr>
                  <w:rStyle w:val="InternetLink"/>
                  <w:rFonts w:ascii="Arial;Helvetica;sans-serif" w:hAnsi="Arial;Helvetica;sans-serif"/>
                  <w:b w:val="false"/>
                  <w:i w:val="false"/>
                  <w:caps w:val="false"/>
                  <w:smallCaps w:val="false"/>
                  <w:sz w:val="20"/>
                </w:rPr>
                <w:t>Item 4.</w:t>
              </w:r>
            </w:hyperlink>
          </w:p>
        </w:tc>
        <w:tc>
          <w:tcPr>
            <w:tcW w:w="8854" w:type="dxa"/>
            <w:tcBorders/>
            <w:vAlign w:val="center"/>
          </w:tcPr>
          <w:p>
            <w:pPr>
              <w:pStyle w:val="TableContents"/>
              <w:bidi w:val="0"/>
              <w:spacing w:before="0" w:after="0"/>
              <w:ind w:left="0" w:right="0" w:hanging="0"/>
              <w:jc w:val="left"/>
              <w:rPr/>
            </w:pPr>
            <w:hyperlink w:anchor="Item4ControlsandProcedures_438957">
              <w:r>
                <w:rPr>
                  <w:rStyle w:val="InternetLink"/>
                  <w:rFonts w:ascii="Arial;Helvetica;sans-serif" w:hAnsi="Arial;Helvetica;sans-serif"/>
                  <w:b w:val="false"/>
                  <w:i w:val="false"/>
                  <w:caps w:val="false"/>
                  <w:smallCaps w:val="false"/>
                  <w:sz w:val="20"/>
                </w:rPr>
                <w:t>Controls and Procedures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41</w:t>
            </w:r>
          </w:p>
        </w:tc>
      </w:tr>
      <w:tr>
        <w:trPr/>
        <w:tc>
          <w:tcPr>
            <w:tcW w:w="809" w:type="dxa"/>
            <w:tcBorders/>
            <w:vAlign w:val="center"/>
          </w:tcPr>
          <w:p>
            <w:pPr>
              <w:pStyle w:val="TableContents"/>
              <w:bidi w:val="0"/>
              <w:spacing w:before="0" w:after="0"/>
              <w:ind w:left="0" w:right="0" w:hanging="0"/>
              <w:jc w:val="left"/>
              <w:rPr/>
            </w:pPr>
            <w:r>
              <w:rPr/>
              <w:t>​</w:t>
            </w:r>
          </w:p>
        </w:tc>
        <w:tc>
          <w:tcPr>
            <w:tcW w:w="8854"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center"/>
              <w:rPr/>
            </w:pPr>
            <w:r>
              <w:rPr/>
              <w:t>​</w:t>
            </w:r>
          </w:p>
        </w:tc>
      </w:tr>
      <w:tr>
        <w:trPr/>
        <w:tc>
          <w:tcPr>
            <w:tcW w:w="809" w:type="dxa"/>
            <w:tcBorders/>
            <w:vAlign w:val="center"/>
          </w:tcPr>
          <w:p>
            <w:pPr>
              <w:pStyle w:val="TableContents"/>
              <w:bidi w:val="0"/>
              <w:spacing w:before="0" w:after="0"/>
              <w:ind w:left="0" w:right="0" w:hanging="0"/>
              <w:jc w:val="left"/>
              <w:rPr/>
            </w:pPr>
            <w:hyperlink w:anchor="PARTIIOTHERINFORMATION_986762">
              <w:r>
                <w:rPr>
                  <w:rStyle w:val="InternetLink"/>
                  <w:rFonts w:ascii="Arial;Helvetica;sans-serif" w:hAnsi="Arial;Helvetica;sans-serif"/>
                  <w:b/>
                  <w:i w:val="false"/>
                  <w:caps w:val="false"/>
                  <w:smallCaps w:val="false"/>
                  <w:sz w:val="20"/>
                </w:rPr>
                <w:t>PART II.</w:t>
              </w:r>
            </w:hyperlink>
          </w:p>
        </w:tc>
        <w:tc>
          <w:tcPr>
            <w:tcW w:w="8854" w:type="dxa"/>
            <w:tcBorders/>
            <w:vAlign w:val="center"/>
          </w:tcPr>
          <w:p>
            <w:pPr>
              <w:pStyle w:val="TableContents"/>
              <w:bidi w:val="0"/>
              <w:spacing w:before="0" w:after="0"/>
              <w:ind w:left="0" w:right="0" w:hanging="0"/>
              <w:jc w:val="left"/>
              <w:rPr/>
            </w:pPr>
            <w:hyperlink w:anchor="PARTIIOTHERINFORMATION_986762">
              <w:r>
                <w:rPr>
                  <w:rStyle w:val="InternetLink"/>
                  <w:rFonts w:ascii="Arial;Helvetica;sans-serif" w:hAnsi="Arial;Helvetica;sans-serif"/>
                  <w:b/>
                  <w:i w:val="false"/>
                  <w:caps w:val="false"/>
                  <w:smallCaps w:val="false"/>
                  <w:sz w:val="20"/>
                </w:rPr>
                <w:t>OTHER INFORMATION</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42</w:t>
            </w:r>
          </w:p>
        </w:tc>
      </w:tr>
      <w:tr>
        <w:trPr/>
        <w:tc>
          <w:tcPr>
            <w:tcW w:w="809" w:type="dxa"/>
            <w:tcBorders/>
            <w:vAlign w:val="center"/>
          </w:tcPr>
          <w:p>
            <w:pPr>
              <w:pStyle w:val="TableContents"/>
              <w:bidi w:val="0"/>
              <w:spacing w:before="0" w:after="0"/>
              <w:ind w:left="0" w:right="0" w:hanging="0"/>
              <w:jc w:val="left"/>
              <w:rPr/>
            </w:pPr>
            <w:hyperlink w:anchor="Item1LegalProceedings_566056">
              <w:r>
                <w:rPr>
                  <w:rStyle w:val="InternetLink"/>
                  <w:rFonts w:ascii="Arial;Helvetica;sans-serif" w:hAnsi="Arial;Helvetica;sans-serif"/>
                  <w:b w:val="false"/>
                  <w:i w:val="false"/>
                  <w:caps w:val="false"/>
                  <w:smallCaps w:val="false"/>
                  <w:sz w:val="20"/>
                </w:rPr>
                <w:t>Item 1.</w:t>
              </w:r>
            </w:hyperlink>
          </w:p>
        </w:tc>
        <w:tc>
          <w:tcPr>
            <w:tcW w:w="8854" w:type="dxa"/>
            <w:tcBorders/>
            <w:vAlign w:val="center"/>
          </w:tcPr>
          <w:p>
            <w:pPr>
              <w:pStyle w:val="TableContents"/>
              <w:bidi w:val="0"/>
              <w:spacing w:before="0" w:after="0"/>
              <w:ind w:left="0" w:right="0" w:hanging="0"/>
              <w:jc w:val="left"/>
              <w:rPr/>
            </w:pPr>
            <w:hyperlink w:anchor="Item1LegalProceedings_566056">
              <w:r>
                <w:rPr>
                  <w:rStyle w:val="InternetLink"/>
                  <w:rFonts w:ascii="Arial;Helvetica;sans-serif" w:hAnsi="Arial;Helvetica;sans-serif"/>
                  <w:b w:val="false"/>
                  <w:i w:val="false"/>
                  <w:caps w:val="false"/>
                  <w:smallCaps w:val="false"/>
                  <w:sz w:val="20"/>
                </w:rPr>
                <w:t>Legal Proceedings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42</w:t>
            </w:r>
          </w:p>
        </w:tc>
      </w:tr>
      <w:tr>
        <w:trPr/>
        <w:tc>
          <w:tcPr>
            <w:tcW w:w="809" w:type="dxa"/>
            <w:tcBorders/>
            <w:vAlign w:val="center"/>
          </w:tcPr>
          <w:p>
            <w:pPr>
              <w:pStyle w:val="TableContents"/>
              <w:bidi w:val="0"/>
              <w:spacing w:before="0" w:after="0"/>
              <w:ind w:left="0" w:right="0" w:hanging="0"/>
              <w:jc w:val="left"/>
              <w:rPr/>
            </w:pPr>
            <w:hyperlink w:anchor="Item_1A_Risk_Factors">
              <w:r>
                <w:rPr>
                  <w:rStyle w:val="InternetLink"/>
                  <w:rFonts w:ascii="Arial;Helvetica;sans-serif" w:hAnsi="Arial;Helvetica;sans-serif"/>
                  <w:b w:val="false"/>
                  <w:i w:val="false"/>
                  <w:caps w:val="false"/>
                  <w:smallCaps w:val="false"/>
                  <w:sz w:val="20"/>
                </w:rPr>
                <w:t>Item 1A.</w:t>
              </w:r>
            </w:hyperlink>
          </w:p>
        </w:tc>
        <w:tc>
          <w:tcPr>
            <w:tcW w:w="8854" w:type="dxa"/>
            <w:tcBorders/>
            <w:vAlign w:val="center"/>
          </w:tcPr>
          <w:p>
            <w:pPr>
              <w:pStyle w:val="TableContents"/>
              <w:bidi w:val="0"/>
              <w:spacing w:before="0" w:after="0"/>
              <w:ind w:left="0" w:right="0" w:hanging="0"/>
              <w:jc w:val="left"/>
              <w:rPr/>
            </w:pPr>
            <w:hyperlink w:anchor="Item_1A_Risk_Factors">
              <w:r>
                <w:rPr>
                  <w:rStyle w:val="InternetLink"/>
                  <w:rFonts w:ascii="Arial;Helvetica;sans-serif" w:hAnsi="Arial;Helvetica;sans-serif"/>
                  <w:b w:val="false"/>
                  <w:i w:val="false"/>
                  <w:caps w:val="false"/>
                  <w:smallCaps w:val="false"/>
                  <w:sz w:val="20"/>
                </w:rPr>
                <w:t>Risk Factors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42</w:t>
            </w:r>
          </w:p>
        </w:tc>
      </w:tr>
      <w:tr>
        <w:trPr/>
        <w:tc>
          <w:tcPr>
            <w:tcW w:w="809" w:type="dxa"/>
            <w:tcBorders/>
            <w:vAlign w:val="center"/>
          </w:tcPr>
          <w:p>
            <w:pPr>
              <w:pStyle w:val="TableContents"/>
              <w:bidi w:val="0"/>
              <w:spacing w:before="0" w:after="0"/>
              <w:ind w:left="0" w:right="0" w:hanging="0"/>
              <w:jc w:val="left"/>
              <w:rPr/>
            </w:pPr>
            <w:hyperlink w:anchor="_Item_2._Unregistered">
              <w:r>
                <w:rPr>
                  <w:rStyle w:val="InternetLink"/>
                  <w:rFonts w:ascii="Arial;Helvetica;sans-serif" w:hAnsi="Arial;Helvetica;sans-serif"/>
                  <w:b w:val="false"/>
                  <w:i w:val="false"/>
                  <w:caps w:val="false"/>
                  <w:smallCaps w:val="false"/>
                  <w:sz w:val="20"/>
                </w:rPr>
                <w:t>Item 2.</w:t>
              </w:r>
            </w:hyperlink>
          </w:p>
        </w:tc>
        <w:tc>
          <w:tcPr>
            <w:tcW w:w="8854"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Use of Proceeds, and Issuer Purchases of Equity Securities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42</w:t>
            </w:r>
          </w:p>
        </w:tc>
      </w:tr>
      <w:tr>
        <w:trPr/>
        <w:tc>
          <w:tcPr>
            <w:tcW w:w="809" w:type="dxa"/>
            <w:tcBorders/>
            <w:vAlign w:val="center"/>
          </w:tcPr>
          <w:p>
            <w:pPr>
              <w:pStyle w:val="TableContents"/>
              <w:bidi w:val="0"/>
              <w:spacing w:before="0" w:after="0"/>
              <w:ind w:left="0" w:right="0" w:hanging="0"/>
              <w:jc w:val="left"/>
              <w:rPr/>
            </w:pPr>
            <w:hyperlink w:anchor="Item3DefaultsUponSeniorSecurities_4467">
              <w:r>
                <w:rPr>
                  <w:rStyle w:val="InternetLink"/>
                  <w:rFonts w:ascii="Arial;Helvetica;sans-serif" w:hAnsi="Arial;Helvetica;sans-serif"/>
                  <w:b w:val="false"/>
                  <w:i w:val="false"/>
                  <w:caps w:val="false"/>
                  <w:smallCaps w:val="false"/>
                  <w:sz w:val="20"/>
                </w:rPr>
                <w:t>Item 3.</w:t>
              </w:r>
            </w:hyperlink>
          </w:p>
        </w:tc>
        <w:tc>
          <w:tcPr>
            <w:tcW w:w="8854" w:type="dxa"/>
            <w:tcBorders/>
            <w:vAlign w:val="center"/>
          </w:tcPr>
          <w:p>
            <w:pPr>
              <w:pStyle w:val="TableContents"/>
              <w:bidi w:val="0"/>
              <w:spacing w:before="0" w:after="0"/>
              <w:ind w:left="0" w:right="0" w:hanging="0"/>
              <w:jc w:val="left"/>
              <w:rPr/>
            </w:pPr>
            <w:hyperlink w:anchor="Item3DefaultsUponSeniorSecurities_4467">
              <w:r>
                <w:rPr>
                  <w:rStyle w:val="InternetLink"/>
                  <w:rFonts w:ascii="Arial;Helvetica;sans-serif" w:hAnsi="Arial;Helvetica;sans-serif"/>
                  <w:b w:val="false"/>
                  <w:i w:val="false"/>
                  <w:caps w:val="false"/>
                  <w:smallCaps w:val="false"/>
                  <w:sz w:val="20"/>
                </w:rPr>
                <w:t>Defaults Upon Senior Securities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42</w:t>
            </w:r>
          </w:p>
        </w:tc>
      </w:tr>
      <w:tr>
        <w:trPr/>
        <w:tc>
          <w:tcPr>
            <w:tcW w:w="809" w:type="dxa"/>
            <w:tcBorders/>
            <w:vAlign w:val="center"/>
          </w:tcPr>
          <w:p>
            <w:pPr>
              <w:pStyle w:val="TableContents"/>
              <w:bidi w:val="0"/>
              <w:spacing w:before="0" w:after="0"/>
              <w:ind w:left="0" w:right="0" w:hanging="0"/>
              <w:jc w:val="left"/>
              <w:rPr/>
            </w:pPr>
            <w:hyperlink w:anchor="Item4MineSafetyDisclosures_830481">
              <w:r>
                <w:rPr>
                  <w:rStyle w:val="InternetLink"/>
                  <w:rFonts w:ascii="Arial;Helvetica;sans-serif" w:hAnsi="Arial;Helvetica;sans-serif"/>
                  <w:b w:val="false"/>
                  <w:i w:val="false"/>
                  <w:caps w:val="false"/>
                  <w:smallCaps w:val="false"/>
                  <w:sz w:val="20"/>
                </w:rPr>
                <w:t>Item 4.</w:t>
              </w:r>
            </w:hyperlink>
          </w:p>
        </w:tc>
        <w:tc>
          <w:tcPr>
            <w:tcW w:w="8854" w:type="dxa"/>
            <w:tcBorders/>
            <w:vAlign w:val="center"/>
          </w:tcPr>
          <w:p>
            <w:pPr>
              <w:pStyle w:val="TableContents"/>
              <w:bidi w:val="0"/>
              <w:spacing w:before="0" w:after="0"/>
              <w:ind w:left="0" w:right="0" w:hanging="0"/>
              <w:jc w:val="left"/>
              <w:rPr/>
            </w:pPr>
            <w:hyperlink w:anchor="Item4MineSafetyDisclosures_830481">
              <w:r>
                <w:rPr>
                  <w:rStyle w:val="InternetLink"/>
                  <w:rFonts w:ascii="Arial;Helvetica;sans-serif" w:hAnsi="Arial;Helvetica;sans-serif"/>
                  <w:b w:val="false"/>
                  <w:i w:val="false"/>
                  <w:caps w:val="false"/>
                  <w:smallCaps w:val="false"/>
                  <w:sz w:val="20"/>
                </w:rPr>
                <w:t>Mine Safety Disclosures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42</w:t>
            </w:r>
          </w:p>
        </w:tc>
      </w:tr>
      <w:tr>
        <w:trPr/>
        <w:tc>
          <w:tcPr>
            <w:tcW w:w="809" w:type="dxa"/>
            <w:tcBorders/>
            <w:vAlign w:val="center"/>
          </w:tcPr>
          <w:p>
            <w:pPr>
              <w:pStyle w:val="TableContents"/>
              <w:bidi w:val="0"/>
              <w:spacing w:before="0" w:after="0"/>
              <w:ind w:left="0" w:right="0" w:hanging="0"/>
              <w:jc w:val="left"/>
              <w:rPr/>
            </w:pPr>
            <w:hyperlink w:anchor="Item5OtherInformation_669179">
              <w:r>
                <w:rPr>
                  <w:rStyle w:val="InternetLink"/>
                  <w:rFonts w:ascii="Arial;Helvetica;sans-serif" w:hAnsi="Arial;Helvetica;sans-serif"/>
                  <w:b w:val="false"/>
                  <w:i w:val="false"/>
                  <w:caps w:val="false"/>
                  <w:smallCaps w:val="false"/>
                  <w:sz w:val="20"/>
                </w:rPr>
                <w:t>Item 5.</w:t>
              </w:r>
            </w:hyperlink>
          </w:p>
        </w:tc>
        <w:tc>
          <w:tcPr>
            <w:tcW w:w="8854" w:type="dxa"/>
            <w:tcBorders/>
            <w:vAlign w:val="center"/>
          </w:tcPr>
          <w:p>
            <w:pPr>
              <w:pStyle w:val="TableContents"/>
              <w:bidi w:val="0"/>
              <w:spacing w:before="0" w:after="0"/>
              <w:ind w:left="0" w:right="0" w:hanging="0"/>
              <w:jc w:val="left"/>
              <w:rPr/>
            </w:pPr>
            <w:hyperlink w:anchor="Item5OtherInformation_669179">
              <w:r>
                <w:rPr>
                  <w:rStyle w:val="InternetLink"/>
                  <w:rFonts w:ascii="Arial;Helvetica;sans-serif" w:hAnsi="Arial;Helvetica;sans-serif"/>
                  <w:b w:val="false"/>
                  <w:i w:val="false"/>
                  <w:caps w:val="false"/>
                  <w:smallCaps w:val="false"/>
                  <w:sz w:val="20"/>
                </w:rPr>
                <w:t>Other Information</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42</w:t>
            </w:r>
          </w:p>
        </w:tc>
      </w:tr>
      <w:tr>
        <w:trPr/>
        <w:tc>
          <w:tcPr>
            <w:tcW w:w="809" w:type="dxa"/>
            <w:tcBorders/>
            <w:vAlign w:val="center"/>
          </w:tcPr>
          <w:p>
            <w:pPr>
              <w:pStyle w:val="TableContents"/>
              <w:bidi w:val="0"/>
              <w:spacing w:before="0" w:after="0"/>
              <w:ind w:left="0" w:right="0" w:hanging="0"/>
              <w:jc w:val="left"/>
              <w:rPr/>
            </w:pPr>
            <w:hyperlink w:anchor="Item6Exhibits_9962">
              <w:r>
                <w:rPr>
                  <w:rStyle w:val="InternetLink"/>
                  <w:rFonts w:ascii="Arial;Helvetica;sans-serif" w:hAnsi="Arial;Helvetica;sans-serif"/>
                  <w:b w:val="false"/>
                  <w:i w:val="false"/>
                  <w:caps w:val="false"/>
                  <w:smallCaps w:val="false"/>
                  <w:sz w:val="20"/>
                </w:rPr>
                <w:t>Item 6.</w:t>
              </w:r>
            </w:hyperlink>
          </w:p>
        </w:tc>
        <w:tc>
          <w:tcPr>
            <w:tcW w:w="8854" w:type="dxa"/>
            <w:tcBorders/>
            <w:vAlign w:val="center"/>
          </w:tcPr>
          <w:p>
            <w:pPr>
              <w:pStyle w:val="TableContents"/>
              <w:bidi w:val="0"/>
              <w:spacing w:before="0" w:after="0"/>
              <w:ind w:left="0" w:right="0" w:hanging="0"/>
              <w:jc w:val="left"/>
              <w:rPr/>
            </w:pPr>
            <w:hyperlink w:anchor="Item6Exhibits_9962">
              <w:r>
                <w:rPr>
                  <w:rStyle w:val="InternetLink"/>
                  <w:rFonts w:ascii="Arial;Helvetica;sans-serif" w:hAnsi="Arial;Helvetica;sans-serif"/>
                  <w:b w:val="false"/>
                  <w:i w:val="false"/>
                  <w:caps w:val="false"/>
                  <w:smallCaps w:val="false"/>
                  <w:sz w:val="20"/>
                </w:rPr>
                <w:t>Exhibits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43</w:t>
            </w:r>
          </w:p>
        </w:tc>
      </w:tr>
      <w:tr>
        <w:trPr/>
        <w:tc>
          <w:tcPr>
            <w:tcW w:w="9663" w:type="dxa"/>
            <w:gridSpan w:val="2"/>
            <w:tcBorders/>
            <w:vAlign w:val="center"/>
          </w:tcPr>
          <w:p>
            <w:pPr>
              <w:pStyle w:val="TableContents"/>
              <w:bidi w:val="0"/>
              <w:spacing w:before="0" w:after="0"/>
              <w:ind w:left="0" w:right="0" w:hanging="0"/>
              <w:jc w:val="left"/>
              <w:rPr/>
            </w:pPr>
            <w:hyperlink w:anchor="Signatures_894745">
              <w:r>
                <w:rPr>
                  <w:rStyle w:val="InternetLink"/>
                  <w:rFonts w:ascii="Arial;Helvetica;sans-serif" w:hAnsi="Arial;Helvetica;sans-serif"/>
                  <w:b w:val="false"/>
                  <w:i w:val="false"/>
                  <w:caps w:val="false"/>
                  <w:smallCaps w:val="false"/>
                  <w:sz w:val="20"/>
                </w:rPr>
                <w:t>Signatures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35" w:name="_4b006e00_a243_406a_b281_b8c877794563"/>
      <w:bookmarkEnd w:id="35"/>
      <w:r>
        <w:rPr>
          <w:rFonts w:ascii="Arial;Helvetica;sans-serif" w:hAnsi="Arial;Helvetica;sans-serif"/>
          <w:b/>
          <w:sz w:val="20"/>
        </w:rPr>
        <w:t>CAUTIONARY NOTE REGARDING FORWARD-LOOKING STATEMENTS</w:t>
      </w:r>
    </w:p>
    <w:p>
      <w:pPr>
        <w:pStyle w:val="TextBody"/>
        <w:pBdr/>
        <w:bidi w:val="0"/>
        <w:spacing w:before="0" w:after="0"/>
        <w:ind w:left="0" w:right="0" w:hanging="0"/>
        <w:jc w:val="left"/>
        <w:rPr>
          <w:rFonts w:ascii="Arial;Helvetica;sans-serif" w:hAnsi="Arial;Helvetica;sans-serif"/>
          <w:sz w:val="20"/>
        </w:rPr>
      </w:pPr>
      <w:r>
        <w:rPr>
          <w:rFonts w:ascii="Arial;Helvetica;sans-serif" w:hAnsi="Arial;Helvetica;sans-serif"/>
          <w:sz w:val="20"/>
        </w:rPr>
        <w:t>This Quarterly Report on Form 10-Q and the documents incorporated by reference herein contain forward-looking statements that involve substantial risks and uncertainties. All statements, other than statements of historical facts, included in this Quarterly Report on Form 10-Q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pStyle w:val="TextBody"/>
        <w:shd w:fill="FFFFFF" w:val="clear"/>
        <w:bidi w:val="0"/>
        <w:spacing w:before="0" w:after="240"/>
        <w:ind w:left="0" w:right="0" w:hanging="0"/>
        <w:jc w:val="left"/>
        <w:rPr>
          <w:rFonts w:ascii="Arial;Helvetica;sans-serif" w:hAnsi="Arial;Helvetica;sans-serif"/>
          <w:sz w:val="20"/>
        </w:rPr>
      </w:pPr>
      <w:r>
        <w:rPr>
          <w:rFonts w:ascii="Arial;Helvetica;sans-serif" w:hAnsi="Arial;Helvetica;sans-serif"/>
          <w:sz w:val="20"/>
        </w:rPr>
        <w:t>The forward-looking statements in this Quarterly Report on Form 10-Q include, among other things,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raise additional capital to fund our operations and continue the development of our current and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early clinical nature of our business and our ability to successfully advance our current and future product candidates, through development activities, preclinical studies, and clinical trials;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generate revenue from future product sales and our ability to achieve and maintain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accuracy of our projections and estimates regarding our expenses, capital requirements, cash utilization, and need for additional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dependence on the success of our lead product candidate, CNTY-101, and our ability to progress CNTY-101 through clinical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novelty of our approach to immuno-oncology and autoimmune and inflammatory treatments, utilizing iPSC-derived natural killer cells, or iNK cells, and iPSC-derived T cells, or iT cells, and the challenges we will face due to the novel nature of such technology;</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success of competing therapies that are or may become available;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reliance on the maintenance of our collaborative relationship with FUJIFILM Cellular Dynamics Inc., or FCDI, for access to key differentiation and reprogramming technology for the manufacturing and development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initiation, progress, success, cost, and timing of our development activities,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of future investigational new drug, or IND, applications and the likelihood of, and our ability to obtain and maintain, regulatory clearance of IND applications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scope and likelihood of regulatory filings and approvals, including final regulatory approval of our product candidates;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reliance on FCDI to be the exclusive manufacturer of certain product candidates, and our ability to manufacture our own product candidates in the future, and the timing and costs of such manufacturing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third parties in connection with the development of our product candidates, including third parties conducting our current and future clinical trials as well as third-party suppliers and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attract and retain strategic collaborators with development, regulatory, and commercialization expertise;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public opinion and scrutiny of cell-based immuno-oncology and autoimmune and inflammatory therapies and its potential impact on public perception of our company and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successfully commercialize our product candidates and develop sales and marketing capabilities, if our product candidates are approved;</w:t>
            </w:r>
          </w:p>
        </w:tc>
      </w:tr>
    </w:tbl>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size and growth of the potential markets for our product candidates and our ability to serve those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developments and approval pathways in the United States and foreign countries for our product candidates;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scope and value of our intellectual property and proprietary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recruit and retain key members of management and other clinical and scientific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volatility of capital markets and other macroeconomic factors, including due to inflationary pressures, trade disputes and tariffs, banking instability, global health crises, geopolitical tensions or the outbreak of hostilities or war; and </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developments relating to our competitors and our industry.</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II, Item 1A of this Quarterly Report on Form 10-Q, the section titled “Risk Factors” set forth in Part I, Item 1A of our Annual Report on Form 10-K for the year ended December 31, 2024 and the section titled “Risk Factors” set forth in Part II, Item 1A of our subsequent Quarterly Reports on Form 10-Q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or the Securities Act, and Section 21E of the Securities Exchange Act of 1934, as amended or the Exchange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center"/>
        <w:rPr>
          <w:rFonts w:ascii="Arial;Helvetica;sans-serif" w:hAnsi="Arial;Helvetica;sans-serif"/>
          <w:b/>
          <w:sz w:val="24"/>
        </w:rPr>
      </w:pPr>
      <w:bookmarkStart w:id="36" w:name="PARTIFINANCIALINFORMATION_835812"/>
      <w:bookmarkStart w:id="37" w:name="_11c2cbe4_131a_4049_901e_c56f44133f96"/>
      <w:bookmarkEnd w:id="36"/>
      <w:bookmarkEnd w:id="37"/>
      <w:r>
        <w:rPr>
          <w:rFonts w:ascii="Arial;Helvetica;sans-serif" w:hAnsi="Arial;Helvetica;sans-serif"/>
          <w:b/>
          <w:sz w:val="24"/>
        </w:rPr>
        <w:t>PART I—FINANCIAL INFORMATION</w:t>
      </w:r>
    </w:p>
    <w:p>
      <w:pPr>
        <w:pStyle w:val="TextBody"/>
        <w:bidi w:val="0"/>
        <w:spacing w:before="0" w:after="200"/>
        <w:ind w:left="0" w:right="0" w:hanging="0"/>
        <w:jc w:val="left"/>
        <w:rPr>
          <w:rFonts w:ascii="Arial;Helvetica;sans-serif" w:hAnsi="Arial;Helvetica;sans-serif"/>
          <w:b/>
          <w:sz w:val="20"/>
        </w:rPr>
      </w:pPr>
      <w:bookmarkStart w:id="38" w:name="Item1FinancialStatements_257227"/>
      <w:bookmarkEnd w:id="38"/>
      <w:r>
        <w:rPr>
          <w:rFonts w:ascii="Arial;Helvetica;sans-serif" w:hAnsi="Arial;Helvetica;sans-serif"/>
          <w:b/>
          <w:sz w:val="20"/>
        </w:rPr>
        <w:t>Item 1. Unaudited Consolidated Financial Statements.</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CENTURY THERAPEUTICS, INC.</w:t>
      </w:r>
    </w:p>
    <w:p>
      <w:pPr>
        <w:pStyle w:val="TextBody"/>
        <w:bidi w:val="0"/>
        <w:spacing w:before="0" w:after="0"/>
        <w:ind w:left="0" w:right="0" w:hanging="0"/>
        <w:jc w:val="center"/>
        <w:rPr>
          <w:rFonts w:ascii="Arial;Helvetica;sans-serif" w:hAnsi="Arial;Helvetica;sans-serif"/>
          <w:b/>
          <w:sz w:val="24"/>
        </w:rPr>
      </w:pPr>
      <w:bookmarkStart w:id="39" w:name="Consolidatedbalancesheets_453664"/>
      <w:bookmarkEnd w:id="39"/>
      <w:r>
        <w:rPr>
          <w:rFonts w:ascii="Arial;Helvetica;sans-serif" w:hAnsi="Arial;Helvetica;sans-serif"/>
          <w:b/>
          <w:sz w:val="24"/>
        </w:rPr>
        <w:t>CONSOLIDATED BALANCE SHEETS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8"/>
        </w:rPr>
        <w:t>(</w:t>
      </w:r>
      <w:r>
        <w:rPr>
          <w:rFonts w:ascii="Arial;Helvetica;sans-serif" w:hAnsi="Arial;Helvetica;sans-serif"/>
          <w:b/>
          <w:sz w:val="24"/>
        </w:rPr>
        <w:t>In thousands, except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0" w:name="Tc_yO8vxJN9ukKIgIoBgmARnw_42_5"/>
      <w:bookmarkStart w:id="41" w:name="Tc_bFEUILQka0q4ztXvMjKrsg_42_2"/>
      <w:bookmarkStart w:id="42" w:name="Tc_gZ5WZBwYT0Ck9Huvkkgc8Q_42_0"/>
      <w:bookmarkStart w:id="43" w:name="Tc_9arV0E5kO0aLCUcuqotDpA_41_0"/>
      <w:bookmarkStart w:id="44" w:name="Tc_Ia21w7xPOk6ki_sl-r0vdg_40_0"/>
      <w:bookmarkStart w:id="45" w:name="Tc_ZDS2nU50hEGV_7kvOQhYHQ_39_0"/>
      <w:bookmarkStart w:id="46" w:name="Tc__kKYiG9gM0SQVQW3MBBvqw_38_0"/>
      <w:bookmarkStart w:id="47" w:name="Tc_xdpq242Lh0KiTNn4pmMz6w_37_0"/>
      <w:bookmarkStart w:id="48" w:name="_704341ab_0179_4808_aee6_2eb56f08adfb_3"/>
      <w:bookmarkStart w:id="49" w:name="_704341ab_0179_4808_aee6_2eb56f08adfb_2"/>
      <w:bookmarkStart w:id="50" w:name="_704341ab_0179_4808_aee6_2eb56f08adfb"/>
      <w:bookmarkStart w:id="51" w:name="Tc_QypgviCh_0emhnUlrV9Y1g_36_0"/>
      <w:bookmarkStart w:id="52" w:name="Tc_jgpPluau8kmIQZqG10IZ9Q_35_0"/>
      <w:bookmarkStart w:id="53" w:name="Tc_0zAm1Q3H4UyKWJQ6wlwCAg_34_0"/>
      <w:bookmarkStart w:id="54" w:name="Tc_unysFo-9SkSjUL-p9S_Fww_32_0"/>
      <w:bookmarkStart w:id="55" w:name="Tc_Ndp62vmMJEq2eCKATIH8CQ_30_0"/>
      <w:bookmarkStart w:id="56" w:name="Tc_w0Y9PxElHk2FUssU_fKh2A_29_0"/>
      <w:bookmarkStart w:id="57" w:name="Tc_Xi_hDn_2tkG9C7Y0lPjHDQ_28_0"/>
      <w:bookmarkStart w:id="58" w:name="Tc_g7qpwxk70ke_4S0sEb8WKg_26_0"/>
      <w:bookmarkStart w:id="59" w:name="Tc_56cyjFU9eUqagX9aWvpBxg_25_3"/>
      <w:bookmarkStart w:id="60" w:name="Tc_IWo829JqrkmRuVUvSJ7D9Q_25_0"/>
      <w:bookmarkStart w:id="61" w:name="Tc_SDjB8FtOPkmmV1nCi5OzKg_24_3"/>
      <w:bookmarkStart w:id="62" w:name="Tc_GgXveQY8bkWA44fsX23SOQ_24_0"/>
      <w:bookmarkStart w:id="63" w:name="Tc_YV1CP-TQA0eTiHBkEQJtiw_23_0"/>
      <w:bookmarkStart w:id="64" w:name="Tc_yhebdNdgiUSjlf0cL5qWdw_22_5"/>
      <w:bookmarkStart w:id="65" w:name="Tc_TNCr-2M3l0CcqGJ133lBkA_22_2"/>
      <w:bookmarkStart w:id="66" w:name="Tc_iEYmq0EPfU2yQaU2qnu1Mw_22_0"/>
      <w:bookmarkStart w:id="67" w:name="Tc_Q0lWvvkByEO0Kggtl4CD1g_21_0"/>
      <w:bookmarkStart w:id="68" w:name="Tc_e7yr5qwXBEm-ETyoXpzrLQ_19_0"/>
      <w:bookmarkStart w:id="69" w:name="Tc_66SOtMp-mku5vq8kpOSe-g_17_5"/>
      <w:bookmarkStart w:id="70" w:name="Tc__p878rFzgE6CVoEJrK1bQA_17_2"/>
      <w:bookmarkStart w:id="71" w:name="Tc_gybvG6KkS0GhZ4_3OAuD5A_17_0"/>
      <w:bookmarkStart w:id="72" w:name="Tc_wG4tcOPo2E-S-1HUYGJJdg_16_0"/>
      <w:bookmarkStart w:id="73" w:name="Tc__rP_Bw1KgUGO09xwfvUQmw_15_0"/>
      <w:bookmarkStart w:id="74" w:name="Tc_ySkJLVqNd0W69rP9PgifJw_14_0"/>
      <w:bookmarkStart w:id="75" w:name="Tc_iLh0Y-CJk0uYkSKl9KN_sQ_13_0"/>
      <w:bookmarkStart w:id="76" w:name="Tc_LgDAvlEJMky37auP_xgVUg_12_0"/>
      <w:bookmarkStart w:id="77" w:name="Tc_-2jtFT8-yEO1Mgst44ZCRw_11_0"/>
      <w:bookmarkStart w:id="78" w:name="Tc_VvrRUd2_jEm0TB6JsABOxg_9_0"/>
      <w:bookmarkStart w:id="79" w:name="Tc__vPtjdkIq0qLW2-RGC0OLA_8_0"/>
      <w:bookmarkStart w:id="80" w:name="Tc_2Pti4wFET0CdCBfMowWvUw_7_0"/>
      <w:bookmarkStart w:id="81" w:name="Tc_9u17s4f85E-jyrcKIbHcXw_6_5"/>
      <w:bookmarkStart w:id="82" w:name="Tc_TVfEJzCB_k-xVJj1OLnUnA_6_2"/>
      <w:bookmarkStart w:id="83" w:name="Tc_WuPZN9F5uEq0q0OcJ-3LuQ_6_0"/>
      <w:bookmarkStart w:id="84" w:name="Tc_KTnFmSDwxUm3s4FebcvaFw_5_0"/>
      <w:bookmarkStart w:id="85" w:name="Tc_IaCuiTM8kkOK5PC9QE2zSg_3_0"/>
      <w:bookmarkStart w:id="86" w:name="Tc_xsTcuaC7eUmsA2yADoIC-g_2_5"/>
      <w:bookmarkStart w:id="87" w:name="Tc_ZNlXIqLBj0ymsCmoyEB5bA_2_2"/>
      <w:bookmarkStart w:id="88" w:name="_b830b52f_282d_49ad_adbd_bbf3eb6551af"/>
      <w:bookmarkStart w:id="89" w:name="Tc_yO8vxJN9ukKIgIoBgmARnw_42_5"/>
      <w:bookmarkStart w:id="90" w:name="Tc_bFEUILQka0q4ztXvMjKrsg_42_2"/>
      <w:bookmarkStart w:id="91" w:name="Tc_gZ5WZBwYT0Ck9Huvkkgc8Q_42_0"/>
      <w:bookmarkStart w:id="92" w:name="Tc_9arV0E5kO0aLCUcuqotDpA_41_0"/>
      <w:bookmarkStart w:id="93" w:name="Tc_Ia21w7xPOk6ki_sl-r0vdg_40_0"/>
      <w:bookmarkStart w:id="94" w:name="Tc_ZDS2nU50hEGV_7kvOQhYHQ_39_0"/>
      <w:bookmarkStart w:id="95" w:name="Tc__kKYiG9gM0SQVQW3MBBvqw_38_0"/>
      <w:bookmarkStart w:id="96" w:name="Tc_xdpq242Lh0KiTNn4pmMz6w_37_0"/>
      <w:bookmarkStart w:id="97" w:name="_704341ab_0179_4808_aee6_2eb56f08adfb_3"/>
      <w:bookmarkStart w:id="98" w:name="_704341ab_0179_4808_aee6_2eb56f08adfb_2"/>
      <w:bookmarkStart w:id="99" w:name="_704341ab_0179_4808_aee6_2eb56f08adfb"/>
      <w:bookmarkStart w:id="100" w:name="Tc_QypgviCh_0emhnUlrV9Y1g_36_0"/>
      <w:bookmarkStart w:id="101" w:name="Tc_jgpPluau8kmIQZqG10IZ9Q_35_0"/>
      <w:bookmarkStart w:id="102" w:name="Tc_0zAm1Q3H4UyKWJQ6wlwCAg_34_0"/>
      <w:bookmarkStart w:id="103" w:name="Tc_unysFo-9SkSjUL-p9S_Fww_32_0"/>
      <w:bookmarkStart w:id="104" w:name="Tc_Ndp62vmMJEq2eCKATIH8CQ_30_0"/>
      <w:bookmarkStart w:id="105" w:name="Tc_w0Y9PxElHk2FUssU_fKh2A_29_0"/>
      <w:bookmarkStart w:id="106" w:name="Tc_Xi_hDn_2tkG9C7Y0lPjHDQ_28_0"/>
      <w:bookmarkStart w:id="107" w:name="Tc_g7qpwxk70ke_4S0sEb8WKg_26_0"/>
      <w:bookmarkStart w:id="108" w:name="Tc_56cyjFU9eUqagX9aWvpBxg_25_3"/>
      <w:bookmarkStart w:id="109" w:name="Tc_IWo829JqrkmRuVUvSJ7D9Q_25_0"/>
      <w:bookmarkStart w:id="110" w:name="Tc_SDjB8FtOPkmmV1nCi5OzKg_24_3"/>
      <w:bookmarkStart w:id="111" w:name="Tc_GgXveQY8bkWA44fsX23SOQ_24_0"/>
      <w:bookmarkStart w:id="112" w:name="Tc_YV1CP-TQA0eTiHBkEQJtiw_23_0"/>
      <w:bookmarkStart w:id="113" w:name="Tc_yhebdNdgiUSjlf0cL5qWdw_22_5"/>
      <w:bookmarkStart w:id="114" w:name="Tc_TNCr-2M3l0CcqGJ133lBkA_22_2"/>
      <w:bookmarkStart w:id="115" w:name="Tc_iEYmq0EPfU2yQaU2qnu1Mw_22_0"/>
      <w:bookmarkStart w:id="116" w:name="Tc_Q0lWvvkByEO0Kggtl4CD1g_21_0"/>
      <w:bookmarkStart w:id="117" w:name="Tc_e7yr5qwXBEm-ETyoXpzrLQ_19_0"/>
      <w:bookmarkStart w:id="118" w:name="Tc_66SOtMp-mku5vq8kpOSe-g_17_5"/>
      <w:bookmarkStart w:id="119" w:name="Tc__p878rFzgE6CVoEJrK1bQA_17_2"/>
      <w:bookmarkStart w:id="120" w:name="Tc_gybvG6KkS0GhZ4_3OAuD5A_17_0"/>
      <w:bookmarkStart w:id="121" w:name="Tc_wG4tcOPo2E-S-1HUYGJJdg_16_0"/>
      <w:bookmarkStart w:id="122" w:name="Tc__rP_Bw1KgUGO09xwfvUQmw_15_0"/>
      <w:bookmarkStart w:id="123" w:name="Tc_ySkJLVqNd0W69rP9PgifJw_14_0"/>
      <w:bookmarkStart w:id="124" w:name="Tc_iLh0Y-CJk0uYkSKl9KN_sQ_13_0"/>
      <w:bookmarkStart w:id="125" w:name="Tc_LgDAvlEJMky37auP_xgVUg_12_0"/>
      <w:bookmarkStart w:id="126" w:name="Tc_-2jtFT8-yEO1Mgst44ZCRw_11_0"/>
      <w:bookmarkStart w:id="127" w:name="Tc_VvrRUd2_jEm0TB6JsABOxg_9_0"/>
      <w:bookmarkStart w:id="128" w:name="Tc__vPtjdkIq0qLW2-RGC0OLA_8_0"/>
      <w:bookmarkStart w:id="129" w:name="Tc_2Pti4wFET0CdCBfMowWvUw_7_0"/>
      <w:bookmarkStart w:id="130" w:name="Tc_9u17s4f85E-jyrcKIbHcXw_6_5"/>
      <w:bookmarkStart w:id="131" w:name="Tc_TVfEJzCB_k-xVJj1OLnUnA_6_2"/>
      <w:bookmarkStart w:id="132" w:name="Tc_WuPZN9F5uEq0q0OcJ-3LuQ_6_0"/>
      <w:bookmarkStart w:id="133" w:name="Tc_KTnFmSDwxUm3s4FebcvaFw_5_0"/>
      <w:bookmarkStart w:id="134" w:name="Tc_IaCuiTM8kkOK5PC9QE2zSg_3_0"/>
      <w:bookmarkStart w:id="135" w:name="Tc_xsTcuaC7eUmsA2yADoIC-g_2_5"/>
      <w:bookmarkStart w:id="136" w:name="Tc_ZNlXIqLBj0ymsCmoyEB5bA_2_2"/>
      <w:bookmarkStart w:id="137" w:name="_b830b52f_282d_49ad_adbd_bbf3eb6551af"/>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W w:w="10205" w:type="dxa"/>
        <w:jc w:val="left"/>
        <w:tblInd w:w="0" w:type="dxa"/>
        <w:tblLayout w:type="fixed"/>
        <w:tblCellMar>
          <w:top w:w="0" w:type="dxa"/>
          <w:left w:w="0" w:type="dxa"/>
          <w:bottom w:w="0" w:type="dxa"/>
          <w:right w:w="0" w:type="dxa"/>
        </w:tblCellMar>
      </w:tblPr>
      <w:tblGrid>
        <w:gridCol w:w="6716"/>
        <w:gridCol w:w="326"/>
        <w:gridCol w:w="257"/>
        <w:gridCol w:w="989"/>
        <w:gridCol w:w="326"/>
        <w:gridCol w:w="314"/>
        <w:gridCol w:w="1277"/>
      </w:tblGrid>
      <w:tr>
        <w:trPr/>
        <w:tc>
          <w:tcPr>
            <w:tcW w:w="6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3195" cy="175260"/>
                      <wp:effectExtent l="0" t="0" r="0" b="0"/>
                      <wp:wrapNone/>
                      <wp:docPr id="3" name="Frame3"/>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28015" cy="175260"/>
                      <wp:effectExtent l="0" t="0" r="0" b="0"/>
                      <wp:wrapNone/>
                      <wp:docPr id="4" name="Frame4"/>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99390" cy="175260"/>
                      <wp:effectExtent l="0" t="0" r="0" b="0"/>
                      <wp:wrapNone/>
                      <wp:docPr id="6" name="Frame6"/>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810895" cy="175260"/>
                      <wp:effectExtent l="0" t="0" r="0" b="0"/>
                      <wp:wrapNone/>
                      <wp:docPr id="7" name="Frame7"/>
                      <a:graphic xmlns:a="http://schemas.openxmlformats.org/drawingml/2006/main">
                        <a:graphicData uri="http://schemas.microsoft.com/office/word/2010/wordprocessingShape">
                          <wps:wsp>
                            <wps:cNvSpPr txBox="1"/>
                            <wps:spPr>
                              <a:xfrm>
                                <a:off x="0" y="0"/>
                                <a:ext cx="810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1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246" w:type="dxa"/>
            <w:gridSpan w:val="2"/>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91" w:type="dxa"/>
            <w:gridSpan w:val="2"/>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6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March 31, 2025</w:t>
            </w:r>
          </w:p>
        </w:tc>
        <w:tc>
          <w:tcPr>
            <w:tcW w:w="326"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December 31, 2024</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left"/>
              <w:rPr/>
            </w:pPr>
            <w:r>
              <w:rPr/>
              <w:t>​</w:t>
            </w:r>
          </w:p>
        </w:tc>
      </w:tr>
      <w:tr>
        <w:trPr/>
        <w:tc>
          <w:tcPr>
            <w:tcW w:w="6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left"/>
              <w:rPr/>
            </w:pPr>
            <w:r>
              <w:rPr/>
              <w:t>​</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left"/>
              <w:rPr/>
            </w:pPr>
            <w:r>
              <w:rPr/>
              <w:t>​</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8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51,865</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27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58,441</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113,256</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7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130,851</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4,510</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4,759</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169,631</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7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194,051</w:t>
            </w:r>
          </w:p>
        </w:tc>
      </w:tr>
      <w:tr>
        <w:trPr/>
        <w:tc>
          <w:tcPr>
            <w:tcW w:w="6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left"/>
              <w:rPr/>
            </w:pPr>
            <w:r>
              <w:rPr/>
              <w:t>​</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59,532</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7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62,141</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lease right-of-use assets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28,232</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28,706</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2,775</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2,772</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Long-term investments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98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20,713</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30,818</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34,200</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34,200</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Security deposits and non-current assets</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526</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528</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315,609</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2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353,216</w:t>
            </w:r>
          </w:p>
        </w:tc>
      </w:tr>
      <w:tr>
        <w:trPr/>
        <w:tc>
          <w:tcPr>
            <w:tcW w:w="6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left"/>
              <w:rPr/>
            </w:pPr>
            <w:r>
              <w:rPr/>
              <w:t>​</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77" w:type="dxa"/>
            <w:tcBorders/>
            <w:shd w:fill="CCEEFF" w:val="clear"/>
            <w:vAlign w:val="center"/>
          </w:tcPr>
          <w:p>
            <w:pPr>
              <w:pStyle w:val="TableContents"/>
              <w:bidi w:val="0"/>
              <w:spacing w:before="0" w:after="0"/>
              <w:ind w:left="0" w:right="0" w:hanging="0"/>
              <w:jc w:val="right"/>
              <w:rPr/>
            </w:pPr>
            <w:r>
              <w:rPr/>
              <w:t>  </w:t>
            </w:r>
          </w:p>
        </w:tc>
      </w:tr>
      <w:tr>
        <w:trPr/>
        <w:tc>
          <w:tcPr>
            <w:tcW w:w="6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left"/>
              <w:rPr/>
            </w:pPr>
            <w:r>
              <w:rPr/>
              <w:t>​</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77" w:type="dxa"/>
            <w:tcBorders/>
            <w:shd w:fill="CCEEFF" w:val="clear"/>
            <w:vAlign w:val="center"/>
          </w:tcPr>
          <w:p>
            <w:pPr>
              <w:pStyle w:val="TableContents"/>
              <w:bidi w:val="0"/>
              <w:spacing w:before="0" w:after="0"/>
              <w:ind w:left="0" w:right="0" w:hanging="0"/>
              <w:jc w:val="right"/>
              <w:rPr/>
            </w:pPr>
            <w:r>
              <w:rPr/>
              <w:t>  </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8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3,573</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27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3,075</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10,930</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7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17,461</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Deposit liability </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revenue, current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109,164</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current liabilities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989"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14,503</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129,782</w:t>
            </w:r>
          </w:p>
        </w:tc>
      </w:tr>
      <w:tr>
        <w:trPr/>
        <w:tc>
          <w:tcPr>
            <w:tcW w:w="6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left"/>
              <w:rPr/>
            </w:pPr>
            <w:r>
              <w:rPr/>
              <w:t>​</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lease liability, long term</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98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47,793</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48,960</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Contingent consideration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8,500</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7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8,738</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tax liability</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4,374</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4,374</w:t>
            </w:r>
          </w:p>
        </w:tc>
      </w:tr>
      <w:tr>
        <w:trPr/>
        <w:tc>
          <w:tcPr>
            <w:tcW w:w="6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left"/>
              <w:rPr/>
            </w:pPr>
            <w:r>
              <w:rPr/>
              <w:t>​</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Total liabilities</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8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75,170</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7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191,854</w:t>
            </w:r>
          </w:p>
        </w:tc>
      </w:tr>
      <w:tr>
        <w:trPr/>
        <w:tc>
          <w:tcPr>
            <w:tcW w:w="6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89"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left"/>
              <w:rPr/>
            </w:pPr>
            <w:r>
              <w:rPr/>
              <w:t>​</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Commitments and contingencies (Note 8)</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98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pPr>
            <w:r>
              <w:rPr/>
              <w:t>  </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left"/>
              <w:rPr/>
            </w:pPr>
            <w:r>
              <w:rPr/>
              <w:t>​</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Preferred stock, $ 0.0001 par value, 10,000,000 shares authorized and 0 shares issued and outstanding at March 31, 2025 and December 31, 2024, respectively</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Common stock, $0.0001 par value, 300,000,000 shares authorized; 86,146,049 and 85,836,429 shares issued and outstanding at March 31, 2025 and December 31, 2024,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Additional paid-in capital</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989"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945,902</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943,366</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Accumulated deficit </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(705,777)</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(782,337)</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305</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324</w:t>
            </w:r>
          </w:p>
        </w:tc>
      </w:tr>
      <w:tr>
        <w:trPr/>
        <w:tc>
          <w:tcPr>
            <w:tcW w:w="671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Total stockholders’ equity </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240,439</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2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161,362</w:t>
            </w:r>
          </w:p>
        </w:tc>
      </w:tr>
      <w:tr>
        <w:trPr/>
        <w:tc>
          <w:tcPr>
            <w:tcW w:w="671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5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8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315,609</w:t>
            </w:r>
          </w:p>
        </w:tc>
        <w:tc>
          <w:tcPr>
            <w:tcW w:w="326" w:type="dxa"/>
            <w:tcBorders/>
            <w:vAlign w:val="center"/>
          </w:tcPr>
          <w:p>
            <w:pPr>
              <w:pStyle w:val="TableContents"/>
              <w:bidi w:val="0"/>
              <w:spacing w:before="0" w:after="0"/>
              <w:ind w:left="0" w:right="0" w:hanging="0"/>
              <w:jc w:val="left"/>
              <w:rPr/>
            </w:pPr>
            <w:r>
              <w:rPr/>
              <w:t>​</w:t>
            </w:r>
          </w:p>
        </w:tc>
        <w:tc>
          <w:tcPr>
            <w:tcW w:w="314"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277" w:type="dxa"/>
            <w:tcBorders>
              <w:bottom w:val="double" w:sz="6" w:space="0" w:color="000000"/>
            </w:tcBorders>
            <w:tcMar>
              <w:bottom w:w="28" w:type="dxa"/>
            </w:tcMar>
            <w:vAlign w:val="center"/>
          </w:tcPr>
          <w:p>
            <w:pPr>
              <w:pStyle w:val="TableContents"/>
              <w:bidi w:val="0"/>
              <w:spacing w:before="0" w:after="0"/>
              <w:ind w:left="0" w:right="45" w:hanging="0"/>
              <w:jc w:val="right"/>
              <w:rPr>
                <w:rFonts w:ascii="Arial;Helvetica;sans-serif" w:hAnsi="Arial;Helvetica;sans-serif"/>
                <w:b/>
                <w:sz w:val="16"/>
              </w:rPr>
            </w:pPr>
            <w:r>
              <w:rPr>
                <w:rFonts w:ascii="Arial;Helvetica;sans-serif" w:hAnsi="Arial;Helvetica;sans-serif"/>
                <w:b/>
                <w:sz w:val="16"/>
              </w:rPr>
              <w:t>353,216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4"/>
        </w:rPr>
      </w:pPr>
      <w:bookmarkStart w:id="138" w:name="_43e2cf43_38d5_4631_bc3b_d8a90bf90460"/>
      <w:bookmarkEnd w:id="138"/>
      <w:r>
        <w:rPr>
          <w:rFonts w:ascii="Arial;Helvetica;sans-serif" w:hAnsi="Arial;Helvetica;sans-serif"/>
          <w:b/>
          <w:sz w:val="24"/>
        </w:rPr>
        <w:t>CENTURY THERAPEUTICS, INC.</w:t>
      </w:r>
    </w:p>
    <w:p>
      <w:pPr>
        <w:pStyle w:val="TextBody"/>
        <w:bidi w:val="0"/>
        <w:spacing w:before="0" w:after="0"/>
        <w:ind w:left="0" w:right="0" w:hanging="0"/>
        <w:jc w:val="center"/>
        <w:rPr>
          <w:rFonts w:ascii="Arial;Helvetica;sans-serif" w:hAnsi="Arial;Helvetica;sans-serif"/>
          <w:b/>
          <w:sz w:val="24"/>
        </w:rPr>
      </w:pPr>
      <w:bookmarkStart w:id="139" w:name="Consolidatedstatementsofoperationsandcom"/>
      <w:bookmarkEnd w:id="139"/>
      <w:r>
        <w:rPr>
          <w:rFonts w:ascii="Arial;Helvetica;sans-serif" w:hAnsi="Arial;Helvetica;sans-serif"/>
          <w:b/>
          <w:sz w:val="24"/>
        </w:rPr>
        <w:t>CONSOLIDATED STATEMENTS OF OPERATIONS AND COMPREHENSIVE INCOME (LOSS)</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 xml:space="preserve">(Unaudited) </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0" w:name="Tc_cH8H2ARN5EqSp7SeP3bo7A_29_5"/>
      <w:bookmarkStart w:id="141" w:name="Tc_QGGBduCpMEu-DPYxBGgF4A_29_2"/>
      <w:bookmarkStart w:id="142" w:name="Tc_UwAejo8BYkCuehExWTBzkA_29_0"/>
      <w:bookmarkStart w:id="143" w:name="Tc_ZW8AwWzL_0OOteEMSJFwxw_28_3"/>
      <w:bookmarkStart w:id="144" w:name="Tc_pMb6NXJCUECGWeqiC1csig_28_0"/>
      <w:bookmarkStart w:id="145" w:name="Tc_oS8igN1bpUK5nUMNPSmYbQ_27_0"/>
      <w:bookmarkStart w:id="146" w:name="Tc_j0OiK8Av7E-deQDlSY516g_26_5"/>
      <w:bookmarkStart w:id="147" w:name="Tc_6qyIwX1JqkmvGVdWMlDFLg_26_2"/>
      <w:bookmarkStart w:id="148" w:name="Tc_wN13mIE4-0-z1eSql93AKw_26_0"/>
      <w:bookmarkStart w:id="149" w:name="Tc_vwmrDth4B0GEX-hAlSgTMA_25_0"/>
      <w:bookmarkStart w:id="150" w:name="Tc_AgypAHIQ3Uy6o1mlAyErsQ_24_0"/>
      <w:bookmarkStart w:id="151" w:name="Tc_2aMPw9-ClkeBheYttMcXCw_23_0"/>
      <w:bookmarkStart w:id="152" w:name="Tc_84qFQ3FM00m9xT3h1tXWWg_22_0"/>
      <w:bookmarkStart w:id="153" w:name="Tc_GTcRGtSmIUmCLyecIlwppQ_21_0"/>
      <w:bookmarkStart w:id="154" w:name="Tc_iVX6ERpwq0yS_AEaItdlzA_19_5"/>
      <w:bookmarkStart w:id="155" w:name="Tc_03MBQ5rT-Eq69d7xg6co_Q_19_2"/>
      <w:bookmarkStart w:id="156" w:name="Tc_0TNkE1FpwUCTagCzuLgAwg_19_0"/>
      <w:bookmarkStart w:id="157" w:name="Tc_dpHAcCxOKESmpMmY6WurrQ_18_3"/>
      <w:bookmarkStart w:id="158" w:name="Tc_qy8xduLM2EeGelIW8P7SYQ_18_0"/>
      <w:bookmarkStart w:id="159" w:name="Tc_ICXwogKLok-mzQySKZwPbA_17_0"/>
      <w:bookmarkStart w:id="160" w:name="Tc_yIeUxQ1hI02eAQ0yvNELqg_16_0"/>
      <w:bookmarkStart w:id="161" w:name="Tc_bdU5HaWSrkafZKOH8_glLA_15_0"/>
      <w:bookmarkStart w:id="162" w:name="Tc_Na4TJltsGUOn4JE3n2Ua3A_14_0"/>
      <w:bookmarkStart w:id="163" w:name="Tc_uBuj3-CIOkygKTzxM0w3tg_12_0"/>
      <w:bookmarkStart w:id="164" w:name="Tc_reTbfYKkOke6MHx0hd4zLw_10_0"/>
      <w:bookmarkStart w:id="165" w:name="Tc_o10iCL8oB0SJWTeaj_MLdQ_9_0"/>
      <w:bookmarkStart w:id="166" w:name="Tc_LyjogJYZF0yMOFFG9XUmtQ_8_0"/>
      <w:bookmarkStart w:id="167" w:name="Tc_-ocnDO4omE-syhFb5VSTGA_7_0"/>
      <w:bookmarkStart w:id="168" w:name="Tc_RucANK35106gjyG7w3z3OQ_5_5"/>
      <w:bookmarkStart w:id="169" w:name="Tc_0rWlou3trUKsSaQn5CUwRQ_5_2"/>
      <w:bookmarkStart w:id="170" w:name="Tc_f4OfDBxPi0GZoH6wanE0NA_5_0"/>
      <w:bookmarkStart w:id="171" w:name="Tc_nthFm4Kv8Ey4WC7ANHTtEA_3_5"/>
      <w:bookmarkStart w:id="172" w:name="Tc_rMVQxmHyLEWnffOYMauIGA_3_2"/>
      <w:bookmarkStart w:id="173" w:name="Tc_h_N7USlBdky59Ry3x1QZWA_2_5"/>
      <w:bookmarkStart w:id="174" w:name="Tc_biWO--YIq0qxxGIhBydPCg_2_2"/>
      <w:bookmarkStart w:id="175" w:name="_6967e0f5_a43f_48a9_9ae9_d0ae70e82713"/>
      <w:bookmarkStart w:id="176" w:name="Tc_cH8H2ARN5EqSp7SeP3bo7A_29_5"/>
      <w:bookmarkStart w:id="177" w:name="Tc_QGGBduCpMEu-DPYxBGgF4A_29_2"/>
      <w:bookmarkStart w:id="178" w:name="Tc_UwAejo8BYkCuehExWTBzkA_29_0"/>
      <w:bookmarkStart w:id="179" w:name="Tc_ZW8AwWzL_0OOteEMSJFwxw_28_3"/>
      <w:bookmarkStart w:id="180" w:name="Tc_pMb6NXJCUECGWeqiC1csig_28_0"/>
      <w:bookmarkStart w:id="181" w:name="Tc_oS8igN1bpUK5nUMNPSmYbQ_27_0"/>
      <w:bookmarkStart w:id="182" w:name="Tc_j0OiK8Av7E-deQDlSY516g_26_5"/>
      <w:bookmarkStart w:id="183" w:name="Tc_6qyIwX1JqkmvGVdWMlDFLg_26_2"/>
      <w:bookmarkStart w:id="184" w:name="Tc_wN13mIE4-0-z1eSql93AKw_26_0"/>
      <w:bookmarkStart w:id="185" w:name="Tc_vwmrDth4B0GEX-hAlSgTMA_25_0"/>
      <w:bookmarkStart w:id="186" w:name="Tc_AgypAHIQ3Uy6o1mlAyErsQ_24_0"/>
      <w:bookmarkStart w:id="187" w:name="Tc_2aMPw9-ClkeBheYttMcXCw_23_0"/>
      <w:bookmarkStart w:id="188" w:name="Tc_84qFQ3FM00m9xT3h1tXWWg_22_0"/>
      <w:bookmarkStart w:id="189" w:name="Tc_GTcRGtSmIUmCLyecIlwppQ_21_0"/>
      <w:bookmarkStart w:id="190" w:name="Tc_iVX6ERpwq0yS_AEaItdlzA_19_5"/>
      <w:bookmarkStart w:id="191" w:name="Tc_03MBQ5rT-Eq69d7xg6co_Q_19_2"/>
      <w:bookmarkStart w:id="192" w:name="Tc_0TNkE1FpwUCTagCzuLgAwg_19_0"/>
      <w:bookmarkStart w:id="193" w:name="Tc_dpHAcCxOKESmpMmY6WurrQ_18_3"/>
      <w:bookmarkStart w:id="194" w:name="Tc_qy8xduLM2EeGelIW8P7SYQ_18_0"/>
      <w:bookmarkStart w:id="195" w:name="Tc_ICXwogKLok-mzQySKZwPbA_17_0"/>
      <w:bookmarkStart w:id="196" w:name="Tc_yIeUxQ1hI02eAQ0yvNELqg_16_0"/>
      <w:bookmarkStart w:id="197" w:name="Tc_bdU5HaWSrkafZKOH8_glLA_15_0"/>
      <w:bookmarkStart w:id="198" w:name="Tc_Na4TJltsGUOn4JE3n2Ua3A_14_0"/>
      <w:bookmarkStart w:id="199" w:name="Tc_uBuj3-CIOkygKTzxM0w3tg_12_0"/>
      <w:bookmarkStart w:id="200" w:name="Tc_reTbfYKkOke6MHx0hd4zLw_10_0"/>
      <w:bookmarkStart w:id="201" w:name="Tc_o10iCL8oB0SJWTeaj_MLdQ_9_0"/>
      <w:bookmarkStart w:id="202" w:name="Tc_LyjogJYZF0yMOFFG9XUmtQ_8_0"/>
      <w:bookmarkStart w:id="203" w:name="Tc_-ocnDO4omE-syhFb5VSTGA_7_0"/>
      <w:bookmarkStart w:id="204" w:name="Tc_RucANK35106gjyG7w3z3OQ_5_5"/>
      <w:bookmarkStart w:id="205" w:name="Tc_0rWlou3trUKsSaQn5CUwRQ_5_2"/>
      <w:bookmarkStart w:id="206" w:name="Tc_f4OfDBxPi0GZoH6wanE0NA_5_0"/>
      <w:bookmarkStart w:id="207" w:name="Tc_nthFm4Kv8Ey4WC7ANHTtEA_3_5"/>
      <w:bookmarkStart w:id="208" w:name="Tc_rMVQxmHyLEWnffOYMauIGA_3_2"/>
      <w:bookmarkStart w:id="209" w:name="Tc_h_N7USlBdky59Ry3x1QZWA_2_5"/>
      <w:bookmarkStart w:id="210" w:name="Tc_biWO--YIq0qxxGIhBydPCg_2_2"/>
      <w:bookmarkStart w:id="211" w:name="_6967e0f5_a43f_48a9_9ae9_d0ae70e82713"/>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tbl>
      <w:tblPr>
        <w:tblW w:w="8742" w:type="dxa"/>
        <w:jc w:val="left"/>
        <w:tblInd w:w="0" w:type="dxa"/>
        <w:tblLayout w:type="fixed"/>
        <w:tblCellMar>
          <w:top w:w="0" w:type="dxa"/>
          <w:left w:w="0" w:type="dxa"/>
          <w:bottom w:w="0" w:type="dxa"/>
          <w:right w:w="0" w:type="dxa"/>
        </w:tblCellMar>
      </w:tblPr>
      <w:tblGrid>
        <w:gridCol w:w="4576"/>
        <w:gridCol w:w="326"/>
        <w:gridCol w:w="277"/>
        <w:gridCol w:w="1403"/>
        <w:gridCol w:w="326"/>
        <w:gridCol w:w="277"/>
        <w:gridCol w:w="1403"/>
        <w:gridCol w:w="154"/>
      </w:tblGrid>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75895" cy="175260"/>
                      <wp:effectExtent l="0" t="0" r="0" b="0"/>
                      <wp:wrapNone/>
                      <wp:docPr id="9" name="Frame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890905" cy="175260"/>
                      <wp:effectExtent l="0" t="0" r="0" b="0"/>
                      <wp:wrapNone/>
                      <wp:docPr id="10" name="Frame10"/>
                      <a:graphic xmlns:a="http://schemas.openxmlformats.org/drawingml/2006/main">
                        <a:graphicData uri="http://schemas.microsoft.com/office/word/2010/wordprocessingShape">
                          <wps:wsp>
                            <wps:cNvSpPr txBox="1"/>
                            <wps:spPr>
                              <a:xfrm>
                                <a:off x="0" y="0"/>
                                <a:ext cx="890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75895" cy="175260"/>
                      <wp:effectExtent l="0" t="0" r="0" b="0"/>
                      <wp:wrapNone/>
                      <wp:docPr id="12" name="Frame1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890905" cy="175260"/>
                      <wp:effectExtent l="0" t="0" r="0" b="0"/>
                      <wp:wrapNone/>
                      <wp:docPr id="13" name="Frame13"/>
                      <a:graphic xmlns:a="http://schemas.openxmlformats.org/drawingml/2006/main">
                        <a:graphicData uri="http://schemas.microsoft.com/office/word/2010/wordprocessingShape">
                          <wps:wsp>
                            <wps:cNvSpPr txBox="1"/>
                            <wps:spPr>
                              <a:xfrm>
                                <a:off x="0" y="0"/>
                                <a:ext cx="890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7790" cy="175260"/>
                      <wp:effectExtent l="0" t="0" r="0" b="0"/>
                      <wp:wrapNone/>
                      <wp:docPr id="14" name="Frame1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680" w:type="dxa"/>
            <w:gridSpan w:val="2"/>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680" w:type="dxa"/>
            <w:gridSpan w:val="2"/>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54"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80"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1680"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154" w:type="dxa"/>
            <w:tcBorders/>
            <w:vAlign w:val="center"/>
          </w:tcPr>
          <w:p>
            <w:pPr>
              <w:pStyle w:val="TableContents"/>
              <w:bidi w:val="0"/>
              <w:spacing w:before="0" w:after="1"/>
              <w:ind w:left="0" w:right="0" w:hanging="0"/>
              <w:jc w:val="center"/>
              <w:rPr/>
            </w:pPr>
            <w:r>
              <w:rPr/>
              <w:t>​</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March 31, 2025</w:t>
            </w:r>
          </w:p>
        </w:tc>
        <w:tc>
          <w:tcPr>
            <w:tcW w:w="326" w:type="dxa"/>
            <w:tcBorders/>
            <w:vAlign w:val="center"/>
          </w:tcPr>
          <w:p>
            <w:pPr>
              <w:pStyle w:val="TableContents"/>
              <w:bidi w:val="0"/>
              <w:spacing w:before="0" w:after="1"/>
              <w:ind w:left="0" w:right="0" w:hanging="0"/>
              <w:jc w:val="center"/>
              <w:rPr/>
            </w:pPr>
            <w:r>
              <w:rPr/>
              <w:t>    </w:t>
            </w:r>
          </w:p>
        </w:tc>
        <w:tc>
          <w:tcPr>
            <w:tcW w:w="1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March 31, 2024</w:t>
            </w:r>
          </w:p>
        </w:tc>
        <w:tc>
          <w:tcPr>
            <w:tcW w:w="154" w:type="dxa"/>
            <w:tcBorders/>
            <w:vAlign w:val="center"/>
          </w:tcPr>
          <w:p>
            <w:pPr>
              <w:pStyle w:val="TableContents"/>
              <w:bidi w:val="0"/>
              <w:spacing w:before="0" w:after="1"/>
              <w:ind w:left="0" w:right="0" w:hanging="0"/>
              <w:jc w:val="center"/>
              <w:rPr/>
            </w:pPr>
            <w:r>
              <w:rPr/>
              <w:t>​</w:t>
            </w:r>
          </w:p>
        </w:tc>
      </w:tr>
      <w:tr>
        <w:trPr/>
        <w:tc>
          <w:tcPr>
            <w:tcW w:w="45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77" w:type="dxa"/>
            <w:tcBorders/>
            <w:shd w:fill="CCEEFF" w:val="clear"/>
            <w:vAlign w:val="center"/>
          </w:tcPr>
          <w:p>
            <w:pPr>
              <w:pStyle w:val="TableContents"/>
              <w:bidi w:val="0"/>
              <w:spacing w:before="0" w:after="1"/>
              <w:ind w:left="0" w:right="0" w:hanging="0"/>
              <w:jc w:val="right"/>
              <w:rPr/>
            </w:pPr>
            <w:r>
              <w:rPr/>
              <w:t>​</w:t>
            </w:r>
          </w:p>
        </w:tc>
        <w:tc>
          <w:tcPr>
            <w:tcW w:w="1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77" w:type="dxa"/>
            <w:tcBorders/>
            <w:shd w:fill="CCEEFF" w:val="clear"/>
            <w:vAlign w:val="center"/>
          </w:tcPr>
          <w:p>
            <w:pPr>
              <w:pStyle w:val="TableContents"/>
              <w:bidi w:val="0"/>
              <w:spacing w:before="0" w:after="1"/>
              <w:ind w:left="0" w:right="0" w:hanging="0"/>
              <w:jc w:val="right"/>
              <w:rPr/>
            </w:pPr>
            <w:r>
              <w:rPr/>
              <w:t>​</w:t>
            </w:r>
          </w:p>
        </w:tc>
        <w:tc>
          <w:tcPr>
            <w:tcW w:w="1403" w:type="dxa"/>
            <w:tcBorders/>
            <w:shd w:fill="CCEEFF" w:val="cle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457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Collaboration revenue</w:t>
            </w:r>
          </w:p>
        </w:tc>
        <w:tc>
          <w:tcPr>
            <w:tcW w:w="326" w:type="dxa"/>
            <w:tcBorders/>
            <w:shd w:fill="CCEEFF" w:val="clear"/>
            <w:vAlign w:val="center"/>
          </w:tcPr>
          <w:p>
            <w:pPr>
              <w:pStyle w:val="TableContents"/>
              <w:bidi w:val="0"/>
              <w:spacing w:before="0" w:after="1"/>
              <w:ind w:left="0" w:right="0" w:hanging="0"/>
              <w:jc w:val="center"/>
              <w:rPr/>
            </w:pPr>
            <w:r>
              <w:rPr/>
              <w:t>​</w:t>
            </w:r>
          </w:p>
        </w:tc>
        <w:tc>
          <w:tcPr>
            <w:tcW w:w="27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109,164</w:t>
            </w:r>
          </w:p>
        </w:tc>
        <w:tc>
          <w:tcPr>
            <w:tcW w:w="326" w:type="dxa"/>
            <w:tcBorders/>
            <w:shd w:fill="CCEEFF" w:val="clear"/>
            <w:vAlign w:val="center"/>
          </w:tcPr>
          <w:p>
            <w:pPr>
              <w:pStyle w:val="TableContents"/>
              <w:bidi w:val="0"/>
              <w:spacing w:before="0" w:after="1"/>
              <w:ind w:left="0" w:right="0" w:hanging="0"/>
              <w:jc w:val="center"/>
              <w:rPr/>
            </w:pPr>
            <w:r>
              <w:rPr/>
              <w:t>​</w:t>
            </w:r>
          </w:p>
        </w:tc>
        <w:tc>
          <w:tcPr>
            <w:tcW w:w="27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855</w:t>
            </w:r>
          </w:p>
        </w:tc>
        <w:tc>
          <w:tcPr>
            <w:tcW w:w="154" w:type="dxa"/>
            <w:tcBorders/>
            <w:shd w:fill="CCEEFF" w:val="clear"/>
            <w:vAlign w:val="center"/>
          </w:tcPr>
          <w:p>
            <w:pPr>
              <w:pStyle w:val="TableContents"/>
              <w:bidi w:val="0"/>
              <w:spacing w:before="0" w:after="1"/>
              <w:ind w:left="0" w:right="0" w:hanging="0"/>
              <w:jc w:val="center"/>
              <w:rPr/>
            </w:pPr>
            <w:r>
              <w:rPr/>
              <w:t>​</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right"/>
              <w:rPr/>
            </w:pPr>
            <w:r>
              <w:rPr/>
              <w:t>​</w:t>
            </w:r>
          </w:p>
        </w:tc>
        <w:tc>
          <w:tcPr>
            <w:tcW w:w="14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right"/>
              <w:rPr/>
            </w:pPr>
            <w:r>
              <w:rPr/>
              <w:t>​</w:t>
            </w:r>
          </w:p>
        </w:tc>
        <w:tc>
          <w:tcPr>
            <w:tcW w:w="1403"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457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26,580</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23,421</w:t>
            </w:r>
          </w:p>
        </w:tc>
        <w:tc>
          <w:tcPr>
            <w:tcW w:w="154"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8,408</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8,743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34,988</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32,164</w:t>
            </w:r>
          </w:p>
        </w:tc>
        <w:tc>
          <w:tcPr>
            <w:tcW w:w="154"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Income (loss) from operations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74,176</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(31,309)</w:t>
            </w:r>
          </w:p>
        </w:tc>
        <w:tc>
          <w:tcPr>
            <w:tcW w:w="154"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2,422</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3,237</w:t>
            </w:r>
          </w:p>
        </w:tc>
        <w:tc>
          <w:tcPr>
            <w:tcW w:w="154"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Total other income</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2,384</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3,248</w:t>
            </w:r>
          </w:p>
        </w:tc>
        <w:tc>
          <w:tcPr>
            <w:tcW w:w="154"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Income (loss) before 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76,560</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(28,061)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154"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76,560</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20"/>
              </w:rPr>
            </w:pPr>
            <w:r>
              <w:rPr>
                <w:rFonts w:ascii="Arial;Helvetica;sans-serif" w:hAnsi="Arial;Helvetica;sans-serif"/>
                <w:b/>
                <w:sz w:val="20"/>
              </w:rPr>
              <w:t>(28,062)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 per common share</w:t>
              <w:b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0.89</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(0.45)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 per common share</w:t>
              <w:br/>
              <w:t>Diluted</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0.89</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(0.45)</w:t>
            </w:r>
          </w:p>
        </w:tc>
        <w:tc>
          <w:tcPr>
            <w:tcW w:w="154"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common shares outstanding</w:t>
              <w:b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86,021,188</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62,296,637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common shares outstanding</w:t>
              <w:br/>
              <w:t>Diluted</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86,098,619</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62,296,637</w:t>
            </w:r>
          </w:p>
        </w:tc>
        <w:tc>
          <w:tcPr>
            <w:tcW w:w="154"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 per common share</w:t>
              <w:br/>
              <w:t>Basic and Diluted</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76,560</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(28,062)</w:t>
            </w:r>
          </w:p>
        </w:tc>
        <w:tc>
          <w:tcPr>
            <w:tcW w:w="154"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Unrealized loss on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gain</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154"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76,541</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(28,411)</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tLeast" w:line="240" w:before="0" w:after="0"/>
        <w:ind w:left="0" w:right="0" w:hanging="0"/>
        <w:jc w:val="center"/>
        <w:rPr>
          <w:rFonts w:ascii="Arial;Helvetica;sans-serif" w:hAnsi="Arial;Helvetica;sans-serif"/>
          <w:b/>
          <w:sz w:val="24"/>
        </w:rPr>
      </w:pPr>
      <w:bookmarkStart w:id="212" w:name="_14889c4d_df0c_4c02_bf56_49c4d644116c"/>
      <w:bookmarkEnd w:id="212"/>
      <w:r>
        <w:rPr>
          <w:rFonts w:ascii="Arial;Helvetica;sans-serif" w:hAnsi="Arial;Helvetica;sans-serif"/>
          <w:b/>
          <w:sz w:val="24"/>
        </w:rPr>
        <w:t>CENTURY THERAPEUTICS, INC.</w:t>
      </w:r>
    </w:p>
    <w:p>
      <w:pPr>
        <w:pStyle w:val="TextBody"/>
        <w:bidi w:val="0"/>
        <w:spacing w:lineRule="atLeast" w:line="240" w:before="0" w:after="0"/>
        <w:ind w:left="0" w:right="0" w:hanging="0"/>
        <w:jc w:val="center"/>
        <w:rPr>
          <w:rFonts w:ascii="Arial;Helvetica;sans-serif" w:hAnsi="Arial;Helvetica;sans-serif"/>
          <w:b/>
          <w:sz w:val="24"/>
        </w:rPr>
      </w:pPr>
      <w:bookmarkStart w:id="213" w:name="Consolidatedstatementsofchangesinconvert"/>
      <w:bookmarkEnd w:id="213"/>
      <w:r>
        <w:rPr>
          <w:rFonts w:ascii="Arial;Helvetica;sans-serif" w:hAnsi="Arial;Helvetica;sans-serif"/>
          <w:b/>
          <w:sz w:val="24"/>
        </w:rPr>
        <w:t>CONSOLIDATED STATEMENTS OF CHANGES IN STOCKHOLDERS’ EQUITY</w:t>
      </w:r>
    </w:p>
    <w:p>
      <w:pPr>
        <w:pStyle w:val="TextBody"/>
        <w:bidi w:val="0"/>
        <w:spacing w:lineRule="atLeast" w:line="240" w:before="0" w:after="0"/>
        <w:ind w:left="0" w:right="0" w:hanging="0"/>
        <w:jc w:val="center"/>
        <w:rPr>
          <w:rFonts w:ascii="Arial;Helvetica;sans-serif" w:hAnsi="Arial;Helvetica;sans-serif"/>
          <w:b/>
          <w:sz w:val="28"/>
        </w:rPr>
      </w:pPr>
      <w:r>
        <w:rPr>
          <w:rFonts w:ascii="Arial;Helvetica;sans-serif" w:hAnsi="Arial;Helvetica;sans-serif"/>
          <w:b/>
          <w:sz w:val="28"/>
        </w:rPr>
        <w:t>(Unaudited)</w:t>
      </w:r>
    </w:p>
    <w:p>
      <w:pPr>
        <w:pStyle w:val="TextBody"/>
        <w:bidi w:val="0"/>
        <w:spacing w:lineRule="atLeast" w:line="240" w:before="0" w:after="0"/>
        <w:ind w:left="0" w:right="0" w:hanging="0"/>
        <w:jc w:val="center"/>
        <w:rPr>
          <w:rFonts w:ascii="Arial;Helvetica;sans-serif" w:hAnsi="Arial;Helvetica;sans-serif"/>
          <w:b/>
          <w:sz w:val="28"/>
        </w:rPr>
      </w:pPr>
      <w:r>
        <w:rPr>
          <w:rFonts w:ascii="Arial;Helvetica;sans-serif" w:hAnsi="Arial;Helvetica;sans-serif"/>
          <w:b/>
          <w:sz w:val="28"/>
        </w:rPr>
        <w:t>(In thousands, except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4" w:name="Tc_O-ak2RZbyU-u9Ayo_KrQYg_15_16"/>
      <w:bookmarkStart w:id="215" w:name="Tc_2KdEcFFGXUC6i-vedxmRHQ_15_13"/>
      <w:bookmarkStart w:id="216" w:name="Tc_SWEfvZEf50G214c89V52-Q_15_10"/>
      <w:bookmarkStart w:id="217" w:name="Tc_wM8NyFaT_UKLcEf8HjRLHQ_15_7"/>
      <w:bookmarkStart w:id="218" w:name="Tc_5BlX0gva4kiueh3v3YhJOQ_15_4"/>
      <w:bookmarkStart w:id="219" w:name="Tc_xjLf0th-kkurHlRo25S6Ag_15_0"/>
      <w:bookmarkStart w:id="220" w:name="Tc_XFDSAn56E0iGqo9qTG4YJw_14_14"/>
      <w:bookmarkStart w:id="221" w:name="Tc_brHLtXX61kCIVHCRjlotaQ_14_8"/>
      <w:bookmarkStart w:id="222" w:name="Tc_3tYxyBbrTU-KF53oDQvrkg_14_5"/>
      <w:bookmarkStart w:id="223" w:name="Tc_TaYo1CaxKUKIHIYPmIbC9w_14_2"/>
      <w:bookmarkStart w:id="224" w:name="Tc_6RscV6PZ-U6ze7w5esLAcQ_14_0"/>
      <w:bookmarkStart w:id="225" w:name="Tc_xTtCDstMH0OK9ZXYIYbaUA_13_14"/>
      <w:bookmarkStart w:id="226" w:name="Tc_wtOxKtGL90e88fUsfPVC9w_13_11"/>
      <w:bookmarkStart w:id="227" w:name="Tc_nCAslpz2JUiFlazX_S0cCg_13_5"/>
      <w:bookmarkStart w:id="228" w:name="Tc_LAb-JEqE906eYM0hu1_Yaw_13_2"/>
      <w:bookmarkStart w:id="229" w:name="Tc_f7bnWIv500OKXbEA8syfWA_13_0"/>
      <w:bookmarkStart w:id="230" w:name="Tc_7PENvTH1uEeYXgkINTEn8A_12_17"/>
      <w:bookmarkStart w:id="231" w:name="Tc_WSVvAOTDx0GZ93dV0R1Heg_12_14"/>
      <w:bookmarkStart w:id="232" w:name="Tc_h-3JlsJ85UijlN7BMtk30w_12_11"/>
      <w:bookmarkStart w:id="233" w:name="Tc_Wr9GfM6ibUyS3khIlnPB3g_12_8"/>
      <w:bookmarkStart w:id="234" w:name="Tc_NngBIl9yykyjQGdJaG3tdw_12_5"/>
      <w:bookmarkStart w:id="235" w:name="Tc_KDKboFcdqEG8T1h4vMoMxA_12_2"/>
      <w:bookmarkStart w:id="236" w:name="Tc_7s31UWERQ06N08V0rapFmA_12_0"/>
      <w:bookmarkStart w:id="237" w:name="Tc_oIzMGmCkQUi9pn7HYPfZrA_11_11"/>
      <w:bookmarkStart w:id="238" w:name="Tc_FA7bPbArqE6yMt9fwQexzw_11_8"/>
      <w:bookmarkStart w:id="239" w:name="Tc_4NDv7IW7ckaW8prrm-nDDQ_11_5"/>
      <w:bookmarkStart w:id="240" w:name="Tc_hqLXaXZlfUWBw2HakRugnA_11_2"/>
      <w:bookmarkStart w:id="241" w:name="Tc_yHh1IP8XuE26jIUQagG0zw_11_0"/>
      <w:bookmarkStart w:id="242" w:name="Tc_kVjjBoaqwkuzmIyW7HtwoQ_10_14"/>
      <w:bookmarkStart w:id="243" w:name="Tc_RWkNoEgDZkeT4f6TxXv2Wg_10_11"/>
      <w:bookmarkStart w:id="244" w:name="Tc_KpJIL-oLy0S8SZh1t_iatQ_10_5"/>
      <w:bookmarkStart w:id="245" w:name="Tc_T8gQHsAuxEqygmEww68d3w_10_0"/>
      <w:bookmarkStart w:id="246" w:name="Tc_fP7AJsAyMU6KoD3b2O32RQ_9_11"/>
      <w:bookmarkStart w:id="247" w:name="Tc_0Z6CPXWdMkWR2xYYphadnw_9_5"/>
      <w:bookmarkStart w:id="248" w:name="Tc_Xaq-5lri8EeUpB486Pux9A_9_0"/>
      <w:bookmarkStart w:id="249" w:name="Tc_mz0iXKJmdUOiU7YXd7vUWA_8_17"/>
      <w:bookmarkStart w:id="250" w:name="Tc_o5UoazGXJkaoDqtTlH7StQ_8_14"/>
      <w:bookmarkStart w:id="251" w:name="Tc_vCtxsVAYtEehcyRnaZ0sUA_8_11"/>
      <w:bookmarkStart w:id="252" w:name="Tc_YPmLGBjInUKob9fmM8Iw_w_8_8"/>
      <w:bookmarkStart w:id="253" w:name="Tc_1d27P3HboEqa4LNtOY7Chw_8_5"/>
      <w:bookmarkStart w:id="254" w:name="Tc_Y7Gvm3OCEEu1roblwtnslw_8_0"/>
      <w:bookmarkStart w:id="255" w:name="Tc_dSZc-DPuXkeuLJ5o_9itow_7_14"/>
      <w:bookmarkStart w:id="256" w:name="Tc_dUuD8brZGkWO9IKcHscjDg_7_11"/>
      <w:bookmarkStart w:id="257" w:name="Tc_aWKt4HHx90qwNBzskB7xaw_7_5"/>
      <w:bookmarkStart w:id="258" w:name="Tc_unVt0Te8ME2UhJJVU8aq3Q_7_0"/>
      <w:bookmarkStart w:id="259" w:name="Tc_U5GiZzMCR0CAciaN1l2Axw_6_16"/>
      <w:bookmarkStart w:id="260" w:name="Tc_V9PIbE7sCEKoaw2XtPh1ag_6_13"/>
      <w:bookmarkStart w:id="261" w:name="Tc_TsaVPLXdYEizTJy3filrng_6_10"/>
      <w:bookmarkStart w:id="262" w:name="Tc_v8DbZVThGUi5JLbSEYS0rA_6_7"/>
      <w:bookmarkStart w:id="263" w:name="Tc_bC607Yf_60GcxCp9L5uK4g_6_4"/>
      <w:bookmarkStart w:id="264" w:name="Tc_1u6SzpUsrkigge9lKa3Ojw_6_0"/>
      <w:bookmarkStart w:id="265" w:name="Tc_PQ4r2W-XCE-NYsXcX0a1-w_5_16"/>
      <w:bookmarkStart w:id="266" w:name="Tc_3vDIfUB_fkSEBSLoW9OWnQ_5_13"/>
      <w:bookmarkStart w:id="267" w:name="Tc_PB7YJD1-K0-ipQ37UG3ZHw_5_10"/>
      <w:bookmarkStart w:id="268" w:name="Tc_tL9HTbl8mEi93o8kDZ57qQ_5_7"/>
      <w:bookmarkStart w:id="269" w:name="Tc_aXKo42C9tkaAfNzPAw3x9w_5_4"/>
      <w:bookmarkStart w:id="270" w:name="Tc_BG7M4ST6uUimslkecH5BFw_5_2"/>
      <w:bookmarkStart w:id="271" w:name="Tc_j9lnYwdFmUCrmVWCqxcoqA_4_16"/>
      <w:bookmarkStart w:id="272" w:name="Tc_7RsH_eVUgEy2M52oAAaXgQ_4_13"/>
      <w:bookmarkStart w:id="273" w:name="Tc_hjKdpTqRLkKrhKvlqUN6hQ_4_10"/>
      <w:bookmarkStart w:id="274" w:name="Tc_GF1wHM-XxEiKuJEPjN1SHw_4_7"/>
      <w:bookmarkStart w:id="275" w:name="Tc__-G1VQy5fE-rQX3bvg_UsQ_4_2"/>
      <w:bookmarkStart w:id="276" w:name="Tc_8s875D1N_kW_4qD558Sz3Q_3_16"/>
      <w:bookmarkStart w:id="277" w:name="Tc_ZiJ0RYryHU6wwyTJCEFhkA_3_13"/>
      <w:bookmarkStart w:id="278" w:name="Tc_t0HPl6IebUe_9TNlARqnFg_3_7"/>
      <w:bookmarkStart w:id="279" w:name="Tc_dGHuOGzXykSDka6wEiQIRw_2_13"/>
      <w:bookmarkStart w:id="280" w:name="_0b626872_7376_42af_b5c6_9c0c7a98596e"/>
      <w:bookmarkStart w:id="281" w:name="Tc_O-ak2RZbyU-u9Ayo_KrQYg_15_16"/>
      <w:bookmarkStart w:id="282" w:name="Tc_2KdEcFFGXUC6i-vedxmRHQ_15_13"/>
      <w:bookmarkStart w:id="283" w:name="Tc_SWEfvZEf50G214c89V52-Q_15_10"/>
      <w:bookmarkStart w:id="284" w:name="Tc_wM8NyFaT_UKLcEf8HjRLHQ_15_7"/>
      <w:bookmarkStart w:id="285" w:name="Tc_5BlX0gva4kiueh3v3YhJOQ_15_4"/>
      <w:bookmarkStart w:id="286" w:name="Tc_xjLf0th-kkurHlRo25S6Ag_15_0"/>
      <w:bookmarkStart w:id="287" w:name="Tc_XFDSAn56E0iGqo9qTG4YJw_14_14"/>
      <w:bookmarkStart w:id="288" w:name="Tc_brHLtXX61kCIVHCRjlotaQ_14_8"/>
      <w:bookmarkStart w:id="289" w:name="Tc_3tYxyBbrTU-KF53oDQvrkg_14_5"/>
      <w:bookmarkStart w:id="290" w:name="Tc_TaYo1CaxKUKIHIYPmIbC9w_14_2"/>
      <w:bookmarkStart w:id="291" w:name="Tc_6RscV6PZ-U6ze7w5esLAcQ_14_0"/>
      <w:bookmarkStart w:id="292" w:name="Tc_xTtCDstMH0OK9ZXYIYbaUA_13_14"/>
      <w:bookmarkStart w:id="293" w:name="Tc_wtOxKtGL90e88fUsfPVC9w_13_11"/>
      <w:bookmarkStart w:id="294" w:name="Tc_nCAslpz2JUiFlazX_S0cCg_13_5"/>
      <w:bookmarkStart w:id="295" w:name="Tc_LAb-JEqE906eYM0hu1_Yaw_13_2"/>
      <w:bookmarkStart w:id="296" w:name="Tc_f7bnWIv500OKXbEA8syfWA_13_0"/>
      <w:bookmarkStart w:id="297" w:name="Tc_7PENvTH1uEeYXgkINTEn8A_12_17"/>
      <w:bookmarkStart w:id="298" w:name="Tc_WSVvAOTDx0GZ93dV0R1Heg_12_14"/>
      <w:bookmarkStart w:id="299" w:name="Tc_h-3JlsJ85UijlN7BMtk30w_12_11"/>
      <w:bookmarkStart w:id="300" w:name="Tc_Wr9GfM6ibUyS3khIlnPB3g_12_8"/>
      <w:bookmarkStart w:id="301" w:name="Tc_NngBIl9yykyjQGdJaG3tdw_12_5"/>
      <w:bookmarkStart w:id="302" w:name="Tc_KDKboFcdqEG8T1h4vMoMxA_12_2"/>
      <w:bookmarkStart w:id="303" w:name="Tc_7s31UWERQ06N08V0rapFmA_12_0"/>
      <w:bookmarkStart w:id="304" w:name="Tc_oIzMGmCkQUi9pn7HYPfZrA_11_11"/>
      <w:bookmarkStart w:id="305" w:name="Tc_FA7bPbArqE6yMt9fwQexzw_11_8"/>
      <w:bookmarkStart w:id="306" w:name="Tc_4NDv7IW7ckaW8prrm-nDDQ_11_5"/>
      <w:bookmarkStart w:id="307" w:name="Tc_hqLXaXZlfUWBw2HakRugnA_11_2"/>
      <w:bookmarkStart w:id="308" w:name="Tc_yHh1IP8XuE26jIUQagG0zw_11_0"/>
      <w:bookmarkStart w:id="309" w:name="Tc_kVjjBoaqwkuzmIyW7HtwoQ_10_14"/>
      <w:bookmarkStart w:id="310" w:name="Tc_RWkNoEgDZkeT4f6TxXv2Wg_10_11"/>
      <w:bookmarkStart w:id="311" w:name="Tc_KpJIL-oLy0S8SZh1t_iatQ_10_5"/>
      <w:bookmarkStart w:id="312" w:name="Tc_T8gQHsAuxEqygmEww68d3w_10_0"/>
      <w:bookmarkStart w:id="313" w:name="Tc_fP7AJsAyMU6KoD3b2O32RQ_9_11"/>
      <w:bookmarkStart w:id="314" w:name="Tc_0Z6CPXWdMkWR2xYYphadnw_9_5"/>
      <w:bookmarkStart w:id="315" w:name="Tc_Xaq-5lri8EeUpB486Pux9A_9_0"/>
      <w:bookmarkStart w:id="316" w:name="Tc_mz0iXKJmdUOiU7YXd7vUWA_8_17"/>
      <w:bookmarkStart w:id="317" w:name="Tc_o5UoazGXJkaoDqtTlH7StQ_8_14"/>
      <w:bookmarkStart w:id="318" w:name="Tc_vCtxsVAYtEehcyRnaZ0sUA_8_11"/>
      <w:bookmarkStart w:id="319" w:name="Tc_YPmLGBjInUKob9fmM8Iw_w_8_8"/>
      <w:bookmarkStart w:id="320" w:name="Tc_1d27P3HboEqa4LNtOY7Chw_8_5"/>
      <w:bookmarkStart w:id="321" w:name="Tc_Y7Gvm3OCEEu1roblwtnslw_8_0"/>
      <w:bookmarkStart w:id="322" w:name="Tc_dSZc-DPuXkeuLJ5o_9itow_7_14"/>
      <w:bookmarkStart w:id="323" w:name="Tc_dUuD8brZGkWO9IKcHscjDg_7_11"/>
      <w:bookmarkStart w:id="324" w:name="Tc_aWKt4HHx90qwNBzskB7xaw_7_5"/>
      <w:bookmarkStart w:id="325" w:name="Tc_unVt0Te8ME2UhJJVU8aq3Q_7_0"/>
      <w:bookmarkStart w:id="326" w:name="Tc_U5GiZzMCR0CAciaN1l2Axw_6_16"/>
      <w:bookmarkStart w:id="327" w:name="Tc_V9PIbE7sCEKoaw2XtPh1ag_6_13"/>
      <w:bookmarkStart w:id="328" w:name="Tc_TsaVPLXdYEizTJy3filrng_6_10"/>
      <w:bookmarkStart w:id="329" w:name="Tc_v8DbZVThGUi5JLbSEYS0rA_6_7"/>
      <w:bookmarkStart w:id="330" w:name="Tc_bC607Yf_60GcxCp9L5uK4g_6_4"/>
      <w:bookmarkStart w:id="331" w:name="Tc_1u6SzpUsrkigge9lKa3Ojw_6_0"/>
      <w:bookmarkStart w:id="332" w:name="Tc_PQ4r2W-XCE-NYsXcX0a1-w_5_16"/>
      <w:bookmarkStart w:id="333" w:name="Tc_3vDIfUB_fkSEBSLoW9OWnQ_5_13"/>
      <w:bookmarkStart w:id="334" w:name="Tc_PB7YJD1-K0-ipQ37UG3ZHw_5_10"/>
      <w:bookmarkStart w:id="335" w:name="Tc_tL9HTbl8mEi93o8kDZ57qQ_5_7"/>
      <w:bookmarkStart w:id="336" w:name="Tc_aXKo42C9tkaAfNzPAw3x9w_5_4"/>
      <w:bookmarkStart w:id="337" w:name="Tc_BG7M4ST6uUimslkecH5BFw_5_2"/>
      <w:bookmarkStart w:id="338" w:name="Tc_j9lnYwdFmUCrmVWCqxcoqA_4_16"/>
      <w:bookmarkStart w:id="339" w:name="Tc_7RsH_eVUgEy2M52oAAaXgQ_4_13"/>
      <w:bookmarkStart w:id="340" w:name="Tc_hjKdpTqRLkKrhKvlqUN6hQ_4_10"/>
      <w:bookmarkStart w:id="341" w:name="Tc_GF1wHM-XxEiKuJEPjN1SHw_4_7"/>
      <w:bookmarkStart w:id="342" w:name="Tc__-G1VQy5fE-rQX3bvg_UsQ_4_2"/>
      <w:bookmarkStart w:id="343" w:name="Tc_8s875D1N_kW_4qD558Sz3Q_3_16"/>
      <w:bookmarkStart w:id="344" w:name="Tc_ZiJ0RYryHU6wwyTJCEFhkA_3_13"/>
      <w:bookmarkStart w:id="345" w:name="Tc_t0HPl6IebUe_9TNlARqnFg_3_7"/>
      <w:bookmarkStart w:id="346" w:name="Tc_dGHuOGzXykSDka6wEiQIRw_2_13"/>
      <w:bookmarkStart w:id="347" w:name="_0b626872_7376_42af_b5c6_9c0c7a98596e"/>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tbl>
      <w:tblPr>
        <w:tblW w:w="10205" w:type="dxa"/>
        <w:jc w:val="left"/>
        <w:tblInd w:w="0" w:type="dxa"/>
        <w:tblLayout w:type="fixed"/>
        <w:tblCellMar>
          <w:top w:w="0" w:type="dxa"/>
          <w:left w:w="0" w:type="dxa"/>
          <w:bottom w:w="0" w:type="dxa"/>
          <w:right w:w="0" w:type="dxa"/>
        </w:tblCellMar>
      </w:tblPr>
      <w:tblGrid>
        <w:gridCol w:w="2354"/>
        <w:gridCol w:w="326"/>
        <w:gridCol w:w="916"/>
        <w:gridCol w:w="326"/>
        <w:gridCol w:w="239"/>
        <w:gridCol w:w="422"/>
        <w:gridCol w:w="326"/>
        <w:gridCol w:w="196"/>
        <w:gridCol w:w="691"/>
        <w:gridCol w:w="326"/>
        <w:gridCol w:w="217"/>
        <w:gridCol w:w="834"/>
        <w:gridCol w:w="326"/>
        <w:gridCol w:w="431"/>
        <w:gridCol w:w="830"/>
        <w:gridCol w:w="326"/>
        <w:gridCol w:w="223"/>
        <w:gridCol w:w="896"/>
      </w:tblGrid>
      <w:tr>
        <w:trPr/>
        <w:tc>
          <w:tcPr>
            <w:tcW w:w="23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81660" cy="175260"/>
                      <wp:effectExtent l="0" t="0" r="0" b="0"/>
                      <wp:wrapNone/>
                      <wp:docPr id="16" name="Frame1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51765" cy="175260"/>
                      <wp:effectExtent l="0" t="0" r="0" b="0"/>
                      <wp:wrapNone/>
                      <wp:docPr id="18" name="Frame1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67970" cy="175260"/>
                      <wp:effectExtent l="0" t="0" r="0" b="0"/>
                      <wp:wrapNone/>
                      <wp:docPr id="19" name="Frame19"/>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38785" cy="175260"/>
                      <wp:effectExtent l="0" t="0" r="0" b="0"/>
                      <wp:wrapNone/>
                      <wp:docPr id="22" name="Frame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7795" cy="175260"/>
                      <wp:effectExtent l="0" t="0" r="0" b="0"/>
                      <wp:wrapNone/>
                      <wp:docPr id="24" name="Frame24"/>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29590" cy="175260"/>
                      <wp:effectExtent l="0" t="0" r="0" b="0"/>
                      <wp:wrapNone/>
                      <wp:docPr id="25" name="Frame25"/>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73685" cy="175260"/>
                      <wp:effectExtent l="0" t="0" r="0" b="0"/>
                      <wp:wrapNone/>
                      <wp:docPr id="27" name="Frame27"/>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7050" cy="175260"/>
                      <wp:effectExtent l="0" t="0" r="0" b="0"/>
                      <wp:wrapNone/>
                      <wp:docPr id="28" name="Frame28"/>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1605" cy="175260"/>
                      <wp:effectExtent l="0" t="0" r="0" b="0"/>
                      <wp:wrapNone/>
                      <wp:docPr id="30" name="Frame3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68960" cy="175260"/>
                      <wp:effectExtent l="0" t="0" r="0" b="0"/>
                      <wp:wrapNone/>
                      <wp:docPr id="31" name="Frame3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3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2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3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261" w:type="dxa"/>
            <w:gridSpan w:val="2"/>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3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03" w:type="dxa"/>
            <w:gridSpan w:val="4"/>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righ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26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Accumulated</w:t>
            </w:r>
          </w:p>
        </w:tc>
        <w:tc>
          <w:tcPr>
            <w:tcW w:w="326"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right"/>
              <w:rPr/>
            </w:pPr>
            <w:r>
              <w:rPr/>
              <w:t>​</w:t>
            </w:r>
          </w:p>
        </w:tc>
        <w:tc>
          <w:tcPr>
            <w:tcW w:w="896" w:type="dxa"/>
            <w:tcBorders/>
            <w:vAlign w:val="center"/>
          </w:tcPr>
          <w:p>
            <w:pPr>
              <w:pStyle w:val="TableContents"/>
              <w:bidi w:val="0"/>
              <w:spacing w:before="0" w:after="0"/>
              <w:ind w:left="0" w:right="0" w:hanging="0"/>
              <w:jc w:val="right"/>
              <w:rPr/>
            </w:pPr>
            <w:r>
              <w:rPr/>
              <w:t>​</w:t>
            </w:r>
          </w:p>
        </w:tc>
      </w:tr>
      <w:tr>
        <w:trPr/>
        <w:tc>
          <w:tcPr>
            <w:tcW w:w="23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03" w:type="dxa"/>
            <w:gridSpan w:val="4"/>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887"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Additional</w:t>
            </w:r>
          </w:p>
        </w:tc>
        <w:tc>
          <w:tcPr>
            <w:tcW w:w="326"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righ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26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Other</w:t>
            </w:r>
          </w:p>
        </w:tc>
        <w:tc>
          <w:tcPr>
            <w:tcW w:w="326" w:type="dxa"/>
            <w:tcBorders/>
            <w:vAlign w:val="center"/>
          </w:tcPr>
          <w:p>
            <w:pPr>
              <w:pStyle w:val="TableContents"/>
              <w:bidi w:val="0"/>
              <w:spacing w:before="0" w:after="0"/>
              <w:ind w:left="0" w:right="0" w:hanging="0"/>
              <w:jc w:val="right"/>
              <w:rPr/>
            </w:pPr>
            <w:r>
              <w:rPr/>
              <w:t>​</w:t>
            </w:r>
          </w:p>
        </w:tc>
        <w:tc>
          <w:tcPr>
            <w:tcW w:w="1119"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Total</w:t>
            </w:r>
          </w:p>
        </w:tc>
      </w:tr>
      <w:tr>
        <w:trPr/>
        <w:tc>
          <w:tcPr>
            <w:tcW w:w="23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Common Stock</w:t>
            </w:r>
          </w:p>
        </w:tc>
        <w:tc>
          <w:tcPr>
            <w:tcW w:w="326" w:type="dxa"/>
            <w:tcBorders/>
            <w:vAlign w:val="center"/>
          </w:tcPr>
          <w:p>
            <w:pPr>
              <w:pStyle w:val="TableContents"/>
              <w:bidi w:val="0"/>
              <w:spacing w:before="0" w:after="0"/>
              <w:ind w:left="0" w:right="0" w:hanging="0"/>
              <w:jc w:val="right"/>
              <w:rPr/>
            </w:pPr>
            <w:r>
              <w:rPr/>
              <w:t>​</w:t>
            </w:r>
          </w:p>
        </w:tc>
        <w:tc>
          <w:tcPr>
            <w:tcW w:w="887"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Paid-in</w:t>
            </w:r>
          </w:p>
        </w:tc>
        <w:tc>
          <w:tcPr>
            <w:tcW w:w="326" w:type="dxa"/>
            <w:tcBorders/>
            <w:vAlign w:val="center"/>
          </w:tcPr>
          <w:p>
            <w:pPr>
              <w:pStyle w:val="TableContents"/>
              <w:bidi w:val="0"/>
              <w:spacing w:before="0" w:after="0"/>
              <w:ind w:left="0" w:right="0" w:hanging="0"/>
              <w:jc w:val="right"/>
              <w:rPr/>
            </w:pPr>
            <w:r>
              <w:rPr/>
              <w:t>​</w:t>
            </w:r>
          </w:p>
        </w:tc>
        <w:tc>
          <w:tcPr>
            <w:tcW w:w="105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Accumulated</w:t>
            </w:r>
          </w:p>
        </w:tc>
        <w:tc>
          <w:tcPr>
            <w:tcW w:w="326" w:type="dxa"/>
            <w:tcBorders/>
            <w:vAlign w:val="center"/>
          </w:tcPr>
          <w:p>
            <w:pPr>
              <w:pStyle w:val="TableContents"/>
              <w:bidi w:val="0"/>
              <w:spacing w:before="0" w:after="0"/>
              <w:ind w:left="0" w:right="0" w:hanging="0"/>
              <w:jc w:val="right"/>
              <w:rPr/>
            </w:pPr>
            <w:r>
              <w:rPr/>
              <w:t>​</w:t>
            </w:r>
          </w:p>
        </w:tc>
        <w:tc>
          <w:tcPr>
            <w:tcW w:w="126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Comprehensive</w:t>
            </w:r>
          </w:p>
        </w:tc>
        <w:tc>
          <w:tcPr>
            <w:tcW w:w="326" w:type="dxa"/>
            <w:tcBorders/>
            <w:vAlign w:val="center"/>
          </w:tcPr>
          <w:p>
            <w:pPr>
              <w:pStyle w:val="TableContents"/>
              <w:bidi w:val="0"/>
              <w:spacing w:before="0" w:after="0"/>
              <w:ind w:left="0" w:right="0" w:hanging="0"/>
              <w:jc w:val="right"/>
              <w:rPr/>
            </w:pPr>
            <w:r>
              <w:rPr/>
              <w:t>​</w:t>
            </w:r>
          </w:p>
        </w:tc>
        <w:tc>
          <w:tcPr>
            <w:tcW w:w="1119"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Stockholders’</w:t>
            </w:r>
          </w:p>
        </w:tc>
      </w:tr>
      <w:tr>
        <w:trPr/>
        <w:tc>
          <w:tcPr>
            <w:tcW w:w="23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Shares</w:t>
            </w:r>
          </w:p>
        </w:tc>
        <w:tc>
          <w:tcPr>
            <w:tcW w:w="326" w:type="dxa"/>
            <w:tcBorders/>
            <w:vAlign w:val="center"/>
          </w:tcPr>
          <w:p>
            <w:pPr>
              <w:pStyle w:val="TableContents"/>
              <w:bidi w:val="0"/>
              <w:spacing w:before="0" w:after="0"/>
              <w:ind w:left="0" w:right="0" w:hanging="0"/>
              <w:jc w:val="left"/>
              <w:rPr/>
            </w:pPr>
            <w:r>
              <w:rPr/>
              <w:t>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Amount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Capital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Deficit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Income (loss)</w:t>
            </w:r>
          </w:p>
        </w:tc>
        <w:tc>
          <w:tcPr>
            <w:tcW w:w="326" w:type="dxa"/>
            <w:tcBorders/>
            <w:vAlign w:val="center"/>
          </w:tcPr>
          <w:p>
            <w:pPr>
              <w:pStyle w:val="TableContents"/>
              <w:bidi w:val="0"/>
              <w:spacing w:before="0" w:after="0"/>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Equity</w:t>
            </w:r>
          </w:p>
        </w:tc>
      </w:tr>
      <w:tr>
        <w:trPr/>
        <w:tc>
          <w:tcPr>
            <w:tcW w:w="2354"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December 31, 2024</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85,836,429</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22"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943,366</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34"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(782,337)</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30"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324</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96"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161,362</w:t>
            </w:r>
          </w:p>
        </w:tc>
      </w:tr>
      <w:tr>
        <w:trPr/>
        <w:tc>
          <w:tcPr>
            <w:tcW w:w="235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Issuance of common stock upon the exercise of stock options and 2021 ESPP</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116,488</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120</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120</w:t>
            </w:r>
          </w:p>
        </w:tc>
      </w:tr>
      <w:tr>
        <w:trPr/>
        <w:tc>
          <w:tcPr>
            <w:tcW w:w="235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Vesting of restricted stock</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24,734</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235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Vesting of early exercise stock options</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11,321</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84</w:t>
            </w:r>
          </w:p>
        </w:tc>
      </w:tr>
      <w:tr>
        <w:trPr/>
        <w:tc>
          <w:tcPr>
            <w:tcW w:w="235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Vesting of restricted stock units</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157,077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(94)</w:t>
            </w:r>
          </w:p>
        </w:tc>
      </w:tr>
      <w:tr>
        <w:trPr/>
        <w:tc>
          <w:tcPr>
            <w:tcW w:w="235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Unrealized loss on investments</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(19)</w:t>
            </w:r>
          </w:p>
        </w:tc>
      </w:tr>
      <w:tr>
        <w:trPr/>
        <w:tc>
          <w:tcPr>
            <w:tcW w:w="235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Foreign currency translation</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235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 based compensation</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2,426</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2,426</w:t>
            </w:r>
          </w:p>
        </w:tc>
      </w:tr>
      <w:tr>
        <w:trPr/>
        <w:tc>
          <w:tcPr>
            <w:tcW w:w="235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76,560</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76,560</w:t>
            </w:r>
          </w:p>
        </w:tc>
      </w:tr>
      <w:tr>
        <w:trPr/>
        <w:tc>
          <w:tcPr>
            <w:tcW w:w="2354"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March 31, 2025</w:t>
            </w:r>
          </w:p>
        </w:tc>
        <w:tc>
          <w:tcPr>
            <w:tcW w:w="326" w:type="dxa"/>
            <w:tcBorders/>
            <w:vAlign w:val="center"/>
          </w:tcPr>
          <w:p>
            <w:pPr>
              <w:pStyle w:val="TableContents"/>
              <w:bidi w:val="0"/>
              <w:spacing w:before="0" w:after="0"/>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86,146,049</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2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945,902</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(705,777)</w:t>
            </w:r>
          </w:p>
        </w:tc>
        <w:tc>
          <w:tcPr>
            <w:tcW w:w="326" w:type="dxa"/>
            <w:tcBorders/>
            <w:vAlign w:val="center"/>
          </w:tcPr>
          <w:p>
            <w:pPr>
              <w:pStyle w:val="TableContents"/>
              <w:bidi w:val="0"/>
              <w:spacing w:before="0" w:after="0"/>
              <w:ind w:left="0" w:right="0" w:hanging="0"/>
              <w:jc w:val="left"/>
              <w:rPr/>
            </w:pPr>
            <w:r>
              <w:rPr/>
              <w:t>​</w:t>
            </w:r>
          </w:p>
        </w:tc>
        <w:tc>
          <w:tcPr>
            <w:tcW w:w="43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3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305</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96" w:type="dxa"/>
            <w:tcBorders>
              <w:bottom w:val="double" w:sz="6" w:space="0" w:color="000000"/>
            </w:tcBorders>
            <w:tcMar>
              <w:bottom w:w="28" w:type="dxa"/>
            </w:tcMar>
            <w:vAlign w:val="center"/>
          </w:tcPr>
          <w:p>
            <w:pPr>
              <w:pStyle w:val="TableContents"/>
              <w:bidi w:val="0"/>
              <w:spacing w:before="0" w:after="0"/>
              <w:ind w:left="0" w:right="45" w:hanging="0"/>
              <w:jc w:val="right"/>
              <w:rPr>
                <w:rFonts w:ascii="Arial;Helvetica;sans-serif" w:hAnsi="Arial;Helvetica;sans-serif"/>
                <w:b/>
                <w:sz w:val="16"/>
              </w:rPr>
            </w:pPr>
            <w:r>
              <w:rPr>
                <w:rFonts w:ascii="Arial;Helvetica;sans-serif" w:hAnsi="Arial;Helvetica;sans-serif"/>
                <w:b/>
                <w:sz w:val="16"/>
              </w:rPr>
              <w:t>240,439</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8" w:name="Tc_XDm1m2SlaE-RsemscF8jJg_16_16"/>
      <w:bookmarkStart w:id="349" w:name="Tc_mbPXOC16nUmcLbr6IzsBbw_16_13"/>
      <w:bookmarkStart w:id="350" w:name="Tc_NGa_-KS8gUyg0B_2_9iq5A_16_10"/>
      <w:bookmarkStart w:id="351" w:name="Tc_UxBlT4ewqEqZSZ1Bn5Nseg_16_7"/>
      <w:bookmarkStart w:id="352" w:name="Tc_hdY8EBS_Kk6g92OrVHQm4w_16_4"/>
      <w:bookmarkStart w:id="353" w:name="Tc_S_6d-Z1CUUqFncD5G9zL3A_16_0"/>
      <w:bookmarkStart w:id="354" w:name="Tc_F7ixnPeXTE6i4Kzo8z0pQQ_15_8"/>
      <w:bookmarkStart w:id="355" w:name="Tc_39RuORNikUuUpw1vGKAFSw_15_5"/>
      <w:bookmarkStart w:id="356" w:name="Tc_gcVuQknrLEmnnnM3kX-xBw_15_2"/>
      <w:bookmarkStart w:id="357" w:name="Tc_LPpiiVMWREiakjYyF0_UAA_15_0"/>
      <w:bookmarkStart w:id="358" w:name="Tc_SYA1qMYvJkKY9ywCV7cNVA_14_11"/>
      <w:bookmarkStart w:id="359" w:name="Tc_xviBenRQvEenPNeBUpoOGQ_14_5"/>
      <w:bookmarkStart w:id="360" w:name="Tc_mt5DSQdR6UOrPdoGa7AhrQ_14_2"/>
      <w:bookmarkStart w:id="361" w:name="Tc_FefiRYqYoEqD6lAn95AA3g_14_0"/>
      <w:bookmarkStart w:id="362" w:name="Tc_PF4lua4UPUS89crGja62UQ_13_11"/>
      <w:bookmarkStart w:id="363" w:name="Tc_Fg1x3mSAiEORIpRpHmm5FQ_13_8"/>
      <w:bookmarkStart w:id="364" w:name="Tc_Dp_J3kb7bkeWo_MP_VUT-Q_13_5"/>
      <w:bookmarkStart w:id="365" w:name="Tc_J83nevruSkuFPvFlraHFTw_13_2"/>
      <w:bookmarkStart w:id="366" w:name="Tc_kpNyjPnutE-ou23h5Snz1w_13_0"/>
      <w:bookmarkStart w:id="367" w:name="Tc_te02tSrGqke1EbKKE7RHAA_12_11"/>
      <w:bookmarkStart w:id="368" w:name="Tc_CHGCKi3Vt06hbZ6nTJf2gw_12_8"/>
      <w:bookmarkStart w:id="369" w:name="Tc_3o7kYoByREugZRxtk8f_RA_12_5"/>
      <w:bookmarkStart w:id="370" w:name="Tc_zLSc2K93akW1s8EdK77L7g_12_2"/>
      <w:bookmarkStart w:id="371" w:name="Tc_Z87M1wnzkU-4w2d5Ebg4FA_12_0"/>
      <w:bookmarkStart w:id="372" w:name="Tc_VhZsE6RzlE28zSHYRZ0Y4A_11_11"/>
      <w:bookmarkStart w:id="373" w:name="Tc_Lo4ybv6WykSetCwQBDxWgA_11_5"/>
      <w:bookmarkStart w:id="374" w:name="Tc_BpCvGxHfiEuOx0284dCq1A_11_0"/>
      <w:bookmarkStart w:id="375" w:name="Tc_l6j5Ry1YokGPisvntoNF1A_10_17"/>
      <w:bookmarkStart w:id="376" w:name="Tc_teYfHdQe7Uux-td1vLx_IQ_10_11"/>
      <w:bookmarkStart w:id="377" w:name="Tc_-Spb16tRV0O0JlCCz2JotA_10_8"/>
      <w:bookmarkStart w:id="378" w:name="Tc_ELO2EVORsk640K1QGdL7Bg_10_5"/>
      <w:bookmarkStart w:id="379" w:name="Tc_xAly_xs6fEqEt6hiJN7b2g_10_0"/>
      <w:bookmarkStart w:id="380" w:name="Tc_dfjxYi9V-kaGbEf94DbxVQ_9_11"/>
      <w:bookmarkStart w:id="381" w:name="Tc_UUZu2mAm5kSbN3dVQeymSg_9_5"/>
      <w:bookmarkStart w:id="382" w:name="Tc_YW_vvGTtKEGheadloT6mRg_9_0"/>
      <w:bookmarkStart w:id="383" w:name="Tc_y_oR0zY_XUSICsWNDQzyIg_8_17"/>
      <w:bookmarkStart w:id="384" w:name="Tc_RCh6Ewgb1ketnb2ZKoWm5g_8_11"/>
      <w:bookmarkStart w:id="385" w:name="Tc_mtGjt5fAYU6Iq1BmQv0wJQ_8_8"/>
      <w:bookmarkStart w:id="386" w:name="Tc_JZJYHVSssEWPBICzarlSQQ_8_5"/>
      <w:bookmarkStart w:id="387" w:name="Tc_Yo-BiFCBsEqW0hlbq85bDQ_8_0"/>
      <w:bookmarkStart w:id="388" w:name="Tc_lDn91VFz0E2qdtsZJlq1jQ_7_11"/>
      <w:bookmarkStart w:id="389" w:name="Tc_vpD5HLm7-0SiqpwiiXxWJA_7_5"/>
      <w:bookmarkStart w:id="390" w:name="Tc_xgbgigg9p0SZcfkgghrhqQ_7_0"/>
      <w:bookmarkStart w:id="391" w:name="Tc_ogC_YwFdqEqGm97d2iR4sQ_6_16"/>
      <w:bookmarkStart w:id="392" w:name="Tc_KzrB37zMREe8lKRqXxwOvw_6_13"/>
      <w:bookmarkStart w:id="393" w:name="Tc_UziJ_1WMFk2pwJdmkqdX3A_6_10"/>
      <w:bookmarkStart w:id="394" w:name="Tc_bbaTEZQrkEmrlUxFvc6XxQ_6_7"/>
      <w:bookmarkStart w:id="395" w:name="Tc_jUiBL8UUC0GH7wZdBRbVow_6_4"/>
      <w:bookmarkStart w:id="396" w:name="Tc_Cd6QglRHuEqUxKfmBlqSkA_6_0"/>
      <w:bookmarkStart w:id="397" w:name="Tc_HDdqu5aYmk6EDliQSaolNQ_5_16"/>
      <w:bookmarkStart w:id="398" w:name="Tc_uiQXW2_GT0uhwzVoPkKoCQ_5_13"/>
      <w:bookmarkStart w:id="399" w:name="Tc_M1TGKrKOfkmdDFDfaCUnCg_5_10"/>
      <w:bookmarkStart w:id="400" w:name="Tc_w7DyrycIIEOgYtn1gfO1XQ_5_7"/>
      <w:bookmarkStart w:id="401" w:name="Tc_Lyiwg6NGHEa76EDMkLoKeg_5_4"/>
      <w:bookmarkStart w:id="402" w:name="Tc_upJaJKYDT0K1hSsMQ-7Slw_5_2"/>
      <w:bookmarkStart w:id="403" w:name="Tc_aRcNuMgfU0eRxCBFlqyK0A_4_16"/>
      <w:bookmarkStart w:id="404" w:name="Tc_TjQ_OKHwX0emmV32iW8ghA_4_13"/>
      <w:bookmarkStart w:id="405" w:name="Tc_nS4txzBcvEqYuQBrdQ5b3g_4_10"/>
      <w:bookmarkStart w:id="406" w:name="Tc_1Lrb3O1ocEyWoOEVxAYPKw_4_7"/>
      <w:bookmarkStart w:id="407" w:name="Tc_V67OdFfbEE6o6yapHvx2bQ_4_2"/>
      <w:bookmarkStart w:id="408" w:name="Tc_QkxL_wZbkUqUEtausMqd0A_3_16"/>
      <w:bookmarkStart w:id="409" w:name="Tc_qb3_C0jmn0SZAB7nPixBTw_3_13"/>
      <w:bookmarkStart w:id="410" w:name="Tc_OBd6Iyyg1kS_nLC9arxs-Q_3_7"/>
      <w:bookmarkStart w:id="411" w:name="Tc_C3yBKrrC4Ua-wc04sWwuEQ_2_13"/>
      <w:bookmarkStart w:id="412" w:name="_271ec04f_c073_463b_adaa_2d51ce645bd6"/>
      <w:bookmarkStart w:id="413" w:name="Tc_XDm1m2SlaE-RsemscF8jJg_16_16"/>
      <w:bookmarkStart w:id="414" w:name="Tc_mbPXOC16nUmcLbr6IzsBbw_16_13"/>
      <w:bookmarkStart w:id="415" w:name="Tc_NGa_-KS8gUyg0B_2_9iq5A_16_10"/>
      <w:bookmarkStart w:id="416" w:name="Tc_UxBlT4ewqEqZSZ1Bn5Nseg_16_7"/>
      <w:bookmarkStart w:id="417" w:name="Tc_hdY8EBS_Kk6g92OrVHQm4w_16_4"/>
      <w:bookmarkStart w:id="418" w:name="Tc_S_6d-Z1CUUqFncD5G9zL3A_16_0"/>
      <w:bookmarkStart w:id="419" w:name="Tc_F7ixnPeXTE6i4Kzo8z0pQQ_15_8"/>
      <w:bookmarkStart w:id="420" w:name="Tc_39RuORNikUuUpw1vGKAFSw_15_5"/>
      <w:bookmarkStart w:id="421" w:name="Tc_gcVuQknrLEmnnnM3kX-xBw_15_2"/>
      <w:bookmarkStart w:id="422" w:name="Tc_LPpiiVMWREiakjYyF0_UAA_15_0"/>
      <w:bookmarkStart w:id="423" w:name="Tc_SYA1qMYvJkKY9ywCV7cNVA_14_11"/>
      <w:bookmarkStart w:id="424" w:name="Tc_xviBenRQvEenPNeBUpoOGQ_14_5"/>
      <w:bookmarkStart w:id="425" w:name="Tc_mt5DSQdR6UOrPdoGa7AhrQ_14_2"/>
      <w:bookmarkStart w:id="426" w:name="Tc_FefiRYqYoEqD6lAn95AA3g_14_0"/>
      <w:bookmarkStart w:id="427" w:name="Tc_PF4lua4UPUS89crGja62UQ_13_11"/>
      <w:bookmarkStart w:id="428" w:name="Tc_Fg1x3mSAiEORIpRpHmm5FQ_13_8"/>
      <w:bookmarkStart w:id="429" w:name="Tc_Dp_J3kb7bkeWo_MP_VUT-Q_13_5"/>
      <w:bookmarkStart w:id="430" w:name="Tc_J83nevruSkuFPvFlraHFTw_13_2"/>
      <w:bookmarkStart w:id="431" w:name="Tc_kpNyjPnutE-ou23h5Snz1w_13_0"/>
      <w:bookmarkStart w:id="432" w:name="Tc_te02tSrGqke1EbKKE7RHAA_12_11"/>
      <w:bookmarkStart w:id="433" w:name="Tc_CHGCKi3Vt06hbZ6nTJf2gw_12_8"/>
      <w:bookmarkStart w:id="434" w:name="Tc_3o7kYoByREugZRxtk8f_RA_12_5"/>
      <w:bookmarkStart w:id="435" w:name="Tc_zLSc2K93akW1s8EdK77L7g_12_2"/>
      <w:bookmarkStart w:id="436" w:name="Tc_Z87M1wnzkU-4w2d5Ebg4FA_12_0"/>
      <w:bookmarkStart w:id="437" w:name="Tc_VhZsE6RzlE28zSHYRZ0Y4A_11_11"/>
      <w:bookmarkStart w:id="438" w:name="Tc_Lo4ybv6WykSetCwQBDxWgA_11_5"/>
      <w:bookmarkStart w:id="439" w:name="Tc_BpCvGxHfiEuOx0284dCq1A_11_0"/>
      <w:bookmarkStart w:id="440" w:name="Tc_l6j5Ry1YokGPisvntoNF1A_10_17"/>
      <w:bookmarkStart w:id="441" w:name="Tc_teYfHdQe7Uux-td1vLx_IQ_10_11"/>
      <w:bookmarkStart w:id="442" w:name="Tc_-Spb16tRV0O0JlCCz2JotA_10_8"/>
      <w:bookmarkStart w:id="443" w:name="Tc_ELO2EVORsk640K1QGdL7Bg_10_5"/>
      <w:bookmarkStart w:id="444" w:name="Tc_xAly_xs6fEqEt6hiJN7b2g_10_0"/>
      <w:bookmarkStart w:id="445" w:name="Tc_dfjxYi9V-kaGbEf94DbxVQ_9_11"/>
      <w:bookmarkStart w:id="446" w:name="Tc_UUZu2mAm5kSbN3dVQeymSg_9_5"/>
      <w:bookmarkStart w:id="447" w:name="Tc_YW_vvGTtKEGheadloT6mRg_9_0"/>
      <w:bookmarkStart w:id="448" w:name="Tc_y_oR0zY_XUSICsWNDQzyIg_8_17"/>
      <w:bookmarkStart w:id="449" w:name="Tc_RCh6Ewgb1ketnb2ZKoWm5g_8_11"/>
      <w:bookmarkStart w:id="450" w:name="Tc_mtGjt5fAYU6Iq1BmQv0wJQ_8_8"/>
      <w:bookmarkStart w:id="451" w:name="Tc_JZJYHVSssEWPBICzarlSQQ_8_5"/>
      <w:bookmarkStart w:id="452" w:name="Tc_Yo-BiFCBsEqW0hlbq85bDQ_8_0"/>
      <w:bookmarkStart w:id="453" w:name="Tc_lDn91VFz0E2qdtsZJlq1jQ_7_11"/>
      <w:bookmarkStart w:id="454" w:name="Tc_vpD5HLm7-0SiqpwiiXxWJA_7_5"/>
      <w:bookmarkStart w:id="455" w:name="Tc_xgbgigg9p0SZcfkgghrhqQ_7_0"/>
      <w:bookmarkStart w:id="456" w:name="Tc_ogC_YwFdqEqGm97d2iR4sQ_6_16"/>
      <w:bookmarkStart w:id="457" w:name="Tc_KzrB37zMREe8lKRqXxwOvw_6_13"/>
      <w:bookmarkStart w:id="458" w:name="Tc_UziJ_1WMFk2pwJdmkqdX3A_6_10"/>
      <w:bookmarkStart w:id="459" w:name="Tc_bbaTEZQrkEmrlUxFvc6XxQ_6_7"/>
      <w:bookmarkStart w:id="460" w:name="Tc_jUiBL8UUC0GH7wZdBRbVow_6_4"/>
      <w:bookmarkStart w:id="461" w:name="Tc_Cd6QglRHuEqUxKfmBlqSkA_6_0"/>
      <w:bookmarkStart w:id="462" w:name="Tc_HDdqu5aYmk6EDliQSaolNQ_5_16"/>
      <w:bookmarkStart w:id="463" w:name="Tc_uiQXW2_GT0uhwzVoPkKoCQ_5_13"/>
      <w:bookmarkStart w:id="464" w:name="Tc_M1TGKrKOfkmdDFDfaCUnCg_5_10"/>
      <w:bookmarkStart w:id="465" w:name="Tc_w7DyrycIIEOgYtn1gfO1XQ_5_7"/>
      <w:bookmarkStart w:id="466" w:name="Tc_Lyiwg6NGHEa76EDMkLoKeg_5_4"/>
      <w:bookmarkStart w:id="467" w:name="Tc_upJaJKYDT0K1hSsMQ-7Slw_5_2"/>
      <w:bookmarkStart w:id="468" w:name="Tc_aRcNuMgfU0eRxCBFlqyK0A_4_16"/>
      <w:bookmarkStart w:id="469" w:name="Tc_TjQ_OKHwX0emmV32iW8ghA_4_13"/>
      <w:bookmarkStart w:id="470" w:name="Tc_nS4txzBcvEqYuQBrdQ5b3g_4_10"/>
      <w:bookmarkStart w:id="471" w:name="Tc_1Lrb3O1ocEyWoOEVxAYPKw_4_7"/>
      <w:bookmarkStart w:id="472" w:name="Tc_V67OdFfbEE6o6yapHvx2bQ_4_2"/>
      <w:bookmarkStart w:id="473" w:name="Tc_QkxL_wZbkUqUEtausMqd0A_3_16"/>
      <w:bookmarkStart w:id="474" w:name="Tc_qb3_C0jmn0SZAB7nPixBTw_3_13"/>
      <w:bookmarkStart w:id="475" w:name="Tc_OBd6Iyyg1kS_nLC9arxs-Q_3_7"/>
      <w:bookmarkStart w:id="476" w:name="Tc_C3yBKrrC4Ua-wc04sWwuEQ_2_13"/>
      <w:bookmarkStart w:id="477" w:name="_271ec04f_c073_463b_adaa_2d51ce645bd6"/>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tbl>
      <w:tblPr>
        <w:tblW w:w="10205" w:type="dxa"/>
        <w:jc w:val="left"/>
        <w:tblInd w:w="0" w:type="dxa"/>
        <w:tblLayout w:type="fixed"/>
        <w:tblCellMar>
          <w:top w:w="0" w:type="dxa"/>
          <w:left w:w="0" w:type="dxa"/>
          <w:bottom w:w="0" w:type="dxa"/>
          <w:right w:w="0" w:type="dxa"/>
        </w:tblCellMar>
      </w:tblPr>
      <w:tblGrid>
        <w:gridCol w:w="2357"/>
        <w:gridCol w:w="326"/>
        <w:gridCol w:w="916"/>
        <w:gridCol w:w="326"/>
        <w:gridCol w:w="239"/>
        <w:gridCol w:w="422"/>
        <w:gridCol w:w="326"/>
        <w:gridCol w:w="196"/>
        <w:gridCol w:w="691"/>
        <w:gridCol w:w="326"/>
        <w:gridCol w:w="217"/>
        <w:gridCol w:w="834"/>
        <w:gridCol w:w="326"/>
        <w:gridCol w:w="389"/>
        <w:gridCol w:w="872"/>
        <w:gridCol w:w="326"/>
        <w:gridCol w:w="222"/>
        <w:gridCol w:w="894"/>
      </w:tblGrid>
      <w:tr>
        <w:trPr/>
        <w:tc>
          <w:tcPr>
            <w:tcW w:w="23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81660" cy="175260"/>
                      <wp:effectExtent l="0" t="0" r="0" b="0"/>
                      <wp:wrapNone/>
                      <wp:docPr id="33" name="Frame3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51765" cy="175260"/>
                      <wp:effectExtent l="0" t="0" r="0" b="0"/>
                      <wp:wrapNone/>
                      <wp:docPr id="35" name="Frame3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67970" cy="175260"/>
                      <wp:effectExtent l="0" t="0" r="0" b="0"/>
                      <wp:wrapNone/>
                      <wp:docPr id="36" name="Frame36"/>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8785" cy="175260"/>
                      <wp:effectExtent l="0" t="0" r="0" b="0"/>
                      <wp:wrapNone/>
                      <wp:docPr id="39" name="Frame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7795" cy="175260"/>
                      <wp:effectExtent l="0" t="0" r="0" b="0"/>
                      <wp:wrapNone/>
                      <wp:docPr id="41" name="Frame4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29590" cy="175260"/>
                      <wp:effectExtent l="0" t="0" r="0" b="0"/>
                      <wp:wrapNone/>
                      <wp:docPr id="42" name="Frame4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47015" cy="175260"/>
                      <wp:effectExtent l="0" t="0" r="0" b="0"/>
                      <wp:wrapNone/>
                      <wp:docPr id="44" name="Frame44"/>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53720" cy="175260"/>
                      <wp:effectExtent l="0" t="0" r="0" b="0"/>
                      <wp:wrapNone/>
                      <wp:docPr id="45" name="Frame45"/>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0970" cy="175260"/>
                      <wp:effectExtent l="0" t="0" r="0" b="0"/>
                      <wp:wrapNone/>
                      <wp:docPr id="47" name="Frame4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67690" cy="175260"/>
                      <wp:effectExtent l="0" t="0" r="0" b="0"/>
                      <wp:wrapNone/>
                      <wp:docPr id="48" name="Frame48"/>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3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2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3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261" w:type="dxa"/>
            <w:gridSpan w:val="2"/>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9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3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03"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Accumulated</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center"/>
              <w:rPr/>
            </w:pPr>
            <w:r>
              <w:rPr/>
              <w:t>​</w:t>
            </w:r>
          </w:p>
        </w:tc>
      </w:tr>
      <w:tr>
        <w:trPr/>
        <w:tc>
          <w:tcPr>
            <w:tcW w:w="23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03"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Additional</w:t>
            </w:r>
          </w:p>
        </w:tc>
        <w:tc>
          <w:tcPr>
            <w:tcW w:w="326"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pPr>
            <w:r>
              <w:rPr/>
              <w:t> </w:t>
            </w:r>
            <w:r>
              <w:rPr>
                <w:rFonts w:ascii="Arial;Helvetica;sans-serif" w:hAnsi="Arial;Helvetica;sans-serif"/>
                <w:sz w:val="16"/>
              </w:rPr>
              <w:t>Other </w:t>
            </w:r>
          </w:p>
        </w:tc>
        <w:tc>
          <w:tcPr>
            <w:tcW w:w="326" w:type="dxa"/>
            <w:tcBorders/>
            <w:vAlign w:val="center"/>
          </w:tcPr>
          <w:p>
            <w:pPr>
              <w:pStyle w:val="TableContents"/>
              <w:bidi w:val="0"/>
              <w:spacing w:before="0" w:after="0"/>
              <w:ind w:left="0" w:right="0" w:hanging="0"/>
              <w:jc w:val="center"/>
              <w:rPr/>
            </w:pPr>
            <w:r>
              <w:rPr/>
              <w:t>​</w:t>
            </w:r>
          </w:p>
        </w:tc>
        <w:tc>
          <w:tcPr>
            <w:tcW w:w="1116"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Total</w:t>
            </w:r>
          </w:p>
        </w:tc>
      </w:tr>
      <w:tr>
        <w:trPr/>
        <w:tc>
          <w:tcPr>
            <w:tcW w:w="23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Common Stock</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Paid-in</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Accumulated</w:t>
            </w:r>
          </w:p>
        </w:tc>
        <w:tc>
          <w:tcPr>
            <w:tcW w:w="3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Comprehensive</w:t>
            </w:r>
          </w:p>
        </w:tc>
        <w:tc>
          <w:tcPr>
            <w:tcW w:w="326" w:type="dxa"/>
            <w:tcBorders/>
            <w:vAlign w:val="center"/>
          </w:tcPr>
          <w:p>
            <w:pPr>
              <w:pStyle w:val="TableContents"/>
              <w:bidi w:val="0"/>
              <w:spacing w:before="0" w:after="0"/>
              <w:ind w:left="0" w:right="0" w:hanging="0"/>
              <w:jc w:val="center"/>
              <w:rPr/>
            </w:pPr>
            <w:r>
              <w:rPr/>
              <w:t>​</w:t>
            </w:r>
          </w:p>
        </w:tc>
        <w:tc>
          <w:tcPr>
            <w:tcW w:w="1116"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Stockholders’</w:t>
            </w:r>
          </w:p>
        </w:tc>
      </w:tr>
      <w:tr>
        <w:trPr/>
        <w:tc>
          <w:tcPr>
            <w:tcW w:w="23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Shares</w:t>
            </w:r>
          </w:p>
        </w:tc>
        <w:tc>
          <w:tcPr>
            <w:tcW w:w="326" w:type="dxa"/>
            <w:tcBorders/>
            <w:vAlign w:val="center"/>
          </w:tcPr>
          <w:p>
            <w:pPr>
              <w:pStyle w:val="TableContents"/>
              <w:bidi w:val="0"/>
              <w:spacing w:before="0" w:after="0"/>
              <w:ind w:left="0" w:right="0" w:hanging="0"/>
              <w:jc w:val="center"/>
              <w:rPr/>
            </w:pPr>
            <w:r>
              <w:rPr/>
              <w:t>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Amount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Capital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Deficit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Income (loss)</w:t>
            </w:r>
          </w:p>
        </w:tc>
        <w:tc>
          <w:tcPr>
            <w:tcW w:w="326" w:type="dxa"/>
            <w:tcBorders/>
            <w:vAlign w:val="center"/>
          </w:tcPr>
          <w:p>
            <w:pPr>
              <w:pStyle w:val="TableContents"/>
              <w:bidi w:val="0"/>
              <w:spacing w:before="0" w:after="0"/>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Equity</w:t>
            </w:r>
          </w:p>
        </w:tc>
      </w:tr>
      <w:tr>
        <w:trPr/>
        <w:tc>
          <w:tcPr>
            <w:tcW w:w="2357"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December 31, 2023</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60,335,701</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22"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840,407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34"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(655,771)</w:t>
            </w:r>
          </w:p>
        </w:tc>
        <w:tc>
          <w:tcPr>
            <w:tcW w:w="326"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72"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184,750</w:t>
            </w:r>
          </w:p>
        </w:tc>
      </w:tr>
      <w:tr>
        <w:trPr/>
        <w:tc>
          <w:tcPr>
            <w:tcW w:w="235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Issuance of common stock upon the exercise of stock options and 2021 ESPP</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220,647</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366</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366</w:t>
            </w:r>
          </w:p>
        </w:tc>
      </w:tr>
      <w:tr>
        <w:trPr/>
        <w:tc>
          <w:tcPr>
            <w:tcW w:w="2357"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Vesting of restricted stock</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24,734</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pPr>
            <w:r>
              <w:rPr/>
              <w:t>—</w:t>
            </w:r>
          </w:p>
        </w:tc>
      </w:tr>
      <w:tr>
        <w:trPr/>
        <w:tc>
          <w:tcPr>
            <w:tcW w:w="235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Vesting of early exercise stock options</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34,900</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142</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142</w:t>
            </w:r>
          </w:p>
        </w:tc>
      </w:tr>
      <w:tr>
        <w:trPr/>
        <w:tc>
          <w:tcPr>
            <w:tcW w:w="2357"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Vesting of restricted stock units</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109,108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pPr>
            <w:r>
              <w:rPr/>
              <w:t>—</w:t>
            </w:r>
          </w:p>
        </w:tc>
      </w:tr>
      <w:tr>
        <w:trPr/>
        <w:tc>
          <w:tcPr>
            <w:tcW w:w="235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Issuance of common stock upon the exercise of ATM, net of underwriting discounts and commissions and other issuance costs</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4,084,502</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17,829</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17,829</w:t>
            </w:r>
          </w:p>
        </w:tc>
      </w:tr>
      <w:tr>
        <w:trPr/>
        <w:tc>
          <w:tcPr>
            <w:tcW w:w="2357"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Unrealized loss on investments</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(351)</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(351)</w:t>
            </w:r>
          </w:p>
        </w:tc>
      </w:tr>
      <w:tr>
        <w:trPr/>
        <w:tc>
          <w:tcPr>
            <w:tcW w:w="235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Foreign currency translation</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w:t>
            </w:r>
          </w:p>
        </w:tc>
      </w:tr>
      <w:tr>
        <w:trPr/>
        <w:tc>
          <w:tcPr>
            <w:tcW w:w="2357"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 based compensation</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3,207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3,207</w:t>
            </w:r>
          </w:p>
        </w:tc>
      </w:tr>
      <w:tr>
        <w:trPr/>
        <w:tc>
          <w:tcPr>
            <w:tcW w:w="235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loss</w:t>
            </w:r>
          </w:p>
        </w:tc>
        <w:tc>
          <w:tcPr>
            <w:tcW w:w="326" w:type="dxa"/>
            <w:tcBorders/>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(28,062)</w:t>
            </w:r>
          </w:p>
        </w:tc>
        <w:tc>
          <w:tcPr>
            <w:tcW w:w="326" w:type="dxa"/>
            <w:tcBorders/>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(28,062)</w:t>
            </w:r>
          </w:p>
        </w:tc>
      </w:tr>
      <w:tr>
        <w:trPr/>
        <w:tc>
          <w:tcPr>
            <w:tcW w:w="2357"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March 31, 2024</w:t>
            </w:r>
          </w:p>
        </w:tc>
        <w:tc>
          <w:tcPr>
            <w:tcW w:w="326" w:type="dxa"/>
            <w:tcBorders/>
            <w:shd w:fill="CCEEFF" w:val="clear"/>
            <w:vAlign w:val="center"/>
          </w:tcPr>
          <w:p>
            <w:pPr>
              <w:pStyle w:val="TableContents"/>
              <w:bidi w:val="0"/>
              <w:spacing w:before="0" w:after="0"/>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64,809,592</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861,951</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(683,833)</w:t>
            </w:r>
          </w:p>
        </w:tc>
        <w:tc>
          <w:tcPr>
            <w:tcW w:w="326" w:type="dxa"/>
            <w:tcBorders/>
            <w:shd w:fill="CCEEFF" w:val="clear"/>
            <w:vAlign w:val="center"/>
          </w:tcPr>
          <w:p>
            <w:pPr>
              <w:pStyle w:val="TableContents"/>
              <w:bidi w:val="0"/>
              <w:spacing w:before="0" w:after="0"/>
              <w:ind w:left="0" w:right="0" w:hanging="0"/>
              <w:jc w:val="left"/>
              <w:rPr/>
            </w:pPr>
            <w:r>
              <w:rPr/>
              <w:t>​</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(241)</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Arial;Helvetica;sans-serif" w:hAnsi="Arial;Helvetica;sans-serif"/>
                <w:b/>
                <w:sz w:val="16"/>
              </w:rPr>
            </w:pPr>
            <w:r>
              <w:rPr>
                <w:rFonts w:ascii="Arial;Helvetica;sans-serif" w:hAnsi="Arial;Helvetica;sans-serif"/>
                <w:b/>
                <w:sz w:val="16"/>
              </w:rPr>
              <w:t>177,883</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4"/>
        </w:rPr>
      </w:pPr>
      <w:bookmarkStart w:id="478" w:name="_f68017fc_4b1f_4107_9b1f_50ebffae0f7e"/>
      <w:bookmarkEnd w:id="478"/>
      <w:r>
        <w:rPr>
          <w:rFonts w:ascii="Arial;Helvetica;sans-serif" w:hAnsi="Arial;Helvetica;sans-serif"/>
          <w:b/>
          <w:sz w:val="24"/>
        </w:rPr>
        <w:t>CENTURY THERAPEUTICS, INC.</w:t>
      </w:r>
    </w:p>
    <w:p>
      <w:pPr>
        <w:pStyle w:val="TextBody"/>
        <w:bidi w:val="0"/>
        <w:spacing w:before="0" w:after="0"/>
        <w:ind w:left="0" w:right="0" w:hanging="0"/>
        <w:jc w:val="center"/>
        <w:rPr>
          <w:rFonts w:ascii="Arial;Helvetica;sans-serif" w:hAnsi="Arial;Helvetica;sans-serif"/>
          <w:b/>
          <w:sz w:val="24"/>
        </w:rPr>
      </w:pPr>
      <w:bookmarkStart w:id="479" w:name="CONDENSEDSTATEMENTOFCASHFLOWS_471502"/>
      <w:bookmarkEnd w:id="479"/>
      <w:r>
        <w:rPr>
          <w:rFonts w:ascii="Arial;Helvetica;sans-serif" w:hAnsi="Arial;Helvetica;sans-serif"/>
          <w:b/>
          <w:sz w:val="24"/>
        </w:rPr>
        <w:t xml:space="preserve">CONSOLIDATED STATEMENTS OF CASH FLOWS </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(Unaudited)</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80" w:name="Tc_nkLkP02TEEyxj1Wlw2zqkw_40_6"/>
      <w:bookmarkStart w:id="481" w:name="Tc_UcqzLIBpcU2ePEgnyzIL2g_40_5"/>
      <w:bookmarkStart w:id="482" w:name="Tc_hoQNxrowKU2qjkF3jj9UAQ_40_2"/>
      <w:bookmarkStart w:id="483" w:name="Tc_7-rG1-EXL0Wn1wdV9MnF6g_40_0"/>
      <w:bookmarkStart w:id="484" w:name="Tc_o-FU_crUJUqXu35-HYtvUA_39_0"/>
      <w:bookmarkStart w:id="485" w:name="Tc_FIhD7RU9E0W6mE40OI-HDA_37_5"/>
      <w:bookmarkStart w:id="486" w:name="Tc_8pJdeRYzmECbjCL9ftI3Aw_37_2"/>
      <w:bookmarkStart w:id="487" w:name="Tc_ygN5r5zmTkaF7PQYQhST0w_37_0"/>
      <w:bookmarkStart w:id="488" w:name="Tc_TRfZNARiGUKeQ1Xc20No7A_35_0"/>
      <w:bookmarkStart w:id="489" w:name="Tc_dz1jx7K6b0ObuyK1XGr_Hw_33_0"/>
      <w:bookmarkStart w:id="490" w:name="Tc_B-J2usHpsk21kXfg-vZ-7w_31_0"/>
      <w:bookmarkStart w:id="491" w:name="Tc_OoQvrqSRyUawgjy_3_svdw_30_3"/>
      <w:bookmarkStart w:id="492" w:name="Tc_O7LWRg3Dt0C3wKtlxOb4Xw_30_0"/>
      <w:bookmarkStart w:id="493" w:name="Tc_VG6vZ4Rmq0e2hP9lzsyuAA_29_0"/>
      <w:bookmarkStart w:id="494" w:name="Tc__BonQO8KZECgj0APWwe2hA_27_0"/>
      <w:bookmarkStart w:id="495" w:name="Tc_KLPpK47dBU-ufliluTmFlw_25_0"/>
      <w:bookmarkStart w:id="496" w:name="Tc_Pez9mfjW-UWPOVQs_Bw0PQ_24_0"/>
      <w:bookmarkStart w:id="497" w:name="Tc_JYgDTrEcd06vxFSXtZwyNQ_23_0"/>
      <w:bookmarkStart w:id="498" w:name="Tc_jJA9Ae3-nEOxX0mrRkKiUg_22_0"/>
      <w:bookmarkStart w:id="499" w:name="Tc_v6wht8iuck-UAzzJ11dchQ_21_0"/>
      <w:bookmarkStart w:id="500" w:name="Tc_1hVKz0lt6Euje-VgZmM4ww_19_0"/>
      <w:bookmarkStart w:id="501" w:name="Tc_cLwazY_P5U-IZp4m9dGdOA_18_3"/>
      <w:bookmarkStart w:id="502" w:name="Tc_y6YooshXmk6deiL7NQTT-g_18_0"/>
      <w:bookmarkStart w:id="503" w:name="Tc_LpHg90FW9UeStX8ApDkfsw_17_0"/>
      <w:bookmarkStart w:id="504" w:name="Tc_WShVgDcoA0a_DDIOPRU2lw_16_0"/>
      <w:bookmarkStart w:id="505" w:name="Tc_R31tEKbsdUSiWWChXegMqQ_15_0"/>
      <w:bookmarkStart w:id="506" w:name="Tc_Xt8WUnvfP0eCY_4isS9rhw_14_0"/>
      <w:bookmarkStart w:id="507" w:name="Tc_ZSRkvUtvLEmdHY3UVB99Tg_13_0"/>
      <w:bookmarkStart w:id="508" w:name="Tc_nfALeXfO9E-kZShSDz2d_g_12_0"/>
      <w:bookmarkStart w:id="509" w:name="Tc__layneZC30-F1e7VjWVuNg_11_6"/>
      <w:bookmarkStart w:id="510" w:name="Tc_c5ooXqVpVEituKtKdunJ2Q_11_0"/>
      <w:bookmarkStart w:id="511" w:name="Tc_Gv4SgWVi_ky6pPxXzAuhKg_10_0"/>
      <w:bookmarkStart w:id="512" w:name="Tc_eevnSDohdk2rGD5NDbhHwg_9_0"/>
      <w:bookmarkStart w:id="513" w:name="Tc_W5pg0oFwZkap6t98F_XNGA_8_0"/>
      <w:bookmarkStart w:id="514" w:name="Tc_MCEuiTlYzkOL-fwuHkEvpg_7_0"/>
      <w:bookmarkStart w:id="515" w:name="Tc_WZj5YgP6vEy9ZAThmCoTxg_6_0"/>
      <w:bookmarkStart w:id="516" w:name="Tc_EnyX4bMKXECWESY-mJAXSg_5_5"/>
      <w:bookmarkStart w:id="517" w:name="Tc_TphwotZXMUKkCkz1W13YnQ_5_2"/>
      <w:bookmarkStart w:id="518" w:name="Tc_JlroVQw7YE-wwKy-M9QbLQ_5_0"/>
      <w:bookmarkStart w:id="519" w:name="Tc_8gKztvbjnkCdU0ZoAyyoYQ_4_0"/>
      <w:bookmarkStart w:id="520" w:name="Tc_rJnXnvLUA0q6V4f1sjW81Q_2_5"/>
      <w:bookmarkStart w:id="521" w:name="Tc_WAgTMFm1JE-T1_jLjHOA4w_2_2"/>
      <w:bookmarkStart w:id="522" w:name="Tc_BYCGDIxTiECqkbR1yZNfQA_1_5"/>
      <w:bookmarkStart w:id="523" w:name="Tc_hcYR-hyji0iQNswKUAxdBA_1_2"/>
      <w:bookmarkStart w:id="524" w:name="_8ba21b79_541b_4f6e_9f5d_ecbfb1f54dab"/>
      <w:bookmarkStart w:id="525" w:name="Tc_nkLkP02TEEyxj1Wlw2zqkw_40_6"/>
      <w:bookmarkStart w:id="526" w:name="Tc_UcqzLIBpcU2ePEgnyzIL2g_40_5"/>
      <w:bookmarkStart w:id="527" w:name="Tc_hoQNxrowKU2qjkF3jj9UAQ_40_2"/>
      <w:bookmarkStart w:id="528" w:name="Tc_7-rG1-EXL0Wn1wdV9MnF6g_40_0"/>
      <w:bookmarkStart w:id="529" w:name="Tc_o-FU_crUJUqXu35-HYtvUA_39_0"/>
      <w:bookmarkStart w:id="530" w:name="Tc_FIhD7RU9E0W6mE40OI-HDA_37_5"/>
      <w:bookmarkStart w:id="531" w:name="Tc_8pJdeRYzmECbjCL9ftI3Aw_37_2"/>
      <w:bookmarkStart w:id="532" w:name="Tc_ygN5r5zmTkaF7PQYQhST0w_37_0"/>
      <w:bookmarkStart w:id="533" w:name="Tc_TRfZNARiGUKeQ1Xc20No7A_35_0"/>
      <w:bookmarkStart w:id="534" w:name="Tc_dz1jx7K6b0ObuyK1XGr_Hw_33_0"/>
      <w:bookmarkStart w:id="535" w:name="Tc_B-J2usHpsk21kXfg-vZ-7w_31_0"/>
      <w:bookmarkStart w:id="536" w:name="Tc_OoQvrqSRyUawgjy_3_svdw_30_3"/>
      <w:bookmarkStart w:id="537" w:name="Tc_O7LWRg3Dt0C3wKtlxOb4Xw_30_0"/>
      <w:bookmarkStart w:id="538" w:name="Tc_VG6vZ4Rmq0e2hP9lzsyuAA_29_0"/>
      <w:bookmarkStart w:id="539" w:name="Tc__BonQO8KZECgj0APWwe2hA_27_0"/>
      <w:bookmarkStart w:id="540" w:name="Tc_KLPpK47dBU-ufliluTmFlw_25_0"/>
      <w:bookmarkStart w:id="541" w:name="Tc_Pez9mfjW-UWPOVQs_Bw0PQ_24_0"/>
      <w:bookmarkStart w:id="542" w:name="Tc_JYgDTrEcd06vxFSXtZwyNQ_23_0"/>
      <w:bookmarkStart w:id="543" w:name="Tc_jJA9Ae3-nEOxX0mrRkKiUg_22_0"/>
      <w:bookmarkStart w:id="544" w:name="Tc_v6wht8iuck-UAzzJ11dchQ_21_0"/>
      <w:bookmarkStart w:id="545" w:name="Tc_1hVKz0lt6Euje-VgZmM4ww_19_0"/>
      <w:bookmarkStart w:id="546" w:name="Tc_cLwazY_P5U-IZp4m9dGdOA_18_3"/>
      <w:bookmarkStart w:id="547" w:name="Tc_y6YooshXmk6deiL7NQTT-g_18_0"/>
      <w:bookmarkStart w:id="548" w:name="Tc_LpHg90FW9UeStX8ApDkfsw_17_0"/>
      <w:bookmarkStart w:id="549" w:name="Tc_WShVgDcoA0a_DDIOPRU2lw_16_0"/>
      <w:bookmarkStart w:id="550" w:name="Tc_R31tEKbsdUSiWWChXegMqQ_15_0"/>
      <w:bookmarkStart w:id="551" w:name="Tc_Xt8WUnvfP0eCY_4isS9rhw_14_0"/>
      <w:bookmarkStart w:id="552" w:name="Tc_ZSRkvUtvLEmdHY3UVB99Tg_13_0"/>
      <w:bookmarkStart w:id="553" w:name="Tc_nfALeXfO9E-kZShSDz2d_g_12_0"/>
      <w:bookmarkStart w:id="554" w:name="Tc__layneZC30-F1e7VjWVuNg_11_6"/>
      <w:bookmarkStart w:id="555" w:name="Tc_c5ooXqVpVEituKtKdunJ2Q_11_0"/>
      <w:bookmarkStart w:id="556" w:name="Tc_Gv4SgWVi_ky6pPxXzAuhKg_10_0"/>
      <w:bookmarkStart w:id="557" w:name="Tc_eevnSDohdk2rGD5NDbhHwg_9_0"/>
      <w:bookmarkStart w:id="558" w:name="Tc_W5pg0oFwZkap6t98F_XNGA_8_0"/>
      <w:bookmarkStart w:id="559" w:name="Tc_MCEuiTlYzkOL-fwuHkEvpg_7_0"/>
      <w:bookmarkStart w:id="560" w:name="Tc_WZj5YgP6vEy9ZAThmCoTxg_6_0"/>
      <w:bookmarkStart w:id="561" w:name="Tc_EnyX4bMKXECWESY-mJAXSg_5_5"/>
      <w:bookmarkStart w:id="562" w:name="Tc_TphwotZXMUKkCkz1W13YnQ_5_2"/>
      <w:bookmarkStart w:id="563" w:name="Tc_JlroVQw7YE-wwKy-M9QbLQ_5_0"/>
      <w:bookmarkStart w:id="564" w:name="Tc_8gKztvbjnkCdU0ZoAyyoYQ_4_0"/>
      <w:bookmarkStart w:id="565" w:name="Tc_rJnXnvLUA0q6V4f1sjW81Q_2_5"/>
      <w:bookmarkStart w:id="566" w:name="Tc_WAgTMFm1JE-T1_jLjHOA4w_2_2"/>
      <w:bookmarkStart w:id="567" w:name="Tc_BYCGDIxTiECqkbR1yZNfQA_1_5"/>
      <w:bookmarkStart w:id="568" w:name="Tc_hcYR-hyji0iQNswKUAxdBA_1_2"/>
      <w:bookmarkStart w:id="569" w:name="_8ba21b79_541b_4f6e_9f5d_ecbfb1f54dab"/>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tbl>
      <w:tblPr>
        <w:tblW w:w="10205" w:type="dxa"/>
        <w:jc w:val="left"/>
        <w:tblInd w:w="0" w:type="dxa"/>
        <w:tblLayout w:type="fixed"/>
        <w:tblCellMar>
          <w:top w:w="28" w:type="dxa"/>
          <w:left w:w="0" w:type="dxa"/>
          <w:bottom w:w="0" w:type="dxa"/>
          <w:right w:w="0" w:type="dxa"/>
        </w:tblCellMar>
      </w:tblPr>
      <w:tblGrid>
        <w:gridCol w:w="6226"/>
        <w:gridCol w:w="326"/>
        <w:gridCol w:w="327"/>
        <w:gridCol w:w="1313"/>
        <w:gridCol w:w="326"/>
        <w:gridCol w:w="351"/>
        <w:gridCol w:w="1336"/>
      </w:tblGrid>
      <w:tr>
        <w:trPr/>
        <w:tc>
          <w:tcPr>
            <w:tcW w:w="62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953510" cy="175260"/>
                      <wp:effectExtent l="0" t="0" r="0" b="0"/>
                      <wp:wrapNone/>
                      <wp:docPr id="49" name="Frame49"/>
                      <a:graphic xmlns:a="http://schemas.openxmlformats.org/drawingml/2006/main">
                        <a:graphicData uri="http://schemas.microsoft.com/office/word/2010/wordprocessingShape">
                          <wps:wsp>
                            <wps:cNvSpPr txBox="1"/>
                            <wps:spPr>
                              <a:xfrm>
                                <a:off x="0" y="0"/>
                                <a:ext cx="395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645" cy="175260"/>
                      <wp:effectExtent l="0" t="0" r="0" b="0"/>
                      <wp:wrapNone/>
                      <wp:docPr id="51" name="Frame5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3"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833755" cy="175260"/>
                      <wp:effectExtent l="0" t="0" r="0" b="0"/>
                      <wp:wrapNone/>
                      <wp:docPr id="52" name="Frame52"/>
                      <a:graphic xmlns:a="http://schemas.openxmlformats.org/drawingml/2006/main">
                        <a:graphicData uri="http://schemas.microsoft.com/office/word/2010/wordprocessingShape">
                          <wps:wsp>
                            <wps:cNvSpPr txBox="1"/>
                            <wps:spPr>
                              <a:xfrm>
                                <a:off x="0" y="0"/>
                                <a:ext cx="833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2885" cy="175260"/>
                      <wp:effectExtent l="0" t="0" r="0" b="0"/>
                      <wp:wrapNone/>
                      <wp:docPr id="54" name="Frame54"/>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848360" cy="175260"/>
                      <wp:effectExtent l="0" t="0" r="0" b="0"/>
                      <wp:wrapNone/>
                      <wp:docPr id="55" name="Frame55"/>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26"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center"/>
              <w:rPr/>
            </w:pPr>
            <w:r>
              <w:rPr/>
              <w:t>​</w:t>
            </w:r>
          </w:p>
        </w:tc>
        <w:tc>
          <w:tcPr>
            <w:tcW w:w="1640" w:type="dxa"/>
            <w:gridSpan w:val="2"/>
            <w:tcBorders/>
            <w:tcMar>
              <w:top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326" w:type="dxa"/>
            <w:tcBorders/>
            <w:tcMar>
              <w:top w:w="0" w:type="dxa"/>
            </w:tcMar>
            <w:vAlign w:val="center"/>
          </w:tcPr>
          <w:p>
            <w:pPr>
              <w:pStyle w:val="TableContents"/>
              <w:bidi w:val="0"/>
              <w:spacing w:before="0" w:after="0"/>
              <w:ind w:left="0" w:right="0" w:hanging="0"/>
              <w:jc w:val="center"/>
              <w:rPr/>
            </w:pPr>
            <w:r>
              <w:rPr/>
              <w:t>​</w:t>
            </w:r>
          </w:p>
        </w:tc>
        <w:tc>
          <w:tcPr>
            <w:tcW w:w="1687" w:type="dxa"/>
            <w:gridSpan w:val="2"/>
            <w:tcBorders/>
            <w:tcMar>
              <w:top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r>
      <w:tr>
        <w:trPr/>
        <w:tc>
          <w:tcPr>
            <w:tcW w:w="6226"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center"/>
              <w:rPr/>
            </w:pPr>
            <w:r>
              <w:rPr/>
              <w:t>    </w:t>
            </w:r>
          </w:p>
        </w:tc>
        <w:tc>
          <w:tcPr>
            <w:tcW w:w="1640" w:type="dxa"/>
            <w:gridSpan w:val="2"/>
            <w:tcBorders/>
            <w:tcMar>
              <w:top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2025</w:t>
            </w:r>
          </w:p>
        </w:tc>
        <w:tc>
          <w:tcPr>
            <w:tcW w:w="326" w:type="dxa"/>
            <w:tcBorders/>
            <w:tcMar>
              <w:top w:w="0" w:type="dxa"/>
            </w:tcMar>
            <w:vAlign w:val="center"/>
          </w:tcPr>
          <w:p>
            <w:pPr>
              <w:pStyle w:val="TableContents"/>
              <w:bidi w:val="0"/>
              <w:spacing w:before="0" w:after="0"/>
              <w:ind w:left="0" w:right="0" w:hanging="0"/>
              <w:jc w:val="center"/>
              <w:rPr/>
            </w:pPr>
            <w:r>
              <w:rPr/>
              <w:t>    </w:t>
            </w:r>
          </w:p>
        </w:tc>
        <w:tc>
          <w:tcPr>
            <w:tcW w:w="1687" w:type="dxa"/>
            <w:gridSpan w:val="2"/>
            <w:tcBorders/>
            <w:tcMar>
              <w:top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2024</w:t>
            </w:r>
          </w:p>
        </w:tc>
      </w:tr>
      <w:tr>
        <w:trPr/>
        <w:tc>
          <w:tcPr>
            <w:tcW w:w="6226"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left"/>
              <w:rPr/>
            </w:pPr>
            <w:r>
              <w:rPr/>
              <w:t>    </w:t>
            </w:r>
          </w:p>
        </w:tc>
        <w:tc>
          <w:tcPr>
            <w:tcW w:w="1640"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pPr>
            <w:r>
              <w:rPr/>
              <w:t>​</w:t>
            </w:r>
          </w:p>
        </w:tc>
        <w:tc>
          <w:tcPr>
            <w:tcW w:w="326" w:type="dxa"/>
            <w:tcBorders/>
            <w:tcMar>
              <w:top w:w="0" w:type="dxa"/>
            </w:tcMar>
            <w:vAlign w:val="center"/>
          </w:tcPr>
          <w:p>
            <w:pPr>
              <w:pStyle w:val="TableContents"/>
              <w:bidi w:val="0"/>
              <w:spacing w:before="0" w:after="0"/>
              <w:ind w:left="0" w:right="0" w:hanging="0"/>
              <w:jc w:val="center"/>
              <w:rPr/>
            </w:pPr>
            <w:r>
              <w:rPr/>
              <w:t>    </w:t>
            </w:r>
          </w:p>
        </w:tc>
        <w:tc>
          <w:tcPr>
            <w:tcW w:w="1687"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pPr>
            <w:r>
              <w:rPr/>
              <w:t>​</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operating activities</w:t>
            </w:r>
          </w:p>
        </w:tc>
        <w:tc>
          <w:tcPr>
            <w:tcW w:w="326" w:type="dxa"/>
            <w:tcBorders/>
            <w:shd w:fill="CCEEFF" w:val="clear"/>
            <w:tcMar>
              <w:top w:w="0" w:type="dxa"/>
            </w:tcMar>
            <w:vAlign w:val="center"/>
          </w:tcPr>
          <w:p>
            <w:pPr>
              <w:pStyle w:val="TableContents"/>
              <w:bidi w:val="0"/>
              <w:spacing w:before="0" w:after="0"/>
              <w:ind w:left="0" w:right="0" w:hanging="0"/>
              <w:jc w:val="left"/>
              <w:rPr/>
            </w:pPr>
            <w:r>
              <w:rPr/>
              <w:t> </w:t>
            </w:r>
          </w:p>
        </w:tc>
        <w:tc>
          <w:tcPr>
            <w:tcW w:w="327" w:type="dxa"/>
            <w:tcBorders/>
            <w:shd w:fill="CCEEFF" w:val="clear"/>
            <w:tcMar>
              <w:top w:w="0" w:type="dxa"/>
            </w:tcMar>
            <w:vAlign w:val="center"/>
          </w:tcPr>
          <w:p>
            <w:pPr>
              <w:pStyle w:val="TableContents"/>
              <w:bidi w:val="0"/>
              <w:spacing w:before="0" w:after="0"/>
              <w:ind w:left="0" w:right="0" w:hanging="0"/>
              <w:jc w:val="left"/>
              <w:rPr/>
            </w:pPr>
            <w:r>
              <w:rPr/>
              <w:t>​</w:t>
            </w:r>
          </w:p>
        </w:tc>
        <w:tc>
          <w:tcPr>
            <w:tcW w:w="1313" w:type="dxa"/>
            <w:tcBorders/>
            <w:shd w:fill="CCEEFF" w:val="clear"/>
            <w:tcMar>
              <w:top w:w="0" w:type="dxa"/>
            </w:tcMar>
            <w:vAlign w:val="center"/>
          </w:tcPr>
          <w:p>
            <w:pPr>
              <w:pStyle w:val="TableContents"/>
              <w:bidi w:val="0"/>
              <w:spacing w:before="0" w:after="0"/>
              <w:ind w:left="0" w:right="0" w:hanging="0"/>
              <w:jc w:val="right"/>
              <w:rPr/>
            </w:pPr>
            <w:r>
              <w:rPr/>
              <w:t>  </w:t>
            </w:r>
          </w:p>
        </w:tc>
        <w:tc>
          <w:tcPr>
            <w:tcW w:w="326" w:type="dxa"/>
            <w:tcBorders/>
            <w:shd w:fill="CCEEFF" w:val="clear"/>
            <w:tcMar>
              <w:top w:w="0" w:type="dxa"/>
            </w:tcMar>
            <w:vAlign w:val="center"/>
          </w:tcPr>
          <w:p>
            <w:pPr>
              <w:pStyle w:val="TableContents"/>
              <w:bidi w:val="0"/>
              <w:spacing w:before="0" w:after="0"/>
              <w:ind w:left="0" w:right="0" w:hanging="0"/>
              <w:jc w:val="left"/>
              <w:rPr/>
            </w:pPr>
            <w:r>
              <w:rPr/>
              <w:t> </w:t>
            </w:r>
          </w:p>
        </w:tc>
        <w:tc>
          <w:tcPr>
            <w:tcW w:w="351" w:type="dxa"/>
            <w:tcBorders/>
            <w:shd w:fill="CCEEFF" w:val="clear"/>
            <w:tcMar>
              <w:top w:w="0" w:type="dxa"/>
            </w:tcMar>
            <w:vAlign w:val="center"/>
          </w:tcPr>
          <w:p>
            <w:pPr>
              <w:pStyle w:val="TableContents"/>
              <w:bidi w:val="0"/>
              <w:spacing w:before="0" w:after="0"/>
              <w:ind w:left="0" w:right="0" w:hanging="0"/>
              <w:jc w:val="left"/>
              <w:rPr/>
            </w:pPr>
            <w:r>
              <w:rPr/>
              <w:t>​</w:t>
            </w:r>
          </w:p>
        </w:tc>
        <w:tc>
          <w:tcPr>
            <w:tcW w:w="1336" w:type="dxa"/>
            <w:tcBorders/>
            <w:shd w:fill="CCEEFF" w:val="clear"/>
            <w:tcMar>
              <w:top w:w="0" w:type="dxa"/>
            </w:tcMar>
            <w:vAlign w:val="center"/>
          </w:tcPr>
          <w:p>
            <w:pPr>
              <w:pStyle w:val="TableContents"/>
              <w:bidi w:val="0"/>
              <w:spacing w:before="0" w:after="0"/>
              <w:ind w:left="0" w:right="0" w:hanging="0"/>
              <w:jc w:val="right"/>
              <w:rPr/>
            </w:pPr>
            <w:r>
              <w:rPr/>
              <w:t>  </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313"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76,560</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336"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(28,062)</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Adjustments to reconcile net income (loss) to net cash used in operating activities:</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 </w:t>
            </w:r>
          </w:p>
        </w:tc>
        <w:tc>
          <w:tcPr>
            <w:tcW w:w="1313" w:type="dxa"/>
            <w:tcBorders/>
            <w:shd w:fill="CCEEFF" w:val="clear"/>
            <w:tcMar>
              <w:top w:w="0" w:type="dxa"/>
            </w:tcMar>
            <w:vAlign w:val="center"/>
          </w:tcPr>
          <w:p>
            <w:pPr>
              <w:pStyle w:val="TableContents"/>
              <w:bidi w:val="0"/>
              <w:spacing w:before="0" w:after="0"/>
              <w:ind w:left="0" w:right="0" w:hanging="0"/>
              <w:jc w:val="righ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 </w:t>
            </w:r>
          </w:p>
        </w:tc>
        <w:tc>
          <w:tcPr>
            <w:tcW w:w="1336" w:type="dxa"/>
            <w:tcBorders/>
            <w:shd w:fill="CCEEFF" w:val="clear"/>
            <w:tcMar>
              <w:top w:w="0" w:type="dxa"/>
            </w:tcMar>
            <w:vAlign w:val="center"/>
          </w:tcPr>
          <w:p>
            <w:pPr>
              <w:pStyle w:val="TableContents"/>
              <w:bidi w:val="0"/>
              <w:spacing w:before="0" w:after="0"/>
              <w:ind w:left="0" w:right="0" w:hanging="0"/>
              <w:jc w:val="right"/>
              <w:rPr/>
            </w:pPr>
            <w:r>
              <w:rPr/>
              <w:t>​</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Depreciation</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 </w:t>
            </w:r>
          </w:p>
        </w:tc>
        <w:tc>
          <w:tcPr>
            <w:tcW w:w="1313"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3,221</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 </w:t>
            </w:r>
          </w:p>
        </w:tc>
        <w:tc>
          <w:tcPr>
            <w:tcW w:w="1336"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3,226</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operating lease benefit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w:t>
            </w:r>
          </w:p>
        </w:tc>
        <w:tc>
          <w:tcPr>
            <w:tcW w:w="1313"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474</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w:t>
            </w:r>
          </w:p>
        </w:tc>
        <w:tc>
          <w:tcPr>
            <w:tcW w:w="1336"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1,542</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 based compensation</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 </w:t>
            </w:r>
          </w:p>
        </w:tc>
        <w:tc>
          <w:tcPr>
            <w:tcW w:w="1313"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2,426</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 </w:t>
            </w:r>
          </w:p>
        </w:tc>
        <w:tc>
          <w:tcPr>
            <w:tcW w:w="1336"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3,207</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Amortization of investments</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w:t>
            </w:r>
          </w:p>
        </w:tc>
        <w:tc>
          <w:tcPr>
            <w:tcW w:w="1313"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(854)</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w:t>
            </w:r>
          </w:p>
        </w:tc>
        <w:tc>
          <w:tcPr>
            <w:tcW w:w="1336"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(1,115)</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Change in fair value of contingent liabilities</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w:t>
            </w:r>
          </w:p>
        </w:tc>
        <w:tc>
          <w:tcPr>
            <w:tcW w:w="1313"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(238)</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w:t>
            </w:r>
          </w:p>
        </w:tc>
        <w:tc>
          <w:tcPr>
            <w:tcW w:w="1336" w:type="dxa"/>
            <w:tcBorders/>
            <w:tcMar>
              <w:top w:w="0" w:type="dxa"/>
            </w:tcMar>
            <w:vAlign w:val="center"/>
          </w:tcPr>
          <w:p>
            <w:pPr>
              <w:pStyle w:val="TableContents"/>
              <w:bidi w:val="0"/>
              <w:spacing w:before="0" w:after="0"/>
              <w:ind w:left="0" w:right="0" w:hanging="0"/>
              <w:jc w:val="right"/>
              <w:rPr/>
            </w:pPr>
            <w:r>
              <w:rPr/>
              <w:t>—</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Change in operating assets and liabilities:</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 </w:t>
            </w:r>
          </w:p>
        </w:tc>
        <w:tc>
          <w:tcPr>
            <w:tcW w:w="1313" w:type="dxa"/>
            <w:tcBorders/>
            <w:shd w:fill="CCEEFF" w:val="clear"/>
            <w:tcMar>
              <w:top w:w="0" w:type="dxa"/>
            </w:tcMar>
            <w:vAlign w:val="center"/>
          </w:tcPr>
          <w:p>
            <w:pPr>
              <w:pStyle w:val="TableContents"/>
              <w:bidi w:val="0"/>
              <w:spacing w:before="0" w:after="0"/>
              <w:ind w:left="0" w:right="0" w:hanging="0"/>
              <w:jc w:val="righ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 </w:t>
            </w:r>
          </w:p>
        </w:tc>
        <w:tc>
          <w:tcPr>
            <w:tcW w:w="1336" w:type="dxa"/>
            <w:tcBorders/>
            <w:shd w:fill="CCEEFF" w:val="clear"/>
            <w:tcMar>
              <w:top w:w="0" w:type="dxa"/>
            </w:tcMar>
            <w:vAlign w:val="center"/>
          </w:tcPr>
          <w:p>
            <w:pPr>
              <w:pStyle w:val="TableContents"/>
              <w:bidi w:val="0"/>
              <w:spacing w:before="0" w:after="0"/>
              <w:ind w:left="0" w:right="0" w:hanging="0"/>
              <w:jc w:val="right"/>
              <w:rPr/>
            </w:pPr>
            <w:r>
              <w:rPr/>
              <w:t>​</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Prepaid expenses and other assets</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 </w:t>
            </w:r>
          </w:p>
        </w:tc>
        <w:tc>
          <w:tcPr>
            <w:tcW w:w="1313"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289</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 </w:t>
            </w:r>
          </w:p>
        </w:tc>
        <w:tc>
          <w:tcPr>
            <w:tcW w:w="1336"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(3,395)</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lease liability</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w:t>
            </w:r>
          </w:p>
        </w:tc>
        <w:tc>
          <w:tcPr>
            <w:tcW w:w="1313"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(1,154)</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w:t>
            </w:r>
          </w:p>
        </w:tc>
        <w:tc>
          <w:tcPr>
            <w:tcW w:w="1336"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(2,186)</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revenue</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w:t>
            </w:r>
          </w:p>
        </w:tc>
        <w:tc>
          <w:tcPr>
            <w:tcW w:w="1313"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(109,164)</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w:t>
            </w:r>
          </w:p>
        </w:tc>
        <w:tc>
          <w:tcPr>
            <w:tcW w:w="1336"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(855)</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Accounts payable</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 </w:t>
            </w:r>
          </w:p>
        </w:tc>
        <w:tc>
          <w:tcPr>
            <w:tcW w:w="1313"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361</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 </w:t>
            </w:r>
          </w:p>
        </w:tc>
        <w:tc>
          <w:tcPr>
            <w:tcW w:w="1336"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689</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Accrued expenses and other liabilities</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 </w:t>
            </w:r>
          </w:p>
        </w:tc>
        <w:tc>
          <w:tcPr>
            <w:tcW w:w="1313"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(6,544)</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 </w:t>
            </w:r>
          </w:p>
        </w:tc>
        <w:tc>
          <w:tcPr>
            <w:tcW w:w="1336"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(3,319)</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security deposit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w:t>
            </w:r>
          </w:p>
        </w:tc>
        <w:tc>
          <w:tcPr>
            <w:tcW w:w="1313"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w:t>
            </w:r>
          </w:p>
        </w:tc>
        <w:tc>
          <w:tcPr>
            <w:tcW w:w="1336"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cash used in operating activities</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(34,623)</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1336"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(30,248)</w:t>
            </w:r>
          </w:p>
        </w:tc>
      </w:tr>
      <w:tr>
        <w:trPr/>
        <w:tc>
          <w:tcPr>
            <w:tcW w:w="6226"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w:t>
            </w:r>
          </w:p>
        </w:tc>
        <w:tc>
          <w:tcPr>
            <w:tcW w:w="1313"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w:t>
            </w:r>
          </w:p>
        </w:tc>
        <w:tc>
          <w:tcPr>
            <w:tcW w:w="1336" w:type="dxa"/>
            <w:tcBorders/>
            <w:shd w:fill="CCEEFF" w:val="clear"/>
            <w:tcMar>
              <w:top w:w="0" w:type="dxa"/>
            </w:tcMar>
            <w:vAlign w:val="center"/>
          </w:tcPr>
          <w:p>
            <w:pPr>
              <w:pStyle w:val="TableContents"/>
              <w:bidi w:val="0"/>
              <w:spacing w:before="0" w:after="0"/>
              <w:ind w:left="0" w:right="0" w:hanging="0"/>
              <w:jc w:val="left"/>
              <w:rPr/>
            </w:pPr>
            <w:r>
              <w:rPr/>
              <w:t>​</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investing activities</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 </w:t>
            </w:r>
          </w:p>
        </w:tc>
        <w:tc>
          <w:tcPr>
            <w:tcW w:w="1313" w:type="dxa"/>
            <w:tcBorders/>
            <w:tcMar>
              <w:top w:w="0" w:type="dxa"/>
            </w:tcMar>
            <w:vAlign w:val="center"/>
          </w:tcPr>
          <w:p>
            <w:pPr>
              <w:pStyle w:val="TableContents"/>
              <w:bidi w:val="0"/>
              <w:spacing w:before="0" w:after="0"/>
              <w:ind w:left="0" w:right="0" w:hanging="0"/>
              <w:jc w:val="right"/>
              <w:rPr/>
            </w:pPr>
            <w:r>
              <w:rPr/>
              <w:t>  </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 </w:t>
            </w:r>
          </w:p>
        </w:tc>
        <w:tc>
          <w:tcPr>
            <w:tcW w:w="1336" w:type="dxa"/>
            <w:tcBorders/>
            <w:tcMar>
              <w:top w:w="0" w:type="dxa"/>
            </w:tcMar>
            <w:vAlign w:val="center"/>
          </w:tcPr>
          <w:p>
            <w:pPr>
              <w:pStyle w:val="TableContents"/>
              <w:bidi w:val="0"/>
              <w:spacing w:before="0" w:after="0"/>
              <w:ind w:left="0" w:right="0" w:hanging="0"/>
              <w:jc w:val="right"/>
              <w:rPr/>
            </w:pPr>
            <w:r>
              <w:rPr/>
              <w:t>  </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Acquisition of property and equipment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 </w:t>
            </w:r>
          </w:p>
        </w:tc>
        <w:tc>
          <w:tcPr>
            <w:tcW w:w="1313"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(475)</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 </w:t>
            </w:r>
          </w:p>
        </w:tc>
        <w:tc>
          <w:tcPr>
            <w:tcW w:w="1336"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(539)</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Acquisition of fixed maturity securities, available for sale</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 </w:t>
            </w:r>
          </w:p>
        </w:tc>
        <w:tc>
          <w:tcPr>
            <w:tcW w:w="1313"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(14,885)</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 </w:t>
            </w:r>
          </w:p>
        </w:tc>
        <w:tc>
          <w:tcPr>
            <w:tcW w:w="1336"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(35,087)</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Sale of fixed maturity securities, available for sale</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43,290</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336"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47,167</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cash provided by investing activities</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27,930</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1336"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11,541</w:t>
            </w:r>
          </w:p>
        </w:tc>
      </w:tr>
      <w:tr>
        <w:trPr/>
        <w:tc>
          <w:tcPr>
            <w:tcW w:w="6226"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w:t>
            </w:r>
          </w:p>
        </w:tc>
        <w:tc>
          <w:tcPr>
            <w:tcW w:w="1313"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w:t>
            </w:r>
          </w:p>
        </w:tc>
        <w:tc>
          <w:tcPr>
            <w:tcW w:w="1336" w:type="dxa"/>
            <w:tcBorders/>
            <w:shd w:fill="CCEEFF" w:val="clear"/>
            <w:tcMar>
              <w:top w:w="0" w:type="dxa"/>
            </w:tcMar>
            <w:vAlign w:val="center"/>
          </w:tcPr>
          <w:p>
            <w:pPr>
              <w:pStyle w:val="TableContents"/>
              <w:bidi w:val="0"/>
              <w:spacing w:before="0" w:after="0"/>
              <w:ind w:left="0" w:right="0" w:hanging="0"/>
              <w:jc w:val="left"/>
              <w:rPr/>
            </w:pPr>
            <w:r>
              <w:rPr/>
              <w:t>​</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financing activities</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 </w:t>
            </w:r>
          </w:p>
        </w:tc>
        <w:tc>
          <w:tcPr>
            <w:tcW w:w="1313" w:type="dxa"/>
            <w:tcBorders/>
            <w:tcMar>
              <w:top w:w="0" w:type="dxa"/>
            </w:tcMar>
            <w:vAlign w:val="center"/>
          </w:tcPr>
          <w:p>
            <w:pPr>
              <w:pStyle w:val="TableContents"/>
              <w:bidi w:val="0"/>
              <w:spacing w:before="0" w:after="0"/>
              <w:ind w:left="0" w:right="0" w:hanging="0"/>
              <w:jc w:val="right"/>
              <w:rPr/>
            </w:pPr>
            <w:r>
              <w:rPr/>
              <w:t>  </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 </w:t>
            </w:r>
          </w:p>
        </w:tc>
        <w:tc>
          <w:tcPr>
            <w:tcW w:w="1336" w:type="dxa"/>
            <w:tcBorders/>
            <w:tcMar>
              <w:top w:w="0" w:type="dxa"/>
            </w:tcMar>
            <w:vAlign w:val="center"/>
          </w:tcPr>
          <w:p>
            <w:pPr>
              <w:pStyle w:val="TableContents"/>
              <w:bidi w:val="0"/>
              <w:spacing w:before="0" w:after="0"/>
              <w:ind w:left="0" w:right="0" w:hanging="0"/>
              <w:jc w:val="right"/>
              <w:rPr/>
            </w:pPr>
            <w:r>
              <w:rPr/>
              <w:t>  </w:t>
            </w:r>
          </w:p>
        </w:tc>
      </w:tr>
      <w:tr>
        <w:trPr/>
        <w:tc>
          <w:tcPr>
            <w:tcW w:w="6226"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w:t>
            </w:r>
          </w:p>
        </w:tc>
        <w:tc>
          <w:tcPr>
            <w:tcW w:w="1313" w:type="dxa"/>
            <w:tcBorders/>
            <w:shd w:fill="CCEEFF" w:val="clear"/>
            <w:tcMar>
              <w:top w:w="0" w:type="dxa"/>
            </w:tcMar>
            <w:vAlign w:val="center"/>
          </w:tcPr>
          <w:p>
            <w:pPr>
              <w:pStyle w:val="TableContents"/>
              <w:bidi w:val="0"/>
              <w:spacing w:before="0" w:after="0"/>
              <w:ind w:left="0" w:right="0" w:hanging="0"/>
              <w:jc w:val="righ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w:t>
            </w:r>
          </w:p>
        </w:tc>
        <w:tc>
          <w:tcPr>
            <w:tcW w:w="1336" w:type="dxa"/>
            <w:tcBorders/>
            <w:shd w:fill="CCEEFF" w:val="clear"/>
            <w:tcMar>
              <w:top w:w="0" w:type="dxa"/>
            </w:tcMar>
            <w:vAlign w:val="center"/>
          </w:tcPr>
          <w:p>
            <w:pPr>
              <w:pStyle w:val="TableContents"/>
              <w:bidi w:val="0"/>
              <w:spacing w:before="0" w:after="0"/>
              <w:ind w:left="0" w:right="0" w:hanging="0"/>
              <w:jc w:val="right"/>
              <w:rPr/>
            </w:pPr>
            <w:r>
              <w:rPr/>
              <w:t>​</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Proceeds from issuance of common stock and ESPP</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w:t>
            </w:r>
          </w:p>
        </w:tc>
        <w:tc>
          <w:tcPr>
            <w:tcW w:w="1313"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120</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w:t>
            </w:r>
          </w:p>
        </w:tc>
        <w:tc>
          <w:tcPr>
            <w:tcW w:w="1336" w:type="dxa"/>
            <w:tcBorders/>
            <w:tcMar>
              <w:top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366</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Proceeds from ATM, net of issuance costs</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w:t>
            </w:r>
          </w:p>
        </w:tc>
        <w:tc>
          <w:tcPr>
            <w:tcW w:w="1313"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w:t>
            </w:r>
          </w:p>
        </w:tc>
        <w:tc>
          <w:tcPr>
            <w:tcW w:w="1336"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17,829</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cash provided by financing activities</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120</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1336"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18,195</w:t>
            </w:r>
          </w:p>
        </w:tc>
      </w:tr>
      <w:tr>
        <w:trPr/>
        <w:tc>
          <w:tcPr>
            <w:tcW w:w="6226"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w:t>
            </w:r>
          </w:p>
        </w:tc>
        <w:tc>
          <w:tcPr>
            <w:tcW w:w="1313"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w:t>
            </w:r>
          </w:p>
        </w:tc>
        <w:tc>
          <w:tcPr>
            <w:tcW w:w="1336" w:type="dxa"/>
            <w:tcBorders/>
            <w:shd w:fill="CCEEFF" w:val="clear"/>
            <w:tcMar>
              <w:top w:w="0" w:type="dxa"/>
            </w:tcMar>
            <w:vAlign w:val="center"/>
          </w:tcPr>
          <w:p>
            <w:pPr>
              <w:pStyle w:val="TableContents"/>
              <w:bidi w:val="0"/>
              <w:spacing w:before="0" w:after="0"/>
              <w:ind w:left="0" w:right="0" w:hanging="0"/>
              <w:jc w:val="left"/>
              <w:rPr/>
            </w:pPr>
            <w:r>
              <w:rPr/>
              <w:t>​</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decrease in cash, cash equivalents, and restricted cash</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 </w:t>
            </w:r>
          </w:p>
        </w:tc>
        <w:tc>
          <w:tcPr>
            <w:tcW w:w="1313" w:type="dxa"/>
            <w:tcBorders/>
            <w:tcMar>
              <w:top w:w="0"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(6,573)</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 </w:t>
            </w:r>
          </w:p>
        </w:tc>
        <w:tc>
          <w:tcPr>
            <w:tcW w:w="1336" w:type="dxa"/>
            <w:tcBorders/>
            <w:tcMar>
              <w:top w:w="0"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(512)</w:t>
            </w:r>
          </w:p>
        </w:tc>
      </w:tr>
      <w:tr>
        <w:trPr/>
        <w:tc>
          <w:tcPr>
            <w:tcW w:w="6226"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w:t>
            </w:r>
          </w:p>
        </w:tc>
        <w:tc>
          <w:tcPr>
            <w:tcW w:w="1313"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w:t>
            </w:r>
          </w:p>
        </w:tc>
        <w:tc>
          <w:tcPr>
            <w:tcW w:w="1336" w:type="dxa"/>
            <w:tcBorders/>
            <w:shd w:fill="CCEEFF" w:val="clear"/>
            <w:tcMar>
              <w:top w:w="0" w:type="dxa"/>
            </w:tcMar>
            <w:vAlign w:val="center"/>
          </w:tcPr>
          <w:p>
            <w:pPr>
              <w:pStyle w:val="TableContents"/>
              <w:bidi w:val="0"/>
              <w:spacing w:before="0" w:after="0"/>
              <w:ind w:left="0" w:right="0" w:hanging="0"/>
              <w:jc w:val="left"/>
              <w:rPr/>
            </w:pPr>
            <w:r>
              <w:rPr/>
              <w:t>​</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cash equivalents and restricted cash, beginning of period</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61,213</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1336"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49,303</w:t>
            </w:r>
          </w:p>
        </w:tc>
      </w:tr>
      <w:tr>
        <w:trPr/>
        <w:tc>
          <w:tcPr>
            <w:tcW w:w="6226"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w:t>
            </w:r>
          </w:p>
        </w:tc>
        <w:tc>
          <w:tcPr>
            <w:tcW w:w="1313" w:type="dxa"/>
            <w:tcBorders/>
            <w:shd w:fill="CCEEFF" w:val="clear"/>
            <w:tcMar>
              <w:top w:w="0" w:type="dxa"/>
            </w:tcMar>
            <w:vAlign w:val="center"/>
          </w:tcPr>
          <w:p>
            <w:pPr>
              <w:pStyle w:val="TableContents"/>
              <w:bidi w:val="0"/>
              <w:spacing w:before="0" w:after="0"/>
              <w:ind w:left="0" w:right="0" w:hanging="0"/>
              <w:jc w:val="righ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w:t>
            </w:r>
          </w:p>
        </w:tc>
        <w:tc>
          <w:tcPr>
            <w:tcW w:w="1336" w:type="dxa"/>
            <w:tcBorders/>
            <w:shd w:fill="CCEEFF" w:val="clear"/>
            <w:tcMar>
              <w:top w:w="0" w:type="dxa"/>
            </w:tcMar>
            <w:vAlign w:val="center"/>
          </w:tcPr>
          <w:p>
            <w:pPr>
              <w:pStyle w:val="TableContents"/>
              <w:bidi w:val="0"/>
              <w:spacing w:before="0" w:after="0"/>
              <w:ind w:left="0" w:right="0" w:hanging="0"/>
              <w:jc w:val="right"/>
              <w:rPr/>
            </w:pPr>
            <w:r>
              <w:rPr/>
              <w:t>​</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cash equivalents and restricted cash, end of period</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bottom w:val="double" w:sz="6"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313" w:type="dxa"/>
            <w:tcBorders>
              <w:bottom w:val="double" w:sz="6"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54,640</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bottom w:val="double" w:sz="6"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336" w:type="dxa"/>
            <w:tcBorders>
              <w:bottom w:val="double" w:sz="6"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48,791</w:t>
            </w:r>
          </w:p>
        </w:tc>
      </w:tr>
      <w:tr>
        <w:trPr/>
        <w:tc>
          <w:tcPr>
            <w:tcW w:w="6226"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shd w:fill="CCEEFF" w:val="clear"/>
            <w:tcMar>
              <w:top w:w="0" w:type="dxa"/>
            </w:tcMar>
            <w:vAlign w:val="center"/>
          </w:tcPr>
          <w:p>
            <w:pPr>
              <w:pStyle w:val="TableContents"/>
              <w:bidi w:val="0"/>
              <w:spacing w:before="0" w:after="0"/>
              <w:ind w:left="0" w:right="0" w:hanging="0"/>
              <w:jc w:val="left"/>
              <w:rPr/>
            </w:pPr>
            <w:r>
              <w:rPr/>
              <w:t>​</w:t>
            </w:r>
          </w:p>
        </w:tc>
        <w:tc>
          <w:tcPr>
            <w:tcW w:w="1313" w:type="dxa"/>
            <w:tcBorders/>
            <w:shd w:fill="CCEEFF" w:val="clear"/>
            <w:tcMar>
              <w:top w:w="0" w:type="dxa"/>
            </w:tcMar>
            <w:vAlign w:val="center"/>
          </w:tcPr>
          <w:p>
            <w:pPr>
              <w:pStyle w:val="TableContents"/>
              <w:bidi w:val="0"/>
              <w:spacing w:before="0" w:after="0"/>
              <w:ind w:left="0" w:right="0" w:hanging="0"/>
              <w:jc w:val="left"/>
              <w:rPr/>
            </w:pPr>
            <w:r>
              <w:rPr/>
              <w:t>​</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shd w:fill="CCEEFF" w:val="clear"/>
            <w:tcMar>
              <w:top w:w="0" w:type="dxa"/>
            </w:tcMar>
            <w:vAlign w:val="center"/>
          </w:tcPr>
          <w:p>
            <w:pPr>
              <w:pStyle w:val="TableContents"/>
              <w:bidi w:val="0"/>
              <w:spacing w:before="0" w:after="0"/>
              <w:ind w:left="0" w:right="0" w:hanging="0"/>
              <w:jc w:val="left"/>
              <w:rPr/>
            </w:pPr>
            <w:r>
              <w:rPr/>
              <w:t>​</w:t>
            </w:r>
          </w:p>
        </w:tc>
        <w:tc>
          <w:tcPr>
            <w:tcW w:w="1336" w:type="dxa"/>
            <w:tcBorders/>
            <w:shd w:fill="CCEEFF" w:val="clear"/>
            <w:tcMar>
              <w:top w:w="0" w:type="dxa"/>
            </w:tcMar>
            <w:vAlign w:val="center"/>
          </w:tcPr>
          <w:p>
            <w:pPr>
              <w:pStyle w:val="TableContents"/>
              <w:bidi w:val="0"/>
              <w:spacing w:before="0" w:after="0"/>
              <w:ind w:left="0" w:right="0" w:hanging="0"/>
              <w:jc w:val="left"/>
              <w:rPr/>
            </w:pPr>
            <w:r>
              <w:rPr/>
              <w:t>​</w:t>
            </w:r>
          </w:p>
        </w:tc>
      </w:tr>
      <w:tr>
        <w:trPr/>
        <w:tc>
          <w:tcPr>
            <w:tcW w:w="6226" w:type="dxa"/>
            <w:tcBorders/>
            <w:tcMar>
              <w:top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Supplemental disclosure of cash and non-cash operating activities:</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w:t>
            </w:r>
          </w:p>
        </w:tc>
        <w:tc>
          <w:tcPr>
            <w:tcW w:w="1313"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w:t>
            </w:r>
          </w:p>
        </w:tc>
        <w:tc>
          <w:tcPr>
            <w:tcW w:w="1336" w:type="dxa"/>
            <w:tcBorders/>
            <w:tcMar>
              <w:top w:w="0" w:type="dxa"/>
            </w:tcMar>
            <w:vAlign w:val="center"/>
          </w:tcPr>
          <w:p>
            <w:pPr>
              <w:pStyle w:val="TableContents"/>
              <w:bidi w:val="0"/>
              <w:spacing w:before="0" w:after="0"/>
              <w:ind w:left="0" w:right="0" w:hanging="0"/>
              <w:jc w:val="left"/>
              <w:rPr/>
            </w:pPr>
            <w:r>
              <w:rPr/>
              <w:t>​</w:t>
            </w:r>
          </w:p>
        </w:tc>
      </w:tr>
      <w:tr>
        <w:trPr/>
        <w:tc>
          <w:tcPr>
            <w:tcW w:w="622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paid for income tax</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313"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1"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336"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right"/>
              <w:rPr/>
            </w:pPr>
            <w:r>
              <w:rPr/>
              <w:t>—</w:t>
            </w:r>
          </w:p>
        </w:tc>
      </w:tr>
      <w:tr>
        <w:trPr/>
        <w:tc>
          <w:tcPr>
            <w:tcW w:w="6226"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327" w:type="dxa"/>
            <w:tcBorders/>
            <w:tcMar>
              <w:top w:w="0" w:type="dxa"/>
            </w:tcMar>
            <w:vAlign w:val="center"/>
          </w:tcPr>
          <w:p>
            <w:pPr>
              <w:pStyle w:val="TableContents"/>
              <w:bidi w:val="0"/>
              <w:spacing w:before="0" w:after="0"/>
              <w:ind w:left="0" w:right="0" w:hanging="0"/>
              <w:jc w:val="left"/>
              <w:rPr/>
            </w:pPr>
            <w:r>
              <w:rPr/>
              <w:t>​</w:t>
            </w:r>
          </w:p>
        </w:tc>
        <w:tc>
          <w:tcPr>
            <w:tcW w:w="1313"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351" w:type="dxa"/>
            <w:tcBorders/>
            <w:tcMar>
              <w:top w:w="0" w:type="dxa"/>
            </w:tcMar>
            <w:vAlign w:val="center"/>
          </w:tcPr>
          <w:p>
            <w:pPr>
              <w:pStyle w:val="TableContents"/>
              <w:bidi w:val="0"/>
              <w:spacing w:before="0" w:after="0"/>
              <w:ind w:left="0" w:right="0" w:hanging="0"/>
              <w:jc w:val="left"/>
              <w:rPr/>
            </w:pPr>
            <w:r>
              <w:rPr/>
              <w:t>​</w:t>
            </w:r>
          </w:p>
        </w:tc>
        <w:tc>
          <w:tcPr>
            <w:tcW w:w="1336" w:type="dxa"/>
            <w:tcBorders/>
            <w:tcMar>
              <w:top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570" w:name="_1cb65a0b_3120_4163_9fd2_a969793c76ad"/>
      <w:bookmarkEnd w:id="570"/>
      <w:r>
        <w:rPr>
          <w:rFonts w:ascii="Arial;Helvetica;sans-serif" w:hAnsi="Arial;Helvetica;sans-serif"/>
          <w:b/>
          <w:i w:val="false"/>
          <w:caps w:val="false"/>
          <w:smallCaps w:val="false"/>
          <w:sz w:val="20"/>
        </w:rPr>
        <w:t>CENTURY THERAPEUTICS, INC.</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571" w:name="NOTESTOFINANCIALSTATEMENTS5_641597"/>
      <w:bookmarkEnd w:id="571"/>
      <w:r>
        <w:rPr>
          <w:rFonts w:ascii="Arial;Helvetica;sans-serif" w:hAnsi="Arial;Helvetica;sans-serif"/>
          <w:b/>
          <w:i w:val="false"/>
          <w:caps w:val="false"/>
          <w:smallCaps w:val="false"/>
          <w:sz w:val="20"/>
        </w:rPr>
        <w:t>NOTES TO FINANCIAL STATEMENTS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(Unaudited)</w:t>
      </w:r>
    </w:p>
    <w:p>
      <w:pPr>
        <w:pStyle w:val="TextBody"/>
        <w:bidi w:val="0"/>
        <w:spacing w:before="0" w:after="40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thousands, except share and per share amounts)</w:t>
      </w:r>
    </w:p>
    <w:p>
      <w:pPr>
        <w:pStyle w:val="TextBody"/>
        <w:bidi w:val="0"/>
        <w:spacing w:before="0" w:after="200"/>
        <w:ind w:left="0" w:right="0" w:hanging="0"/>
        <w:jc w:val="left"/>
        <w:rPr>
          <w:rFonts w:ascii="Arial;Helvetica;sans-serif" w:hAnsi="Arial;Helvetica;sans-serif"/>
          <w:b w:val="false"/>
          <w:sz w:val="24"/>
        </w:rPr>
      </w:pPr>
      <w:r>
        <w:rPr>
          <w:rFonts w:ascii="Arial;Helvetica;sans-serif" w:hAnsi="Arial;Helvetica;sans-serif"/>
          <w:b w:val="false"/>
          <w:sz w:val="24"/>
        </w:rPr>
        <w:t>Note 1—Organization and description of the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Century Therapeutics, Inc. (the “Company”) is an innovative biotechnology company developing transformative allogeneic cell therapies to create products for the treatment of both solid tumor and hematological malignancies and autoimmune diseases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Principles of Consolidation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consolidated financial statements include the consolidated financial position and consolidated results of operations of the Company and the Company’s subsidiaries, Century Therapeutics Canada ULC (“Century Canada”), Clade Therapeutics (“Clade”) and Gadeta B.V. (“Gadeta”). All intercompany balances and transactions have been eliminated in consolidation.</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Liquidity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Since inception, the Company has incurred negative cash flows from operations and net losses in most periods. During the three months ended March 31, 2025, the Company recognized net income of $76,560, due primarily to $109,164 of collaboration revenue recognized during the quarter upon the termination of the collaboration agreement with Bristol-Myers Squibb (Note 7). During the three months ended March 31, 2025, the Company used $34,623 of cash in operations. Cash and cash equivalents and investments were $185,834 at March 31, 2025.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pStyle w:val="TextBody"/>
        <w:bidi w:val="0"/>
        <w:spacing w:before="0" w:after="200"/>
        <w:ind w:left="0" w:right="0" w:hanging="0"/>
        <w:jc w:val="left"/>
        <w:rPr>
          <w:rFonts w:ascii="Arial;Helvetica;sans-serif" w:hAnsi="Arial;Helvetica;sans-serif"/>
          <w:b w:val="false"/>
          <w:sz w:val="24"/>
        </w:rPr>
      </w:pPr>
      <w:r>
        <w:rPr>
          <w:rFonts w:ascii="Arial;Helvetica;sans-serif" w:hAnsi="Arial;Helvetica;sans-serif"/>
          <w:b w:val="false"/>
          <w:sz w:val="24"/>
        </w:rPr>
        <w:t>Note 2—Summary of significant accounting policies and basis of presentation</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Basis of presentation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accompanying unaudited consolidated financial statements have been prepared in accordance with accounting principles generally accepted in the United States (“U.S. GAAP”) for interim financial information and with the interim period reporting requirements of Form 10-Q and Article 10 of Regulation S-X. The consolidated balance sheet as of March 31, 2025, and the consolidated statements of operations and comprehensive income (loss), consolidated statements of changes in stockholders’ equity, and the consolidated statements of cash flows for the three months ended March 31, 2025 and 2024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 indicative of results for the year ending December 31, 2025 or for any other subsequent interim period. The consolidated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balance sheet at December 31, 2024 has been derived from the Company’s audited consolidated financial statements.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Use of estimates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intangible assets acquired in business combinations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Concentration of credit risk and other risks and uncertainties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March 31, 2025 and December 31, 2024, the Company has not experienced any losses on its deposits of cash and cash equivalents.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Products developed by the Company require clearances from the U.S. Food and Drug Administration (the “FDA”)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Fair value of financial instruments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tbl>
      <w:tblPr>
        <w:tblW w:w="10205" w:type="dxa"/>
        <w:jc w:val="left"/>
        <w:tblInd w:w="0" w:type="dxa"/>
        <w:tblLayout w:type="fixed"/>
        <w:tblCellMar>
          <w:top w:w="0" w:type="dxa"/>
          <w:left w:w="0" w:type="dxa"/>
          <w:bottom w:w="0" w:type="dxa"/>
          <w:right w:w="0" w:type="dxa"/>
        </w:tblCellMar>
      </w:tblPr>
      <w:tblGrid>
        <w:gridCol w:w="690"/>
        <w:gridCol w:w="9515"/>
      </w:tblGrid>
      <w:tr>
        <w:trPr/>
        <w:tc>
          <w:tcPr>
            <w:tcW w:w="69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1</w:t>
            </w:r>
          </w:p>
        </w:tc>
        <w:tc>
          <w:tcPr>
            <w:tcW w:w="951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that reflect unadjusted quoted prices in active markets for identical assets or liabilities that the Company has the ability to access at the measurement date;</w:t>
            </w:r>
          </w:p>
        </w:tc>
      </w:tr>
    </w:tbl>
    <w:tbl>
      <w:tblPr>
        <w:tblW w:w="10205" w:type="dxa"/>
        <w:jc w:val="left"/>
        <w:tblInd w:w="0" w:type="dxa"/>
        <w:tblLayout w:type="fixed"/>
        <w:tblCellMar>
          <w:top w:w="0" w:type="dxa"/>
          <w:left w:w="0" w:type="dxa"/>
          <w:bottom w:w="0" w:type="dxa"/>
          <w:right w:w="0" w:type="dxa"/>
        </w:tblCellMar>
      </w:tblPr>
      <w:tblGrid>
        <w:gridCol w:w="689"/>
        <w:gridCol w:w="9516"/>
      </w:tblGrid>
      <w:tr>
        <w:trPr/>
        <w:tc>
          <w:tcPr>
            <w:tcW w:w="689"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2</w:t>
            </w:r>
          </w:p>
        </w:tc>
        <w:tc>
          <w:tcPr>
            <w:tcW w:w="951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other than quoted prices that are observable for the asset or liability either directly or indirectly, including inputs in markets that are not considered to be active;</w:t>
            </w:r>
          </w:p>
        </w:tc>
      </w:tr>
    </w:tbl>
    <w:tbl>
      <w:tblPr>
        <w:tblW w:w="10205" w:type="dxa"/>
        <w:jc w:val="left"/>
        <w:tblInd w:w="0" w:type="dxa"/>
        <w:tblLayout w:type="fixed"/>
        <w:tblCellMar>
          <w:top w:w="0" w:type="dxa"/>
          <w:left w:w="0" w:type="dxa"/>
          <w:bottom w:w="0" w:type="dxa"/>
          <w:right w:w="0" w:type="dxa"/>
        </w:tblCellMar>
      </w:tblPr>
      <w:tblGrid>
        <w:gridCol w:w="690"/>
        <w:gridCol w:w="9515"/>
      </w:tblGrid>
      <w:tr>
        <w:trPr/>
        <w:tc>
          <w:tcPr>
            <w:tcW w:w="69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3</w:t>
            </w:r>
          </w:p>
        </w:tc>
        <w:tc>
          <w:tcPr>
            <w:tcW w:w="951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unobservable in which there is little or no market data available, which require the reporting entity to develop its own assumptions that are unobservable.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bookmarkStart w:id="572" w:name="Tc_sCktF4CF80m5k0FhXyOhbA_4_5"/>
      <w:bookmarkStart w:id="573" w:name="Tc_cst-tvqoxkqTu_Fhs_ZsWw_4_2"/>
      <w:bookmarkStart w:id="574" w:name="Tc_OjX38e8yeEq6OvkINLLjLg_4_0"/>
      <w:bookmarkStart w:id="575" w:name="Tc_bR8rcmYcSU-XrWk0BY2W-Q_3_0"/>
      <w:bookmarkStart w:id="576" w:name="Tc_aBkPppBOV0mZj52R9YUB0Q_2_5"/>
      <w:bookmarkStart w:id="577" w:name="Tc_GNlBi-4WXUqNeDK0etj0sA_2_2"/>
      <w:bookmarkStart w:id="578" w:name="Tc_rN2pkxnuyUWP068MQUzEmA_2_0"/>
      <w:bookmarkStart w:id="579" w:name="Tc_e3ORGypiwUe-bDcFdleOdA_1_5"/>
      <w:bookmarkStart w:id="580" w:name="Tc_qhDnT81rFk6n5fRUOpYluA_1_2"/>
      <w:bookmarkStart w:id="581" w:name="_230041ab_169d_46aa_b72a_64b6cd9e122d"/>
      <w:bookmarkEnd w:id="572"/>
      <w:bookmarkEnd w:id="573"/>
      <w:bookmarkEnd w:id="574"/>
      <w:bookmarkEnd w:id="575"/>
      <w:bookmarkEnd w:id="576"/>
      <w:bookmarkEnd w:id="577"/>
      <w:bookmarkEnd w:id="578"/>
      <w:bookmarkEnd w:id="579"/>
      <w:bookmarkEnd w:id="580"/>
      <w:bookmarkEnd w:id="581"/>
      <w:r>
        <w:rPr>
          <w:rFonts w:ascii="Arial;Helvetica;sans-serif" w:hAnsi="Arial;Helvetica;sans-serif"/>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Cash and cash equivalents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Management considers all highly liquid investments with an insignificant interest rate risk and original maturities of three months or less to be cash equivalents.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Restricted cash</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March 31, 2025 and December 31, 2024, the Company had $2,775 and $2,772, respectively, in cash on deposit to secure certain lease commitments. Restricted cash is recorded separately in the Company’s consolidated balance sheets.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provides a reconciliation of the Company’s cash, cash equivalents, and restricted cash as reported in the consolidated balance sheets to the amounts reported in the consolidated statements of cash flows:</w:t>
      </w:r>
    </w:p>
    <w:p>
      <w:pPr>
        <w:pStyle w:val="TextBody"/>
        <w:bidi w:val="0"/>
        <w:spacing w:before="0" w:after="0"/>
        <w:ind w:left="0" w:right="0" w:hanging="0"/>
        <w:jc w:val="left"/>
        <w:rPr/>
      </w:pPr>
      <w:r>
        <w:rPr/>
        <w:t>​</w:t>
      </w:r>
    </w:p>
    <w:tbl>
      <w:tblPr>
        <w:tblW w:w="7435" w:type="dxa"/>
        <w:jc w:val="left"/>
        <w:tblInd w:w="0" w:type="dxa"/>
        <w:tblLayout w:type="fixed"/>
        <w:tblCellMar>
          <w:top w:w="0" w:type="dxa"/>
          <w:left w:w="0" w:type="dxa"/>
          <w:bottom w:w="0" w:type="dxa"/>
          <w:right w:w="0" w:type="dxa"/>
        </w:tblCellMar>
      </w:tblPr>
      <w:tblGrid>
        <w:gridCol w:w="3946"/>
        <w:gridCol w:w="326"/>
        <w:gridCol w:w="291"/>
        <w:gridCol w:w="955"/>
        <w:gridCol w:w="326"/>
        <w:gridCol w:w="333"/>
        <w:gridCol w:w="1258"/>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505710" cy="175260"/>
                      <wp:effectExtent l="0" t="0" r="0" b="0"/>
                      <wp:wrapNone/>
                      <wp:docPr id="56" name="Frame56"/>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84785" cy="175260"/>
                      <wp:effectExtent l="0" t="0" r="0" b="0"/>
                      <wp:wrapNone/>
                      <wp:docPr id="58" name="Frame58"/>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06425" cy="175260"/>
                      <wp:effectExtent l="0" t="0" r="0" b="0"/>
                      <wp:wrapNone/>
                      <wp:docPr id="59" name="Frame59"/>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1455" cy="175260"/>
                      <wp:effectExtent l="0" t="0" r="0" b="0"/>
                      <wp:wrapNone/>
                      <wp:docPr id="61" name="Frame61"/>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98830" cy="175260"/>
                      <wp:effectExtent l="0" t="0" r="0" b="0"/>
                      <wp:wrapNone/>
                      <wp:docPr id="62" name="Frame62"/>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24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2025</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59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2024</w:t>
            </w:r>
          </w:p>
        </w:tc>
      </w:tr>
      <w:tr>
        <w:trPr/>
        <w:tc>
          <w:tcPr>
            <w:tcW w:w="39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51,865</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58,441</w:t>
            </w:r>
          </w:p>
        </w:tc>
      </w:tr>
      <w:tr>
        <w:trPr/>
        <w:tc>
          <w:tcPr>
            <w:tcW w:w="39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2,775</w:t>
            </w:r>
          </w:p>
        </w:tc>
        <w:tc>
          <w:tcPr>
            <w:tcW w:w="326" w:type="dxa"/>
            <w:tcBorders/>
            <w:vAlign w:val="center"/>
          </w:tcPr>
          <w:p>
            <w:pPr>
              <w:pStyle w:val="TableContents"/>
              <w:bidi w:val="0"/>
              <w:spacing w:before="0" w:after="0"/>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2,772</w:t>
            </w:r>
          </w:p>
        </w:tc>
      </w:tr>
      <w:tr>
        <w:trPr/>
        <w:tc>
          <w:tcPr>
            <w:tcW w:w="39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54,640</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61,213</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 xml:space="preserve">Investments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consolidated statements of operations and comprehensive income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 xml:space="preserve">Property and equipment, net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 xml:space="preserve">Research and development expenses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Stock-based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Black Scholes requires inputs based on certain subjective assumptions, including (i) the expected stock price volatility, (ii) the expected term of the award, (iii) the risk-free interest rate and (iv) expected dividends.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Foreign currency translation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reporting currency of the Company is the U.S. dollar. The functional currency of Century Canada is the Canadian dollar. The functional currency of Gadeta is the Euro. Assets and liabilities of Century Canada and Gadeta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income (loss). The Company has not utilized any foreign currency hedging strategies to mitigate the effect of its foreign currency exposure.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Intercompany payables and receivables are considered to be long-term in nature and any change in balance due to foreign currency fluctuation is included as a component of the Company’s consolidated comprehensive income (loss) and accumulated other comprehensive loss within the Company’s consolidated balance sheets.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Basic and diluted net income (loss) per common share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Basic net income (loss) per common share is computed by dividing net income (loss) applicable to common shareholders by the weighted-average number of common shares outstanding during the period. The Company computes diluted net income (loss) per common share by dividing the net income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Collaboration revenue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recognizes revenue in accordance with ASC Topic 606, Revenue from Contracts with Customers,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deferred revenue, current. Amounts not expected to be recognized as revenue within the 12 months following the balance sheet date are classified as deferred revenue, non-current.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Acquisition-Related Contingent Consideration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Acquisition-related contingent consideration consist of our future obligation owed to shareholders of Clade and Gadeta and includes contingent milestone payments, earn out considerations, and indemnification obligations. Acquisition-related contingent consideration was recorded on the acquisition date at the estimated fair value of the obligation, in accordance with the acquisition method of accounting. The fair value measurement is based on significant inputs that are unobservable in the market and thus represents a Level 3 fair value measurement. The fair value of the acquisition-related contingent considerations are remeasured each reporting period, with changes in fair value recorded in the consolidated statements of operations and comprehensive income (loss) with general and administrative expense.</w:t>
      </w:r>
    </w:p>
    <w:p>
      <w:pPr>
        <w:pStyle w:val="TextBody"/>
        <w:pBdr/>
        <w:bidi w:val="0"/>
        <w:spacing w:before="0" w:after="0"/>
        <w:ind w:left="0" w:right="0" w:hanging="0"/>
        <w:jc w:val="left"/>
        <w:rPr>
          <w:rFonts w:ascii="Arial;Helvetica;sans-serif" w:hAnsi="Arial;Helvetica;sans-serif"/>
          <w:i/>
          <w:sz w:val="20"/>
        </w:rPr>
      </w:pPr>
      <w:r>
        <w:rPr>
          <w:rFonts w:ascii="Arial;Helvetica;sans-serif" w:hAnsi="Arial;Helvetica;sans-serif"/>
          <w:i/>
          <w:sz w:val="20"/>
        </w:rPr>
        <w:t>Business Combinations</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 identifiable assets and liabilities is recorded as goodwill. Acquisition related costs are expensed as incurred. Upon acquisition, the accounts and results of operations are consolidated as of and subsequent to the acquisition date.</w:t>
      </w:r>
    </w:p>
    <w:p>
      <w:pPr>
        <w:pStyle w:val="TextBody"/>
        <w:shd w:fill="FFFFFF" w:val="clear"/>
        <w:bidi w:val="0"/>
        <w:spacing w:before="0" w:after="240"/>
        <w:ind w:left="0" w:right="0" w:hanging="0"/>
        <w:jc w:val="left"/>
        <w:rPr>
          <w:rFonts w:ascii="Arial;Helvetica;sans-serif" w:hAnsi="Arial;Helvetica;sans-serif"/>
          <w:sz w:val="20"/>
        </w:rPr>
      </w:pPr>
      <w:r>
        <w:rPr>
          <w:rFonts w:ascii="Arial;Helvetica;sans-serif" w:hAnsi="Arial;Helvetica;sans-serif"/>
          <w:sz w:val="20"/>
        </w:rPr>
        <w:t>When determining the fair values of assets acquired and liabilities assumed, management makes significant estimates and assumptions, especially with respect to intangible assets. The Company utilizes commonly accepted valuation techniques, such as the income approach in establishing the fair value of intangible assets. See “Note 3 – Business combination” for additional detail.</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Intangible Assets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Indefinite-lived intangibles are carried at the initially recorded fair value less any recognized impairment. Indefinite-lived intangibles are tested at least annually for impairment. Impairment assessments are conducted more frequently if certain conditions exist, including a change in the competitive landscape, any internal decisions to pursue new or different technology strategies, or a significant change in the marketplace, including changes in the size of the market for the Company’s products. In performing the impairment test, the Company estimates the fair value of the indefinite-lived intangible asset and compares it to the carrying value. If they carrying value exceeds the estimated fair value, the Company records an impairment loss for the difference. For the three months ended March 31, 2025, there were no impairment charges. For further discussion of identified intangible assets, see “Note 3 – Business combination”.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December 2023, the FASB issued ASU No. 2023-09, "Income Taxes (Topic 740): Improvements to Income Tax Disclosures ("ASU 2023-09"). ASU 2023-09 requires entities to provide additional information in their tax rate reconciliation and additional disclosures about income taxes paid by jurisdiction. ASU 2023-09 is effective for annual reporting periods beginning after December 15, 2024, with early adoption permitted. The guidance should be applied prospectively, but entities have the option to apply it retrospectively for each period presented. The Company is currently evaluating the impact of adopting this new accounting guidance.</w:t>
      </w:r>
    </w:p>
    <w:p>
      <w:pPr>
        <w:pStyle w:val="TextBody"/>
        <w:bidi w:val="0"/>
        <w:spacing w:before="0" w:after="240"/>
        <w:ind w:left="0" w:right="0" w:hanging="0"/>
        <w:jc w:val="left"/>
        <w:rPr>
          <w:rFonts w:ascii="Arial;Helvetica;sans-serif" w:hAnsi="Arial;Helvetica;sans-serif"/>
          <w:sz w:val="24"/>
        </w:rPr>
      </w:pPr>
      <w:r>
        <w:rPr>
          <w:rFonts w:ascii="Arial;Helvetica;sans-serif" w:hAnsi="Arial;Helvetica;sans-serif"/>
          <w:sz w:val="24"/>
        </w:rPr>
        <w:t>Note 3 – Business combination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April 11, 2024, the Company acquired 100% of Clade, a privately held biotechnology company focused on discovering and delivering engineerable, off-the-shelf, scalable, and consistent stem cell-based medicines, with a focus on iPSC-derived αβ T cells. The acquisition expanded the Company’s pipeline by incorporating three additional preclinical-stage programs from Clade’s αβ iT platform spanning across cancer and autoimmune diseases. The results of Clade’s operations have been included in the consolidated financial statements since that date. A total of 3,741,646 common shares were issued to the Clade stockholders on the date of close, which were valued based on the closing price of common stock on that date.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Contingent consideration was estimated at fair value on the date of the close and consists of both additional stock consideration (“Holdback Shares”) as well as a contingent milestone payment of $10,000 (“Clade Milestone”). The Holdback Shares total up to 793,687 shares of common stock consideration which will be issued and delivered to the sellers on the eighteen-month anniversary of the Closing Date, subject to potential reduction based on indemnification claims favoring the Company, if any. This contingent consideration was recorded at fair value as of the closing date, based on the closing stock price on that date, adjusted for a discount for lack of marketability, and totaled $2,600. Contingent consideration also includes the Clade Milestone, which consists of one potential clinical development milestone payment of $10,000, which may be paid in cash, shares, or a combination thereof, upon the achievement of the milestone. The fair value of this contingent consideration was estimated based on the probability of milestone achievement, and an estimated discount rate, and totaled $7,100.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recognized $895 of acquisition-related costs during the year ended December 31, 2024, which were expensed as incurred in the consolidated statement of operations. No such expenses were recorded during the three months ended March 31, 2025.</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both"/>
        <w:rPr>
          <w:rFonts w:ascii="Arial;Helvetica;sans-serif" w:hAnsi="Arial;Helvetica;sans-serif"/>
          <w:sz w:val="20"/>
        </w:rPr>
      </w:pPr>
      <w:bookmarkStart w:id="582" w:name="Tc_C48FO1a5gk-Td9zL8jIvMw_24_2"/>
      <w:bookmarkStart w:id="583" w:name="Tc_YyUVRhTL-U2Fu2HqEdff4w_24_0"/>
      <w:bookmarkStart w:id="584" w:name="Tc_DNrLx1iCP02eTSoRWWqQ9g_22_2"/>
      <w:bookmarkStart w:id="585" w:name="Tc_AIVNHqwhNEOfmj6l4AL18Q_22_0"/>
      <w:bookmarkStart w:id="586" w:name="Tc_Ql7Gye3Ak0qUoCVehlHe1w_21_0"/>
      <w:bookmarkStart w:id="587" w:name="Tc_P2cCWGDziEu0BEnnXIZSPA_20_0"/>
      <w:bookmarkStart w:id="588" w:name="Tc_UqvZNZxERUKRt-bG3qOgRA_19_0"/>
      <w:bookmarkStart w:id="589" w:name="Tc_SRq_wVHwY0e_kdhkHfJDxQ_18_0"/>
      <w:bookmarkStart w:id="590" w:name="Tc_htOZI49P40C8O_0FmRFboA_17_2"/>
      <w:bookmarkStart w:id="591" w:name="Tc_GTynxd4iK0m7SUGc9pW1vA_17_0"/>
      <w:bookmarkStart w:id="592" w:name="Tc_8n8HvsZpEUGpREiO81KjQw_16_0"/>
      <w:bookmarkStart w:id="593" w:name="Tc_1YV1KyLGi0uwoaHgOhO1aA_14_2"/>
      <w:bookmarkStart w:id="594" w:name="Tc_OXjuvpt-R02UhrZAe9sXEg_14_0"/>
      <w:bookmarkStart w:id="595" w:name="Tc_Y2SGtvR6lUiXxb_FXeNgMA_13_0"/>
      <w:bookmarkStart w:id="596" w:name="Tc_6KBu5Zp7eUmBpFnkKugu9A_12_0"/>
      <w:bookmarkStart w:id="597" w:name="Tc_X1uQxeksm0uRLSZkQpcrKg_11_0"/>
      <w:bookmarkStart w:id="598" w:name="Tc_TPxT_lfwc0qfM6JTYNWYIQ_10_0"/>
      <w:bookmarkStart w:id="599" w:name="Tc_SZxy0QfaK0ebmq2QRO0qUA_9_0"/>
      <w:bookmarkStart w:id="600" w:name="Tc_X6Q4UpoleEqcVT7bS-PWPQ_8_2"/>
      <w:bookmarkStart w:id="601" w:name="Tc_vRcpj1QzukCWjjpXrnInnw_8_0"/>
      <w:bookmarkStart w:id="602" w:name="Tc_Q18H_R1IDEaLBZMJ2XHLsg_7_0"/>
      <w:bookmarkStart w:id="603" w:name="Tc_MGWqGfTNV0ictD6Wlr_3jQ_5_2"/>
      <w:bookmarkStart w:id="604" w:name="Tc_u82ySYEZrE2X5PM3Lvznsw_5_0"/>
      <w:bookmarkStart w:id="605" w:name="Tc_EbwqRLQqeUGMFD-BgFCJ1w_4_0"/>
      <w:bookmarkStart w:id="606" w:name="Tc_aiQgfhkKPEKhHOlpuu3Fdw_3_0"/>
      <w:bookmarkStart w:id="607" w:name="Tc_FgqcQdb8JU-WCrL1aL0jig_2_2"/>
      <w:bookmarkStart w:id="608" w:name="Tc_reqzg0SLIEicBf86mo4KzA_2_0"/>
      <w:bookmarkStart w:id="609" w:name="Tc_9GKaXZ4TQkmn0cYKcXP0Lg_1_0"/>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r>
        <w:rPr>
          <w:rFonts w:ascii="Arial;Helvetica;sans-serif" w:hAnsi="Arial;Helvetica;sans-serif"/>
          <w:sz w:val="20"/>
        </w:rPr>
        <w:t>The following table summarizes the fair values of the assets acquired and liabilities assumed at the date of the acquisition:</w:t>
      </w:r>
    </w:p>
    <w:p>
      <w:pPr>
        <w:pStyle w:val="TextBody"/>
        <w:bidi w:val="0"/>
        <w:spacing w:before="0" w:after="0"/>
        <w:ind w:left="0" w:right="0" w:hanging="0"/>
        <w:jc w:val="left"/>
        <w:rPr/>
      </w:pPr>
      <w:r>
        <w:rPr/>
        <w:t>​</w:t>
      </w:r>
    </w:p>
    <w:tbl>
      <w:tblPr>
        <w:tblW w:w="6862" w:type="dxa"/>
        <w:jc w:val="left"/>
        <w:tblInd w:w="0" w:type="dxa"/>
        <w:tblLayout w:type="fixed"/>
        <w:tblCellMar>
          <w:top w:w="0" w:type="dxa"/>
          <w:left w:w="0" w:type="dxa"/>
          <w:bottom w:w="28" w:type="dxa"/>
          <w:right w:w="0" w:type="dxa"/>
        </w:tblCellMar>
      </w:tblPr>
      <w:tblGrid>
        <w:gridCol w:w="5731"/>
        <w:gridCol w:w="109"/>
        <w:gridCol w:w="211"/>
        <w:gridCol w:w="811"/>
      </w:tblGrid>
      <w:tr>
        <w:trPr/>
        <w:tc>
          <w:tcPr>
            <w:tcW w:w="5731"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639185" cy="175260"/>
                      <wp:effectExtent l="0" t="0" r="0" b="0"/>
                      <wp:wrapNone/>
                      <wp:docPr id="63" name="Frame63"/>
                      <a:graphic xmlns:a="http://schemas.openxmlformats.org/drawingml/2006/main">
                        <a:graphicData uri="http://schemas.microsoft.com/office/word/2010/wordprocessingShape">
                          <wps:wsp>
                            <wps:cNvSpPr txBox="1"/>
                            <wps:spPr>
                              <a:xfrm>
                                <a:off x="0" y="0"/>
                                <a:ext cx="3639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14985" cy="175260"/>
                      <wp:effectExtent l="0" t="0" r="0" b="0"/>
                      <wp:wrapNone/>
                      <wp:docPr id="66" name="Frame6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3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Consideration transferred:</w:t>
            </w:r>
          </w:p>
        </w:tc>
        <w:tc>
          <w:tcPr>
            <w:tcW w:w="109"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r>
              <w:rPr/>
              <w:t>​</w:t>
            </w:r>
          </w:p>
        </w:tc>
        <w:tc>
          <w:tcPr>
            <w:tcW w:w="81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r>
              <w:rPr/>
              <w:t>​</w:t>
            </w:r>
          </w:p>
        </w:tc>
      </w:tr>
      <w:tr>
        <w:trPr/>
        <w:tc>
          <w:tcPr>
            <w:tcW w:w="573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consideration</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14,854</w:t>
            </w:r>
          </w:p>
        </w:tc>
      </w:tr>
      <w:tr>
        <w:trPr/>
        <w:tc>
          <w:tcPr>
            <w:tcW w:w="573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Fair value of common stock (3,741,646 at closing price of $4.05)</w:t>
            </w:r>
          </w:p>
        </w:tc>
        <w:tc>
          <w:tcPr>
            <w:tcW w:w="109" w:type="dxa"/>
            <w:tcBorders/>
            <w:shd w:fill="CCEEFF" w:val="clear"/>
            <w:tcMar>
              <w:bottom w:w="0" w:type="dxa"/>
            </w:tcMar>
            <w:vAlign w:val="center"/>
          </w:tcPr>
          <w:p>
            <w:pPr>
              <w:pStyle w:val="TableContents"/>
              <w:bidi w:val="0"/>
              <w:spacing w:before="0" w:after="0"/>
              <w:ind w:left="0" w:right="0" w:hanging="0"/>
              <w:jc w:val="left"/>
              <w:rPr/>
            </w:pPr>
            <w:r>
              <w:rPr/>
              <w:t>​</w:t>
            </w:r>
          </w:p>
        </w:tc>
        <w:tc>
          <w:tcPr>
            <w:tcW w:w="211" w:type="dxa"/>
            <w:tcBorders/>
            <w:shd w:fill="CCEEFF" w:val="clear"/>
            <w:tcMar>
              <w:bottom w:w="0" w:type="dxa"/>
            </w:tcMar>
            <w:vAlign w:val="center"/>
          </w:tcPr>
          <w:p>
            <w:pPr>
              <w:pStyle w:val="TableContents"/>
              <w:bidi w:val="0"/>
              <w:spacing w:before="0" w:after="0"/>
              <w:ind w:left="0" w:right="0" w:hanging="0"/>
              <w:jc w:val="left"/>
              <w:rPr/>
            </w:pPr>
            <w:r>
              <w:rPr/>
              <w:t>​</w:t>
            </w:r>
          </w:p>
        </w:tc>
        <w:tc>
          <w:tcPr>
            <w:tcW w:w="811"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15,154</w:t>
            </w:r>
          </w:p>
        </w:tc>
      </w:tr>
      <w:tr>
        <w:trPr/>
        <w:tc>
          <w:tcPr>
            <w:tcW w:w="573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Contingent consideration</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9,722</w:t>
            </w:r>
          </w:p>
        </w:tc>
      </w:tr>
      <w:tr>
        <w:trPr/>
        <w:tc>
          <w:tcPr>
            <w:tcW w:w="573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consideration transferred</w:t>
            </w:r>
          </w:p>
        </w:tc>
        <w:tc>
          <w:tcPr>
            <w:tcW w:w="109" w:type="dxa"/>
            <w:tcBorders/>
            <w:shd w:fill="CCEEFF" w:val="clear"/>
            <w:tcMar>
              <w:bottom w:w="0"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39,730</w:t>
            </w:r>
          </w:p>
        </w:tc>
      </w:tr>
      <w:tr>
        <w:trPr/>
        <w:tc>
          <w:tcPr>
            <w:tcW w:w="573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r>
      <w:tr>
        <w:trPr/>
        <w:tc>
          <w:tcPr>
            <w:tcW w:w="573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Assets acquired:</w:t>
            </w:r>
          </w:p>
        </w:tc>
        <w:tc>
          <w:tcPr>
            <w:tcW w:w="109" w:type="dxa"/>
            <w:tcBorders/>
            <w:shd w:fill="CCEEFF" w:val="clear"/>
            <w:tcMar>
              <w:bottom w:w="0" w:type="dxa"/>
            </w:tcMar>
            <w:vAlign w:val="center"/>
          </w:tcPr>
          <w:p>
            <w:pPr>
              <w:pStyle w:val="TableContents"/>
              <w:bidi w:val="0"/>
              <w:spacing w:before="0" w:after="0"/>
              <w:ind w:left="0" w:right="0" w:hanging="0"/>
              <w:jc w:val="left"/>
              <w:rPr/>
            </w:pPr>
            <w:r>
              <w:rPr/>
              <w:t>​</w:t>
            </w:r>
          </w:p>
        </w:tc>
        <w:tc>
          <w:tcPr>
            <w:tcW w:w="211" w:type="dxa"/>
            <w:tcBorders/>
            <w:shd w:fill="CCEEFF" w:val="clear"/>
            <w:tcMar>
              <w:bottom w:w="0" w:type="dxa"/>
            </w:tcMar>
            <w:vAlign w:val="center"/>
          </w:tcPr>
          <w:p>
            <w:pPr>
              <w:pStyle w:val="TableContents"/>
              <w:bidi w:val="0"/>
              <w:spacing w:before="0" w:after="0"/>
              <w:ind w:left="0" w:right="0" w:hanging="0"/>
              <w:jc w:val="left"/>
              <w:rPr/>
            </w:pPr>
            <w:r>
              <w:rPr/>
              <w:t>​</w:t>
            </w:r>
          </w:p>
        </w:tc>
        <w:tc>
          <w:tcPr>
            <w:tcW w:w="811"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573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restricted cash</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5,246</w:t>
            </w:r>
          </w:p>
        </w:tc>
      </w:tr>
      <w:tr>
        <w:trPr/>
        <w:tc>
          <w:tcPr>
            <w:tcW w:w="573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assets</w:t>
            </w:r>
          </w:p>
        </w:tc>
        <w:tc>
          <w:tcPr>
            <w:tcW w:w="109" w:type="dxa"/>
            <w:tcBorders/>
            <w:shd w:fill="CCEEFF" w:val="clear"/>
            <w:tcMar>
              <w:bottom w:w="0" w:type="dxa"/>
            </w:tcMar>
            <w:vAlign w:val="center"/>
          </w:tcPr>
          <w:p>
            <w:pPr>
              <w:pStyle w:val="TableContents"/>
              <w:bidi w:val="0"/>
              <w:spacing w:before="0" w:after="0"/>
              <w:ind w:left="0" w:right="0" w:hanging="0"/>
              <w:jc w:val="left"/>
              <w:rPr/>
            </w:pPr>
            <w:r>
              <w:rPr/>
              <w:t>​</w:t>
            </w:r>
          </w:p>
        </w:tc>
        <w:tc>
          <w:tcPr>
            <w:tcW w:w="211" w:type="dxa"/>
            <w:tcBorders/>
            <w:shd w:fill="CCEEFF" w:val="clear"/>
            <w:tcMar>
              <w:bottom w:w="0" w:type="dxa"/>
            </w:tcMar>
            <w:vAlign w:val="center"/>
          </w:tcPr>
          <w:p>
            <w:pPr>
              <w:pStyle w:val="TableContents"/>
              <w:bidi w:val="0"/>
              <w:spacing w:before="0" w:after="0"/>
              <w:ind w:left="0" w:right="0" w:hanging="0"/>
              <w:jc w:val="left"/>
              <w:rPr/>
            </w:pPr>
            <w:r>
              <w:rPr/>
              <w:t>​</w:t>
            </w:r>
          </w:p>
        </w:tc>
        <w:tc>
          <w:tcPr>
            <w:tcW w:w="811"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400</w:t>
            </w:r>
          </w:p>
        </w:tc>
      </w:tr>
      <w:tr>
        <w:trPr/>
        <w:tc>
          <w:tcPr>
            <w:tcW w:w="573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2,652</w:t>
            </w:r>
          </w:p>
        </w:tc>
      </w:tr>
      <w:tr>
        <w:trPr/>
        <w:tc>
          <w:tcPr>
            <w:tcW w:w="573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Right-of-use operating lease</w:t>
            </w:r>
          </w:p>
        </w:tc>
        <w:tc>
          <w:tcPr>
            <w:tcW w:w="109" w:type="dxa"/>
            <w:tcBorders/>
            <w:shd w:fill="CCEEFF" w:val="clear"/>
            <w:tcMar>
              <w:bottom w:w="0" w:type="dxa"/>
            </w:tcMar>
            <w:vAlign w:val="center"/>
          </w:tcPr>
          <w:p>
            <w:pPr>
              <w:pStyle w:val="TableContents"/>
              <w:bidi w:val="0"/>
              <w:spacing w:before="0" w:after="0"/>
              <w:ind w:left="0" w:right="0" w:hanging="0"/>
              <w:jc w:val="left"/>
              <w:rPr/>
            </w:pPr>
            <w:r>
              <w:rPr/>
              <w:t>​</w:t>
            </w:r>
          </w:p>
        </w:tc>
        <w:tc>
          <w:tcPr>
            <w:tcW w:w="211" w:type="dxa"/>
            <w:tcBorders/>
            <w:shd w:fill="CCEEFF" w:val="clear"/>
            <w:tcMar>
              <w:bottom w:w="0" w:type="dxa"/>
            </w:tcMar>
            <w:vAlign w:val="center"/>
          </w:tcPr>
          <w:p>
            <w:pPr>
              <w:pStyle w:val="TableContents"/>
              <w:bidi w:val="0"/>
              <w:spacing w:before="0" w:after="0"/>
              <w:ind w:left="0" w:right="0" w:hanging="0"/>
              <w:jc w:val="left"/>
              <w:rPr/>
            </w:pPr>
            <w:r>
              <w:rPr/>
              <w:t>​</w:t>
            </w:r>
          </w:p>
        </w:tc>
        <w:tc>
          <w:tcPr>
            <w:tcW w:w="811"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8,065</w:t>
            </w:r>
          </w:p>
        </w:tc>
      </w:tr>
      <w:tr>
        <w:trPr/>
        <w:tc>
          <w:tcPr>
            <w:tcW w:w="573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In-process research and development ("IPR&amp;D")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34,200</w:t>
            </w:r>
          </w:p>
        </w:tc>
      </w:tr>
      <w:tr>
        <w:trPr/>
        <w:tc>
          <w:tcPr>
            <w:tcW w:w="573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Goodwill</w:t>
            </w:r>
          </w:p>
        </w:tc>
        <w:tc>
          <w:tcPr>
            <w:tcW w:w="109" w:type="dxa"/>
            <w:tcBorders/>
            <w:shd w:fill="CCEEFF" w:val="clear"/>
            <w:tcMar>
              <w:bottom w:w="0"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4,327</w:t>
            </w:r>
          </w:p>
        </w:tc>
      </w:tr>
      <w:tr>
        <w:trPr/>
        <w:tc>
          <w:tcPr>
            <w:tcW w:w="573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 acquired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54,890</w:t>
            </w:r>
          </w:p>
        </w:tc>
      </w:tr>
      <w:tr>
        <w:trPr/>
        <w:tc>
          <w:tcPr>
            <w:tcW w:w="5731" w:type="dxa"/>
            <w:tcBorders/>
            <w:shd w:fill="CCEEFF" w:val="clear"/>
            <w:tcMar>
              <w:bottom w:w="0" w:type="dxa"/>
            </w:tcMar>
            <w:vAlign w:val="center"/>
          </w:tcPr>
          <w:p>
            <w:pPr>
              <w:pStyle w:val="TableContents"/>
              <w:bidi w:val="0"/>
              <w:spacing w:before="0" w:after="0"/>
              <w:ind w:left="0" w:right="0" w:hanging="0"/>
              <w:jc w:val="left"/>
              <w:rPr/>
            </w:pPr>
            <w:r>
              <w:rPr/>
              <w:t>​</w:t>
            </w:r>
          </w:p>
        </w:tc>
        <w:tc>
          <w:tcPr>
            <w:tcW w:w="109" w:type="dxa"/>
            <w:tcBorders/>
            <w:shd w:fill="CCEEFF" w:val="clear"/>
            <w:tcMar>
              <w:bottom w:w="0" w:type="dxa"/>
            </w:tcMar>
            <w:vAlign w:val="center"/>
          </w:tcPr>
          <w:p>
            <w:pPr>
              <w:pStyle w:val="TableContents"/>
              <w:bidi w:val="0"/>
              <w:spacing w:before="0" w:after="0"/>
              <w:ind w:left="0" w:right="0" w:hanging="0"/>
              <w:jc w:val="left"/>
              <w:rPr/>
            </w:pPr>
            <w:r>
              <w:rPr/>
              <w:t>​</w:t>
            </w:r>
          </w:p>
        </w:tc>
        <w:tc>
          <w:tcPr>
            <w:tcW w:w="211" w:type="dxa"/>
            <w:tcBorders/>
            <w:shd w:fill="CCEEFF" w:val="clear"/>
            <w:tcMar>
              <w:bottom w:w="0" w:type="dxa"/>
            </w:tcMar>
            <w:vAlign w:val="center"/>
          </w:tcPr>
          <w:p>
            <w:pPr>
              <w:pStyle w:val="TableContents"/>
              <w:bidi w:val="0"/>
              <w:spacing w:before="0" w:after="0"/>
              <w:ind w:left="0" w:right="0" w:hanging="0"/>
              <w:jc w:val="left"/>
              <w:rPr/>
            </w:pPr>
            <w:r>
              <w:rPr/>
              <w:t>​</w:t>
            </w:r>
          </w:p>
        </w:tc>
        <w:tc>
          <w:tcPr>
            <w:tcW w:w="811"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573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Liabilities assumed: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r>
      <w:tr>
        <w:trPr/>
        <w:tc>
          <w:tcPr>
            <w:tcW w:w="573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109" w:type="dxa"/>
            <w:tcBorders/>
            <w:shd w:fill="CCEEFF" w:val="clear"/>
            <w:tcMar>
              <w:bottom w:w="0" w:type="dxa"/>
            </w:tcMar>
            <w:vAlign w:val="center"/>
          </w:tcPr>
          <w:p>
            <w:pPr>
              <w:pStyle w:val="TableContents"/>
              <w:bidi w:val="0"/>
              <w:spacing w:before="0" w:after="0"/>
              <w:ind w:left="0" w:right="0" w:hanging="0"/>
              <w:jc w:val="left"/>
              <w:rPr/>
            </w:pPr>
            <w:r>
              <w:rPr/>
              <w:t>​</w:t>
            </w:r>
          </w:p>
        </w:tc>
        <w:tc>
          <w:tcPr>
            <w:tcW w:w="21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868</w:t>
            </w:r>
          </w:p>
        </w:tc>
      </w:tr>
      <w:tr>
        <w:trPr/>
        <w:tc>
          <w:tcPr>
            <w:tcW w:w="573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and other current liabilities</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2,352</w:t>
            </w:r>
          </w:p>
        </w:tc>
      </w:tr>
      <w:tr>
        <w:trPr/>
        <w:tc>
          <w:tcPr>
            <w:tcW w:w="573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Lease liabilities - operating lease</w:t>
            </w:r>
          </w:p>
        </w:tc>
        <w:tc>
          <w:tcPr>
            <w:tcW w:w="109" w:type="dxa"/>
            <w:tcBorders/>
            <w:shd w:fill="CCEEFF" w:val="clear"/>
            <w:tcMar>
              <w:bottom w:w="0" w:type="dxa"/>
            </w:tcMar>
            <w:vAlign w:val="center"/>
          </w:tcPr>
          <w:p>
            <w:pPr>
              <w:pStyle w:val="TableContents"/>
              <w:bidi w:val="0"/>
              <w:spacing w:before="0" w:after="0"/>
              <w:ind w:left="0" w:right="0" w:hanging="0"/>
              <w:jc w:val="left"/>
              <w:rPr/>
            </w:pPr>
            <w:r>
              <w:rPr/>
              <w:t>​</w:t>
            </w:r>
          </w:p>
        </w:tc>
        <w:tc>
          <w:tcPr>
            <w:tcW w:w="211" w:type="dxa"/>
            <w:tcBorders/>
            <w:shd w:fill="CCEEFF" w:val="clear"/>
            <w:tcMar>
              <w:bottom w:w="0" w:type="dxa"/>
            </w:tcMar>
            <w:vAlign w:val="center"/>
          </w:tcPr>
          <w:p>
            <w:pPr>
              <w:pStyle w:val="TableContents"/>
              <w:bidi w:val="0"/>
              <w:spacing w:before="0" w:after="0"/>
              <w:ind w:left="0" w:right="0" w:hanging="0"/>
              <w:jc w:val="left"/>
              <w:rPr/>
            </w:pPr>
            <w:r>
              <w:rPr/>
              <w:t>​</w:t>
            </w:r>
          </w:p>
        </w:tc>
        <w:tc>
          <w:tcPr>
            <w:tcW w:w="811"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8,065</w:t>
            </w:r>
          </w:p>
        </w:tc>
      </w:tr>
      <w:tr>
        <w:trPr/>
        <w:tc>
          <w:tcPr>
            <w:tcW w:w="573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Contingent consideration</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372</w:t>
            </w:r>
          </w:p>
        </w:tc>
      </w:tr>
      <w:tr>
        <w:trPr/>
        <w:tc>
          <w:tcPr>
            <w:tcW w:w="573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tax liability</w:t>
            </w:r>
          </w:p>
        </w:tc>
        <w:tc>
          <w:tcPr>
            <w:tcW w:w="109" w:type="dxa"/>
            <w:tcBorders/>
            <w:shd w:fill="CCEEFF" w:val="clear"/>
            <w:tcMar>
              <w:bottom w:w="0"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3,503</w:t>
            </w:r>
          </w:p>
        </w:tc>
      </w:tr>
      <w:tr>
        <w:trPr/>
        <w:tc>
          <w:tcPr>
            <w:tcW w:w="573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 assumed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15,160</w:t>
            </w:r>
          </w:p>
        </w:tc>
      </w:tr>
      <w:tr>
        <w:trPr/>
        <w:tc>
          <w:tcPr>
            <w:tcW w:w="5731" w:type="dxa"/>
            <w:tcBorders/>
            <w:shd w:fill="CCEEFF" w:val="clear"/>
            <w:tcMar>
              <w:bottom w:w="0" w:type="dxa"/>
            </w:tcMar>
            <w:vAlign w:val="center"/>
          </w:tcPr>
          <w:p>
            <w:pPr>
              <w:pStyle w:val="TableContents"/>
              <w:bidi w:val="0"/>
              <w:spacing w:before="0" w:after="0"/>
              <w:ind w:left="0" w:right="0" w:hanging="0"/>
              <w:jc w:val="left"/>
              <w:rPr/>
            </w:pPr>
            <w:r>
              <w:rPr/>
              <w:t>​</w:t>
            </w:r>
          </w:p>
        </w:tc>
        <w:tc>
          <w:tcPr>
            <w:tcW w:w="109" w:type="dxa"/>
            <w:tcBorders/>
            <w:shd w:fill="CCEEFF" w:val="clear"/>
            <w:tcMar>
              <w:bottom w:w="0"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vAlign w:val="center"/>
          </w:tcPr>
          <w:p>
            <w:pPr>
              <w:pStyle w:val="TableContents"/>
              <w:bidi w:val="0"/>
              <w:spacing w:before="0" w:after="0"/>
              <w:ind w:left="0" w:right="0" w:hanging="0"/>
              <w:jc w:val="left"/>
              <w:rPr/>
            </w:pPr>
            <w:r>
              <w:rPr/>
              <w:t>​</w:t>
            </w:r>
          </w:p>
        </w:tc>
      </w:tr>
      <w:tr>
        <w:trPr/>
        <w:tc>
          <w:tcPr>
            <w:tcW w:w="573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assets acquired</w:t>
            </w:r>
          </w:p>
        </w:tc>
        <w:tc>
          <w:tcPr>
            <w:tcW w:w="109" w:type="dxa"/>
            <w:tcBorders/>
            <w:tcMar>
              <w:bottom w:w="0"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vAlign w:val="center"/>
          </w:tcPr>
          <w:p>
            <w:pPr>
              <w:pStyle w:val="TableContents"/>
              <w:bidi w:val="0"/>
              <w:spacing w:before="0" w:after="0"/>
              <w:ind w:left="0" w:right="75" w:hanging="0"/>
              <w:jc w:val="right"/>
              <w:rPr>
                <w:rFonts w:ascii="Arial;Helvetica;sans-serif" w:hAnsi="Arial;Helvetica;sans-serif"/>
                <w:sz w:val="20"/>
              </w:rPr>
            </w:pPr>
            <w:r>
              <w:rPr>
                <w:rFonts w:ascii="Arial;Helvetica;sans-serif" w:hAnsi="Arial;Helvetica;sans-serif"/>
                <w:sz w:val="20"/>
              </w:rPr>
              <w:t>39,730</w:t>
            </w:r>
          </w:p>
        </w:tc>
      </w:tr>
    </w:tbl>
    <w:p>
      <w:pPr>
        <w:pStyle w:val="TextBody"/>
        <w:bidi w:val="0"/>
        <w:spacing w:before="0" w:after="0"/>
        <w:ind w:left="0" w:right="0" w:hanging="0"/>
        <w:jc w:val="left"/>
        <w:rPr/>
      </w:pPr>
      <w:r>
        <w:rPr/>
        <w:t>​</w:t>
      </w:r>
    </w:p>
    <w:p>
      <w:pPr>
        <w:pStyle w:val="TextBody"/>
        <w:pBdr/>
        <w:shd w:fill="FFFFFF" w:val="clear"/>
        <w:bidi w:val="0"/>
        <w:spacing w:before="200" w:after="0"/>
        <w:ind w:left="0" w:right="0" w:hanging="0"/>
        <w:jc w:val="left"/>
        <w:rPr>
          <w:rFonts w:ascii="Arial;Helvetica;sans-serif" w:hAnsi="Arial;Helvetica;sans-serif"/>
          <w:color w:val="212529"/>
          <w:sz w:val="20"/>
        </w:rPr>
      </w:pPr>
      <w:r>
        <w:rPr>
          <w:rFonts w:ascii="Arial;Helvetica;sans-serif" w:hAnsi="Arial;Helvetica;sans-serif"/>
          <w:color w:val="212529"/>
          <w:sz w:val="20"/>
        </w:rPr>
        <w:t>As of December 31, 2024, the purchase price was final and changes from the preliminary purchase price were immaterial. The purchase price was allocated to the tangible assets and identifiable intangible assets acquired and liabilities assumed based on their acquisition date estimated fair values. The identifiable intangible assets consist of IPR&amp;D which were assigned fair values of $34,200. The fair value of the IPR&amp;D was estimated using the multi-period excess earnings method, which the Company estimates future cash flows attributable to the technology and applies a probability of success and a discount rate of 26.9%.</w:t>
      </w:r>
    </w:p>
    <w:p>
      <w:pPr>
        <w:pStyle w:val="TextBody"/>
        <w:pBdr/>
        <w:shd w:fill="FFFFFF" w:val="clear"/>
        <w:bidi w:val="0"/>
        <w:spacing w:before="0" w:after="0"/>
        <w:ind w:left="0" w:right="0" w:hanging="0"/>
        <w:jc w:val="both"/>
        <w:rPr>
          <w:rFonts w:ascii="Arial;Helvetica;sans-serif" w:hAnsi="Arial;Helvetica;sans-serif"/>
          <w:color w:val="212529"/>
          <w:sz w:val="20"/>
        </w:rPr>
      </w:pPr>
      <w:r>
        <w:rPr>
          <w:rFonts w:ascii="Arial;Helvetica;sans-serif" w:hAnsi="Arial;Helvetica;sans-serif"/>
          <w:color w:val="212529"/>
          <w:sz w:val="20"/>
        </w:rPr>
        <w:t>These nonrecurring fair value measurements are Level 3 measurements within the fair value hierarchy.</w:t>
      </w:r>
    </w:p>
    <w:p>
      <w:pPr>
        <w:pStyle w:val="TextBody"/>
        <w:pBdr/>
        <w:shd w:fill="FFFFFF" w:val="clear"/>
        <w:bidi w:val="0"/>
        <w:spacing w:before="0" w:after="0"/>
        <w:ind w:left="0" w:right="0" w:hanging="0"/>
        <w:jc w:val="left"/>
        <w:rPr>
          <w:rFonts w:ascii="Arial;Helvetica;sans-serif" w:hAnsi="Arial;Helvetica;sans-serif"/>
          <w:color w:val="212529"/>
          <w:sz w:val="20"/>
        </w:rPr>
      </w:pPr>
      <w:r>
        <w:rPr>
          <w:rFonts w:ascii="Arial;Helvetica;sans-serif" w:hAnsi="Arial;Helvetica;sans-serif"/>
          <w:color w:val="212529"/>
          <w:sz w:val="20"/>
        </w:rPr>
        <w:t>Goodwill represents the excess of the purchase price over the net identifiable tangible and intangible assets acquired. The Company believes the goodwill related to the acquisition was attributable to the expected synergies and value of the assembled workforce as well as the collective experience of the management team with regards to its operations. The goodwill is not expected to be tax deductible.</w:t>
      </w:r>
    </w:p>
    <w:p>
      <w:pPr>
        <w:pStyle w:val="TextBody"/>
        <w:shd w:fill="FFFFFF" w:val="clear"/>
        <w:bidi w:val="0"/>
        <w:spacing w:before="0" w:after="240"/>
        <w:ind w:left="0" w:right="0" w:hanging="0"/>
        <w:jc w:val="left"/>
        <w:rPr>
          <w:rFonts w:ascii="Arial;Helvetica;sans-serif" w:hAnsi="Arial;Helvetica;sans-serif"/>
          <w:color w:val="212529"/>
          <w:sz w:val="20"/>
        </w:rPr>
      </w:pPr>
      <w:r>
        <w:rPr>
          <w:rFonts w:ascii="Arial;Helvetica;sans-serif" w:hAnsi="Arial;Helvetica;sans-serif"/>
          <w:color w:val="212529"/>
          <w:sz w:val="20"/>
        </w:rPr>
        <w:t>As of December 31, 2024, given the sustained decrease of the Company’s market capitalization, the carrying value of the single, entity-wide reporting unit exceeded its fair value, and accordingly, the Company recorded a goodwill impairment charge of $4,327 to write off the goodwill balance.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sz w:val="24"/>
        </w:rPr>
      </w:pPr>
      <w:bookmarkStart w:id="610" w:name="Tc_W9Aje5GrCUasrKyuntPMrw_6_11"/>
      <w:bookmarkStart w:id="611" w:name="Tc_7rj0PBHvDkqDY1s7b-kaNg_6_8"/>
      <w:bookmarkStart w:id="612" w:name="Tc_X93uoD4kcEahrfQvpLokvQ_6_5"/>
      <w:bookmarkStart w:id="613" w:name="Tc_teQJ21sjY02lFuqguMFTcQ_6_2"/>
      <w:bookmarkStart w:id="614" w:name="Tc_TLuytqIMCEy4oO536OQXtw_6_0"/>
      <w:bookmarkStart w:id="615" w:name="Tc_2fks0P_0sE6Wp9paBWM2cQ_5_0"/>
      <w:bookmarkStart w:id="616" w:name="Tc_0LdplxePCkKjRZb3c27naQ_4_11"/>
      <w:bookmarkStart w:id="617" w:name="Tc_mwCAE_GSnUG5YcGRIyRF1g_4_8"/>
      <w:bookmarkStart w:id="618" w:name="Tc_BkcpnMi3L0CQ9jhwNEaonQ_4_5"/>
      <w:bookmarkStart w:id="619" w:name="Tc_MIvywsOLlkCLJCy0c2WO9Q_4_2"/>
      <w:bookmarkStart w:id="620" w:name="Tc__HeU-J3D2Eijc-_DTRn4ug_4_0"/>
      <w:bookmarkStart w:id="621" w:name="Tc_rHIxGZC0DEemBiy28vXXKA_3_11"/>
      <w:bookmarkStart w:id="622" w:name="Tc_3_mkLBsxykWsfld34J842A_3_8"/>
      <w:bookmarkStart w:id="623" w:name="Tc_Esl4qJiYBkSm0_dgs7pp1w_3_5"/>
      <w:bookmarkStart w:id="624" w:name="Tc_DFjLSwcw0UKYxjqGCvYIgg_3_2"/>
      <w:bookmarkStart w:id="625" w:name="Tc_vkutE0oXnk6FKcgtowEDVA_2_8"/>
      <w:bookmarkStart w:id="626" w:name="Tc__9SlBhrC5UOqzg1bV7zlgg_2_5"/>
      <w:bookmarkStart w:id="627" w:name="Tc_Xohlh8KXjUi0iTtR4s1Itg_1_8"/>
      <w:bookmarkStart w:id="628" w:name="Tc_Q2HnYt8fh0m0IOuLdGLN0A_1_5"/>
      <w:bookmarkStart w:id="629" w:name="_515fc3da_116f_4af6_ab8d_a8b41e055683"/>
      <w:bookmarkStart w:id="630" w:name="Tc_YmtFqbBkWkq7SZXYAiZe9w_6_11"/>
      <w:bookmarkStart w:id="631" w:name="Tc_FZK0Ryqx3UOyEzwTOQ-5_w_6_8"/>
      <w:bookmarkStart w:id="632" w:name="Tc_0I3UfE9DXECSkldZoE4WhA_6_5"/>
      <w:bookmarkStart w:id="633" w:name="Tc_DNhthOvf-UeMdj_47iZptA_6_2"/>
      <w:bookmarkStart w:id="634" w:name="Tc_HNEQByEyWkGSYpZrRNcWmQ_6_0"/>
      <w:bookmarkStart w:id="635" w:name="Tc_9Hbk2KPO4E6ibpuffvpuzA_5_0"/>
      <w:bookmarkStart w:id="636" w:name="Tc_kX_8nX8w806En1VzRErk9w_4_11"/>
      <w:bookmarkStart w:id="637" w:name="Tc_IcXoB6YyL0q1yX1MF0Llsg_4_8"/>
      <w:bookmarkStart w:id="638" w:name="Tc_K-_Ym9skAUiY1l8loicAXA_4_5"/>
      <w:bookmarkStart w:id="639" w:name="Tc_ne7pVoHXZ0K72REL4uiveA_4_2"/>
      <w:bookmarkStart w:id="640" w:name="Tc_EYac5hH5mUuyQeAFEp4EdA_4_0"/>
      <w:bookmarkStart w:id="641" w:name="Tc_AgGuL6gV2UaigO3iso8VVQ_3_11"/>
      <w:bookmarkStart w:id="642" w:name="Tc_3no1GD0e5US7Piv81B7T1A_3_8"/>
      <w:bookmarkStart w:id="643" w:name="Tc_4OfUt_2Bb0W6cZJg9hw06Q_3_5"/>
      <w:bookmarkStart w:id="644" w:name="Tc_-9KnQUl-MUyvimfh287ZuQ_3_2"/>
      <w:bookmarkStart w:id="645" w:name="Tc_fZtdKqVKuUGDfhqU_hnRkg_2_8"/>
      <w:bookmarkStart w:id="646" w:name="Tc_5o9OaiY1I0S2AYzlfMpslQ_2_5"/>
      <w:bookmarkStart w:id="647" w:name="Tc_LzqNOExGHUGIucQ9P1zZGQ_1_8"/>
      <w:bookmarkStart w:id="648" w:name="Tc_BP-cmw6jMEmtRPMdoehk1A_1_5"/>
      <w:bookmarkStart w:id="649" w:name="_cb984133_25ac_45f1_b520_0239b5ac9adb"/>
      <w:bookmarkStart w:id="650" w:name="Tc_ZCXlo2VpI0OH9eXiW7Sr1g_8_11"/>
      <w:bookmarkStart w:id="651" w:name="Tc_Fpog6YQAX0--OdEQySzneQ_8_8"/>
      <w:bookmarkStart w:id="652" w:name="Tc_IQL6WVqheUGL3DxF5DUP_w_8_6"/>
      <w:bookmarkStart w:id="653" w:name="Tc_snvhMooUok2SG5jkoGRbIw_8_5"/>
      <w:bookmarkStart w:id="654" w:name="Tc_GAtkTYGrCkW20HsuRQ9g1w_8_3"/>
      <w:bookmarkStart w:id="655" w:name="Tc_MuvdVVrqUUWGW0wLW_Pc4A_8_2"/>
      <w:bookmarkStart w:id="656" w:name="Tc_86sK-OvSZE-zDg4QpwwGng_8_0"/>
      <w:bookmarkStart w:id="657" w:name="Tc_qblmLfJ9lUaPju8qQDW8fg_7_6"/>
      <w:bookmarkStart w:id="658" w:name="Tc_xacg3uHLV0a3Sl1910gqzQ_7_3"/>
      <w:bookmarkStart w:id="659" w:name="Tc_gWGA6B6bqkqrt43rmDrDbg_7_0"/>
      <w:bookmarkStart w:id="660" w:name="Tc_OArkT2-1IEiAH7HwvZ7RAQ_6_0"/>
      <w:bookmarkStart w:id="661" w:name="Tc_OmWK54EUREmnl1QJr8pmnA_5_11"/>
      <w:bookmarkStart w:id="662" w:name="Tc_QbE0BSfxYUq8Th6fRvFSug_5_9"/>
      <w:bookmarkStart w:id="663" w:name="Tc_LVLoalG8QESQi8D-eVd8SQ_5_8"/>
      <w:bookmarkStart w:id="664" w:name="Tc_FHgabYAHS0Ov90cM5kAiBg_5_5"/>
      <w:bookmarkStart w:id="665" w:name="Tc_gmIG4tJ8KUqzi79M2hlJ3w_5_0"/>
      <w:bookmarkStart w:id="666" w:name="Tc_gEXX-0wcbU-Ng-lwWoOLrA_4_9"/>
      <w:bookmarkStart w:id="667" w:name="Tc_FYK-WE6EB0m5mPVtlFuYyw_4_3"/>
      <w:bookmarkStart w:id="668" w:name="Tc_zjqJpQ_J4kGhNMctY4AkZw_4_0"/>
      <w:bookmarkStart w:id="669" w:name="Tc_-J78E1naGEK53RWpuyREjg_3_9"/>
      <w:bookmarkStart w:id="670" w:name="Tc_tcWfT5XLKE6D-mZVzvhoRA_3_3"/>
      <w:bookmarkStart w:id="671" w:name="Tc_siy-V4zAFUGNGVO31MaZdQ_3_0"/>
      <w:bookmarkStart w:id="672" w:name="Tc_UXA2yDR0K0ysfOL5E8q1Sw_2_11"/>
      <w:bookmarkStart w:id="673" w:name="Tc_XJ9jMfNIgkOjhdphpVpg0g_2_9"/>
      <w:bookmarkStart w:id="674" w:name="Tc_xpLxUIQ6XEWubFpd3rptYg_2_6"/>
      <w:bookmarkStart w:id="675" w:name="Tc_jm2x6s5fBkGTY9c24ocZfw_2_2"/>
      <w:bookmarkStart w:id="676" w:name="Tc_xqrYBk_WZU6ZoLDrNlHWqw_2_0"/>
      <w:bookmarkStart w:id="677" w:name="Tc_SssIGiRIbEqsHe2UWfSgJg_1_11"/>
      <w:bookmarkStart w:id="678" w:name="Tc_FMh5QymLskGNy6SVWCg-iw_1_8"/>
      <w:bookmarkStart w:id="679" w:name="Tc_RliyQ1N2jECFOCqCjp9grw_1_5"/>
      <w:bookmarkStart w:id="680" w:name="Tc_LetTtMieTE6w4poSX6xtKA_1_2"/>
      <w:bookmarkStart w:id="681" w:name="_1aa2ce37_4485_4060_936c_7d01d3d35a3d"/>
      <w:bookmarkStart w:id="682" w:name="Tc_cG-x3sPwS0SSsIpbTjwsUg_9_11"/>
      <w:bookmarkStart w:id="683" w:name="Tc_tlImKPby70OUe5pmplBcng_9_8"/>
      <w:bookmarkStart w:id="684" w:name="Tc_54ROepmmMkaA_tkfB5e3Ww_9_6"/>
      <w:bookmarkStart w:id="685" w:name="Tc_7ZxuLlFEf0O2B5nFi2de0w_9_5"/>
      <w:bookmarkStart w:id="686" w:name="Tc_9wD5I3VqqkCIl8QBtfHmRQ_9_3"/>
      <w:bookmarkStart w:id="687" w:name="Tc_wi-E4a9DLk-6vdTJr1L_cQ_9_2"/>
      <w:bookmarkStart w:id="688" w:name="Tc_SCFCth4pZkODhaObIqiUMA_9_0"/>
      <w:bookmarkStart w:id="689" w:name="Tc_EJwKQya_zk2hSB5-m0ijBg_8_6"/>
      <w:bookmarkStart w:id="690" w:name="Tc_Bgl4o8-P_Ue6IMmaKCzCyw_8_3"/>
      <w:bookmarkStart w:id="691" w:name="Tc_-VrTHSJ9FEiHacit5B281Q_8_0"/>
      <w:bookmarkStart w:id="692" w:name="Tc_CIs83lK1QEGoHV0uglmW6g_7_0"/>
      <w:bookmarkStart w:id="693" w:name="Tc_6r_nSs880UuzTEwdaq2y6w_6_11"/>
      <w:bookmarkStart w:id="694" w:name="Tc_qqFi6HIz4UmBD0_pt1ZPdA_6_9"/>
      <w:bookmarkStart w:id="695" w:name="Tc_-5fvr5aFiEWeaTvAsHiAoQ_6_8"/>
      <w:bookmarkStart w:id="696" w:name="Tc_DKWl000Hn0m30OX6mcQXNg_6_5"/>
      <w:bookmarkStart w:id="697" w:name="Tc_Au_jZho0DUi9hp4Xb0uy7A_6_2"/>
      <w:bookmarkStart w:id="698" w:name="Tc_FxKSJvHeUECzuV8-E5665g_6_0"/>
      <w:bookmarkStart w:id="699" w:name="Tc_bV5yvnD3tEm2aXoM6NWNrg_5_9"/>
      <w:bookmarkStart w:id="700" w:name="Tc_xye8yNPnVUKI15apHdbvZA_5_3"/>
      <w:bookmarkStart w:id="701" w:name="Tc_uY2ZaXtzr0mVH7Hsd5lrLA_5_0"/>
      <w:bookmarkStart w:id="702" w:name="Tc_YnEzZ1PgQUSmcG90RoUrTA_4_9"/>
      <w:bookmarkStart w:id="703" w:name="Tc_B3xvNWQp60OGxX5U0gk-9g_4_3"/>
      <w:bookmarkStart w:id="704" w:name="Tc_MUkMxPWI6UOMzAaELQaVpQ_4_0"/>
      <w:bookmarkStart w:id="705" w:name="Tc_D8UDY_3HHUqOSe3ekixTVg_3_11"/>
      <w:bookmarkStart w:id="706" w:name="Tc_SvgrONTXlEW_E5_DCLGFxA_3_9"/>
      <w:bookmarkStart w:id="707" w:name="Tc_x_vJ-stlS0yxTEmEpc3aUg_3_6"/>
      <w:bookmarkStart w:id="708" w:name="Tc_uzBq1ScJxkeimt6IWbXTSg_3_2"/>
      <w:bookmarkStart w:id="709" w:name="Tc_RJKb4Qb780WZlEvapEnt3A_3_0"/>
      <w:bookmarkStart w:id="710" w:name="Tc_HhrrudphdkGlasr724uHNA_2_0"/>
      <w:bookmarkStart w:id="711" w:name="Tc_T8MByUSQb0CiyosSgYxOpg_1_11"/>
      <w:bookmarkStart w:id="712" w:name="Tc_5bK8xOsHU0eeKoypkvXVjQ_1_8"/>
      <w:bookmarkStart w:id="713" w:name="Tc_lOi5EO5hlka7PBm8fR-MpA_1_5"/>
      <w:bookmarkStart w:id="714" w:name="Tc_pQPsmnyfcESJ_MXZwC_emA_1_2"/>
      <w:bookmarkStart w:id="715" w:name="_89d09df1_6f56_4c4d_a351_5af20373d57b"/>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Pr>
          <w:rFonts w:ascii="Arial;Helvetica;sans-serif" w:hAnsi="Arial;Helvetica;sans-serif"/>
          <w:b w:val="false"/>
          <w:sz w:val="24"/>
        </w:rPr>
        <w:t>Note 4—Financial instruments and fair value measurements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the Company’s assets that were measured at fair value as of March 31, 2025 by level within the fair value hierarchy:</w:t>
      </w:r>
    </w:p>
    <w:p>
      <w:pPr>
        <w:pStyle w:val="TextBody"/>
        <w:bidi w:val="0"/>
        <w:spacing w:before="0" w:after="0"/>
        <w:ind w:left="0" w:right="0" w:hanging="0"/>
        <w:jc w:val="left"/>
        <w:rPr/>
      </w:pPr>
      <w:r>
        <w:rPr/>
        <w:t>​</w:t>
      </w:r>
    </w:p>
    <w:tbl>
      <w:tblPr>
        <w:tblW w:w="7328" w:type="dxa"/>
        <w:jc w:val="left"/>
        <w:tblInd w:w="0" w:type="dxa"/>
        <w:tblLayout w:type="fixed"/>
        <w:tblCellMar>
          <w:top w:w="0" w:type="dxa"/>
          <w:left w:w="0" w:type="dxa"/>
          <w:bottom w:w="0" w:type="dxa"/>
          <w:right w:w="0" w:type="dxa"/>
        </w:tblCellMar>
      </w:tblPr>
      <w:tblGrid>
        <w:gridCol w:w="2266"/>
        <w:gridCol w:w="326"/>
        <w:gridCol w:w="211"/>
        <w:gridCol w:w="691"/>
        <w:gridCol w:w="326"/>
        <w:gridCol w:w="211"/>
        <w:gridCol w:w="796"/>
        <w:gridCol w:w="326"/>
        <w:gridCol w:w="211"/>
        <w:gridCol w:w="586"/>
        <w:gridCol w:w="326"/>
        <w:gridCol w:w="211"/>
        <w:gridCol w:w="84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38910" cy="175260"/>
                      <wp:effectExtent l="0" t="0" r="0" b="0"/>
                      <wp:wrapNone/>
                      <wp:docPr id="67" name="Frame67"/>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22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90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1</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100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2</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79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3</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105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Total</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Assets: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46,142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46,142</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 Treasury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30,697</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103,272</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133,969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180,111</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double" w:sz="6" w:space="0" w:color="000000"/>
            </w:tcBorders>
            <w:tcMar>
              <w:top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96" w:type="dxa"/>
            <w:tcBorders>
              <w:top w:val="double" w:sz="6" w:space="0" w:color="000000"/>
            </w:tcBorders>
            <w:tcMar>
              <w:top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586" w:type="dxa"/>
            <w:tcBorders>
              <w:top w:val="double" w:sz="6" w:space="0" w:color="000000"/>
            </w:tcBorders>
            <w:tcMar>
              <w:top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41" w:type="dxa"/>
            <w:tcBorders>
              <w:top w:val="double" w:sz="6" w:space="0" w:color="000000"/>
            </w:tcBorders>
            <w:tcMar>
              <w:top w:w="28" w:type="dxa"/>
            </w:tcMar>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8,500</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8,500</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8,500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the Company’s assets that were measured at fair value as of December 31, 2024, by level within the fair value hierarchy:</w:t>
      </w:r>
    </w:p>
    <w:p>
      <w:pPr>
        <w:pStyle w:val="TextBody"/>
        <w:bidi w:val="0"/>
        <w:spacing w:before="0" w:after="0"/>
        <w:ind w:left="0" w:right="0" w:hanging="0"/>
        <w:jc w:val="left"/>
        <w:rPr/>
      </w:pPr>
      <w:r>
        <w:rPr/>
        <w:t>​</w:t>
      </w:r>
    </w:p>
    <w:tbl>
      <w:tblPr>
        <w:tblW w:w="7328" w:type="dxa"/>
        <w:jc w:val="left"/>
        <w:tblInd w:w="0" w:type="dxa"/>
        <w:tblLayout w:type="fixed"/>
        <w:tblCellMar>
          <w:top w:w="0" w:type="dxa"/>
          <w:left w:w="0" w:type="dxa"/>
          <w:bottom w:w="0" w:type="dxa"/>
          <w:right w:w="0" w:type="dxa"/>
        </w:tblCellMar>
      </w:tblPr>
      <w:tblGrid>
        <w:gridCol w:w="2266"/>
        <w:gridCol w:w="326"/>
        <w:gridCol w:w="211"/>
        <w:gridCol w:w="691"/>
        <w:gridCol w:w="326"/>
        <w:gridCol w:w="211"/>
        <w:gridCol w:w="796"/>
        <w:gridCol w:w="326"/>
        <w:gridCol w:w="211"/>
        <w:gridCol w:w="586"/>
        <w:gridCol w:w="326"/>
        <w:gridCol w:w="211"/>
        <w:gridCol w:w="84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38910" cy="175260"/>
                      <wp:effectExtent l="0" t="0" r="0" b="0"/>
                      <wp:wrapNone/>
                      <wp:docPr id="69" name="Frame69"/>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38785" cy="175260"/>
                      <wp:effectExtent l="0" t="0" r="0" b="0"/>
                      <wp:wrapNone/>
                      <wp:docPr id="72" name="Frame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05460" cy="175260"/>
                      <wp:effectExtent l="0" t="0" r="0" b="0"/>
                      <wp:wrapNone/>
                      <wp:docPr id="75" name="Frame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72110" cy="175260"/>
                      <wp:effectExtent l="0" t="0" r="0" b="0"/>
                      <wp:wrapNone/>
                      <wp:docPr id="78" name="Frame7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34035" cy="175260"/>
                      <wp:effectExtent l="0" t="0" r="0" b="0"/>
                      <wp:wrapNone/>
                      <wp:docPr id="81" name="Frame8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90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1</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100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2</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79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3</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105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Total</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50,884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50,884</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 Treasury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29,994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29,994</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131,675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131,675</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50,884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161,669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212,553</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Contingent consideration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8,738</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8,738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There were no </w:t>
      </w:r>
      <w:r>
        <w:rPr>
          <w:rFonts w:ascii="Arial;Helvetica;sans-serif" w:hAnsi="Arial;Helvetica;sans-serif"/>
          <w:b w:val="false"/>
          <w:i w:val="false"/>
          <w:caps w:val="false"/>
          <w:smallCaps w:val="false"/>
          <w:sz w:val="20"/>
        </w:rPr>
        <w:t>transfers</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between</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levels</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during</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the</w:t>
      </w:r>
      <w:r>
        <w:rPr>
          <w:rFonts w:ascii="Arial;Helvetica;sans-serif" w:hAnsi="Arial;Helvetica;sans-serif"/>
          <w:sz w:val="20"/>
        </w:rPr>
        <w:t xml:space="preserve"> period ended March 31, 2025. The Company uses the services of its investment manager, which uses widely accepted models for assumptions in valuing securities with inputs from major third-party data providers.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classifies all of its investments in fixed maturity debt securities as available-for-sale and, accordingly, are carried at estimated fair value.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amortized cost, gross unrealized gains and losses, and fair value of investments in fixed maturity securities are as follows as of March 31, 2025:</w:t>
      </w:r>
    </w:p>
    <w:p>
      <w:pPr>
        <w:pStyle w:val="TextBody"/>
        <w:bidi w:val="0"/>
        <w:spacing w:before="0" w:after="0"/>
        <w:ind w:left="0" w:right="0" w:hanging="0"/>
        <w:jc w:val="left"/>
        <w:rPr/>
      </w:pPr>
      <w:r>
        <w:rPr/>
        <w:t>​</w:t>
      </w:r>
    </w:p>
    <w:tbl>
      <w:tblPr>
        <w:tblW w:w="7070" w:type="dxa"/>
        <w:jc w:val="left"/>
        <w:tblInd w:w="0" w:type="dxa"/>
        <w:tblLayout w:type="fixed"/>
        <w:tblCellMar>
          <w:top w:w="0" w:type="dxa"/>
          <w:left w:w="0" w:type="dxa"/>
          <w:bottom w:w="0" w:type="dxa"/>
          <w:right w:w="0" w:type="dxa"/>
        </w:tblCellMar>
      </w:tblPr>
      <w:tblGrid>
        <w:gridCol w:w="1546"/>
        <w:gridCol w:w="326"/>
        <w:gridCol w:w="257"/>
        <w:gridCol w:w="974"/>
        <w:gridCol w:w="326"/>
        <w:gridCol w:w="295"/>
        <w:gridCol w:w="591"/>
        <w:gridCol w:w="326"/>
        <w:gridCol w:w="356"/>
        <w:gridCol w:w="635"/>
        <w:gridCol w:w="326"/>
        <w:gridCol w:w="211"/>
        <w:gridCol w:w="901"/>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81710" cy="175260"/>
                      <wp:effectExtent l="0" t="0" r="0" b="0"/>
                      <wp:wrapNone/>
                      <wp:docPr id="82" name="Frame8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63195" cy="175260"/>
                      <wp:effectExtent l="0" t="0" r="0" b="0"/>
                      <wp:wrapNone/>
                      <wp:docPr id="84" name="Frame8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18490" cy="175260"/>
                      <wp:effectExtent l="0" t="0" r="0" b="0"/>
                      <wp:wrapNone/>
                      <wp:docPr id="85" name="Frame85"/>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87325" cy="175260"/>
                      <wp:effectExtent l="0" t="0" r="0" b="0"/>
                      <wp:wrapNone/>
                      <wp:docPr id="87" name="Frame8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75285" cy="175260"/>
                      <wp:effectExtent l="0" t="0" r="0" b="0"/>
                      <wp:wrapNone/>
                      <wp:docPr id="88" name="Frame88"/>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26060" cy="175260"/>
                      <wp:effectExtent l="0" t="0" r="0" b="0"/>
                      <wp:wrapNone/>
                      <wp:docPr id="90" name="Frame90"/>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03225" cy="175260"/>
                      <wp:effectExtent l="0" t="0" r="0" b="0"/>
                      <wp:wrapNone/>
                      <wp:docPr id="91" name="Frame91"/>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72135" cy="175260"/>
                      <wp:effectExtent l="0" t="0" r="0" b="0"/>
                      <wp:wrapNone/>
                      <wp:docPr id="94" name="Frame9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25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7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886" w:type="dxa"/>
            <w:gridSpan w:val="2"/>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Gross </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991" w:type="dxa"/>
            <w:gridSpan w:val="2"/>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Gross</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0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Unrealized</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right"/>
              <w:rPr/>
            </w:pPr>
            <w:r>
              <w:rPr/>
              <w:t> </w:t>
            </w:r>
            <w:r>
              <w:rPr>
                <w:rFonts w:ascii="Arial;Helvetica;sans-serif" w:hAnsi="Arial;Helvetica;sans-serif"/>
                <w:sz w:val="16"/>
              </w:rPr>
              <w:t>Unrealized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Amortized Cost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Arial;Helvetica;sans-serif" w:hAnsi="Arial;Helvetica;sans-serif"/>
                <w:sz w:val="16"/>
              </w:rPr>
              <w:t>Gains</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Losses</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Fair Value</w:t>
            </w:r>
          </w:p>
        </w:tc>
      </w:tr>
      <w:tr>
        <w:trPr/>
        <w:tc>
          <w:tcPr>
            <w:tcW w:w="15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 Treasury</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30,637</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30,697</w:t>
            </w:r>
          </w:p>
        </w:tc>
      </w:tr>
      <w:tr>
        <w:trPr/>
        <w:tc>
          <w:tcPr>
            <w:tcW w:w="15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103,046</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w:t>
            </w:r>
          </w:p>
        </w:tc>
        <w:tc>
          <w:tcPr>
            <w:tcW w:w="326" w:type="dxa"/>
            <w:tcBorders/>
            <w:vAlign w:val="center"/>
          </w:tcPr>
          <w:p>
            <w:pPr>
              <w:pStyle w:val="TableContents"/>
              <w:bidi w:val="0"/>
              <w:spacing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103,272</w:t>
            </w:r>
          </w:p>
        </w:tc>
      </w:tr>
      <w:tr>
        <w:trPr/>
        <w:tc>
          <w:tcPr>
            <w:tcW w:w="15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133,683</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312</w:t>
            </w:r>
          </w:p>
        </w:tc>
        <w:tc>
          <w:tcPr>
            <w:tcW w:w="326" w:type="dxa"/>
            <w:tcBorders/>
            <w:shd w:fill="CCEEFF" w:val="clear"/>
            <w:vAlign w:val="center"/>
          </w:tcPr>
          <w:p>
            <w:pPr>
              <w:pStyle w:val="TableContents"/>
              <w:bidi w:val="0"/>
              <w:spacing w:before="0" w:after="0"/>
              <w:ind w:left="0" w:right="0" w:hanging="0"/>
              <w:jc w:val="left"/>
              <w:rPr/>
            </w:pPr>
            <w:r>
              <w:rPr/>
              <w:t>​</w:t>
            </w:r>
          </w:p>
        </w:tc>
        <w:tc>
          <w:tcPr>
            <w:tcW w:w="3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133,969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amortized cost, gross unrealized gains and losses, and fair value of investments in fixed maturity securities are as follows as of December 31, 2024:</w:t>
      </w:r>
    </w:p>
    <w:p>
      <w:pPr>
        <w:pStyle w:val="TextBody"/>
        <w:bidi w:val="0"/>
        <w:spacing w:before="0" w:after="0"/>
        <w:ind w:left="0" w:right="0" w:hanging="0"/>
        <w:jc w:val="left"/>
        <w:rPr/>
      </w:pPr>
      <w:r>
        <w:rPr/>
        <w:t>​</w:t>
      </w:r>
    </w:p>
    <w:tbl>
      <w:tblPr>
        <w:tblW w:w="6965" w:type="dxa"/>
        <w:jc w:val="left"/>
        <w:tblInd w:w="0" w:type="dxa"/>
        <w:tblLayout w:type="fixed"/>
        <w:tblCellMar>
          <w:top w:w="0" w:type="dxa"/>
          <w:left w:w="0" w:type="dxa"/>
          <w:bottom w:w="0" w:type="dxa"/>
          <w:right w:w="0" w:type="dxa"/>
        </w:tblCellMar>
      </w:tblPr>
      <w:tblGrid>
        <w:gridCol w:w="1546"/>
        <w:gridCol w:w="326"/>
        <w:gridCol w:w="257"/>
        <w:gridCol w:w="974"/>
        <w:gridCol w:w="326"/>
        <w:gridCol w:w="295"/>
        <w:gridCol w:w="591"/>
        <w:gridCol w:w="326"/>
        <w:gridCol w:w="303"/>
        <w:gridCol w:w="583"/>
        <w:gridCol w:w="326"/>
        <w:gridCol w:w="211"/>
        <w:gridCol w:w="901"/>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981710" cy="175260"/>
                      <wp:effectExtent l="0" t="0" r="0" b="0"/>
                      <wp:wrapNone/>
                      <wp:docPr id="95" name="Frame9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63195" cy="175260"/>
                      <wp:effectExtent l="0" t="0" r="0" b="0"/>
                      <wp:wrapNone/>
                      <wp:docPr id="97" name="Frame9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18490" cy="175260"/>
                      <wp:effectExtent l="0" t="0" r="0" b="0"/>
                      <wp:wrapNone/>
                      <wp:docPr id="98" name="Frame98"/>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87325" cy="175260"/>
                      <wp:effectExtent l="0" t="0" r="0" b="0"/>
                      <wp:wrapNone/>
                      <wp:docPr id="100" name="Frame10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75285" cy="175260"/>
                      <wp:effectExtent l="0" t="0" r="0" b="0"/>
                      <wp:wrapNone/>
                      <wp:docPr id="101" name="Frame101"/>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92405" cy="175260"/>
                      <wp:effectExtent l="0" t="0" r="0" b="0"/>
                      <wp:wrapNone/>
                      <wp:docPr id="103" name="Frame103"/>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70205" cy="175260"/>
                      <wp:effectExtent l="0" t="0" r="0" b="0"/>
                      <wp:wrapNone/>
                      <wp:docPr id="104" name="Frame104"/>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72135" cy="175260"/>
                      <wp:effectExtent l="0" t="0" r="0" b="0"/>
                      <wp:wrapNone/>
                      <wp:docPr id="107" name="Frame10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5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7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886" w:type="dxa"/>
            <w:gridSpan w:val="2"/>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Gross </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886" w:type="dxa"/>
            <w:gridSpan w:val="2"/>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Gross </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0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Unrealized</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Unrealized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Amortized Cost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Arial;Helvetica;sans-serif" w:hAnsi="Arial;Helvetica;sans-serif"/>
                <w:sz w:val="16"/>
              </w:rPr>
              <w:t>Gains</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Arial;Helvetica;sans-serif" w:hAnsi="Arial;Helvetica;sans-serif"/>
                <w:sz w:val="16"/>
              </w:rPr>
              <w:t>Losses</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Fair Value</w:t>
            </w:r>
          </w:p>
        </w:tc>
      </w:tr>
      <w:tr>
        <w:trPr/>
        <w:tc>
          <w:tcPr>
            <w:tcW w:w="15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 Treasury</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29,898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29,994</w:t>
            </w:r>
          </w:p>
        </w:tc>
      </w:tr>
      <w:tr>
        <w:trPr/>
        <w:tc>
          <w:tcPr>
            <w:tcW w:w="15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131,395</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316</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131,675</w:t>
            </w:r>
          </w:p>
        </w:tc>
      </w:tr>
      <w:tr>
        <w:trPr/>
        <w:tc>
          <w:tcPr>
            <w:tcW w:w="15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161,293</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413</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161,669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716" w:name="Tc_biPZHyjGu0u_eGI-Ao0Hng_14_0"/>
      <w:bookmarkStart w:id="717" w:name="Tc_pwlAAsbIKkejGCawMIdbBg_13_0"/>
      <w:bookmarkStart w:id="718" w:name="Tc_bXMmS6RfPku5JNX-vFtKHg_12_5"/>
      <w:bookmarkStart w:id="719" w:name="Tc_zgMFMgdUckyCEC4K2NWaqA_12_2"/>
      <w:bookmarkStart w:id="720" w:name="Tc_1Qtk8utcTkmJfZ3EzFPqPA_12_0"/>
      <w:bookmarkStart w:id="721" w:name="Tc_7fKNcHB360uKxbc6Z_X72Q_11_0"/>
      <w:bookmarkStart w:id="722" w:name="Tc_ZTipgnG6_06KiEcFo7mzqA_9_5"/>
      <w:bookmarkStart w:id="723" w:name="Tc_Ia7Wrm_G6EeBTvKURXb2dw_9_2"/>
      <w:bookmarkStart w:id="724" w:name="Tc_TylQLprtQUCX9WcZ-XpKnQ_9_0"/>
      <w:bookmarkStart w:id="725" w:name="Tc_UHI2iYbK8EK4ktKoK7AKvw_8_5"/>
      <w:bookmarkStart w:id="726" w:name="Tc_jiAeCNyLj0e02zQgmRiJOA_8_2"/>
      <w:bookmarkStart w:id="727" w:name="Tc_jnWOYBdo8ki6GW7HPdzixw_8_0"/>
      <w:bookmarkStart w:id="728" w:name="Tc_ylTmLxbZV0KHuEjWQHwqkQ_7_0"/>
      <w:bookmarkStart w:id="729" w:name="Tc_xzuh-Fstr0CeMy_Tue5tLg_5_0"/>
      <w:bookmarkStart w:id="730" w:name="Tc_RnuInF2Sukul2aaxa5w6gQ_4_0"/>
      <w:bookmarkStart w:id="731" w:name="Tc_EL7jttSkK02WBcz-ir-DFw_3_5"/>
      <w:bookmarkStart w:id="732" w:name="Tc_bN2hV3tJP0KpfslufmczBw_3_2"/>
      <w:bookmarkStart w:id="733" w:name="Tc_KXWcoc9xDka5AQjuGWr6Ng_3_0"/>
      <w:bookmarkStart w:id="734" w:name="Tc_LTP9LA_I_kCAIxPagltIfw_2_0"/>
      <w:bookmarkStart w:id="735" w:name="Tc_D2deXhiWUUS7wfKV8eYaSQ_1_5"/>
      <w:bookmarkStart w:id="736" w:name="Tc_Wz0q3yMEO0ysoa20bkWlYw_1_2"/>
      <w:bookmarkStart w:id="737" w:name="Tc_Xh66ZhIKA0mM5MCnZTgl_A_4_11"/>
      <w:bookmarkStart w:id="738" w:name="Tc_Drqljx6cHkm213Z2j6zc0Q_4_8"/>
      <w:bookmarkStart w:id="739" w:name="Tc_O7F60bcOnUmD8qxjqS3eGQ_4_5"/>
      <w:bookmarkStart w:id="740" w:name="Tc_HlQmL2d6_UmgV_tRQcXcCw_4_2"/>
      <w:bookmarkStart w:id="741" w:name="Tc_is-7hIFYzECC450e7FvHqA_4_0"/>
      <w:bookmarkStart w:id="742" w:name="Tc_YcTuTAP-QEeO86-KyI9dLA_3_3"/>
      <w:bookmarkStart w:id="743" w:name="Tc_CA93dYKfzkqWXFjbMiDMGw_3_0"/>
      <w:bookmarkStart w:id="744" w:name="Tc_ATRa1R1-QkSgb9Yka75Twg_2_11"/>
      <w:bookmarkStart w:id="745" w:name="Tc_mYTM_ymZKkiWLSLqeq1fOA_2_8"/>
      <w:bookmarkStart w:id="746" w:name="Tc_3B6FZivtyki-SUu8rmEinQ_2_5"/>
      <w:bookmarkStart w:id="747" w:name="Tc_Hubaf-RET0K5VPI5kTN5AA_2_2"/>
      <w:bookmarkStart w:id="748" w:name="Tc_6Pot9bFiDkKBiIaBJmI0qg_2_0"/>
      <w:bookmarkStart w:id="749" w:name="Tc_VN0mzFJagUiamoFEb8FRYw_1_11"/>
      <w:bookmarkStart w:id="750" w:name="Tc_jFTKuU1T80m3e015rPxpxQ_1_8"/>
      <w:bookmarkStart w:id="751" w:name="Tc_YoYdWrlE70Ca2hY-IjPlQg_1_5"/>
      <w:bookmarkStart w:id="752" w:name="Tc_mpidZVLw8E6JyhzOi5Oqcw_1_2"/>
      <w:bookmarkStart w:id="753" w:name="_a99a5b51_387f_449a_bc91_e88c28c8452c_3"/>
      <w:bookmarkStart w:id="754" w:name="_a99a5b51_387f_449a_bc91_e88c28c8452c_2"/>
      <w:bookmarkStart w:id="755" w:name="_a99a5b51_387f_449a_bc91_e88c28c8452c"/>
      <w:bookmarkStart w:id="756" w:name="Tc_XbEf9WzSCkSIduotlEKgVA_4_5"/>
      <w:bookmarkStart w:id="757" w:name="Tc_l6lAX-VVA0qCRp4sNTs6yA_4_2"/>
      <w:bookmarkStart w:id="758" w:name="Tc__LRu5INgiUa5PMRrvHMtRQ_3_0"/>
      <w:bookmarkStart w:id="759" w:name="Tc_rxA3WEcn2EuxQjNm_vD3Hw_2_5"/>
      <w:bookmarkStart w:id="760" w:name="Tc_6CpZYBBC8Ea86D7Oayz8ig_2_2"/>
      <w:bookmarkStart w:id="761" w:name="Tc_CcRS9BUIb0KYOIS2ZADGOw_2_0"/>
      <w:bookmarkStart w:id="762" w:name="Tc_zGoLPrbDzEaDjnVg-fEzNg_1_5"/>
      <w:bookmarkStart w:id="763" w:name="Tc_KhJwWMacVUiXC6gV_-o7-A_1_2"/>
      <w:bookmarkStart w:id="764" w:name="_6bb901f7_dd1d_47e7_b296_cb154e58cb72"/>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r>
        <w:rPr>
          <w:rFonts w:ascii="Arial;Helvetica;sans-serif" w:hAnsi="Arial;Helvetica;sans-serif"/>
          <w:sz w:val="20"/>
        </w:rPr>
        <w:t>The following table provides the maturities of our fixed maturity available-for-sale securities:</w:t>
      </w:r>
    </w:p>
    <w:p>
      <w:pPr>
        <w:pStyle w:val="TextBody"/>
        <w:bidi w:val="0"/>
        <w:spacing w:before="0" w:after="0"/>
        <w:ind w:left="0" w:right="0" w:hanging="0"/>
        <w:jc w:val="left"/>
        <w:rPr/>
      </w:pPr>
      <w:r>
        <w:rPr/>
        <w:t>​</w:t>
      </w:r>
    </w:p>
    <w:tbl>
      <w:tblPr>
        <w:tblW w:w="5395" w:type="dxa"/>
        <w:jc w:val="left"/>
        <w:tblInd w:w="0" w:type="dxa"/>
        <w:tblLayout w:type="fixed"/>
        <w:tblCellMar>
          <w:top w:w="0" w:type="dxa"/>
          <w:left w:w="0" w:type="dxa"/>
          <w:bottom w:w="0" w:type="dxa"/>
          <w:right w:w="0" w:type="dxa"/>
        </w:tblCellMar>
      </w:tblPr>
      <w:tblGrid>
        <w:gridCol w:w="1786"/>
        <w:gridCol w:w="386"/>
        <w:gridCol w:w="261"/>
        <w:gridCol w:w="985"/>
        <w:gridCol w:w="386"/>
        <w:gridCol w:w="301"/>
        <w:gridCol w:w="1290"/>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134110" cy="175260"/>
                      <wp:effectExtent l="0" t="0" r="0" b="0"/>
                      <wp:wrapNone/>
                      <wp:docPr id="108" name="Frame108"/>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45110" cy="175260"/>
                      <wp:effectExtent l="0" t="0" r="0" b="0"/>
                      <wp:wrapNone/>
                      <wp:docPr id="109" name="Frame10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5735" cy="175260"/>
                      <wp:effectExtent l="0" t="0" r="0" b="0"/>
                      <wp:wrapNone/>
                      <wp:docPr id="110" name="Frame11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25475" cy="175260"/>
                      <wp:effectExtent l="0" t="0" r="0" b="0"/>
                      <wp:wrapNone/>
                      <wp:docPr id="111" name="Frame111"/>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45110" cy="175260"/>
                      <wp:effectExtent l="0" t="0" r="0" b="0"/>
                      <wp:wrapNone/>
                      <wp:docPr id="112" name="Frame11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91135" cy="175260"/>
                      <wp:effectExtent l="0" t="0" r="0" b="0"/>
                      <wp:wrapNone/>
                      <wp:docPr id="113" name="Frame11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819150" cy="175260"/>
                      <wp:effectExtent l="0" t="0" r="0" b="0"/>
                      <wp:wrapNone/>
                      <wp:docPr id="114" name="Frame114"/>
                      <a:graphic xmlns:a="http://schemas.openxmlformats.org/drawingml/2006/main">
                        <a:graphicData uri="http://schemas.microsoft.com/office/word/2010/wordprocessingShape">
                          <wps:wsp>
                            <wps:cNvSpPr txBox="1"/>
                            <wps:spPr>
                              <a:xfrm>
                                <a:off x="0" y="0"/>
                                <a:ext cx="819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8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24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2025</w:t>
            </w:r>
          </w:p>
        </w:tc>
        <w:tc>
          <w:tcPr>
            <w:tcW w:w="38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159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2024</w:t>
            </w:r>
          </w:p>
        </w:tc>
      </w:tr>
      <w:tr>
        <w:trPr/>
        <w:tc>
          <w:tcPr>
            <w:tcW w:w="17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8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113,256</w:t>
            </w:r>
          </w:p>
        </w:tc>
        <w:tc>
          <w:tcPr>
            <w:tcW w:w="38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130,851</w:t>
            </w:r>
          </w:p>
        </w:tc>
      </w:tr>
      <w:tr>
        <w:trPr/>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One to five years</w:t>
            </w:r>
          </w:p>
        </w:tc>
        <w:tc>
          <w:tcPr>
            <w:tcW w:w="38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20,713</w:t>
            </w:r>
          </w:p>
        </w:tc>
        <w:tc>
          <w:tcPr>
            <w:tcW w:w="38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30,818</w:t>
            </w:r>
          </w:p>
        </w:tc>
      </w:tr>
      <w:tr>
        <w:trPr/>
        <w:tc>
          <w:tcPr>
            <w:tcW w:w="178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133,969</w:t>
            </w:r>
          </w:p>
        </w:tc>
        <w:tc>
          <w:tcPr>
            <w:tcW w:w="38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0"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161,669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At March 31, 2025 and December 31, 2024, the Company had 34 and 27 available-for-sale investment debt securities in an unrealized loss position without an allowance for credit losses, respectively. Unrealized losses on corporate debt securities have not been recognized into income because the issuers’ bonds are of high credit quality (rated BBB+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bonds approach maturity.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March 31, 2025 and December 31, 2024, accrued interest receivable on available-for-sale investment debt securities totaling $983 and $1,254, respectively, is excluded from the estimate of credit losses and is included in prepaid expenses and other current assets.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is a rollforward of the components of the Company’s contingent consideration liability (See Note 8 – Commitments and contingencies):</w:t>
      </w:r>
    </w:p>
    <w:p>
      <w:pPr>
        <w:pStyle w:val="TextBody"/>
        <w:bidi w:val="0"/>
        <w:spacing w:before="0" w:after="0"/>
        <w:ind w:left="0" w:right="0" w:hanging="0"/>
        <w:jc w:val="left"/>
        <w:rPr/>
      </w:pPr>
      <w:r>
        <w:rPr/>
        <w:t>​</w:t>
      </w:r>
    </w:p>
    <w:tbl>
      <w:tblPr>
        <w:tblW w:w="8105" w:type="dxa"/>
        <w:jc w:val="left"/>
        <w:tblInd w:w="0" w:type="dxa"/>
        <w:tblLayout w:type="fixed"/>
        <w:tblCellMar>
          <w:top w:w="28" w:type="dxa"/>
          <w:left w:w="0" w:type="dxa"/>
          <w:bottom w:w="0" w:type="dxa"/>
          <w:right w:w="0" w:type="dxa"/>
        </w:tblCellMar>
      </w:tblPr>
      <w:tblGrid>
        <w:gridCol w:w="3076"/>
        <w:gridCol w:w="326"/>
        <w:gridCol w:w="215"/>
        <w:gridCol w:w="431"/>
        <w:gridCol w:w="326"/>
        <w:gridCol w:w="415"/>
        <w:gridCol w:w="950"/>
        <w:gridCol w:w="326"/>
        <w:gridCol w:w="211"/>
        <w:gridCol w:w="586"/>
        <w:gridCol w:w="326"/>
        <w:gridCol w:w="211"/>
        <w:gridCol w:w="706"/>
      </w:tblGrid>
      <w:tr>
        <w:trPr/>
        <w:tc>
          <w:tcPr>
            <w:tcW w:w="307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953260" cy="175260"/>
                      <wp:effectExtent l="0" t="0" r="0" b="0"/>
                      <wp:wrapNone/>
                      <wp:docPr id="115" name="Frame115"/>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6525" cy="175260"/>
                      <wp:effectExtent l="0" t="0" r="0" b="0"/>
                      <wp:wrapNone/>
                      <wp:docPr id="117" name="Frame11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top w:val="single" w:sz="2" w:space="0" w:color="000000"/>
            </w:tcBorders>
            <w:vAlign w:val="center"/>
          </w:tcPr>
          <w:p>
            <w:pPr>
              <w:pStyle w:val="TableContents"/>
              <w:bidi w:val="0"/>
              <w:spacing w:before="0" w:after="0"/>
              <w:ind w:left="0" w:right="0" w:hanging="0"/>
              <w:jc w:val="left"/>
              <w:rPr/>
            </w:pPr>
            <w:r>
              <w:rPr/>
              <w:t>​</w: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63525" cy="175260"/>
                      <wp:effectExtent l="0" t="0" r="0" b="0"/>
                      <wp:wrapNone/>
                      <wp:docPr id="119" name="Frame119"/>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top w:val="single" w:sz="2" w:space="0" w:color="000000"/>
            </w:tcBorders>
            <w:vAlign w:val="center"/>
          </w:tcPr>
          <w:p>
            <w:pPr>
              <w:pStyle w:val="TableContents"/>
              <w:bidi w:val="0"/>
              <w:spacing w:before="0" w:after="0"/>
              <w:ind w:left="0" w:right="0" w:hanging="0"/>
              <w:jc w:val="left"/>
              <w:rPr/>
            </w:pPr>
            <w:r>
              <w:rPr/>
              <w:t>​</w: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top w:val="single" w:sz="2" w:space="0" w:color="000000"/>
            </w:tcBorders>
            <w:vAlign w:val="center"/>
          </w:tcPr>
          <w:p>
            <w:pPr>
              <w:pStyle w:val="TableContents"/>
              <w:bidi w:val="0"/>
              <w:spacing w:before="0" w:after="0"/>
              <w:ind w:left="0" w:right="0" w:hanging="0"/>
              <w:jc w:val="left"/>
              <w:rPr/>
            </w:pPr>
            <w:r>
              <w:rPr/>
              <w:t>​</w: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top w:val="single" w:sz="2" w:space="0" w:color="000000"/>
            </w:tcBorders>
            <w:vAlign w:val="center"/>
          </w:tcPr>
          <w:p>
            <w:pPr>
              <w:pStyle w:val="TableContents"/>
              <w:bidi w:val="0"/>
              <w:spacing w:before="0" w:after="0"/>
              <w:ind w:left="0" w:right="0" w:hanging="0"/>
              <w:jc w:val="left"/>
              <w:rPr/>
            </w:pPr>
            <w:r>
              <w:rPr/>
              <w:t>​</w:t>
            </w:r>
          </w:p>
        </w:tc>
      </w:tr>
      <w:tr>
        <w:trPr/>
        <w:tc>
          <w:tcPr>
            <w:tcW w:w="3076"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left"/>
              <w:rPr/>
            </w:pPr>
            <w:r>
              <w:rPr/>
              <w:t>    </w:t>
            </w:r>
          </w:p>
        </w:tc>
        <w:tc>
          <w:tcPr>
            <w:tcW w:w="646"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Gadeta</w:t>
            </w:r>
          </w:p>
        </w:tc>
        <w:tc>
          <w:tcPr>
            <w:tcW w:w="326" w:type="dxa"/>
            <w:tcBorders/>
            <w:tcMar>
              <w:top w:w="0" w:type="dxa"/>
            </w:tcMar>
            <w:vAlign w:val="center"/>
          </w:tcPr>
          <w:p>
            <w:pPr>
              <w:pStyle w:val="TableContents"/>
              <w:bidi w:val="0"/>
              <w:spacing w:before="0" w:after="0"/>
              <w:ind w:left="0" w:right="0" w:hanging="0"/>
              <w:jc w:val="left"/>
              <w:rPr/>
            </w:pPr>
            <w:r>
              <w:rPr/>
              <w:t>    </w:t>
            </w:r>
          </w:p>
        </w:tc>
        <w:tc>
          <w:tcPr>
            <w:tcW w:w="1365"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Holdback Shares</w:t>
            </w:r>
          </w:p>
        </w:tc>
        <w:tc>
          <w:tcPr>
            <w:tcW w:w="326" w:type="dxa"/>
            <w:tcBorders/>
            <w:tcMar>
              <w:top w:w="0" w:type="dxa"/>
            </w:tcMar>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Milestone</w:t>
            </w:r>
          </w:p>
        </w:tc>
        <w:tc>
          <w:tcPr>
            <w:tcW w:w="326" w:type="dxa"/>
            <w:tcBorders/>
            <w:tcMar>
              <w:top w:w="0" w:type="dxa"/>
            </w:tcMar>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Total</w:t>
            </w:r>
          </w:p>
        </w:tc>
      </w:tr>
      <w:tr>
        <w:trPr/>
        <w:tc>
          <w:tcPr>
            <w:tcW w:w="307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as of December 31, 2024</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215" w:type="dxa"/>
            <w:tcBorders>
              <w:top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31" w:type="dxa"/>
            <w:tcBorders>
              <w:top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413</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415" w:type="dxa"/>
            <w:tcBorders>
              <w:top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0" w:type="dxa"/>
            <w:tcBorders>
              <w:top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625</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top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7,700</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top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8,738</w:t>
            </w:r>
          </w:p>
        </w:tc>
      </w:tr>
      <w:tr>
        <w:trPr/>
        <w:tc>
          <w:tcPr>
            <w:tcW w:w="3076"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in fair value</w:t>
            </w:r>
          </w:p>
        </w:tc>
        <w:tc>
          <w:tcPr>
            <w:tcW w:w="326" w:type="dxa"/>
            <w:tcBorders/>
            <w:tcMar>
              <w:top w:w="0" w:type="dxa"/>
            </w:tcMar>
            <w:vAlign w:val="center"/>
          </w:tcPr>
          <w:p>
            <w:pPr>
              <w:pStyle w:val="TableContents"/>
              <w:bidi w:val="0"/>
              <w:spacing w:before="0" w:after="0"/>
              <w:ind w:left="0" w:right="0" w:hanging="0"/>
              <w:jc w:val="left"/>
              <w:rPr/>
            </w:pPr>
            <w:r>
              <w:rPr/>
              <w:t>​</w:t>
            </w:r>
          </w:p>
        </w:tc>
        <w:tc>
          <w:tcPr>
            <w:tcW w:w="215"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w:t>
            </w:r>
          </w:p>
        </w:tc>
        <w:tc>
          <w:tcPr>
            <w:tcW w:w="431"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(336)</w:t>
            </w:r>
          </w:p>
        </w:tc>
        <w:tc>
          <w:tcPr>
            <w:tcW w:w="326" w:type="dxa"/>
            <w:tcBorders/>
            <w:tcMar>
              <w:top w:w="0"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w:t>
            </w:r>
          </w:p>
        </w:tc>
        <w:tc>
          <w:tcPr>
            <w:tcW w:w="326" w:type="dxa"/>
            <w:tcBorders/>
            <w:tcMar>
              <w:top w:w="0"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top w:w="0" w:type="dxa"/>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w:t>
            </w:r>
          </w:p>
        </w:tc>
      </w:tr>
      <w:tr>
        <w:trPr/>
        <w:tc>
          <w:tcPr>
            <w:tcW w:w="307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as of March 31, 2025</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31"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413</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0"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289</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7,798</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top w:w="0" w:type="dxa"/>
              <w:bottom w:w="28" w:type="dxa"/>
            </w:tcMar>
            <w:vAlign w:val="center"/>
          </w:tcPr>
          <w:p>
            <w:pPr>
              <w:pStyle w:val="TableContents"/>
              <w:bidi w:val="0"/>
              <w:spacing w:before="0" w:after="0"/>
              <w:ind w:left="0" w:right="75" w:hanging="0"/>
              <w:jc w:val="right"/>
              <w:rPr>
                <w:rFonts w:ascii="Arial;Helvetica;sans-serif" w:hAnsi="Arial;Helvetica;sans-serif"/>
                <w:sz w:val="20"/>
              </w:rPr>
            </w:pPr>
            <w:r>
              <w:rPr>
                <w:rFonts w:ascii="Arial;Helvetica;sans-serif" w:hAnsi="Arial;Helvetica;sans-serif"/>
                <w:sz w:val="20"/>
              </w:rPr>
              <w:t>8,500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includes quantitative information about the significant unobservable inputs for the components of the Company’s contingent consideration liability as of March 31, 2025, and December 31, 2024, respectively:</w:t>
      </w:r>
    </w:p>
    <w:p>
      <w:pPr>
        <w:pStyle w:val="TextBody"/>
        <w:bidi w:val="0"/>
        <w:spacing w:before="0" w:after="0"/>
        <w:ind w:left="0" w:right="0" w:hanging="0"/>
        <w:jc w:val="left"/>
        <w:rPr/>
      </w:pPr>
      <w:r>
        <w:rPr/>
        <w:t>​</w:t>
      </w:r>
    </w:p>
    <w:tbl>
      <w:tblPr>
        <w:tblW w:w="6983" w:type="dxa"/>
        <w:jc w:val="left"/>
        <w:tblInd w:w="0" w:type="dxa"/>
        <w:tblLayout w:type="fixed"/>
        <w:tblCellMar>
          <w:top w:w="0" w:type="dxa"/>
          <w:left w:w="0" w:type="dxa"/>
          <w:bottom w:w="28" w:type="dxa"/>
          <w:right w:w="0" w:type="dxa"/>
        </w:tblCellMar>
      </w:tblPr>
      <w:tblGrid>
        <w:gridCol w:w="3496"/>
        <w:gridCol w:w="326"/>
        <w:gridCol w:w="301"/>
        <w:gridCol w:w="944"/>
        <w:gridCol w:w="326"/>
        <w:gridCol w:w="366"/>
        <w:gridCol w:w="1224"/>
      </w:tblGrid>
      <w:tr>
        <w:trPr/>
        <w:tc>
          <w:tcPr>
            <w:tcW w:w="3496"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219960" cy="175260"/>
                      <wp:effectExtent l="0" t="0" r="0" b="0"/>
                      <wp:wrapNone/>
                      <wp:docPr id="124" name="Frame124"/>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91135" cy="175260"/>
                      <wp:effectExtent l="0" t="0" r="0" b="0"/>
                      <wp:wrapNone/>
                      <wp:docPr id="126" name="Frame12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32410" cy="175260"/>
                      <wp:effectExtent l="0" t="0" r="0" b="0"/>
                      <wp:wrapNone/>
                      <wp:docPr id="128" name="Frame128"/>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349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    </w:t>
            </w:r>
          </w:p>
        </w:tc>
        <w:tc>
          <w:tcPr>
            <w:tcW w:w="1245"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2025</w:t>
            </w:r>
          </w:p>
        </w:tc>
        <w:tc>
          <w:tcPr>
            <w:tcW w:w="32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    </w:t>
            </w:r>
          </w:p>
        </w:tc>
        <w:tc>
          <w:tcPr>
            <w:tcW w:w="1590"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2024</w:t>
            </w:r>
          </w:p>
        </w:tc>
      </w:tr>
      <w:tr>
        <w:trPr/>
        <w:tc>
          <w:tcPr>
            <w:tcW w:w="3496"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Gadeta Earnout: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0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r>
              <w:rPr/>
              <w:t>​</w:t>
            </w:r>
          </w:p>
        </w:tc>
        <w:tc>
          <w:tcPr>
            <w:tcW w:w="944"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6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r>
              <w:rPr/>
              <w:t>​</w:t>
            </w:r>
          </w:p>
        </w:tc>
        <w:tc>
          <w:tcPr>
            <w:tcW w:w="1224"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r>
              <w:rPr/>
              <w:t>​</w:t>
            </w:r>
          </w:p>
        </w:tc>
      </w:tr>
      <w:tr>
        <w:trPr/>
        <w:tc>
          <w:tcPr>
            <w:tcW w:w="349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Probability adjusted value of payment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0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4"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1,060</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6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4"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1,060</w:t>
            </w:r>
          </w:p>
        </w:tc>
      </w:tr>
      <w:tr>
        <w:trPr/>
        <w:tc>
          <w:tcPr>
            <w:tcW w:w="3496"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Discount rate</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01" w:type="dxa"/>
            <w:tcBorders/>
            <w:shd w:fill="CCEEFF" w:val="clear"/>
            <w:tcMar>
              <w:bottom w:w="0" w:type="dxa"/>
            </w:tcMar>
            <w:vAlign w:val="center"/>
          </w:tcPr>
          <w:p>
            <w:pPr>
              <w:pStyle w:val="TableContents"/>
              <w:bidi w:val="0"/>
              <w:spacing w:before="0" w:after="0"/>
              <w:ind w:left="0" w:right="0" w:hanging="0"/>
              <w:jc w:val="left"/>
              <w:rPr/>
            </w:pPr>
            <w:r>
              <w:rPr/>
              <w:t>​</w:t>
            </w:r>
          </w:p>
        </w:tc>
        <w:tc>
          <w:tcPr>
            <w:tcW w:w="944"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12.4%</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366" w:type="dxa"/>
            <w:tcBorders/>
            <w:shd w:fill="CCEEFF" w:val="clear"/>
            <w:tcMar>
              <w:bottom w:w="0" w:type="dxa"/>
            </w:tcMar>
            <w:vAlign w:val="center"/>
          </w:tcPr>
          <w:p>
            <w:pPr>
              <w:pStyle w:val="TableContents"/>
              <w:bidi w:val="0"/>
              <w:spacing w:before="0" w:after="0"/>
              <w:ind w:left="0" w:right="0" w:hanging="0"/>
              <w:jc w:val="left"/>
              <w:rPr/>
            </w:pPr>
            <w:r>
              <w:rPr/>
              <w:t>​</w:t>
            </w:r>
          </w:p>
        </w:tc>
        <w:tc>
          <w:tcPr>
            <w:tcW w:w="1224"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12.4%</w:t>
            </w:r>
          </w:p>
        </w:tc>
      </w:tr>
      <w:tr>
        <w:trPr/>
        <w:tc>
          <w:tcPr>
            <w:tcW w:w="349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Discount period (years)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01" w:type="dxa"/>
            <w:tcBorders/>
            <w:tcMar>
              <w:bottom w:w="0" w:type="dxa"/>
            </w:tcMar>
            <w:vAlign w:val="center"/>
          </w:tcPr>
          <w:p>
            <w:pPr>
              <w:pStyle w:val="TableContents"/>
              <w:bidi w:val="0"/>
              <w:spacing w:before="0" w:after="0"/>
              <w:ind w:left="0" w:right="0" w:hanging="0"/>
              <w:jc w:val="left"/>
              <w:rPr/>
            </w:pPr>
            <w:r>
              <w:rPr/>
              <w:t>​</w:t>
            </w:r>
          </w:p>
        </w:tc>
        <w:tc>
          <w:tcPr>
            <w:tcW w:w="944"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66" w:type="dxa"/>
            <w:tcBorders/>
            <w:tcMar>
              <w:bottom w:w="0" w:type="dxa"/>
            </w:tcMar>
            <w:vAlign w:val="center"/>
          </w:tcPr>
          <w:p>
            <w:pPr>
              <w:pStyle w:val="TableContents"/>
              <w:bidi w:val="0"/>
              <w:spacing w:before="0" w:after="0"/>
              <w:ind w:left="0" w:right="0" w:hanging="0"/>
              <w:jc w:val="left"/>
              <w:rPr/>
            </w:pPr>
            <w:r>
              <w:rPr/>
              <w:t>​</w:t>
            </w:r>
          </w:p>
        </w:tc>
        <w:tc>
          <w:tcPr>
            <w:tcW w:w="1224"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8.1</w:t>
            </w:r>
          </w:p>
        </w:tc>
      </w:tr>
      <w:tr>
        <w:trPr/>
        <w:tc>
          <w:tcPr>
            <w:tcW w:w="3496" w:type="dxa"/>
            <w:tcBorders/>
            <w:shd w:fill="CCEEFF" w:val="clear"/>
            <w:tcMar>
              <w:bottom w:w="0" w:type="dxa"/>
            </w:tcMar>
            <w:vAlign w:val="center"/>
          </w:tcPr>
          <w:p>
            <w:pPr>
              <w:pStyle w:val="TableContents"/>
              <w:bidi w:val="0"/>
              <w:spacing w:before="0" w:after="0"/>
              <w:ind w:left="0" w:right="0" w:hanging="0"/>
              <w:jc w:val="left"/>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01" w:type="dxa"/>
            <w:tcBorders/>
            <w:shd w:fill="CCEEFF" w:val="clear"/>
            <w:tcMar>
              <w:bottom w:w="0" w:type="dxa"/>
            </w:tcMar>
            <w:vAlign w:val="center"/>
          </w:tcPr>
          <w:p>
            <w:pPr>
              <w:pStyle w:val="TableContents"/>
              <w:bidi w:val="0"/>
              <w:spacing w:before="0" w:after="0"/>
              <w:ind w:left="0" w:right="0" w:hanging="0"/>
              <w:jc w:val="left"/>
              <w:rPr/>
            </w:pPr>
            <w:r>
              <w:rPr/>
              <w:t>​</w:t>
            </w:r>
          </w:p>
        </w:tc>
        <w:tc>
          <w:tcPr>
            <w:tcW w:w="944"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366" w:type="dxa"/>
            <w:tcBorders/>
            <w:shd w:fill="CCEEFF" w:val="clear"/>
            <w:tcMar>
              <w:bottom w:w="0" w:type="dxa"/>
            </w:tcMar>
            <w:vAlign w:val="center"/>
          </w:tcPr>
          <w:p>
            <w:pPr>
              <w:pStyle w:val="TableContents"/>
              <w:bidi w:val="0"/>
              <w:spacing w:before="0" w:after="0"/>
              <w:ind w:left="0" w:right="0" w:hanging="0"/>
              <w:jc w:val="left"/>
              <w:rPr/>
            </w:pPr>
            <w:r>
              <w:rPr/>
              <w:t>​</w:t>
            </w:r>
          </w:p>
        </w:tc>
        <w:tc>
          <w:tcPr>
            <w:tcW w:w="1224" w:type="dxa"/>
            <w:tcBorders/>
            <w:shd w:fill="CCEEFF" w:val="clear"/>
            <w:tcMar>
              <w:bottom w:w="0" w:type="dxa"/>
            </w:tcMar>
            <w:vAlign w:val="center"/>
          </w:tcPr>
          <w:p>
            <w:pPr>
              <w:pStyle w:val="TableContents"/>
              <w:bidi w:val="0"/>
              <w:spacing w:before="0" w:after="0"/>
              <w:ind w:left="0" w:right="0" w:hanging="0"/>
              <w:jc w:val="center"/>
              <w:rPr/>
            </w:pPr>
            <w:r>
              <w:rPr/>
              <w:t>​</w:t>
            </w:r>
          </w:p>
        </w:tc>
      </w:tr>
      <w:tr>
        <w:trPr/>
        <w:tc>
          <w:tcPr>
            <w:tcW w:w="349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Holdback Shares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01" w:type="dxa"/>
            <w:tcBorders/>
            <w:tcMar>
              <w:bottom w:w="0" w:type="dxa"/>
            </w:tcMar>
            <w:vAlign w:val="center"/>
          </w:tcPr>
          <w:p>
            <w:pPr>
              <w:pStyle w:val="TableContents"/>
              <w:bidi w:val="0"/>
              <w:spacing w:before="0" w:after="0"/>
              <w:ind w:left="0" w:right="0" w:hanging="0"/>
              <w:jc w:val="left"/>
              <w:rPr/>
            </w:pPr>
            <w:r>
              <w:rPr/>
              <w:t>​</w:t>
            </w:r>
          </w:p>
        </w:tc>
        <w:tc>
          <w:tcPr>
            <w:tcW w:w="944"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6" w:type="dxa"/>
            <w:tcBorders/>
            <w:tcMar>
              <w:bottom w:w="0" w:type="dxa"/>
            </w:tcMar>
            <w:vAlign w:val="center"/>
          </w:tcPr>
          <w:p>
            <w:pPr>
              <w:pStyle w:val="TableContents"/>
              <w:bidi w:val="0"/>
              <w:spacing w:before="0" w:after="0"/>
              <w:ind w:left="0" w:right="0" w:hanging="0"/>
              <w:jc w:val="left"/>
              <w:rPr/>
            </w:pPr>
            <w:r>
              <w:rPr/>
              <w:t>​</w:t>
            </w:r>
          </w:p>
        </w:tc>
        <w:tc>
          <w:tcPr>
            <w:tcW w:w="1224" w:type="dxa"/>
            <w:tcBorders/>
            <w:tcMar>
              <w:bottom w:w="0" w:type="dxa"/>
            </w:tcMar>
            <w:vAlign w:val="center"/>
          </w:tcPr>
          <w:p>
            <w:pPr>
              <w:pStyle w:val="TableContents"/>
              <w:bidi w:val="0"/>
              <w:spacing w:before="0" w:after="0"/>
              <w:ind w:left="0" w:right="0" w:hanging="0"/>
              <w:jc w:val="left"/>
              <w:rPr/>
            </w:pPr>
            <w:r>
              <w:rPr/>
              <w:t>​</w:t>
            </w:r>
          </w:p>
        </w:tc>
      </w:tr>
      <w:tr>
        <w:trPr/>
        <w:tc>
          <w:tcPr>
            <w:tcW w:w="3496"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Closing stock price on valuation date</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0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4"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0.48</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366"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4"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1.01</w:t>
            </w:r>
          </w:p>
        </w:tc>
      </w:tr>
      <w:tr>
        <w:trPr/>
        <w:tc>
          <w:tcPr>
            <w:tcW w:w="349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Discount for lack of marketability</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01"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4"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(0.11)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6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4"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(0.22)</w:t>
            </w:r>
          </w:p>
        </w:tc>
      </w:tr>
      <w:tr>
        <w:trPr/>
        <w:tc>
          <w:tcPr>
            <w:tcW w:w="3496" w:type="dxa"/>
            <w:tcBorders/>
            <w:shd w:fill="CCEEFF" w:val="clear"/>
            <w:tcMar>
              <w:bottom w:w="0" w:type="dxa"/>
            </w:tcMar>
            <w:vAlign w:val="center"/>
          </w:tcPr>
          <w:p>
            <w:pPr>
              <w:pStyle w:val="TableContents"/>
              <w:bidi w:val="0"/>
              <w:spacing w:before="0" w:after="0"/>
              <w:ind w:left="0" w:right="0" w:hanging="0"/>
              <w:jc w:val="left"/>
              <w:rPr/>
            </w:pPr>
            <w:r>
              <w:rPr/>
              <w:t>​</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01" w:type="dxa"/>
            <w:tcBorders/>
            <w:shd w:fill="CCEEFF" w:val="clear"/>
            <w:tcMar>
              <w:bottom w:w="0" w:type="dxa"/>
            </w:tcMar>
            <w:vAlign w:val="center"/>
          </w:tcPr>
          <w:p>
            <w:pPr>
              <w:pStyle w:val="TableContents"/>
              <w:bidi w:val="0"/>
              <w:spacing w:before="0" w:after="0"/>
              <w:ind w:left="0" w:right="0" w:hanging="0"/>
              <w:jc w:val="left"/>
              <w:rPr/>
            </w:pPr>
            <w:r>
              <w:rPr/>
              <w:t>​</w:t>
            </w:r>
          </w:p>
        </w:tc>
        <w:tc>
          <w:tcPr>
            <w:tcW w:w="944" w:type="dxa"/>
            <w:tcBorders/>
            <w:shd w:fill="CCEEFF" w:val="clear"/>
            <w:tcMar>
              <w:bottom w:w="0" w:type="dxa"/>
            </w:tcMar>
            <w:vAlign w:val="center"/>
          </w:tcPr>
          <w:p>
            <w:pPr>
              <w:pStyle w:val="TableContents"/>
              <w:bidi w:val="0"/>
              <w:spacing w:before="0" w:after="0"/>
              <w:ind w:left="0" w:right="0" w:hanging="0"/>
              <w:jc w:val="center"/>
              <w:rPr/>
            </w:pPr>
            <w:r>
              <w:rPr/>
              <w:t>​</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366" w:type="dxa"/>
            <w:tcBorders/>
            <w:shd w:fill="CCEEFF" w:val="clear"/>
            <w:tcMar>
              <w:bottom w:w="0" w:type="dxa"/>
            </w:tcMar>
            <w:vAlign w:val="center"/>
          </w:tcPr>
          <w:p>
            <w:pPr>
              <w:pStyle w:val="TableContents"/>
              <w:bidi w:val="0"/>
              <w:spacing w:before="0" w:after="0"/>
              <w:ind w:left="0" w:right="0" w:hanging="0"/>
              <w:jc w:val="left"/>
              <w:rPr/>
            </w:pPr>
            <w:r>
              <w:rPr/>
              <w:t>​</w:t>
            </w:r>
          </w:p>
        </w:tc>
        <w:tc>
          <w:tcPr>
            <w:tcW w:w="1224" w:type="dxa"/>
            <w:tcBorders/>
            <w:shd w:fill="CCEEFF" w:val="clear"/>
            <w:tcMar>
              <w:bottom w:w="0" w:type="dxa"/>
            </w:tcMar>
            <w:vAlign w:val="center"/>
          </w:tcPr>
          <w:p>
            <w:pPr>
              <w:pStyle w:val="TableContents"/>
              <w:bidi w:val="0"/>
              <w:spacing w:before="0" w:after="0"/>
              <w:ind w:left="0" w:right="0" w:hanging="0"/>
              <w:jc w:val="center"/>
              <w:rPr/>
            </w:pPr>
            <w:r>
              <w:rPr/>
              <w:t>​</w:t>
            </w:r>
          </w:p>
        </w:tc>
      </w:tr>
      <w:tr>
        <w:trPr/>
        <w:tc>
          <w:tcPr>
            <w:tcW w:w="349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Clade Milestone: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01" w:type="dxa"/>
            <w:tcBorders/>
            <w:tcMar>
              <w:bottom w:w="0" w:type="dxa"/>
            </w:tcMar>
            <w:vAlign w:val="center"/>
          </w:tcPr>
          <w:p>
            <w:pPr>
              <w:pStyle w:val="TableContents"/>
              <w:bidi w:val="0"/>
              <w:spacing w:before="0" w:after="0"/>
              <w:ind w:left="0" w:right="0" w:hanging="0"/>
              <w:jc w:val="left"/>
              <w:rPr/>
            </w:pPr>
            <w:r>
              <w:rPr/>
              <w:t>​</w:t>
            </w:r>
          </w:p>
        </w:tc>
        <w:tc>
          <w:tcPr>
            <w:tcW w:w="944"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66" w:type="dxa"/>
            <w:tcBorders/>
            <w:tcMar>
              <w:bottom w:w="0" w:type="dxa"/>
            </w:tcMar>
            <w:vAlign w:val="center"/>
          </w:tcPr>
          <w:p>
            <w:pPr>
              <w:pStyle w:val="TableContents"/>
              <w:bidi w:val="0"/>
              <w:spacing w:before="0" w:after="0"/>
              <w:ind w:left="0" w:right="0" w:hanging="0"/>
              <w:jc w:val="left"/>
              <w:rPr/>
            </w:pPr>
            <w:r>
              <w:rPr/>
              <w:t>​</w:t>
            </w:r>
          </w:p>
        </w:tc>
        <w:tc>
          <w:tcPr>
            <w:tcW w:w="1224" w:type="dxa"/>
            <w:tcBorders/>
            <w:tcMar>
              <w:bottom w:w="0" w:type="dxa"/>
            </w:tcMar>
            <w:vAlign w:val="center"/>
          </w:tcPr>
          <w:p>
            <w:pPr>
              <w:pStyle w:val="TableContents"/>
              <w:bidi w:val="0"/>
              <w:spacing w:before="0" w:after="0"/>
              <w:ind w:left="0" w:right="0" w:hanging="0"/>
              <w:jc w:val="center"/>
              <w:rPr/>
            </w:pPr>
            <w:r>
              <w:rPr/>
              <w:t>​</w:t>
            </w:r>
          </w:p>
        </w:tc>
      </w:tr>
      <w:tr>
        <w:trPr/>
        <w:tc>
          <w:tcPr>
            <w:tcW w:w="3496"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Probability adjusted value of payments</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0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4"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9,000</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366"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4"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9,000</w:t>
            </w:r>
          </w:p>
        </w:tc>
      </w:tr>
      <w:tr>
        <w:trPr/>
        <w:tc>
          <w:tcPr>
            <w:tcW w:w="349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Discount rate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01" w:type="dxa"/>
            <w:tcBorders/>
            <w:tcMar>
              <w:bottom w:w="0" w:type="dxa"/>
            </w:tcMar>
            <w:vAlign w:val="center"/>
          </w:tcPr>
          <w:p>
            <w:pPr>
              <w:pStyle w:val="TableContents"/>
              <w:bidi w:val="0"/>
              <w:spacing w:before="0" w:after="0"/>
              <w:ind w:left="0" w:right="0" w:hanging="0"/>
              <w:jc w:val="left"/>
              <w:rPr/>
            </w:pPr>
            <w:r>
              <w:rPr/>
              <w:t>​</w:t>
            </w:r>
          </w:p>
        </w:tc>
        <w:tc>
          <w:tcPr>
            <w:tcW w:w="944"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11.3%</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66" w:type="dxa"/>
            <w:tcBorders/>
            <w:tcMar>
              <w:bottom w:w="0" w:type="dxa"/>
            </w:tcMar>
            <w:vAlign w:val="center"/>
          </w:tcPr>
          <w:p>
            <w:pPr>
              <w:pStyle w:val="TableContents"/>
              <w:bidi w:val="0"/>
              <w:spacing w:before="0" w:after="0"/>
              <w:ind w:left="0" w:right="0" w:hanging="0"/>
              <w:jc w:val="left"/>
              <w:rPr/>
            </w:pPr>
            <w:r>
              <w:rPr/>
              <w:t>​</w:t>
            </w:r>
          </w:p>
        </w:tc>
        <w:tc>
          <w:tcPr>
            <w:tcW w:w="1224"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10.3%</w:t>
            </w:r>
          </w:p>
        </w:tc>
      </w:tr>
      <w:tr>
        <w:trPr/>
        <w:tc>
          <w:tcPr>
            <w:tcW w:w="3496"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Discount period (years)</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01" w:type="dxa"/>
            <w:tcBorders/>
            <w:shd w:fill="CCEEFF" w:val="clear"/>
            <w:tcMar>
              <w:bottom w:w="0" w:type="dxa"/>
            </w:tcMar>
            <w:vAlign w:val="center"/>
          </w:tcPr>
          <w:p>
            <w:pPr>
              <w:pStyle w:val="TableContents"/>
              <w:bidi w:val="0"/>
              <w:spacing w:before="0" w:after="0"/>
              <w:ind w:left="0" w:right="0" w:hanging="0"/>
              <w:jc w:val="left"/>
              <w:rPr/>
            </w:pPr>
            <w:r>
              <w:rPr/>
              <w:t>​</w:t>
            </w:r>
          </w:p>
        </w:tc>
        <w:tc>
          <w:tcPr>
            <w:tcW w:w="944"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1.3</w:t>
            </w:r>
          </w:p>
        </w:tc>
        <w:tc>
          <w:tcPr>
            <w:tcW w:w="326" w:type="dxa"/>
            <w:tcBorders/>
            <w:shd w:fill="CCEEFF" w:val="clear"/>
            <w:tcMar>
              <w:bottom w:w="0" w:type="dxa"/>
            </w:tcMar>
            <w:vAlign w:val="center"/>
          </w:tcPr>
          <w:p>
            <w:pPr>
              <w:pStyle w:val="TableContents"/>
              <w:bidi w:val="0"/>
              <w:spacing w:before="0" w:after="0"/>
              <w:ind w:left="0" w:right="0" w:hanging="0"/>
              <w:jc w:val="center"/>
              <w:rPr/>
            </w:pPr>
            <w:r>
              <w:rPr/>
              <w:t>​</w:t>
            </w:r>
          </w:p>
        </w:tc>
        <w:tc>
          <w:tcPr>
            <w:tcW w:w="366" w:type="dxa"/>
            <w:tcBorders/>
            <w:shd w:fill="CCEEFF" w:val="clear"/>
            <w:tcMar>
              <w:bottom w:w="0" w:type="dxa"/>
            </w:tcMar>
            <w:vAlign w:val="center"/>
          </w:tcPr>
          <w:p>
            <w:pPr>
              <w:pStyle w:val="TableContents"/>
              <w:bidi w:val="0"/>
              <w:spacing w:before="0" w:after="0"/>
              <w:ind w:left="0" w:right="0" w:hanging="0"/>
              <w:jc w:val="left"/>
              <w:rPr/>
            </w:pPr>
            <w:r>
              <w:rPr/>
              <w:t>​</w:t>
            </w:r>
          </w:p>
        </w:tc>
        <w:tc>
          <w:tcPr>
            <w:tcW w:w="1224"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sz w:val="24"/>
        </w:rPr>
      </w:pPr>
      <w:bookmarkStart w:id="765" w:name="Tc_v9PSo_adokG4pHIMzFQ9HA_9_5"/>
      <w:bookmarkStart w:id="766" w:name="Tc_7fcm4k_6ykujrxc3GwMHUw_9_2"/>
      <w:bookmarkStart w:id="767" w:name="Tc_8jAoGwa45kSgZt2W9DZzLw_9_0"/>
      <w:bookmarkStart w:id="768" w:name="Tc_8WMcuRuqZk-dbbQltAsGiA_8_0"/>
      <w:bookmarkStart w:id="769" w:name="Tc_Ykt65R-fXEGsaUN8Teb2iQ_7_0"/>
      <w:bookmarkStart w:id="770" w:name="Tc_yfv-PzWe40qkIbd5hDnTmw_6_0"/>
      <w:bookmarkStart w:id="771" w:name="Tc_gXL4KhiG6U2irPE8JdN6tg_5_0"/>
      <w:bookmarkStart w:id="772" w:name="Tc_L1B-e-_oqU6gDBPyIfyNnw_4_0"/>
      <w:bookmarkStart w:id="773" w:name="Tc_TQBA35_g8EmzlePWfM58TA_3_0"/>
      <w:bookmarkStart w:id="774" w:name="Tc_8ZIYT4rv70iT6Oqd0TmHmw_2_5"/>
      <w:bookmarkStart w:id="775" w:name="Tc_Hjqb_n1f20axo6IerM6szg_2_2"/>
      <w:bookmarkStart w:id="776" w:name="Tc_0SAL-2dSk0iLhzy2AEUKKA_2_0"/>
      <w:bookmarkStart w:id="777" w:name="Tc_Z9Ax_qFjvUmnkMeRkR43mw_1_5"/>
      <w:bookmarkStart w:id="778" w:name="Tc_gMsDoy_kEUaqiB39aXo23g_1_2"/>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rFonts w:ascii="Arial;Helvetica;sans-serif" w:hAnsi="Arial;Helvetica;sans-serif"/>
          <w:b w:val="false"/>
          <w:sz w:val="24"/>
        </w:rPr>
        <w:t xml:space="preserve">Note 5—Property and equipment, net </w:t>
      </w:r>
    </w:p>
    <w:p>
      <w:pPr>
        <w:pStyle w:val="TextBody"/>
        <w:bidi w:val="0"/>
        <w:spacing w:before="0" w:after="0"/>
        <w:ind w:left="0" w:right="0" w:hanging="0"/>
        <w:jc w:val="left"/>
        <w:rPr>
          <w:rFonts w:ascii="Arial;Helvetica;sans-serif" w:hAnsi="Arial;Helvetica;sans-serif"/>
          <w:b w:val="false"/>
          <w:sz w:val="20"/>
        </w:rPr>
      </w:pPr>
      <w:r>
        <w:rPr>
          <w:rFonts w:ascii="Arial;Helvetica;sans-serif" w:hAnsi="Arial;Helvetica;sans-serif"/>
          <w:b w:val="false"/>
          <w:sz w:val="20"/>
        </w:rPr>
        <w:t>The following is a summary of property and equipment, net:</w:t>
      </w:r>
    </w:p>
    <w:p>
      <w:pPr>
        <w:pStyle w:val="TextBody"/>
        <w:bidi w:val="0"/>
        <w:spacing w:before="0" w:after="0"/>
        <w:ind w:left="0" w:right="0" w:hanging="0"/>
        <w:jc w:val="left"/>
        <w:rPr/>
      </w:pPr>
      <w:r>
        <w:rPr/>
        <w:t>​</w:t>
      </w:r>
    </w:p>
    <w:tbl>
      <w:tblPr>
        <w:tblW w:w="6640" w:type="dxa"/>
        <w:jc w:val="left"/>
        <w:tblInd w:w="0" w:type="dxa"/>
        <w:tblLayout w:type="fixed"/>
        <w:tblCellMar>
          <w:top w:w="28" w:type="dxa"/>
          <w:left w:w="0" w:type="dxa"/>
          <w:bottom w:w="0" w:type="dxa"/>
          <w:right w:w="0" w:type="dxa"/>
        </w:tblCellMar>
      </w:tblPr>
      <w:tblGrid>
        <w:gridCol w:w="3091"/>
        <w:gridCol w:w="386"/>
        <w:gridCol w:w="273"/>
        <w:gridCol w:w="973"/>
        <w:gridCol w:w="326"/>
        <w:gridCol w:w="333"/>
        <w:gridCol w:w="1258"/>
      </w:tblGrid>
      <w:tr>
        <w:trPr/>
        <w:tc>
          <w:tcPr>
            <w:tcW w:w="3091"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962785" cy="175260"/>
                      <wp:effectExtent l="0" t="0" r="0" b="0"/>
                      <wp:wrapNone/>
                      <wp:docPr id="129" name="Frame12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45110" cy="175260"/>
                      <wp:effectExtent l="0" t="0" r="0" b="0"/>
                      <wp:wrapNone/>
                      <wp:docPr id="130" name="Frame13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73355" cy="175260"/>
                      <wp:effectExtent l="0" t="0" r="0" b="0"/>
                      <wp:wrapNone/>
                      <wp:docPr id="131" name="Frame13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17855" cy="175260"/>
                      <wp:effectExtent l="0" t="0" r="0" b="0"/>
                      <wp:wrapNone/>
                      <wp:docPr id="132" name="Frame132"/>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1455" cy="175260"/>
                      <wp:effectExtent l="0" t="0" r="0" b="0"/>
                      <wp:wrapNone/>
                      <wp:docPr id="134" name="Frame134"/>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98830" cy="175260"/>
                      <wp:effectExtent l="0" t="0" r="0" b="0"/>
                      <wp:wrapNone/>
                      <wp:docPr id="135" name="Frame135"/>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tcMar>
              <w:top w:w="0" w:type="dxa"/>
            </w:tcMar>
            <w:vAlign w:val="center"/>
          </w:tcPr>
          <w:p>
            <w:pPr>
              <w:pStyle w:val="TableContents"/>
              <w:bidi w:val="0"/>
              <w:spacing w:before="0" w:after="0"/>
              <w:ind w:left="0" w:right="0" w:hanging="0"/>
              <w:jc w:val="left"/>
              <w:rPr/>
            </w:pPr>
            <w:r>
              <w:rPr/>
              <w:t>​</w:t>
            </w:r>
          </w:p>
        </w:tc>
        <w:tc>
          <w:tcPr>
            <w:tcW w:w="386" w:type="dxa"/>
            <w:tcBorders/>
            <w:tcMar>
              <w:top w:w="0" w:type="dxa"/>
            </w:tcMar>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2025</w:t>
            </w:r>
          </w:p>
        </w:tc>
        <w:tc>
          <w:tcPr>
            <w:tcW w:w="326" w:type="dxa"/>
            <w:tcBorders/>
            <w:tcMar>
              <w:top w:w="0" w:type="dxa"/>
            </w:tcMar>
            <w:vAlign w:val="center"/>
          </w:tcPr>
          <w:p>
            <w:pPr>
              <w:pStyle w:val="TableContents"/>
              <w:bidi w:val="0"/>
              <w:spacing w:before="0" w:after="0"/>
              <w:ind w:left="0" w:right="0" w:hanging="0"/>
              <w:jc w:val="center"/>
              <w:rPr/>
            </w:pPr>
            <w:r>
              <w:rPr/>
              <w:t>    </w:t>
            </w:r>
          </w:p>
        </w:tc>
        <w:tc>
          <w:tcPr>
            <w:tcW w:w="1591"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2024</w:t>
            </w:r>
          </w:p>
        </w:tc>
      </w:tr>
      <w:tr>
        <w:trPr/>
        <w:tc>
          <w:tcPr>
            <w:tcW w:w="3091"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Lab equipment</w:t>
            </w:r>
          </w:p>
        </w:tc>
        <w:tc>
          <w:tcPr>
            <w:tcW w:w="386" w:type="dxa"/>
            <w:tcBorders/>
            <w:shd w:fill="CCEEFF" w:val="clear"/>
            <w:tcMar>
              <w:top w:w="0" w:type="dxa"/>
            </w:tcMar>
            <w:vAlign w:val="center"/>
          </w:tcPr>
          <w:p>
            <w:pPr>
              <w:pStyle w:val="TableContents"/>
              <w:bidi w:val="0"/>
              <w:spacing w:before="0" w:after="0"/>
              <w:ind w:left="0" w:right="0" w:hanging="0"/>
              <w:jc w:val="left"/>
              <w:rPr/>
            </w:pPr>
            <w:r>
              <w:rPr/>
              <w:t>​</w:t>
            </w:r>
          </w:p>
        </w:tc>
        <w:tc>
          <w:tcPr>
            <w:tcW w:w="273"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3"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32,555</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33"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32,385</w:t>
            </w:r>
          </w:p>
        </w:tc>
      </w:tr>
      <w:tr>
        <w:trPr/>
        <w:tc>
          <w:tcPr>
            <w:tcW w:w="3091"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Leasehold improvements</w:t>
            </w:r>
          </w:p>
        </w:tc>
        <w:tc>
          <w:tcPr>
            <w:tcW w:w="386" w:type="dxa"/>
            <w:tcBorders/>
            <w:tcMar>
              <w:top w:w="0" w:type="dxa"/>
            </w:tcMar>
            <w:vAlign w:val="center"/>
          </w:tcPr>
          <w:p>
            <w:pPr>
              <w:pStyle w:val="TableContents"/>
              <w:bidi w:val="0"/>
              <w:spacing w:before="0" w:after="0"/>
              <w:ind w:left="0" w:right="0" w:hanging="0"/>
              <w:jc w:val="left"/>
              <w:rPr/>
            </w:pPr>
            <w:r>
              <w:rPr/>
              <w:t>​</w:t>
            </w:r>
          </w:p>
        </w:tc>
        <w:tc>
          <w:tcPr>
            <w:tcW w:w="273" w:type="dxa"/>
            <w:tcBorders/>
            <w:tcMar>
              <w:top w:w="0" w:type="dxa"/>
            </w:tcMar>
            <w:vAlign w:val="center"/>
          </w:tcPr>
          <w:p>
            <w:pPr>
              <w:pStyle w:val="TableContents"/>
              <w:bidi w:val="0"/>
              <w:spacing w:before="0" w:after="0"/>
              <w:ind w:left="0" w:right="0" w:hanging="0"/>
              <w:jc w:val="left"/>
              <w:rPr/>
            </w:pPr>
            <w:r>
              <w:rPr/>
              <w:t> </w:t>
            </w:r>
          </w:p>
        </w:tc>
        <w:tc>
          <w:tcPr>
            <w:tcW w:w="973"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61,617</w:t>
            </w:r>
          </w:p>
        </w:tc>
        <w:tc>
          <w:tcPr>
            <w:tcW w:w="326" w:type="dxa"/>
            <w:tcBorders/>
            <w:tcMar>
              <w:top w:w="0" w:type="dxa"/>
            </w:tcMar>
            <w:vAlign w:val="center"/>
          </w:tcPr>
          <w:p>
            <w:pPr>
              <w:pStyle w:val="TableContents"/>
              <w:bidi w:val="0"/>
              <w:spacing w:before="0" w:after="0"/>
              <w:ind w:left="0" w:right="0" w:hanging="0"/>
              <w:jc w:val="left"/>
              <w:rPr/>
            </w:pPr>
            <w:r>
              <w:rPr/>
              <w:t>​</w:t>
            </w:r>
          </w:p>
        </w:tc>
        <w:tc>
          <w:tcPr>
            <w:tcW w:w="333" w:type="dxa"/>
            <w:tcBorders/>
            <w:tcMar>
              <w:top w:w="0" w:type="dxa"/>
            </w:tcMar>
            <w:vAlign w:val="center"/>
          </w:tcPr>
          <w:p>
            <w:pPr>
              <w:pStyle w:val="TableContents"/>
              <w:bidi w:val="0"/>
              <w:spacing w:before="0" w:after="0"/>
              <w:ind w:left="0" w:right="0" w:hanging="0"/>
              <w:jc w:val="left"/>
              <w:rPr/>
            </w:pPr>
            <w:r>
              <w:rPr/>
              <w:t> </w:t>
            </w:r>
          </w:p>
        </w:tc>
        <w:tc>
          <w:tcPr>
            <w:tcW w:w="1258"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61,577</w:t>
            </w:r>
          </w:p>
        </w:tc>
      </w:tr>
      <w:tr>
        <w:trPr/>
        <w:tc>
          <w:tcPr>
            <w:tcW w:w="3091"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Construction in progress </w:t>
            </w:r>
          </w:p>
        </w:tc>
        <w:tc>
          <w:tcPr>
            <w:tcW w:w="386" w:type="dxa"/>
            <w:tcBorders/>
            <w:shd w:fill="CCEEFF" w:val="clear"/>
            <w:tcMar>
              <w:top w:w="0" w:type="dxa"/>
            </w:tcMar>
            <w:vAlign w:val="center"/>
          </w:tcPr>
          <w:p>
            <w:pPr>
              <w:pStyle w:val="TableContents"/>
              <w:bidi w:val="0"/>
              <w:spacing w:before="0" w:after="0"/>
              <w:ind w:left="0" w:right="0" w:hanging="0"/>
              <w:jc w:val="left"/>
              <w:rPr/>
            </w:pPr>
            <w:r>
              <w:rPr/>
              <w:t>​</w:t>
            </w:r>
          </w:p>
        </w:tc>
        <w:tc>
          <w:tcPr>
            <w:tcW w:w="273" w:type="dxa"/>
            <w:tcBorders/>
            <w:shd w:fill="CCEEFF" w:val="clear"/>
            <w:tcMar>
              <w:top w:w="0" w:type="dxa"/>
            </w:tcMar>
            <w:vAlign w:val="center"/>
          </w:tcPr>
          <w:p>
            <w:pPr>
              <w:pStyle w:val="TableContents"/>
              <w:bidi w:val="0"/>
              <w:spacing w:before="0" w:after="0"/>
              <w:ind w:left="0" w:right="0" w:hanging="0"/>
              <w:jc w:val="left"/>
              <w:rPr/>
            </w:pPr>
            <w:r>
              <w:rPr/>
              <w:t> </w:t>
            </w:r>
          </w:p>
        </w:tc>
        <w:tc>
          <w:tcPr>
            <w:tcW w:w="973"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326</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33" w:type="dxa"/>
            <w:tcBorders/>
            <w:shd w:fill="CCEEFF" w:val="clear"/>
            <w:tcMar>
              <w:top w:w="0" w:type="dxa"/>
            </w:tcMar>
            <w:vAlign w:val="center"/>
          </w:tcPr>
          <w:p>
            <w:pPr>
              <w:pStyle w:val="TableContents"/>
              <w:bidi w:val="0"/>
              <w:spacing w:before="0" w:after="0"/>
              <w:ind w:left="0" w:right="0" w:hanging="0"/>
              <w:jc w:val="left"/>
              <w:rPr/>
            </w:pPr>
            <w:r>
              <w:rPr/>
              <w:t> </w:t>
            </w:r>
          </w:p>
        </w:tc>
        <w:tc>
          <w:tcPr>
            <w:tcW w:w="1258"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w:t>
            </w:r>
          </w:p>
        </w:tc>
      </w:tr>
      <w:tr>
        <w:trPr/>
        <w:tc>
          <w:tcPr>
            <w:tcW w:w="3091"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Computer software and equipment</w:t>
            </w:r>
          </w:p>
        </w:tc>
        <w:tc>
          <w:tcPr>
            <w:tcW w:w="386" w:type="dxa"/>
            <w:tcBorders/>
            <w:tcMar>
              <w:top w:w="0" w:type="dxa"/>
            </w:tcMar>
            <w:vAlign w:val="center"/>
          </w:tcPr>
          <w:p>
            <w:pPr>
              <w:pStyle w:val="TableContents"/>
              <w:bidi w:val="0"/>
              <w:spacing w:before="0" w:after="0"/>
              <w:ind w:left="0" w:right="0" w:hanging="0"/>
              <w:jc w:val="left"/>
              <w:rPr/>
            </w:pPr>
            <w:r>
              <w:rPr/>
              <w:t>​</w:t>
            </w:r>
          </w:p>
        </w:tc>
        <w:tc>
          <w:tcPr>
            <w:tcW w:w="273" w:type="dxa"/>
            <w:tcBorders/>
            <w:tcMar>
              <w:top w:w="0" w:type="dxa"/>
            </w:tcMar>
            <w:vAlign w:val="center"/>
          </w:tcPr>
          <w:p>
            <w:pPr>
              <w:pStyle w:val="TableContents"/>
              <w:bidi w:val="0"/>
              <w:spacing w:before="0" w:after="0"/>
              <w:ind w:left="0" w:right="0" w:hanging="0"/>
              <w:jc w:val="left"/>
              <w:rPr/>
            </w:pPr>
            <w:r>
              <w:rPr/>
              <w:t> </w:t>
            </w:r>
          </w:p>
        </w:tc>
        <w:tc>
          <w:tcPr>
            <w:tcW w:w="973"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2,919</w:t>
            </w:r>
          </w:p>
        </w:tc>
        <w:tc>
          <w:tcPr>
            <w:tcW w:w="326" w:type="dxa"/>
            <w:tcBorders/>
            <w:tcMar>
              <w:top w:w="0" w:type="dxa"/>
            </w:tcMar>
            <w:vAlign w:val="center"/>
          </w:tcPr>
          <w:p>
            <w:pPr>
              <w:pStyle w:val="TableContents"/>
              <w:bidi w:val="0"/>
              <w:spacing w:before="0" w:after="0"/>
              <w:ind w:left="0" w:right="0" w:hanging="0"/>
              <w:jc w:val="left"/>
              <w:rPr/>
            </w:pPr>
            <w:r>
              <w:rPr/>
              <w:t>​</w:t>
            </w:r>
          </w:p>
        </w:tc>
        <w:tc>
          <w:tcPr>
            <w:tcW w:w="333" w:type="dxa"/>
            <w:tcBorders/>
            <w:tcMar>
              <w:top w:w="0" w:type="dxa"/>
            </w:tcMar>
            <w:vAlign w:val="center"/>
          </w:tcPr>
          <w:p>
            <w:pPr>
              <w:pStyle w:val="TableContents"/>
              <w:bidi w:val="0"/>
              <w:spacing w:before="0" w:after="0"/>
              <w:ind w:left="0" w:right="0" w:hanging="0"/>
              <w:jc w:val="left"/>
              <w:rPr/>
            </w:pPr>
            <w:r>
              <w:rPr/>
              <w:t> </w:t>
            </w:r>
          </w:p>
        </w:tc>
        <w:tc>
          <w:tcPr>
            <w:tcW w:w="1258"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2,919</w:t>
            </w:r>
          </w:p>
        </w:tc>
      </w:tr>
      <w:tr>
        <w:trPr/>
        <w:tc>
          <w:tcPr>
            <w:tcW w:w="3091"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Furniture and fixtures</w:t>
            </w:r>
          </w:p>
        </w:tc>
        <w:tc>
          <w:tcPr>
            <w:tcW w:w="386" w:type="dxa"/>
            <w:tcBorders/>
            <w:shd w:fill="CCEEFF" w:val="clear"/>
            <w:tcMar>
              <w:top w:w="0" w:type="dxa"/>
            </w:tcM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1,221</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1,221</w:t>
            </w:r>
          </w:p>
        </w:tc>
      </w:tr>
      <w:tr>
        <w:trPr/>
        <w:tc>
          <w:tcPr>
            <w:tcW w:w="3091"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86" w:type="dxa"/>
            <w:tcBorders/>
            <w:tcMar>
              <w:top w:w="0" w:type="dxa"/>
            </w:tcMar>
            <w:vAlign w:val="center"/>
          </w:tcPr>
          <w:p>
            <w:pPr>
              <w:pStyle w:val="TableContents"/>
              <w:bidi w:val="0"/>
              <w:spacing w:before="0" w:after="0"/>
              <w:ind w:left="0" w:right="0" w:hanging="0"/>
              <w:jc w:val="left"/>
              <w:rPr/>
            </w:pPr>
            <w:r>
              <w:rPr/>
              <w:t>​</w:t>
            </w:r>
          </w:p>
        </w:tc>
        <w:tc>
          <w:tcPr>
            <w:tcW w:w="273" w:type="dxa"/>
            <w:tcBorders/>
            <w:tcMar>
              <w:top w:w="0" w:type="dxa"/>
            </w:tcMar>
            <w:vAlign w:val="center"/>
          </w:tcPr>
          <w:p>
            <w:pPr>
              <w:pStyle w:val="TableContents"/>
              <w:bidi w:val="0"/>
              <w:spacing w:before="0" w:after="0"/>
              <w:ind w:left="0" w:right="0" w:hanging="0"/>
              <w:jc w:val="left"/>
              <w:rPr/>
            </w:pPr>
            <w:r>
              <w:rPr/>
              <w:t>​</w:t>
            </w:r>
          </w:p>
        </w:tc>
        <w:tc>
          <w:tcPr>
            <w:tcW w:w="973"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98,638</w:t>
            </w:r>
          </w:p>
        </w:tc>
        <w:tc>
          <w:tcPr>
            <w:tcW w:w="326" w:type="dxa"/>
            <w:tcBorders/>
            <w:tcMar>
              <w:top w:w="0" w:type="dxa"/>
            </w:tcMar>
            <w:vAlign w:val="center"/>
          </w:tcPr>
          <w:p>
            <w:pPr>
              <w:pStyle w:val="TableContents"/>
              <w:bidi w:val="0"/>
              <w:spacing w:before="0" w:after="0"/>
              <w:ind w:left="0" w:right="0" w:hanging="0"/>
              <w:jc w:val="left"/>
              <w:rPr/>
            </w:pPr>
            <w:r>
              <w:rPr/>
              <w:t>​</w:t>
            </w:r>
          </w:p>
        </w:tc>
        <w:tc>
          <w:tcPr>
            <w:tcW w:w="333" w:type="dxa"/>
            <w:tcBorders/>
            <w:tcMar>
              <w:top w:w="0" w:type="dxa"/>
            </w:tcMar>
            <w:vAlign w:val="center"/>
          </w:tcPr>
          <w:p>
            <w:pPr>
              <w:pStyle w:val="TableContents"/>
              <w:bidi w:val="0"/>
              <w:spacing w:before="0" w:after="0"/>
              <w:ind w:left="0" w:right="0" w:hanging="0"/>
              <w:jc w:val="left"/>
              <w:rPr/>
            </w:pPr>
            <w:r>
              <w:rPr/>
              <w:t>​</w:t>
            </w:r>
          </w:p>
        </w:tc>
        <w:tc>
          <w:tcPr>
            <w:tcW w:w="1258"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98,199</w:t>
            </w:r>
          </w:p>
        </w:tc>
      </w:tr>
      <w:tr>
        <w:trPr/>
        <w:tc>
          <w:tcPr>
            <w:tcW w:w="3091"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86" w:type="dxa"/>
            <w:tcBorders/>
            <w:shd w:fill="CCEEFF" w:val="clear"/>
            <w:tcMar>
              <w:top w:w="0" w:type="dxa"/>
            </w:tcM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(39,106)</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(36,058)</w:t>
            </w:r>
          </w:p>
        </w:tc>
      </w:tr>
      <w:tr>
        <w:trPr/>
        <w:tc>
          <w:tcPr>
            <w:tcW w:w="3091"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86" w:type="dxa"/>
            <w:tcBorders/>
            <w:tcMar>
              <w:top w:w="0" w:type="dxa"/>
            </w:tcMar>
            <w:vAlign w:val="center"/>
          </w:tcPr>
          <w:p>
            <w:pPr>
              <w:pStyle w:val="TableContents"/>
              <w:bidi w:val="0"/>
              <w:spacing w:before="0" w:after="0"/>
              <w:ind w:left="0" w:right="0" w:hanging="0"/>
              <w:jc w:val="left"/>
              <w:rPr/>
            </w:pPr>
            <w:r>
              <w:rPr/>
              <w:t>​</w:t>
            </w:r>
          </w:p>
        </w:tc>
        <w:tc>
          <w:tcPr>
            <w:tcW w:w="273" w:type="dxa"/>
            <w:tcBorders>
              <w:bottom w:val="double" w:sz="6"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3" w:type="dxa"/>
            <w:tcBorders>
              <w:bottom w:val="double" w:sz="6"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59,532</w:t>
            </w:r>
          </w:p>
        </w:tc>
        <w:tc>
          <w:tcPr>
            <w:tcW w:w="326" w:type="dxa"/>
            <w:tcBorders/>
            <w:tcMar>
              <w:top w:w="0" w:type="dxa"/>
            </w:tcMar>
            <w:vAlign w:val="center"/>
          </w:tcPr>
          <w:p>
            <w:pPr>
              <w:pStyle w:val="TableContents"/>
              <w:bidi w:val="0"/>
              <w:spacing w:before="0" w:after="0"/>
              <w:ind w:left="0" w:right="0" w:hanging="0"/>
              <w:jc w:val="left"/>
              <w:rPr/>
            </w:pPr>
            <w:r>
              <w:rPr/>
              <w:t>​</w:t>
            </w:r>
          </w:p>
        </w:tc>
        <w:tc>
          <w:tcPr>
            <w:tcW w:w="333" w:type="dxa"/>
            <w:tcBorders>
              <w:bottom w:val="double" w:sz="6"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bottom w:val="double" w:sz="6" w:space="0" w:color="000000"/>
            </w:tcBorders>
            <w:tcMar>
              <w:top w:w="0" w:type="dxa"/>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62,141</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Depreciation expense was $3,221 and $3,226 for the three months ended March 31, 2025 and 2024, respectively. </w:t>
      </w:r>
    </w:p>
    <w:p>
      <w:pPr>
        <w:pStyle w:val="TextBody"/>
        <w:bidi w:val="0"/>
        <w:spacing w:before="0" w:after="200"/>
        <w:ind w:left="0" w:right="0" w:hanging="0"/>
        <w:jc w:val="left"/>
        <w:rPr>
          <w:rFonts w:ascii="Arial;Helvetica;sans-serif" w:hAnsi="Arial;Helvetica;sans-serif"/>
          <w:b w:val="false"/>
          <w:sz w:val="24"/>
        </w:rPr>
      </w:pPr>
      <w:bookmarkStart w:id="779" w:name="Tc_1v8hegsbz0qgL0w4ZjiEsg_7_5"/>
      <w:bookmarkStart w:id="780" w:name="Tc_Gr2hKWziSky3Xw94Ex3itA_7_2"/>
      <w:bookmarkStart w:id="781" w:name="Tc_ESPeVR8Jxk6g1Qs6AhE7ig_7_0"/>
      <w:bookmarkStart w:id="782" w:name="Tc_So_KPTDpk0mlVE1BCby2EQ_6_0"/>
      <w:bookmarkStart w:id="783" w:name="Tc_Q-xgBwbMhU2CcbWSyODZ1Q_4_0"/>
      <w:bookmarkStart w:id="784" w:name="Tc_Omm7Pd5XrEmHxC0XRUfCGQ_3_0"/>
      <w:bookmarkStart w:id="785" w:name="Tc_ofnRZzU-6kWP_a5kQ80U0g_2_5"/>
      <w:bookmarkStart w:id="786" w:name="Tc_GJaLjhmrb0aIzqkg9duaHw_2_2"/>
      <w:bookmarkStart w:id="787" w:name="Tc_e3PTuJlc00qV7RXyxkwHqw_2_0"/>
      <w:bookmarkStart w:id="788" w:name="Tc_HQFxTSW4i0aSACDTEGwwxg_1_5"/>
      <w:bookmarkStart w:id="789" w:name="Tc_vtFp4GoC00KjzMWjyXuv5Q_1_2"/>
      <w:bookmarkEnd w:id="779"/>
      <w:bookmarkEnd w:id="780"/>
      <w:bookmarkEnd w:id="781"/>
      <w:bookmarkEnd w:id="782"/>
      <w:bookmarkEnd w:id="783"/>
      <w:bookmarkEnd w:id="784"/>
      <w:bookmarkEnd w:id="785"/>
      <w:bookmarkEnd w:id="786"/>
      <w:bookmarkEnd w:id="787"/>
      <w:bookmarkEnd w:id="788"/>
      <w:bookmarkEnd w:id="789"/>
      <w:r>
        <w:rPr>
          <w:rFonts w:ascii="Arial;Helvetica;sans-serif" w:hAnsi="Arial;Helvetica;sans-serif"/>
          <w:b w:val="false"/>
          <w:sz w:val="24"/>
        </w:rPr>
        <w:t>Note 6—Accrued expenses and other liabilities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is a summary of accrued expenses:</w:t>
      </w:r>
    </w:p>
    <w:p>
      <w:pPr>
        <w:pStyle w:val="TextBody"/>
        <w:bidi w:val="0"/>
        <w:spacing w:before="0" w:after="0"/>
        <w:ind w:left="0" w:right="0" w:hanging="0"/>
        <w:jc w:val="left"/>
        <w:rPr/>
      </w:pPr>
      <w:r>
        <w:rPr/>
        <w:t>​</w:t>
      </w:r>
    </w:p>
    <w:tbl>
      <w:tblPr>
        <w:tblW w:w="7435" w:type="dxa"/>
        <w:jc w:val="left"/>
        <w:tblInd w:w="0" w:type="dxa"/>
        <w:tblLayout w:type="fixed"/>
        <w:tblCellMar>
          <w:top w:w="28" w:type="dxa"/>
          <w:left w:w="0" w:type="dxa"/>
          <w:bottom w:w="0" w:type="dxa"/>
          <w:right w:w="0" w:type="dxa"/>
        </w:tblCellMar>
      </w:tblPr>
      <w:tblGrid>
        <w:gridCol w:w="3886"/>
        <w:gridCol w:w="386"/>
        <w:gridCol w:w="291"/>
        <w:gridCol w:w="955"/>
        <w:gridCol w:w="326"/>
        <w:gridCol w:w="333"/>
        <w:gridCol w:w="1258"/>
      </w:tblGrid>
      <w:tr>
        <w:trPr/>
        <w:tc>
          <w:tcPr>
            <w:tcW w:w="388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467610" cy="175260"/>
                      <wp:effectExtent l="0" t="0" r="0" b="0"/>
                      <wp:wrapNone/>
                      <wp:docPr id="136" name="Frame136"/>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45110" cy="175260"/>
                      <wp:effectExtent l="0" t="0" r="0" b="0"/>
                      <wp:wrapNone/>
                      <wp:docPr id="137" name="Frame13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84785" cy="175260"/>
                      <wp:effectExtent l="0" t="0" r="0" b="0"/>
                      <wp:wrapNone/>
                      <wp:docPr id="138" name="Frame138"/>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06425" cy="175260"/>
                      <wp:effectExtent l="0" t="0" r="0" b="0"/>
                      <wp:wrapNone/>
                      <wp:docPr id="139" name="Frame139"/>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1455" cy="175260"/>
                      <wp:effectExtent l="0" t="0" r="0" b="0"/>
                      <wp:wrapNone/>
                      <wp:docPr id="141" name="Frame141"/>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98830" cy="175260"/>
                      <wp:effectExtent l="0" t="0" r="0" b="0"/>
                      <wp:wrapNone/>
                      <wp:docPr id="142" name="Frame142"/>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tcMar>
              <w:top w:w="0" w:type="dxa"/>
            </w:tcMar>
            <w:vAlign w:val="center"/>
          </w:tcPr>
          <w:p>
            <w:pPr>
              <w:pStyle w:val="TableContents"/>
              <w:bidi w:val="0"/>
              <w:spacing w:before="0" w:after="0"/>
              <w:ind w:left="0" w:right="0" w:hanging="0"/>
              <w:jc w:val="left"/>
              <w:rPr/>
            </w:pPr>
            <w:r>
              <w:rPr/>
              <w:t>​</w:t>
            </w:r>
          </w:p>
        </w:tc>
        <w:tc>
          <w:tcPr>
            <w:tcW w:w="386" w:type="dxa"/>
            <w:tcBorders/>
            <w:tcMar>
              <w:top w:w="0" w:type="dxa"/>
            </w:tcMar>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2025</w:t>
            </w:r>
          </w:p>
        </w:tc>
        <w:tc>
          <w:tcPr>
            <w:tcW w:w="326" w:type="dxa"/>
            <w:tcBorders/>
            <w:tcMar>
              <w:top w:w="0" w:type="dxa"/>
            </w:tcMar>
            <w:vAlign w:val="center"/>
          </w:tcPr>
          <w:p>
            <w:pPr>
              <w:pStyle w:val="TableContents"/>
              <w:bidi w:val="0"/>
              <w:spacing w:before="0" w:after="0"/>
              <w:ind w:left="0" w:right="0" w:hanging="0"/>
              <w:jc w:val="center"/>
              <w:rPr/>
            </w:pPr>
            <w:r>
              <w:rPr/>
              <w:t>    </w:t>
            </w:r>
          </w:p>
        </w:tc>
        <w:tc>
          <w:tcPr>
            <w:tcW w:w="1591"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2024</w:t>
            </w:r>
          </w:p>
        </w:tc>
      </w:tr>
      <w:tr>
        <w:trPr/>
        <w:tc>
          <w:tcPr>
            <w:tcW w:w="388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Payroll and bonuses</w:t>
            </w:r>
          </w:p>
        </w:tc>
        <w:tc>
          <w:tcPr>
            <w:tcW w:w="386" w:type="dxa"/>
            <w:tcBorders/>
            <w:shd w:fill="CCEEFF" w:val="clear"/>
            <w:tcMar>
              <w:top w:w="0" w:type="dxa"/>
            </w:tcMar>
            <w:vAlign w:val="center"/>
          </w:tcPr>
          <w:p>
            <w:pPr>
              <w:pStyle w:val="TableContents"/>
              <w:bidi w:val="0"/>
              <w:spacing w:before="0" w:after="0"/>
              <w:ind w:left="0" w:right="0" w:hanging="0"/>
              <w:jc w:val="center"/>
              <w:rPr/>
            </w:pPr>
            <w:r>
              <w:rPr/>
              <w:t>​</w:t>
            </w:r>
          </w:p>
        </w:tc>
        <w:tc>
          <w:tcPr>
            <w:tcW w:w="291"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5"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2,944</w:t>
            </w:r>
          </w:p>
        </w:tc>
        <w:tc>
          <w:tcPr>
            <w:tcW w:w="326" w:type="dxa"/>
            <w:tcBorders/>
            <w:shd w:fill="CCEEFF" w:val="clear"/>
            <w:tcMar>
              <w:top w:w="0" w:type="dxa"/>
            </w:tcMar>
            <w:vAlign w:val="center"/>
          </w:tcPr>
          <w:p>
            <w:pPr>
              <w:pStyle w:val="TableContents"/>
              <w:bidi w:val="0"/>
              <w:spacing w:before="0" w:after="0"/>
              <w:ind w:left="0" w:right="0" w:hanging="0"/>
              <w:jc w:val="center"/>
              <w:rPr/>
            </w:pPr>
            <w:r>
              <w:rPr/>
              <w:t>    </w:t>
            </w:r>
          </w:p>
        </w:tc>
        <w:tc>
          <w:tcPr>
            <w:tcW w:w="333"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7,703</w:t>
            </w:r>
          </w:p>
        </w:tc>
      </w:tr>
      <w:tr>
        <w:trPr/>
        <w:tc>
          <w:tcPr>
            <w:tcW w:w="3886"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Accrued clinical trial related costs </w:t>
            </w:r>
          </w:p>
        </w:tc>
        <w:tc>
          <w:tcPr>
            <w:tcW w:w="386" w:type="dxa"/>
            <w:tcBorders/>
            <w:tcMar>
              <w:top w:w="0" w:type="dxa"/>
            </w:tcMar>
            <w:vAlign w:val="center"/>
          </w:tcPr>
          <w:p>
            <w:pPr>
              <w:pStyle w:val="TableContents"/>
              <w:bidi w:val="0"/>
              <w:spacing w:before="0" w:after="0"/>
              <w:ind w:left="0" w:right="0" w:hanging="0"/>
              <w:jc w:val="left"/>
              <w:rPr/>
            </w:pPr>
            <w:r>
              <w:rPr/>
              <w:t>​</w:t>
            </w:r>
          </w:p>
        </w:tc>
        <w:tc>
          <w:tcPr>
            <w:tcW w:w="291" w:type="dxa"/>
            <w:tcBorders/>
            <w:tcMar>
              <w:top w:w="0" w:type="dxa"/>
            </w:tcMar>
            <w:vAlign w:val="center"/>
          </w:tcPr>
          <w:p>
            <w:pPr>
              <w:pStyle w:val="TableContents"/>
              <w:bidi w:val="0"/>
              <w:spacing w:before="0" w:after="0"/>
              <w:ind w:left="0" w:right="0" w:hanging="0"/>
              <w:jc w:val="right"/>
              <w:rPr/>
            </w:pPr>
            <w:r>
              <w:rPr/>
              <w:t>​</w:t>
            </w:r>
          </w:p>
        </w:tc>
        <w:tc>
          <w:tcPr>
            <w:tcW w:w="955"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727</w:t>
            </w:r>
          </w:p>
        </w:tc>
        <w:tc>
          <w:tcPr>
            <w:tcW w:w="326" w:type="dxa"/>
            <w:tcBorders/>
            <w:tcMar>
              <w:top w:w="0" w:type="dxa"/>
            </w:tcMar>
            <w:vAlign w:val="center"/>
          </w:tcPr>
          <w:p>
            <w:pPr>
              <w:pStyle w:val="TableContents"/>
              <w:bidi w:val="0"/>
              <w:spacing w:before="0" w:after="0"/>
              <w:ind w:left="0" w:right="0" w:hanging="0"/>
              <w:jc w:val="left"/>
              <w:rPr/>
            </w:pPr>
            <w:r>
              <w:rPr/>
              <w:t>​</w:t>
            </w:r>
          </w:p>
        </w:tc>
        <w:tc>
          <w:tcPr>
            <w:tcW w:w="333" w:type="dxa"/>
            <w:tcBorders/>
            <w:tcMar>
              <w:top w:w="0" w:type="dxa"/>
            </w:tcMar>
            <w:vAlign w:val="center"/>
          </w:tcPr>
          <w:p>
            <w:pPr>
              <w:pStyle w:val="TableContents"/>
              <w:bidi w:val="0"/>
              <w:spacing w:before="0" w:after="0"/>
              <w:ind w:left="0" w:right="0" w:hanging="0"/>
              <w:jc w:val="right"/>
              <w:rPr/>
            </w:pPr>
            <w:r>
              <w:rPr/>
              <w:t>​</w:t>
            </w:r>
          </w:p>
        </w:tc>
        <w:tc>
          <w:tcPr>
            <w:tcW w:w="1258"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2,196</w:t>
            </w:r>
          </w:p>
        </w:tc>
      </w:tr>
      <w:tr>
        <w:trPr/>
        <w:tc>
          <w:tcPr>
            <w:tcW w:w="388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Professional and legal fees</w:t>
            </w:r>
          </w:p>
        </w:tc>
        <w:tc>
          <w:tcPr>
            <w:tcW w:w="386" w:type="dxa"/>
            <w:tcBorders/>
            <w:shd w:fill="CCEEFF" w:val="clear"/>
            <w:tcMar>
              <w:top w:w="0" w:type="dxa"/>
            </w:tcMar>
            <w:vAlign w:val="center"/>
          </w:tcPr>
          <w:p>
            <w:pPr>
              <w:pStyle w:val="TableContents"/>
              <w:bidi w:val="0"/>
              <w:spacing w:before="0" w:after="0"/>
              <w:ind w:left="0" w:right="0" w:hanging="0"/>
              <w:jc w:val="left"/>
              <w:rPr/>
            </w:pPr>
            <w:r>
              <w:rPr/>
              <w:t> </w:t>
            </w:r>
          </w:p>
        </w:tc>
        <w:tc>
          <w:tcPr>
            <w:tcW w:w="291" w:type="dxa"/>
            <w:tcBorders/>
            <w:shd w:fill="CCEEFF" w:val="clear"/>
            <w:tcMar>
              <w:top w:w="0" w:type="dxa"/>
            </w:tcMar>
            <w:vAlign w:val="center"/>
          </w:tcPr>
          <w:p>
            <w:pPr>
              <w:pStyle w:val="TableContents"/>
              <w:bidi w:val="0"/>
              <w:spacing w:before="0" w:after="0"/>
              <w:ind w:left="0" w:right="0" w:hanging="0"/>
              <w:jc w:val="right"/>
              <w:rPr/>
            </w:pPr>
            <w:r>
              <w:rPr/>
              <w:t>​</w:t>
            </w:r>
          </w:p>
        </w:tc>
        <w:tc>
          <w:tcPr>
            <w:tcW w:w="955"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2,266</w:t>
            </w:r>
          </w:p>
        </w:tc>
        <w:tc>
          <w:tcPr>
            <w:tcW w:w="326" w:type="dxa"/>
            <w:tcBorders/>
            <w:shd w:fill="CCEEFF" w:val="clear"/>
            <w:tcMar>
              <w:top w:w="0" w:type="dxa"/>
            </w:tcMar>
            <w:vAlign w:val="center"/>
          </w:tcPr>
          <w:p>
            <w:pPr>
              <w:pStyle w:val="TableContents"/>
              <w:bidi w:val="0"/>
              <w:spacing w:before="0" w:after="0"/>
              <w:ind w:left="0" w:right="0" w:hanging="0"/>
              <w:jc w:val="left"/>
              <w:rPr/>
            </w:pPr>
            <w:r>
              <w:rPr/>
              <w:t> </w:t>
            </w:r>
          </w:p>
        </w:tc>
        <w:tc>
          <w:tcPr>
            <w:tcW w:w="333" w:type="dxa"/>
            <w:tcBorders/>
            <w:shd w:fill="CCEEFF" w:val="clear"/>
            <w:tcMar>
              <w:top w:w="0" w:type="dxa"/>
            </w:tcMar>
            <w:vAlign w:val="center"/>
          </w:tcPr>
          <w:p>
            <w:pPr>
              <w:pStyle w:val="TableContents"/>
              <w:bidi w:val="0"/>
              <w:spacing w:before="0" w:after="0"/>
              <w:ind w:left="0" w:right="0" w:hanging="0"/>
              <w:jc w:val="right"/>
              <w:rPr/>
            </w:pPr>
            <w:r>
              <w:rPr/>
              <w:t>​</w:t>
            </w:r>
          </w:p>
        </w:tc>
        <w:tc>
          <w:tcPr>
            <w:tcW w:w="1258"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2,617</w:t>
            </w:r>
          </w:p>
        </w:tc>
      </w:tr>
      <w:tr>
        <w:trPr/>
        <w:tc>
          <w:tcPr>
            <w:tcW w:w="3886"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lease liability, current</w:t>
            </w:r>
          </w:p>
        </w:tc>
        <w:tc>
          <w:tcPr>
            <w:tcW w:w="386" w:type="dxa"/>
            <w:tcBorders/>
            <w:tcMar>
              <w:top w:w="0" w:type="dxa"/>
            </w:tcMar>
            <w:vAlign w:val="center"/>
          </w:tcPr>
          <w:p>
            <w:pPr>
              <w:pStyle w:val="TableContents"/>
              <w:bidi w:val="0"/>
              <w:spacing w:before="0" w:after="0"/>
              <w:ind w:left="0" w:right="0" w:hanging="0"/>
              <w:jc w:val="left"/>
              <w:rPr/>
            </w:pPr>
            <w:r>
              <w:rPr/>
              <w:t>​</w:t>
            </w:r>
          </w:p>
        </w:tc>
        <w:tc>
          <w:tcPr>
            <w:tcW w:w="291" w:type="dxa"/>
            <w:tcBorders/>
            <w:tcMar>
              <w:top w:w="0" w:type="dxa"/>
            </w:tcMar>
            <w:vAlign w:val="center"/>
          </w:tcPr>
          <w:p>
            <w:pPr>
              <w:pStyle w:val="TableContents"/>
              <w:bidi w:val="0"/>
              <w:spacing w:before="0" w:after="0"/>
              <w:ind w:left="0" w:right="0" w:hanging="0"/>
              <w:jc w:val="right"/>
              <w:rPr/>
            </w:pPr>
            <w:r>
              <w:rPr/>
              <w:t>​</w:t>
            </w:r>
          </w:p>
        </w:tc>
        <w:tc>
          <w:tcPr>
            <w:tcW w:w="955"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4,882</w:t>
            </w:r>
          </w:p>
        </w:tc>
        <w:tc>
          <w:tcPr>
            <w:tcW w:w="326" w:type="dxa"/>
            <w:tcBorders/>
            <w:tcMar>
              <w:top w:w="0" w:type="dxa"/>
            </w:tcMar>
            <w:vAlign w:val="center"/>
          </w:tcPr>
          <w:p>
            <w:pPr>
              <w:pStyle w:val="TableContents"/>
              <w:bidi w:val="0"/>
              <w:spacing w:before="0" w:after="0"/>
              <w:ind w:left="0" w:right="0" w:hanging="0"/>
              <w:jc w:val="left"/>
              <w:rPr/>
            </w:pPr>
            <w:r>
              <w:rPr/>
              <w:t>​</w:t>
            </w:r>
          </w:p>
        </w:tc>
        <w:tc>
          <w:tcPr>
            <w:tcW w:w="333" w:type="dxa"/>
            <w:tcBorders/>
            <w:tcMar>
              <w:top w:w="0" w:type="dxa"/>
            </w:tcMar>
            <w:vAlign w:val="center"/>
          </w:tcPr>
          <w:p>
            <w:pPr>
              <w:pStyle w:val="TableContents"/>
              <w:bidi w:val="0"/>
              <w:spacing w:before="0" w:after="0"/>
              <w:ind w:left="0" w:right="0" w:hanging="0"/>
              <w:jc w:val="right"/>
              <w:rPr/>
            </w:pPr>
            <w:r>
              <w:rPr/>
              <w:t>​</w:t>
            </w:r>
          </w:p>
        </w:tc>
        <w:tc>
          <w:tcPr>
            <w:tcW w:w="1258"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4,870</w:t>
            </w:r>
          </w:p>
        </w:tc>
      </w:tr>
      <w:tr>
        <w:trPr/>
        <w:tc>
          <w:tcPr>
            <w:tcW w:w="388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86" w:type="dxa"/>
            <w:tcBorders/>
            <w:shd w:fill="CCEEFF" w:val="clear"/>
            <w:tcMar>
              <w:top w:w="0" w:type="dxa"/>
            </w:tcMar>
            <w:vAlign w:val="center"/>
          </w:tcPr>
          <w:p>
            <w:pPr>
              <w:pStyle w:val="TableContents"/>
              <w:bidi w:val="0"/>
              <w:spacing w:before="0" w:after="0"/>
              <w:ind w:left="0" w:right="0" w:hanging="0"/>
              <w:jc w:val="left"/>
              <w:rPr/>
            </w:pPr>
            <w:r>
              <w:rPr/>
              <w:t> </w:t>
            </w:r>
          </w:p>
        </w:tc>
        <w:tc>
          <w:tcPr>
            <w:tcW w:w="29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pPr>
            <w:r>
              <w:rPr/>
              <w:t>​</w:t>
            </w:r>
          </w:p>
        </w:tc>
        <w:tc>
          <w:tcPr>
            <w:tcW w:w="95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w:t>
            </w:r>
          </w:p>
        </w:tc>
        <w:tc>
          <w:tcPr>
            <w:tcW w:w="326" w:type="dxa"/>
            <w:tcBorders/>
            <w:shd w:fill="CCEEFF" w:val="clear"/>
            <w:tcMar>
              <w:top w:w="0" w:type="dxa"/>
            </w:tcMar>
            <w:vAlign w:val="center"/>
          </w:tcPr>
          <w:p>
            <w:pPr>
              <w:pStyle w:val="TableContents"/>
              <w:bidi w:val="0"/>
              <w:spacing w:before="0" w:after="0"/>
              <w:ind w:left="0" w:right="0" w:hanging="0"/>
              <w:jc w:val="left"/>
              <w:rPr/>
            </w:pPr>
            <w:r>
              <w:rPr/>
              <w:t> </w:t>
            </w:r>
          </w:p>
        </w:tc>
        <w:tc>
          <w:tcPr>
            <w:tcW w:w="333"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pPr>
            <w:r>
              <w:rPr/>
              <w:t>​</w:t>
            </w:r>
          </w:p>
        </w:tc>
        <w:tc>
          <w:tcPr>
            <w:tcW w:w="1258"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w:t>
            </w:r>
          </w:p>
        </w:tc>
      </w:tr>
      <w:tr>
        <w:trPr/>
        <w:tc>
          <w:tcPr>
            <w:tcW w:w="3886"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accrued expenses and other liabilities</w:t>
            </w:r>
          </w:p>
        </w:tc>
        <w:tc>
          <w:tcPr>
            <w:tcW w:w="386" w:type="dxa"/>
            <w:tcBorders/>
            <w:tcMar>
              <w:top w:w="0" w:type="dxa"/>
            </w:tcMar>
            <w:vAlign w:val="center"/>
          </w:tcPr>
          <w:p>
            <w:pPr>
              <w:pStyle w:val="TableContents"/>
              <w:bidi w:val="0"/>
              <w:spacing w:before="0" w:after="0"/>
              <w:ind w:left="0" w:right="0" w:hanging="0"/>
              <w:jc w:val="left"/>
              <w:rPr/>
            </w:pPr>
            <w:r>
              <w:rPr/>
              <w:t>​</w:t>
            </w:r>
          </w:p>
        </w:tc>
        <w:tc>
          <w:tcPr>
            <w:tcW w:w="291" w:type="dxa"/>
            <w:tcBorders>
              <w:bottom w:val="double" w:sz="6"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5" w:type="dxa"/>
            <w:tcBorders>
              <w:bottom w:val="double" w:sz="6"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10,930</w:t>
            </w:r>
          </w:p>
        </w:tc>
        <w:tc>
          <w:tcPr>
            <w:tcW w:w="326" w:type="dxa"/>
            <w:tcBorders/>
            <w:tcMar>
              <w:top w:w="0" w:type="dxa"/>
            </w:tcMar>
            <w:vAlign w:val="center"/>
          </w:tcPr>
          <w:p>
            <w:pPr>
              <w:pStyle w:val="TableContents"/>
              <w:bidi w:val="0"/>
              <w:spacing w:before="0" w:after="0"/>
              <w:ind w:left="0" w:right="0" w:hanging="0"/>
              <w:jc w:val="left"/>
              <w:rPr/>
            </w:pPr>
            <w:r>
              <w:rPr/>
              <w:t>​</w:t>
            </w:r>
          </w:p>
        </w:tc>
        <w:tc>
          <w:tcPr>
            <w:tcW w:w="333" w:type="dxa"/>
            <w:tcBorders>
              <w:bottom w:val="double" w:sz="6"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bottom w:val="double" w:sz="6" w:space="0" w:color="000000"/>
            </w:tcBorders>
            <w:tcMar>
              <w:top w:w="0" w:type="dxa"/>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17,461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val="false"/>
          <w:sz w:val="24"/>
        </w:rPr>
        <w:t>Note 7 – Bristol-Myers Squibb Collaboration</w:t>
      </w:r>
      <w:r>
        <w:rPr>
          <w:rFonts w:ascii="Arial;Helvetica;sans-serif" w:hAnsi="Arial;Helvetica;sans-serif"/>
          <w:b/>
          <w:sz w:val="20"/>
        </w:rPr>
        <w:t xml:space="preserve">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was within the scope of ASC 808, Collaborative Arrangements as both parties were active participants in the arrangement and are exposed to significant risks and rewards. While this arrangement was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Pursuant to the Collaboration Agreement, the Company and Bristol-Myers Squibb collaborated on two collaboration programs focused on acute myeloid leukemia (“AML”) and multiple myeloma (“MM”) (“Collaboration Programs”), and Bristol-Myers Squibb had the option to add up to two additional Collaboration Programs for an additional fee. The Company was responsible for generating Development Candidates for each Collaboration Program, and Bristol-Myers Squibb had the option to elect to exclusively license the Development Candidates for pre-clinical development, clinical development and commercialization on a worldwide basis (“License Option”).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Under the terms of the Collaboration Agreement, Bristol-Myers Squibb made a non-refundable, upfront cash payment of $100,000 and agreed to pay an exercise fee upon the exercise of the License Option (“Licensed Program” and product candidates developed under a Licensed Program, “Licensed Products”). For each Licensed Program, Bristol-Myers Squibb agreed to pay up to $235,000 in milestone payments upon the first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achievement of certain development and regulatory milestones and agreed to pay up to $500,000 per Licensed Product in net sales-based milestone payments.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$23,187 in the aggregate (“Equity Premium”), and the remaining $26,813 was recorded as issuance of common stock in stockholders’ equity.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represented distinct performance obligations for purposes of recognizing revenue and would have recognized revenue if the Company had fulfilled such performance obligations.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Company determined that the upfront payment and equity premium constituted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was not within the Company’s control and was subject to certain research and development success and therefore carried significant uncertainty.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total transaction price of $123,187 was allocated to the performance obligations based on their estimated standalone selling price on January 7, 2022.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Research and development services: The Company recognized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License option rights: The transaction price allocated to the license options rights, which were considered material rights to license and commercialize the underlying research and development target, were deferred until the period that Bristol-Myers Squibb would have elected to exercise or not exercise its option or when the option to exercise expired.</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Following an internal corporate portfolio prioritization process, Bristol-Myers Squibb notified the Company on December 12, 2024 that it would be terminating the Collaboration Agreement in its entirety without cause after the mandatory 90 day notification period. The termination was effective on March 12, 2025. As a result of the notice of termination, the Company concluded that the research and development services being provided to Bristol-Myers Squibb were substantially complete as of December 31, 2024, and accordingly, the remaining transaction price allocated to that performance obligation was recorded in the fourth quarter of 2024. The remaining transaction price related to the license option rights, which represented a material right, of $109,164 was recognized in this fiscal quarter as the option rights expired upon the termination of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Collaboration Agreement. There will be no future collaboration revenues recognized under the Collaboration Agreement.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val="false"/>
          <w:sz w:val="24"/>
        </w:rPr>
      </w:pPr>
      <w:r>
        <w:rPr>
          <w:rFonts w:ascii="Arial;Helvetica;sans-serif" w:hAnsi="Arial;Helvetica;sans-serif"/>
          <w:b w:val="false"/>
          <w:sz w:val="24"/>
        </w:rPr>
        <w:t>Note 8—Commitments and contingencies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Distributed Bio Master Service Agreement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On July 24, 2019, the Company entered into a Master Service Agreement with Distributed Bio, Inc (“DBio”), whereby DBio will screen for protein binders that bind to specific therapeutic targets (the “Master Service Agreement”).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had $66 within accounts payable as of March 31, 2025 and $65 as of December 31, 2024, in its consolidated balance sheets related to the Master Service Agreement. During the three months ended March 31, 2025 and 2024, there were $66 and $56 in research and development expenses, respectively.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iCELL Inc. Sublicense Agreement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2025 or 2024.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Clade Therapeutics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connection with the acquisition of Clade Therapeutics (Note 3 – Business combination), the Company is subject to a contingent milestone payment to the shareholders of Clade. The milestone payment is $10,000 and is payable in cash, shares of Century, or a combination thereof, at the discretion of Century.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A total of 793,687 shares (“Holdback Shares”) representing approximately 10% of the aggregate consideration, were held back at the closing of the acquisition as recourse to satisfy certain indemnification obligations of the Clade shareholders under the Merger Agreement should they arise and, subject to any forfeiture of Holdback Shares as a result of indemnification claims made prior to the 18-month anniversary of the Closing, will be issued pursuant to the terms of the Merger Agreement following the 18-month anniversary of the Closing.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connection with the acquisition of Clade, the Company also assumed an earn-out obligation (“Gadeta Milestone”) that is contingent on a clinical development milestone of a product that incorporates Gadeta intellectual property between the acquisition date and December 31, 2032. The total payment to the shareholders of Gadeta is upon the occurrence of such an event is $20,000.</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sz w:val="24"/>
        </w:rPr>
      </w:pPr>
      <w:bookmarkStart w:id="790" w:name="Tc_Tabuu_RhhEeAYqtm_MqBZA_3_5"/>
      <w:bookmarkStart w:id="791" w:name="Tc_v0W6xjdcIUmxN1ECnMKNzQ_3_2"/>
      <w:bookmarkStart w:id="792" w:name="Tc_VEGQA0YZbE-21hmnTvSQ9Q_3_0"/>
      <w:bookmarkStart w:id="793" w:name="Tc_9-8jBnr5FkuzlAroxZBFvg_2_5"/>
      <w:bookmarkStart w:id="794" w:name="Tc_qnPr_YkOwESsZsp8Y5i1SA_2_2"/>
      <w:bookmarkStart w:id="795" w:name="Tc_3vSj6_7bjE66KrV1ZXP35g_1_5"/>
      <w:bookmarkStart w:id="796" w:name="Tc_0cxCGCHZaUCTJ7XPBOsFpQ_1_2"/>
      <w:bookmarkStart w:id="797" w:name="Tc_5QmkM9QTlkmotv3yL-C--Q_3_5"/>
      <w:bookmarkStart w:id="798" w:name="Tc_24hplGWMMUyLfQaqEXc_hA_3_3"/>
      <w:bookmarkStart w:id="799" w:name="Tc_-zstIRQXL0GN0DyyhLPxZg_3_0"/>
      <w:bookmarkStart w:id="800" w:name="Tc_uKSmKfZZEkWwA7lJaGSOvA_2_4"/>
      <w:bookmarkStart w:id="801" w:name="Tc_gdKHbZ5PAEuplj5vvwux_A_2_2"/>
      <w:bookmarkStart w:id="802" w:name="Tc_FVk9IQlXiE-q2mm8xiiZ3Q_2_0"/>
      <w:bookmarkStart w:id="803" w:name="Tc_UwZfUhhwlEyWeYIuJONhmw_1_4"/>
      <w:bookmarkStart w:id="804" w:name="Tc_SdbfEtsCOkWfcxSAiIvJHw_1_2"/>
      <w:bookmarkStart w:id="805" w:name="Tc_BXlLwZWP6E2MiiDIfpwyNg_8_7"/>
      <w:bookmarkStart w:id="806" w:name="Tc_FbUwdQvR10WEM70WOPLGXw_8_4"/>
      <w:bookmarkStart w:id="807" w:name="Tc_pSEXPqLx7UqYhkLq0QfVoA_8_0"/>
      <w:bookmarkStart w:id="808" w:name="Tc_bHnULCzkTkmQJzfc1Kx56g_7_2"/>
      <w:bookmarkStart w:id="809" w:name="Tc_rHCpyzW_AEKOh0Xef4gvVA_7_0"/>
      <w:bookmarkStart w:id="810" w:name="Tc_QP8XIlw1Iket-HtjnWJiAw_6_7"/>
      <w:bookmarkStart w:id="811" w:name="Tc_Eq4QKzZC5EejdEO8nuZGLw_6_4"/>
      <w:bookmarkStart w:id="812" w:name="Tc_O5p3PXzU6kiSS_0Yj6nEqA_6_0"/>
      <w:bookmarkStart w:id="813" w:name="Tc_seH_VOtXuUasqm5gE47DzQ_5_7"/>
      <w:bookmarkStart w:id="814" w:name="Tc_kx8k_8sJHUCj0g7A8oj2mg_5_4"/>
      <w:bookmarkStart w:id="815" w:name="Tc_TdM9kJjmtkSBcsP23iSCJQ_5_2"/>
      <w:bookmarkStart w:id="816" w:name="Tc_0yli4wHX5ki0HPtpN49qBg_5_0"/>
      <w:bookmarkStart w:id="817" w:name="Tc_C49FdTTpDkC6wPc959iuSw_3_7"/>
      <w:bookmarkStart w:id="818" w:name="Tc_pI1DJ1LCqkWjMY79wOQMFA_3_4"/>
      <w:bookmarkStart w:id="819" w:name="Tc_1NVWraaP-kOm7apVzGIwzA_3_2"/>
      <w:bookmarkStart w:id="820" w:name="Tc_amGSekxTaESdv6iD_xnrsA_2_7"/>
      <w:bookmarkStart w:id="821" w:name="Tc_7DOB9fLno0ipxD7tnmXDFA_2_4"/>
      <w:bookmarkStart w:id="822" w:name="Tc_byNt_5VMRUSUNGBnLQf9vg_1_7"/>
      <w:bookmarkStart w:id="823" w:name="Tc_L7Y31kmO9kOM0BN5fz5Ddw_1_4"/>
      <w:bookmarkStart w:id="824" w:name="Tc_0ypx9eR8YUGXBr8Vl_uFtQ_8_5"/>
      <w:bookmarkStart w:id="825" w:name="Tc_v1Kt9Fiztk2pt-Y4rI6mUg_8_2"/>
      <w:bookmarkStart w:id="826" w:name="Tc_Nndjjt3hmEmizOOkWmqIQQ_8_0"/>
      <w:bookmarkStart w:id="827" w:name="Tc_P4qY7cw2LEasAJyYJf0s0Q_7_6"/>
      <w:bookmarkStart w:id="828" w:name="Tc_qo4iPP0gBUGZpHHePdxeuw_7_3"/>
      <w:bookmarkStart w:id="829" w:name="Tc_kLIiQosniUuS3kbGTARlLQ_7_0"/>
      <w:bookmarkStart w:id="830" w:name="Tc_dUmJkSJzOEqgCeEvQcEgOg_6_0"/>
      <w:bookmarkStart w:id="831" w:name="Tc_uYZtWpIiskyZB7qsajv16Q_5_5"/>
      <w:bookmarkStart w:id="832" w:name="Tc_VdzcQ7QDAUWteb5FzoNhhQ_5_2"/>
      <w:bookmarkStart w:id="833" w:name="Tc_c7WR6qTnYESBtJHCGe6Uxw_5_0"/>
      <w:bookmarkStart w:id="834" w:name="Tc_C-ZOAET9iU-8TVxBvuX_iw_4_0"/>
      <w:bookmarkStart w:id="835" w:name="Tc_Mp-CfbsMxkuqu-lPJqv8Uw_3_5"/>
      <w:bookmarkStart w:id="836" w:name="Tc_l6ievXvyOUqdtEgkQOgSPA_3_2"/>
      <w:bookmarkStart w:id="837" w:name="Tc_hW9dRWYLGUy5kX3SCm1Kcw_2_5"/>
      <w:bookmarkStart w:id="838" w:name="Tc_9jK06XuxnEqmVPxr4L672g_2_2"/>
      <w:bookmarkStart w:id="839" w:name="Tc_jz2xMrIjukaGsr1gXjqWNg_1_5"/>
      <w:bookmarkStart w:id="840" w:name="Tc_Ej9b0hnU1UWC0Gy0QQ9Few_1_2"/>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r>
        <w:rPr>
          <w:rFonts w:ascii="Arial;Helvetica;sans-serif" w:hAnsi="Arial;Helvetica;sans-serif"/>
          <w:b w:val="false"/>
          <w:sz w:val="24"/>
        </w:rPr>
        <w:t>Note 9—Leases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has commitments under operating leases for certain facilities used in its operations. The Company maintains security deposits on certain leases in the amounts of $403 within security deposits and non-current assets in its consolidated balance sheets at March 31, 2025 and December 31, 2024, respectively. The Company’s leases have initial lease terms ranging from </w:t>
      </w:r>
      <w:r>
        <w:rPr>
          <w:rFonts w:ascii="Arial;Helvetica;sans-serif" w:hAnsi="Arial;Helvetica;sans-serif"/>
          <w:b w:val="false"/>
          <w:i w:val="false"/>
          <w:caps w:val="false"/>
          <w:smallCaps w:val="false"/>
          <w:sz w:val="20"/>
        </w:rPr>
        <w:t>5</w:t>
      </w:r>
      <w:r>
        <w:rPr>
          <w:rFonts w:ascii="Arial;Helvetica;sans-serif" w:hAnsi="Arial;Helvetica;sans-serif"/>
          <w:sz w:val="20"/>
        </w:rPr>
        <w:t xml:space="preserve"> to 16 years. Certain lease agreements contain provisions for future rent increases.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reflects the components of lease expense:</w:t>
      </w:r>
    </w:p>
    <w:p>
      <w:pPr>
        <w:pStyle w:val="TextBody"/>
        <w:bidi w:val="0"/>
        <w:spacing w:before="0" w:after="0"/>
        <w:ind w:left="0" w:right="0" w:hanging="0"/>
        <w:jc w:val="left"/>
        <w:rPr/>
      </w:pPr>
      <w:r>
        <w:rPr/>
        <w:t>​</w:t>
      </w:r>
    </w:p>
    <w:tbl>
      <w:tblPr>
        <w:tblW w:w="6788" w:type="dxa"/>
        <w:jc w:val="left"/>
        <w:tblInd w:w="0" w:type="dxa"/>
        <w:tblLayout w:type="fixed"/>
        <w:tblCellMar>
          <w:top w:w="0" w:type="dxa"/>
          <w:left w:w="0" w:type="dxa"/>
          <w:bottom w:w="0" w:type="dxa"/>
          <w:right w:w="0" w:type="dxa"/>
        </w:tblCellMar>
      </w:tblPr>
      <w:tblGrid>
        <w:gridCol w:w="2731"/>
        <w:gridCol w:w="326"/>
        <w:gridCol w:w="445"/>
        <w:gridCol w:w="1235"/>
        <w:gridCol w:w="326"/>
        <w:gridCol w:w="403"/>
        <w:gridCol w:w="1322"/>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734185" cy="175260"/>
                      <wp:effectExtent l="0" t="0" r="0" b="0"/>
                      <wp:wrapNone/>
                      <wp:docPr id="143" name="Frame143"/>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82575" cy="175260"/>
                      <wp:effectExtent l="0" t="0" r="0" b="0"/>
                      <wp:wrapNone/>
                      <wp:docPr id="145" name="Frame145"/>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84225" cy="175260"/>
                      <wp:effectExtent l="0" t="0" r="0" b="0"/>
                      <wp:wrapNone/>
                      <wp:docPr id="146" name="Frame146"/>
                      <a:graphic xmlns:a="http://schemas.openxmlformats.org/drawingml/2006/main">
                        <a:graphicData uri="http://schemas.microsoft.com/office/word/2010/wordprocessingShape">
                          <wps:wsp>
                            <wps:cNvSpPr txBox="1"/>
                            <wps:spPr>
                              <a:xfrm>
                                <a:off x="0" y="0"/>
                                <a:ext cx="784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55905" cy="175260"/>
                      <wp:effectExtent l="0" t="0" r="0" b="0"/>
                      <wp:wrapNone/>
                      <wp:docPr id="148" name="Frame148"/>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39470" cy="175260"/>
                      <wp:effectExtent l="0" t="0" r="0" b="0"/>
                      <wp:wrapNone/>
                      <wp:docPr id="149" name="Frame149"/>
                      <a:graphic xmlns:a="http://schemas.openxmlformats.org/drawingml/2006/main">
                        <a:graphicData uri="http://schemas.microsoft.com/office/word/2010/wordprocessingShape">
                          <wps:wsp>
                            <wps:cNvSpPr txBox="1"/>
                            <wps:spPr>
                              <a:xfrm>
                                <a:off x="0" y="0"/>
                                <a:ext cx="839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80" w:type="dxa"/>
            <w:gridSpan w:val="2"/>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For the </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725" w:type="dxa"/>
            <w:gridSpan w:val="2"/>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For the </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80" w:type="dxa"/>
            <w:gridSpan w:val="2"/>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1725" w:type="dxa"/>
            <w:gridSpan w:val="2"/>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Three Months Ended </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March 31, 2025</w:t>
            </w:r>
          </w:p>
        </w:tc>
        <w:tc>
          <w:tcPr>
            <w:tcW w:w="326"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March 31, 2024</w:t>
            </w:r>
          </w:p>
        </w:tc>
      </w:tr>
      <w:tr>
        <w:trPr/>
        <w:tc>
          <w:tcPr>
            <w:tcW w:w="27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445" w:type="dxa"/>
            <w:tcBorders/>
            <w:shd w:fill="CCEEFF" w:val="clear"/>
            <w:vAlign w:val="center"/>
          </w:tcPr>
          <w:p>
            <w:pPr>
              <w:pStyle w:val="TableContents"/>
              <w:bidi w:val="0"/>
              <w:spacing w:before="0" w:after="0"/>
              <w:ind w:left="0" w:right="0" w:hanging="0"/>
              <w:jc w:val="left"/>
              <w:rPr/>
            </w:pPr>
            <w:r>
              <w:rPr/>
              <w:t>​</w:t>
            </w:r>
          </w:p>
        </w:tc>
        <w:tc>
          <w:tcPr>
            <w:tcW w:w="12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03" w:type="dxa"/>
            <w:tcBorders/>
            <w:shd w:fill="CCEEFF" w:val="clear"/>
            <w:vAlign w:val="center"/>
          </w:tcPr>
          <w:p>
            <w:pPr>
              <w:pStyle w:val="TableContents"/>
              <w:bidi w:val="0"/>
              <w:spacing w:before="0" w:after="0"/>
              <w:ind w:left="0" w:right="0" w:hanging="0"/>
              <w:jc w:val="left"/>
              <w:rPr/>
            </w:pPr>
            <w:r>
              <w:rPr/>
              <w:t>​</w:t>
            </w:r>
          </w:p>
        </w:tc>
        <w:tc>
          <w:tcPr>
            <w:tcW w:w="1322" w:type="dxa"/>
            <w:tcBorders/>
            <w:shd w:fill="CCEEFF" w:val="clear"/>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Fixed lease cost</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1,744</w:t>
            </w:r>
          </w:p>
        </w:tc>
        <w:tc>
          <w:tcPr>
            <w:tcW w:w="32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1,085</w:t>
            </w:r>
          </w:p>
        </w:tc>
      </w:tr>
      <w:tr>
        <w:trPr/>
        <w:tc>
          <w:tcPr>
            <w:tcW w:w="27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 </w:t>
            </w:r>
          </w:p>
        </w:tc>
        <w:tc>
          <w:tcPr>
            <w:tcW w:w="12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664</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pPr>
            <w:r>
              <w:rPr/>
              <w:t> </w:t>
            </w:r>
          </w:p>
        </w:tc>
        <w:tc>
          <w:tcPr>
            <w:tcW w:w="132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w:t>
            </w:r>
          </w:p>
        </w:tc>
      </w:tr>
      <w:tr>
        <w:trPr/>
        <w:tc>
          <w:tcPr>
            <w:tcW w:w="27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Short term lease expense</w:t>
            </w:r>
          </w:p>
        </w:tc>
        <w:tc>
          <w:tcPr>
            <w:tcW w:w="326" w:type="dxa"/>
            <w:tcBorders/>
            <w:vAlign w:val="center"/>
          </w:tcPr>
          <w:p>
            <w:pPr>
              <w:pStyle w:val="TableContents"/>
              <w:bidi w:val="0"/>
              <w:spacing w:before="0" w:after="0"/>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2,408</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1,535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reflects supplemental balance sheet information related to leases:</w:t>
      </w:r>
    </w:p>
    <w:p>
      <w:pPr>
        <w:pStyle w:val="TextBody"/>
        <w:bidi w:val="0"/>
        <w:spacing w:before="0" w:after="0"/>
        <w:ind w:left="0" w:right="0" w:hanging="0"/>
        <w:jc w:val="left"/>
        <w:rPr/>
      </w:pPr>
      <w:r>
        <w:rPr/>
        <w:t>​</w:t>
      </w:r>
    </w:p>
    <w:tbl>
      <w:tblPr>
        <w:tblW w:w="10076" w:type="dxa"/>
        <w:jc w:val="left"/>
        <w:tblInd w:w="0" w:type="dxa"/>
        <w:tblLayout w:type="fixed"/>
        <w:tblCellMar>
          <w:top w:w="0" w:type="dxa"/>
          <w:left w:w="0" w:type="dxa"/>
          <w:bottom w:w="0" w:type="dxa"/>
          <w:right w:w="0" w:type="dxa"/>
        </w:tblCellMar>
      </w:tblPr>
      <w:tblGrid>
        <w:gridCol w:w="3451"/>
        <w:gridCol w:w="326"/>
        <w:gridCol w:w="3406"/>
        <w:gridCol w:w="326"/>
        <w:gridCol w:w="211"/>
        <w:gridCol w:w="691"/>
        <w:gridCol w:w="326"/>
        <w:gridCol w:w="277"/>
        <w:gridCol w:w="908"/>
        <w:gridCol w:w="154"/>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1385" cy="175260"/>
                      <wp:effectExtent l="0" t="0" r="0" b="0"/>
                      <wp:wrapNone/>
                      <wp:docPr id="150" name="Frame15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62810" cy="175260"/>
                      <wp:effectExtent l="0" t="0" r="0" b="0"/>
                      <wp:wrapNone/>
                      <wp:docPr id="152" name="Frame152"/>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8785" cy="175260"/>
                      <wp:effectExtent l="0" t="0" r="0" b="0"/>
                      <wp:wrapNone/>
                      <wp:docPr id="155" name="Frame1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75895" cy="175260"/>
                      <wp:effectExtent l="0" t="0" r="0" b="0"/>
                      <wp:wrapNone/>
                      <wp:docPr id="157" name="Frame15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76580" cy="175260"/>
                      <wp:effectExtent l="0" t="0" r="0" b="0"/>
                      <wp:wrapNone/>
                      <wp:docPr id="158" name="Frame158"/>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7790" cy="175260"/>
                      <wp:effectExtent l="0" t="0" r="0" b="0"/>
                      <wp:wrapNone/>
                      <wp:docPr id="159" name="Frame15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1385" cy="175260"/>
                      <wp:effectExtent l="0" t="0" r="0" b="0"/>
                      <wp:wrapNone/>
                      <wp:docPr id="160" name="Frame16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0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62810" cy="175260"/>
                      <wp:effectExtent l="0" t="0" r="0" b="0"/>
                      <wp:wrapNone/>
                      <wp:docPr id="162" name="Frame162"/>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    </w:t>
                            </w:r>
                          </w:p>
                        </w:txbxContent>
                      </v:textbox>
                      <w10:wrap type="none"/>
                    </v:rect>
                  </w:pict>
                </mc:Fallback>
              </mc:AlternateContent>
            </w:r>
          </w:p>
        </w:tc>
        <w:tc>
          <w:tcPr>
            <w:tcW w:w="32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902"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As of </w:t>
            </w:r>
          </w:p>
        </w:tc>
        <w:tc>
          <w:tcPr>
            <w:tcW w:w="32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As of </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97790" cy="175260"/>
                      <wp:effectExtent l="0" t="0" r="0" b="0"/>
                      <wp:wrapNone/>
                      <wp:docPr id="165" name="Frame16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Location in Balance Sheet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right-of-use asset, net</w:t>
            </w:r>
          </w:p>
        </w:tc>
        <w:tc>
          <w:tcPr>
            <w:tcW w:w="326" w:type="dxa"/>
            <w:tcBorders/>
            <w:shd w:fill="CCEEFF" w:val="clear"/>
            <w:vAlign w:val="center"/>
          </w:tcPr>
          <w:p>
            <w:pPr>
              <w:pStyle w:val="TableContents"/>
              <w:bidi w:val="0"/>
              <w:spacing w:before="0" w:after="0"/>
              <w:ind w:left="0" w:right="0" w:hanging="0"/>
              <w:jc w:val="left"/>
              <w:rPr/>
            </w:pPr>
            <w:r>
              <w:rPr/>
              <w:t> </w:t>
            </w:r>
          </w:p>
        </w:tc>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28,232</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28,706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current</w:t>
            </w:r>
          </w:p>
        </w:tc>
        <w:tc>
          <w:tcPr>
            <w:tcW w:w="326" w:type="dxa"/>
            <w:tcBorders/>
            <w:vAlign w:val="center"/>
          </w:tcPr>
          <w:p>
            <w:pPr>
              <w:pStyle w:val="TableContents"/>
              <w:bidi w:val="0"/>
              <w:spacing w:before="0" w:after="0"/>
              <w:ind w:left="0" w:right="0" w:hanging="0"/>
              <w:jc w:val="left"/>
              <w:rPr/>
            </w:pPr>
            <w:r>
              <w:rPr/>
              <w:t> </w:t>
            </w:r>
          </w:p>
        </w:tc>
        <w:tc>
          <w:tcPr>
            <w:tcW w:w="3406"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Accrued expenses and 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4,882</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4,870</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long-term</w:t>
            </w:r>
          </w:p>
        </w:tc>
        <w:tc>
          <w:tcPr>
            <w:tcW w:w="326" w:type="dxa"/>
            <w:tcBorders/>
            <w:shd w:fill="CCEEFF" w:val="clear"/>
            <w:vAlign w:val="center"/>
          </w:tcPr>
          <w:p>
            <w:pPr>
              <w:pStyle w:val="TableContents"/>
              <w:bidi w:val="0"/>
              <w:spacing w:before="0" w:after="0"/>
              <w:ind w:left="0" w:right="0" w:hanging="0"/>
              <w:jc w:val="left"/>
              <w:rPr/>
            </w:pPr>
            <w:r>
              <w:rPr/>
              <w:t> </w:t>
            </w:r>
          </w:p>
        </w:tc>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47,793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48,960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liability</w:t>
            </w:r>
          </w:p>
        </w:tc>
        <w:tc>
          <w:tcPr>
            <w:tcW w:w="326" w:type="dxa"/>
            <w:tcBorders/>
            <w:vAlign w:val="center"/>
          </w:tcPr>
          <w:p>
            <w:pPr>
              <w:pStyle w:val="TableContents"/>
              <w:bidi w:val="0"/>
              <w:spacing w:before="0" w:after="0"/>
              <w:ind w:left="0" w:right="0" w:hanging="0"/>
              <w:jc w:val="left"/>
              <w:rPr/>
            </w:pPr>
            <w:r>
              <w:rPr/>
              <w:t> </w:t>
            </w:r>
          </w:p>
        </w:tc>
        <w:tc>
          <w:tcPr>
            <w:tcW w:w="34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52,675</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53,830</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reflects supplement lease term and discount rate information related to leases:</w:t>
      </w:r>
    </w:p>
    <w:p>
      <w:pPr>
        <w:pStyle w:val="TextBody"/>
        <w:bidi w:val="0"/>
        <w:spacing w:before="0" w:after="0"/>
        <w:ind w:left="0" w:right="0" w:hanging="0"/>
        <w:jc w:val="left"/>
        <w:rPr/>
      </w:pPr>
      <w:r>
        <w:rPr/>
        <w:t>​</w:t>
      </w:r>
    </w:p>
    <w:tbl>
      <w:tblPr>
        <w:tblW w:w="9941" w:type="dxa"/>
        <w:jc w:val="left"/>
        <w:tblInd w:w="0" w:type="dxa"/>
        <w:tblLayout w:type="fixed"/>
        <w:tblCellMar>
          <w:top w:w="0" w:type="dxa"/>
          <w:left w:w="0" w:type="dxa"/>
          <w:bottom w:w="0" w:type="dxa"/>
          <w:right w:w="0" w:type="dxa"/>
        </w:tblCellMar>
      </w:tblPr>
      <w:tblGrid>
        <w:gridCol w:w="5266"/>
        <w:gridCol w:w="326"/>
        <w:gridCol w:w="1666"/>
        <w:gridCol w:w="386"/>
        <w:gridCol w:w="1966"/>
        <w:gridCol w:w="331"/>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343910" cy="175260"/>
                      <wp:effectExtent l="0" t="0" r="0" b="0"/>
                      <wp:wrapNone/>
                      <wp:docPr id="166" name="Frame166"/>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0185" cy="175260"/>
                      <wp:effectExtent l="0" t="0" r="0" b="0"/>
                      <wp:wrapNone/>
                      <wp:docPr id="168" name="Frame16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166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As of March 31, 2025</w:t>
            </w:r>
          </w:p>
        </w:tc>
        <w:tc>
          <w:tcPr>
            <w:tcW w:w="38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196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As of December 31, 2024</w:t>
            </w:r>
          </w:p>
        </w:tc>
        <w:tc>
          <w:tcPr>
            <w:tcW w:w="331" w:type="dxa"/>
            <w:tcBorders/>
            <w:vAlign w:val="center"/>
          </w:tcPr>
          <w:p>
            <w:pPr>
              <w:pStyle w:val="TableContents"/>
              <w:bidi w:val="0"/>
              <w:spacing w:before="0" w:after="0"/>
              <w:ind w:left="0" w:right="0" w:hanging="0"/>
              <w:jc w:val="left"/>
              <w:rPr/>
            </w:pPr>
            <w:r>
              <w:rPr/>
              <w:t> </w:t>
            </w:r>
          </w:p>
        </w:tc>
      </w:tr>
      <w:tr>
        <w:trPr/>
        <w:tc>
          <w:tcPr>
            <w:tcW w:w="5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remaining lease terms - operating leases</w:t>
            </w:r>
          </w:p>
        </w:tc>
        <w:tc>
          <w:tcPr>
            <w:tcW w:w="32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 years</w:t>
            </w:r>
          </w:p>
        </w:tc>
        <w:tc>
          <w:tcPr>
            <w:tcW w:w="38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 years</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5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discount rate - operating leases</w:t>
            </w:r>
          </w:p>
        </w:tc>
        <w:tc>
          <w:tcPr>
            <w:tcW w:w="32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w:t>
            </w:r>
          </w:p>
        </w:tc>
        <w:tc>
          <w:tcPr>
            <w:tcW w:w="3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9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reflects supplemental cash flow information related to leases as of the periods indicated:</w:t>
      </w:r>
    </w:p>
    <w:p>
      <w:pPr>
        <w:pStyle w:val="TextBody"/>
        <w:bidi w:val="0"/>
        <w:spacing w:before="0" w:after="0"/>
        <w:ind w:left="0" w:right="0" w:hanging="0"/>
        <w:jc w:val="left"/>
        <w:rPr/>
      </w:pPr>
      <w:r>
        <w:rPr/>
        <w:t>​</w:t>
      </w:r>
    </w:p>
    <w:tbl>
      <w:tblPr>
        <w:tblW w:w="9312" w:type="dxa"/>
        <w:jc w:val="left"/>
        <w:tblInd w:w="0" w:type="dxa"/>
        <w:tblLayout w:type="fixed"/>
        <w:tblCellMar>
          <w:top w:w="0" w:type="dxa"/>
          <w:left w:w="0" w:type="dxa"/>
          <w:bottom w:w="0" w:type="dxa"/>
          <w:right w:w="0" w:type="dxa"/>
        </w:tblCellMar>
      </w:tblPr>
      <w:tblGrid>
        <w:gridCol w:w="3886"/>
        <w:gridCol w:w="386"/>
        <w:gridCol w:w="553"/>
        <w:gridCol w:w="1697"/>
        <w:gridCol w:w="386"/>
        <w:gridCol w:w="553"/>
        <w:gridCol w:w="1697"/>
        <w:gridCol w:w="154"/>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467610" cy="175260"/>
                      <wp:effectExtent l="0" t="0" r="0" b="0"/>
                      <wp:wrapNone/>
                      <wp:docPr id="169" name="Frame169"/>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45110" cy="175260"/>
                      <wp:effectExtent l="0" t="0" r="0" b="0"/>
                      <wp:wrapNone/>
                      <wp:docPr id="170" name="Frame17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51155" cy="175260"/>
                      <wp:effectExtent l="0" t="0" r="0" b="0"/>
                      <wp:wrapNone/>
                      <wp:docPr id="171" name="Frame171"/>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077595" cy="175260"/>
                      <wp:effectExtent l="0" t="0" r="0" b="0"/>
                      <wp:wrapNone/>
                      <wp:docPr id="172" name="Frame172"/>
                      <a:graphic xmlns:a="http://schemas.openxmlformats.org/drawingml/2006/main">
                        <a:graphicData uri="http://schemas.microsoft.com/office/word/2010/wordprocessingShape">
                          <wps:wsp>
                            <wps:cNvSpPr txBox="1"/>
                            <wps:spPr>
                              <a:xfrm>
                                <a:off x="0" y="0"/>
                                <a:ext cx="1077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45110" cy="175260"/>
                      <wp:effectExtent l="0" t="0" r="0" b="0"/>
                      <wp:wrapNone/>
                      <wp:docPr id="173" name="Frame17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51155" cy="175260"/>
                      <wp:effectExtent l="0" t="0" r="0" b="0"/>
                      <wp:wrapNone/>
                      <wp:docPr id="174" name="Frame174"/>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077595" cy="175260"/>
                      <wp:effectExtent l="0" t="0" r="0" b="0"/>
                      <wp:wrapNone/>
                      <wp:docPr id="175" name="Frame175"/>
                      <a:graphic xmlns:a="http://schemas.openxmlformats.org/drawingml/2006/main">
                        <a:graphicData uri="http://schemas.microsoft.com/office/word/2010/wordprocessingShape">
                          <wps:wsp>
                            <wps:cNvSpPr txBox="1"/>
                            <wps:spPr>
                              <a:xfrm>
                                <a:off x="0" y="0"/>
                                <a:ext cx="1077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7790" cy="175260"/>
                      <wp:effectExtent l="0" t="0" r="0" b="0"/>
                      <wp:wrapNone/>
                      <wp:docPr id="176" name="Frame17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5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For the Three Months Ended </w:t>
            </w:r>
          </w:p>
        </w:tc>
        <w:tc>
          <w:tcPr>
            <w:tcW w:w="38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5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For the Three Months Ended </w:t>
            </w:r>
          </w:p>
        </w:tc>
        <w:tc>
          <w:tcPr>
            <w:tcW w:w="154"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2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2025</w:t>
            </w:r>
          </w:p>
        </w:tc>
        <w:tc>
          <w:tcPr>
            <w:tcW w:w="386" w:type="dxa"/>
            <w:tcBorders/>
            <w:vAlign w:val="center"/>
          </w:tcPr>
          <w:p>
            <w:pPr>
              <w:pStyle w:val="TableContents"/>
              <w:bidi w:val="0"/>
              <w:spacing w:before="0" w:after="0"/>
              <w:ind w:left="0" w:right="0" w:hanging="0"/>
              <w:jc w:val="center"/>
              <w:rPr/>
            </w:pPr>
            <w:r>
              <w:rPr/>
              <w:t>     </w:t>
            </w:r>
          </w:p>
        </w:tc>
        <w:tc>
          <w:tcPr>
            <w:tcW w:w="2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2024</w:t>
            </w:r>
          </w:p>
        </w:tc>
        <w:tc>
          <w:tcPr>
            <w:tcW w:w="154"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cash flows from operating leases</w:t>
            </w:r>
          </w:p>
        </w:tc>
        <w:tc>
          <w:tcPr>
            <w:tcW w:w="386"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(1,154)</w:t>
            </w:r>
          </w:p>
        </w:tc>
        <w:tc>
          <w:tcPr>
            <w:tcW w:w="386"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(2,186)</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841" w:name="Tc_D7Jx9s09x0m8l8dtJxe5ig_11_2"/>
      <w:bookmarkStart w:id="842" w:name="Tc_5wfyo1bx-0-udeylqpnscQ_11_0"/>
      <w:bookmarkStart w:id="843" w:name="Tc_ylwrCLONAUi6CrWPjTQp0A_10_0"/>
      <w:bookmarkStart w:id="844" w:name="Tc_eefUXihCV0mtTcg6cNYEgQ_9_0"/>
      <w:bookmarkStart w:id="845" w:name="Tc_KjYMN1caXka4Q5zEyEC19w_8_0"/>
      <w:bookmarkStart w:id="846" w:name="Tc_blXPXKWEHkewwz3qVJC9vQ_7_0"/>
      <w:bookmarkStart w:id="847" w:name="Tc_PEBh7MccNkuLTLbOGQmEcQ_6_0"/>
      <w:bookmarkStart w:id="848" w:name="Tc_ZxUIl6SMMU6d3VRXmyV4ww_5_0"/>
      <w:bookmarkStart w:id="849" w:name="Tc_2j7uG62TKUSPT4ZI-5oa-Q_4_0"/>
      <w:bookmarkStart w:id="850" w:name="Tc_FHcFrFCf8k2IrnpbR5m8KQ_3_0"/>
      <w:bookmarkStart w:id="851" w:name="Tc_Zkmt5NxxqUKIs2uzeXeECQ_2_2"/>
      <w:bookmarkStart w:id="852" w:name="Tc_kLyRSzar8k6KgbILR3zG5Q_2_0"/>
      <w:bookmarkStart w:id="853" w:name="Tc_Cu8wi56x_EaT7KxS_cRnSA_1_2"/>
      <w:bookmarkEnd w:id="841"/>
      <w:bookmarkEnd w:id="842"/>
      <w:bookmarkEnd w:id="843"/>
      <w:bookmarkEnd w:id="844"/>
      <w:bookmarkEnd w:id="845"/>
      <w:bookmarkEnd w:id="846"/>
      <w:bookmarkEnd w:id="847"/>
      <w:bookmarkEnd w:id="848"/>
      <w:bookmarkEnd w:id="849"/>
      <w:bookmarkEnd w:id="850"/>
      <w:bookmarkEnd w:id="851"/>
      <w:bookmarkEnd w:id="852"/>
      <w:bookmarkEnd w:id="853"/>
      <w:r>
        <w:rPr>
          <w:rFonts w:ascii="Arial;Helvetica;sans-serif" w:hAnsi="Arial;Helvetica;sans-serif"/>
          <w:sz w:val="20"/>
        </w:rPr>
        <w:t>The following table reflects future minimum lease payments under noncancelable leases as of March 31, 2025:</w:t>
      </w:r>
    </w:p>
    <w:p>
      <w:pPr>
        <w:pStyle w:val="TextBody"/>
        <w:bidi w:val="0"/>
        <w:spacing w:before="0" w:after="0"/>
        <w:ind w:left="0" w:right="0" w:hanging="0"/>
        <w:jc w:val="left"/>
        <w:rPr/>
      </w:pPr>
      <w:r>
        <w:rPr/>
        <w:t>​</w:t>
      </w:r>
    </w:p>
    <w:tbl>
      <w:tblPr>
        <w:tblW w:w="4888" w:type="dxa"/>
        <w:jc w:val="left"/>
        <w:tblInd w:w="0" w:type="dxa"/>
        <w:tblLayout w:type="fixed"/>
        <w:tblCellMar>
          <w:top w:w="0" w:type="dxa"/>
          <w:left w:w="0" w:type="dxa"/>
          <w:bottom w:w="0" w:type="dxa"/>
          <w:right w:w="0" w:type="dxa"/>
        </w:tblCellMar>
      </w:tblPr>
      <w:tblGrid>
        <w:gridCol w:w="3106"/>
        <w:gridCol w:w="326"/>
        <w:gridCol w:w="305"/>
        <w:gridCol w:w="115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972310" cy="175260"/>
                      <wp:effectExtent l="0" t="0" r="0" b="0"/>
                      <wp:wrapNone/>
                      <wp:docPr id="177" name="Frame177"/>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93675" cy="175260"/>
                      <wp:effectExtent l="0" t="0" r="0" b="0"/>
                      <wp:wrapNone/>
                      <wp:docPr id="179" name="Frame179"/>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30885" cy="175260"/>
                      <wp:effectExtent l="0" t="0" r="0" b="0"/>
                      <wp:wrapNone/>
                      <wp:docPr id="180" name="Frame180"/>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45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Operating Leases</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7,341</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9,327</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9,573</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9,826</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10,085</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Thereafter</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36,029</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82,181</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(25,362)</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Less: Tenant incentive receivable </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(4,144)</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5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52,675</w:t>
            </w:r>
          </w:p>
        </w:tc>
      </w:tr>
    </w:tbl>
    <w:p>
      <w:pPr>
        <w:pStyle w:val="TextBody"/>
        <w:shd w:fill="FFFFFF" w:val="clear"/>
        <w:bidi w:val="0"/>
        <w:spacing w:before="0" w:after="0"/>
        <w:ind w:left="0" w:right="0" w:hanging="0"/>
        <w:jc w:val="both"/>
        <w:rPr>
          <w:shd w:fill="FFFF00" w:val="clear"/>
        </w:rPr>
      </w:pPr>
      <w:r>
        <w:rPr>
          <w:shd w:fill="FFFF00" w:val="clea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4"/>
        </w:rPr>
      </w:pPr>
      <w:r>
        <w:rPr>
          <w:rFonts w:ascii="Arial;Helvetica;sans-serif" w:hAnsi="Arial;Helvetica;sans-serif"/>
          <w:sz w:val="24"/>
        </w:rPr>
        <w:t>Note 10—Income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During the three months ended March 31, 2025 and 2024, the Company recorded no income tax benefits for the net operating losses incurred or for the </w:t>
      </w:r>
      <w:r>
        <w:rPr>
          <w:rFonts w:ascii="Arial;Helvetica;sans-serif" w:hAnsi="Arial;Helvetica;sans-serif"/>
          <w:b w:val="false"/>
          <w:i w:val="false"/>
          <w:caps w:val="false"/>
          <w:smallCaps w:val="false"/>
          <w:sz w:val="20"/>
        </w:rPr>
        <w:t>research</w:t>
      </w:r>
      <w:r>
        <w:rPr>
          <w:rFonts w:ascii="Arial;Helvetica;sans-serif" w:hAnsi="Arial;Helvetica;sans-serif"/>
          <w:sz w:val="20"/>
        </w:rPr>
        <w:t xml:space="preserve"> and development tax credits generated in the U.S. due to its uncertainty of realizing a benefit from those items.</w:t>
      </w:r>
    </w:p>
    <w:p>
      <w:pPr>
        <w:pStyle w:val="TextBody"/>
        <w:bidi w:val="0"/>
        <w:spacing w:before="0" w:after="200"/>
        <w:ind w:left="0" w:right="0" w:hanging="0"/>
        <w:jc w:val="left"/>
        <w:rPr>
          <w:rFonts w:ascii="Arial;Helvetica;sans-serif" w:hAnsi="Arial;Helvetica;sans-serif"/>
          <w:b w:val="false"/>
          <w:sz w:val="24"/>
        </w:rPr>
      </w:pPr>
      <w:bookmarkStart w:id="854" w:name="Tc_OPySOLs1PUufoDt2_0IEIw_9_0"/>
      <w:bookmarkStart w:id="855" w:name="Tc_EY2CMf5WM0iXb-ERHkUE-Q_8_0"/>
      <w:bookmarkStart w:id="856" w:name="Tc_yfmG7fLtE0S208OJO9PEpA_7_0"/>
      <w:bookmarkStart w:id="857" w:name="Tc_9J7ITHVTyUO3-c7AEV5nQA_6_2"/>
      <w:bookmarkStart w:id="858" w:name="Tc_tKiCSZgXMECJZlofE7TEpw_6_0"/>
      <w:bookmarkStart w:id="859" w:name="Tc_mW2_FtF8hE-JmS9Y75Tryg_5_0"/>
      <w:bookmarkStart w:id="860" w:name="Tc_gSzYicoWDE2SA7s3MZIENQ_4_0"/>
      <w:bookmarkStart w:id="861" w:name="Tc_n8Ez3psaMEyWOV7SlalwAg_3_4"/>
      <w:bookmarkStart w:id="862" w:name="Tc_5ibjFg9TQ0ytuzXOpELcDQ_3_2"/>
      <w:bookmarkStart w:id="863" w:name="Tc_IiEEzuA01UiJPQ8G0G6ECg_2_4"/>
      <w:bookmarkStart w:id="864" w:name="Tc_Or1M00prjk-iulLIzAnd8w_2_2"/>
      <w:bookmarkStart w:id="865" w:name="Tc_4Xrk1pJVSUmR7_i8acNlFw_1_4"/>
      <w:bookmarkStart w:id="866" w:name="Tc_VvV86RWxZEiJl1TGfNFolg_1_2"/>
      <w:bookmarkEnd w:id="854"/>
      <w:bookmarkEnd w:id="855"/>
      <w:bookmarkEnd w:id="856"/>
      <w:bookmarkEnd w:id="857"/>
      <w:bookmarkEnd w:id="858"/>
      <w:bookmarkEnd w:id="859"/>
      <w:bookmarkEnd w:id="860"/>
      <w:bookmarkEnd w:id="861"/>
      <w:bookmarkEnd w:id="862"/>
      <w:bookmarkEnd w:id="863"/>
      <w:bookmarkEnd w:id="864"/>
      <w:bookmarkEnd w:id="865"/>
      <w:bookmarkEnd w:id="866"/>
      <w:r>
        <w:rPr>
          <w:rFonts w:ascii="Arial;Helvetica;sans-serif" w:hAnsi="Arial;Helvetica;sans-serif"/>
          <w:b w:val="false"/>
          <w:sz w:val="24"/>
        </w:rPr>
        <w:t>Note 11—Basic and diluted net income (loss) per common share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Company’s potentially dilutive securities, which include RSUs (“Restricted Stock Units”), restricted stock, warrants, early exercised stock options and stock options to purchase shares of the Company’s common stock, have been included in the computation of dilutive net income (loss) per share as applicable. The weighted-average number of shares of common stock outstanding used to calculate both basic and diluted net income per share was 86,021,188 and 86,098,619 respectively for the three months ended March 31, 2025. The Company excluded the following potential shares of common stock presented based on amounts outstanding at each stated period end, from the computation of diluted net income (loss) per share for the three months ended March 31, 2025 and 2024 because including them would have had an anti-dilutive effect.</w:t>
      </w:r>
    </w:p>
    <w:p>
      <w:pPr>
        <w:pStyle w:val="TextBody"/>
        <w:bidi w:val="0"/>
        <w:spacing w:before="0" w:after="0"/>
        <w:ind w:left="0" w:right="0" w:hanging="0"/>
        <w:jc w:val="left"/>
        <w:rPr/>
      </w:pPr>
      <w:r>
        <w:rPr/>
        <w:t>​</w:t>
      </w:r>
    </w:p>
    <w:tbl>
      <w:tblPr>
        <w:tblW w:w="9089" w:type="dxa"/>
        <w:jc w:val="left"/>
        <w:tblInd w:w="0" w:type="dxa"/>
        <w:tblLayout w:type="fixed"/>
        <w:tblCellMar>
          <w:top w:w="0" w:type="dxa"/>
          <w:left w:w="0" w:type="dxa"/>
          <w:bottom w:w="0" w:type="dxa"/>
          <w:right w:w="0" w:type="dxa"/>
        </w:tblCellMar>
      </w:tblPr>
      <w:tblGrid>
        <w:gridCol w:w="4921"/>
        <w:gridCol w:w="326"/>
        <w:gridCol w:w="1681"/>
        <w:gridCol w:w="326"/>
        <w:gridCol w:w="1681"/>
        <w:gridCol w:w="154"/>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124835" cy="175260"/>
                      <wp:effectExtent l="0" t="0" r="0" b="0"/>
                      <wp:wrapNone/>
                      <wp:docPr id="181" name="Frame181"/>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97790" cy="175260"/>
                      <wp:effectExtent l="0" t="0" r="0" b="0"/>
                      <wp:wrapNone/>
                      <wp:docPr id="184" name="Frame18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154" w:type="dxa"/>
            <w:tcBorders/>
            <w:vAlign w:val="center"/>
          </w:tcPr>
          <w:p>
            <w:pPr>
              <w:pStyle w:val="TableContents"/>
              <w:bidi w:val="0"/>
              <w:spacing w:before="0" w:after="0"/>
              <w:ind w:left="0" w:right="0" w:hanging="0"/>
              <w:jc w:val="center"/>
              <w:rPr/>
            </w:pPr>
            <w:r>
              <w:rPr/>
              <w:t>​</w:t>
            </w:r>
          </w:p>
        </w:tc>
      </w:tr>
      <w:tr>
        <w:trPr/>
        <w:tc>
          <w:tcPr>
            <w:tcW w:w="4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w:t>
            </w:r>
          </w:p>
        </w:tc>
        <w:tc>
          <w:tcPr>
            <w:tcW w:w="154" w:type="dxa"/>
            <w:tcBorders/>
            <w:vAlign w:val="center"/>
          </w:tcPr>
          <w:p>
            <w:pPr>
              <w:pStyle w:val="TableContents"/>
              <w:bidi w:val="0"/>
              <w:spacing w:before="0" w:after="0"/>
              <w:ind w:left="0" w:right="0" w:hanging="0"/>
              <w:jc w:val="center"/>
              <w:rPr/>
            </w:pPr>
            <w:r>
              <w:rPr/>
              <w:t>​</w:t>
            </w:r>
          </w:p>
        </w:tc>
      </w:tr>
      <w:tr>
        <w:trPr/>
        <w:tc>
          <w:tcPr>
            <w:tcW w:w="4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c>
          <w:tcPr>
            <w:tcW w:w="326" w:type="dxa"/>
            <w:tcBorders/>
            <w:vAlign w:val="center"/>
          </w:tcPr>
          <w:p>
            <w:pPr>
              <w:pStyle w:val="TableContents"/>
              <w:bidi w:val="0"/>
              <w:spacing w:before="0" w:after="0"/>
              <w:ind w:left="0" w:right="0" w:hanging="0"/>
              <w:jc w:val="left"/>
              <w:rPr/>
            </w:pPr>
            <w:r>
              <w:rPr/>
              <w:t>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Stock options to purchase common stock </w:t>
            </w:r>
          </w:p>
        </w:tc>
        <w:tc>
          <w:tcPr>
            <w:tcW w:w="326"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6,556,371</w:t>
            </w:r>
          </w:p>
        </w:tc>
        <w:tc>
          <w:tcPr>
            <w:tcW w:w="32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4,739,854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Early exercised stock options subject to future vesting </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7,731</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84,380</w:t>
            </w:r>
          </w:p>
        </w:tc>
        <w:tc>
          <w:tcPr>
            <w:tcW w:w="154" w:type="dxa"/>
            <w:tcBorders/>
            <w:vAlign w:val="center"/>
          </w:tcPr>
          <w:p>
            <w:pPr>
              <w:pStyle w:val="TableContents"/>
              <w:bidi w:val="0"/>
              <w:spacing w:before="0" w:after="0"/>
              <w:ind w:left="0" w:right="0" w:hanging="0"/>
              <w:jc w:val="left"/>
              <w:rPr/>
            </w:pPr>
            <w:r>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Restricted stock awards subject to future vesting </w:t>
            </w:r>
          </w:p>
        </w:tc>
        <w:tc>
          <w:tcPr>
            <w:tcW w:w="326"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24,731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Unvested restricted stock units</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4,676,785</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3,941,432</w:t>
            </w:r>
          </w:p>
        </w:tc>
        <w:tc>
          <w:tcPr>
            <w:tcW w:w="154" w:type="dxa"/>
            <w:tcBorders/>
            <w:vAlign w:val="center"/>
          </w:tcPr>
          <w:p>
            <w:pPr>
              <w:pStyle w:val="TableContents"/>
              <w:bidi w:val="0"/>
              <w:spacing w:before="0" w:after="0"/>
              <w:ind w:left="0" w:right="0" w:hanging="0"/>
              <w:jc w:val="left"/>
              <w:rPr/>
            </w:pPr>
            <w:r>
              <w:rPr/>
              <w:t>​</w:t>
            </w:r>
          </w:p>
        </w:tc>
      </w:tr>
      <w:tr>
        <w:trPr/>
        <w:tc>
          <w:tcPr>
            <w:tcW w:w="49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Warrants</w:t>
            </w:r>
          </w:p>
        </w:tc>
        <w:tc>
          <w:tcPr>
            <w:tcW w:w="326" w:type="dxa"/>
            <w:tcBorders/>
            <w:shd w:fill="CCEEFF" w:val="clear"/>
            <w:vAlign w:val="center"/>
          </w:tcPr>
          <w:p>
            <w:pPr>
              <w:pStyle w:val="TableContents"/>
              <w:bidi w:val="0"/>
              <w:spacing w:before="0" w:after="0"/>
              <w:ind w:left="0" w:right="0" w:hanging="0"/>
              <w:jc w:val="left"/>
              <w:rPr/>
            </w:pPr>
            <w:r>
              <w:rPr/>
              <w:t>​</w:t>
            </w:r>
          </w:p>
        </w:tc>
        <w:tc>
          <w:tcPr>
            <w:tcW w:w="1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32,009</w:t>
            </w:r>
          </w:p>
        </w:tc>
        <w:tc>
          <w:tcPr>
            <w:tcW w:w="326" w:type="dxa"/>
            <w:tcBorders/>
            <w:shd w:fill="CCEEFF" w:val="clear"/>
            <w:vAlign w:val="center"/>
          </w:tcPr>
          <w:p>
            <w:pPr>
              <w:pStyle w:val="TableContents"/>
              <w:bidi w:val="0"/>
              <w:spacing w:before="0" w:after="0"/>
              <w:ind w:left="0" w:right="0" w:hanging="0"/>
              <w:jc w:val="left"/>
              <w:rPr/>
            </w:pPr>
            <w:r>
              <w:rPr/>
              <w:t>​</w:t>
            </w:r>
          </w:p>
        </w:tc>
        <w:tc>
          <w:tcPr>
            <w:tcW w:w="1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32,009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9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0"/>
              <w:ind w:left="0" w:right="0" w:hanging="0"/>
              <w:jc w:val="left"/>
              <w:rPr/>
            </w:pPr>
            <w:r>
              <w:rPr/>
              <w:t>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11,272,896</w:t>
            </w:r>
          </w:p>
        </w:tc>
        <w:tc>
          <w:tcPr>
            <w:tcW w:w="326" w:type="dxa"/>
            <w:tcBorders/>
            <w:vAlign w:val="center"/>
          </w:tcPr>
          <w:p>
            <w:pPr>
              <w:pStyle w:val="TableContents"/>
              <w:bidi w:val="0"/>
              <w:spacing w:before="0" w:after="0"/>
              <w:ind w:left="0" w:right="0" w:hanging="0"/>
              <w:jc w:val="left"/>
              <w:rPr/>
            </w:pPr>
            <w:r>
              <w:rPr/>
              <w:t>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8,822,406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val="false"/>
          <w:sz w:val="24"/>
        </w:rPr>
      </w:pPr>
      <w:r>
        <w:rPr>
          <w:rFonts w:ascii="Arial;Helvetica;sans-serif" w:hAnsi="Arial;Helvetica;sans-serif"/>
          <w:b w:val="false"/>
          <w:sz w:val="24"/>
        </w:rPr>
        <w:t>Note 12—Stock-based compensation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2021 Incentive Plan provides for the Company to sell or issue common stock or restricted common stock,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bookmarkStart w:id="867" w:name="Tc_Z_5xN2mQoECkzoSpBal8Rg_7_0"/>
      <w:bookmarkStart w:id="868" w:name="Tc_Hmlmp14dTkClyybnT6niXg_6_0"/>
      <w:bookmarkStart w:id="869" w:name="Tc_a_bpV_UklkWv9DRnVUETyA_5_0"/>
      <w:bookmarkStart w:id="870" w:name="Tc_aWyqdfaGbkWVRrHKsZerrg_4_0"/>
      <w:bookmarkStart w:id="871" w:name="Tc_bpr65gFEPUiggD4_gcTgCg_3_0"/>
      <w:bookmarkStart w:id="872" w:name="Tc_1d2-kbTHK0eVYaedatlKXA_2_0"/>
      <w:bookmarkStart w:id="873" w:name="Tc_1rSjKkj0QEyzCT2l2K6bWg_1_2"/>
      <w:bookmarkStart w:id="874" w:name="Tc_sC-lOQtOCEKfAift2x4Tfg_5_0"/>
      <w:bookmarkStart w:id="875" w:name="Tc_EK6KkucOCkixUZt8McsrEA_4_0"/>
      <w:bookmarkStart w:id="876" w:name="Tc_2fx5FMfU4E-B0wj2WcDJVg_3_0"/>
      <w:bookmarkStart w:id="877" w:name="Tc_F5vW1SfBnEe1ooBLIeu9PQ_2_0"/>
      <w:bookmarkStart w:id="878" w:name="Tc_s_x-9VS5DkWzBINpugye5A_1_2"/>
      <w:bookmarkStart w:id="879" w:name="_a10d4289_ceac_40be_91b2_c00a8b5ba741"/>
      <w:bookmarkEnd w:id="867"/>
      <w:bookmarkEnd w:id="868"/>
      <w:bookmarkEnd w:id="869"/>
      <w:bookmarkEnd w:id="870"/>
      <w:bookmarkEnd w:id="871"/>
      <w:bookmarkEnd w:id="872"/>
      <w:bookmarkEnd w:id="873"/>
      <w:bookmarkEnd w:id="874"/>
      <w:bookmarkEnd w:id="875"/>
      <w:bookmarkEnd w:id="876"/>
      <w:bookmarkEnd w:id="877"/>
      <w:bookmarkEnd w:id="878"/>
      <w:bookmarkEnd w:id="879"/>
      <w:r>
        <w:rPr>
          <w:rFonts w:ascii="Arial;Helvetica;sans-serif" w:hAnsi="Arial;Helvetica;sans-serif"/>
          <w:sz w:val="20"/>
        </w:rPr>
        <w:t xml:space="preserve">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2023, the 2021 Incentive Plan reserved shares were increased under clause (i) by 2,954,788 shares, effective as of January 1, 2023. For 2024, the 2021 Incentive Plan reserved shares were increased under clause (i) by 3,025,220 shares, effective as of January 1, 2024. As of March 31, 2025, there were 4,337,663 shares available for issuance under the 2021 Incentive Plan.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During the quarter ended June 30, 2023, the Company issued performance-based RSUs that represent a contingent right to receive one share of the Company’s common stock. The RSUs shall vest 50% on November 1, 2023, with the remaining 50% vesting upon the earlier of: (i) November 1, 2024; and (ii) satisfaction of certain performance criteria. The Company is currently recording expense for these RSUs on the straight-line basis.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recognizes the costs of the stock-based payments as the employees vest in the awards.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March 31, 2025, the Company had reserved shares of common stock for issuance as follows:</w:t>
      </w:r>
    </w:p>
    <w:tbl>
      <w:tblPr>
        <w:tblW w:w="6246" w:type="dxa"/>
        <w:jc w:val="left"/>
        <w:tblInd w:w="0" w:type="dxa"/>
        <w:tblLayout w:type="fixed"/>
        <w:tblCellMar>
          <w:top w:w="28" w:type="dxa"/>
          <w:left w:w="0" w:type="dxa"/>
          <w:bottom w:w="0" w:type="dxa"/>
          <w:right w:w="0" w:type="dxa"/>
        </w:tblCellMar>
      </w:tblPr>
      <w:tblGrid>
        <w:gridCol w:w="4966"/>
        <w:gridCol w:w="109"/>
        <w:gridCol w:w="1171"/>
      </w:tblGrid>
      <w:tr>
        <w:trPr/>
        <w:tc>
          <w:tcPr>
            <w:tcW w:w="496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153410" cy="175260"/>
                      <wp:effectExtent l="0" t="0" r="0" b="0"/>
                      <wp:wrapNone/>
                      <wp:docPr id="185" name="Frame185"/>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top w:val="single" w:sz="2" w:space="0" w:color="000000"/>
            </w:tcBorders>
            <w:vAlign w:val="center"/>
          </w:tcPr>
          <w:p>
            <w:pPr>
              <w:pStyle w:val="TableContents"/>
              <w:bidi w:val="0"/>
              <w:spacing w:before="0" w:after="0"/>
              <w:ind w:left="0" w:right="0" w:hanging="0"/>
              <w:jc w:val="left"/>
              <w:rPr/>
            </w:pPr>
            <w:r>
              <w:rPr/>
              <w:t>​</w:t>
            </w:r>
          </w:p>
        </w:tc>
      </w:tr>
      <w:tr>
        <w:trPr/>
        <w:tc>
          <w:tcPr>
            <w:tcW w:w="4966" w:type="dxa"/>
            <w:tcBorders/>
            <w:tcMar>
              <w:top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153410" cy="175260"/>
                      <wp:effectExtent l="0" t="0" r="0" b="0"/>
                      <wp:wrapNone/>
                      <wp:docPr id="187" name="Frame187"/>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tcMar>
              <w:top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350520"/>
                      <wp:effectExtent l="0" t="0" r="0" b="0"/>
                      <wp:wrapNone/>
                      <wp:docPr id="188" name="Frame188"/>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171" w:type="dxa"/>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Shares</w:t>
            </w:r>
          </w:p>
        </w:tc>
      </w:tr>
      <w:tr>
        <w:trPr/>
        <w:tc>
          <w:tcPr>
            <w:tcW w:w="496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and RSUs issued and outstanding</w:t>
            </w:r>
          </w:p>
        </w:tc>
        <w:tc>
          <w:tcPr>
            <w:tcW w:w="109" w:type="dxa"/>
            <w:tcBorders/>
            <w:shd w:fill="CCEEFF" w:val="clear"/>
            <w:tcMar>
              <w:top w:w="0" w:type="dxa"/>
            </w:tcMar>
            <w:vAlign w:val="center"/>
          </w:tcPr>
          <w:p>
            <w:pPr>
              <w:pStyle w:val="TableContents"/>
              <w:bidi w:val="0"/>
              <w:spacing w:before="0" w:after="0"/>
              <w:ind w:left="0" w:right="0" w:hanging="0"/>
              <w:jc w:val="left"/>
              <w:rPr/>
            </w:pPr>
            <w:r>
              <w:rPr/>
              <w:t>​</w:t>
            </w:r>
          </w:p>
        </w:tc>
        <w:tc>
          <w:tcPr>
            <w:tcW w:w="1171"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11,310,587</w:t>
            </w:r>
          </w:p>
        </w:tc>
      </w:tr>
      <w:tr>
        <w:trPr/>
        <w:tc>
          <w:tcPr>
            <w:tcW w:w="4966"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future stock option and RSU grants</w:t>
            </w:r>
          </w:p>
        </w:tc>
        <w:tc>
          <w:tcPr>
            <w:tcW w:w="109" w:type="dxa"/>
            <w:tcBorders/>
            <w:tcMar>
              <w:top w:w="0" w:type="dxa"/>
            </w:tcMar>
            <w:vAlign w:val="center"/>
          </w:tcPr>
          <w:p>
            <w:pPr>
              <w:pStyle w:val="TableContents"/>
              <w:bidi w:val="0"/>
              <w:spacing w:before="0" w:after="0"/>
              <w:ind w:left="0" w:right="0" w:hanging="0"/>
              <w:jc w:val="left"/>
              <w:rPr/>
            </w:pPr>
            <w:r>
              <w:rPr/>
              <w:t>​</w:t>
            </w:r>
          </w:p>
        </w:tc>
        <w:tc>
          <w:tcPr>
            <w:tcW w:w="1171"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4,337,663</w:t>
            </w:r>
          </w:p>
        </w:tc>
      </w:tr>
      <w:tr>
        <w:trPr/>
        <w:tc>
          <w:tcPr>
            <w:tcW w:w="496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employee stock purchase plan</w:t>
            </w:r>
          </w:p>
        </w:tc>
        <w:tc>
          <w:tcPr>
            <w:tcW w:w="109" w:type="dxa"/>
            <w:tcBorders/>
            <w:shd w:fill="CCEEFF" w:val="clear"/>
            <w:tcMar>
              <w:top w:w="0"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745,518</w:t>
            </w:r>
          </w:p>
        </w:tc>
      </w:tr>
      <w:tr>
        <w:trPr/>
        <w:tc>
          <w:tcPr>
            <w:tcW w:w="4966" w:type="dxa"/>
            <w:tcBorders/>
            <w:tcMar>
              <w:top w:w="0"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w:t>
            </w:r>
          </w:p>
        </w:tc>
        <w:tc>
          <w:tcPr>
            <w:tcW w:w="109" w:type="dxa"/>
            <w:tcBorders/>
            <w:tcMar>
              <w:top w:w="0" w:type="dxa"/>
            </w:tcMar>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top w:w="0" w:type="dxa"/>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16,393,768</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shares of Common Stock available under the 2021 Incentive Plan as of March 31, 2025 are as follows:</w:t>
      </w:r>
    </w:p>
    <w:p>
      <w:pPr>
        <w:pStyle w:val="TextBody"/>
        <w:bidi w:val="0"/>
        <w:spacing w:before="0" w:after="0"/>
        <w:ind w:left="0" w:right="0" w:hanging="0"/>
        <w:jc w:val="left"/>
        <w:rPr/>
      </w:pPr>
      <w:r>
        <w:rPr/>
        <w:t>​</w:t>
      </w:r>
    </w:p>
    <w:tbl>
      <w:tblPr>
        <w:tblW w:w="4746" w:type="dxa"/>
        <w:jc w:val="left"/>
        <w:tblInd w:w="0" w:type="dxa"/>
        <w:tblLayout w:type="fixed"/>
        <w:tblCellMar>
          <w:top w:w="28" w:type="dxa"/>
          <w:left w:w="0" w:type="dxa"/>
          <w:bottom w:w="0" w:type="dxa"/>
          <w:right w:w="0" w:type="dxa"/>
        </w:tblCellMar>
      </w:tblPr>
      <w:tblGrid>
        <w:gridCol w:w="3511"/>
        <w:gridCol w:w="109"/>
        <w:gridCol w:w="1126"/>
      </w:tblGrid>
      <w:tr>
        <w:trPr/>
        <w:tc>
          <w:tcPr>
            <w:tcW w:w="3511"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229485" cy="175260"/>
                      <wp:effectExtent l="0" t="0" r="0" b="0"/>
                      <wp:wrapNone/>
                      <wp:docPr id="189" name="Frame189"/>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top w:val="single" w:sz="2" w:space="0" w:color="000000"/>
            </w:tcBorders>
            <w:vAlign w:val="center"/>
          </w:tcPr>
          <w:p>
            <w:pPr>
              <w:pStyle w:val="TableContents"/>
              <w:bidi w:val="0"/>
              <w:spacing w:before="0" w:after="0"/>
              <w:ind w:left="0" w:right="0" w:hanging="0"/>
              <w:jc w:val="left"/>
              <w:rPr/>
            </w:pPr>
            <w:r>
              <w:rPr/>
              <w:t>​</w:t>
            </w:r>
          </w:p>
        </w:tc>
      </w:tr>
      <w:tr>
        <w:trPr/>
        <w:tc>
          <w:tcPr>
            <w:tcW w:w="3511" w:type="dxa"/>
            <w:tcBorders/>
            <w:tcMar>
              <w:top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229485" cy="175260"/>
                      <wp:effectExtent l="0" t="0" r="0" b="0"/>
                      <wp:wrapNone/>
                      <wp:docPr id="191" name="Frame191"/>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tcMar>
              <w:top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350520"/>
                      <wp:effectExtent l="0" t="0" r="0" b="0"/>
                      <wp:wrapNone/>
                      <wp:docPr id="192" name="Frame192"/>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126" w:type="dxa"/>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Shares</w:t>
            </w:r>
          </w:p>
        </w:tc>
      </w:tr>
      <w:tr>
        <w:trPr/>
        <w:tc>
          <w:tcPr>
            <w:tcW w:w="3511"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Balance December 31, 2024</w:t>
            </w:r>
          </w:p>
        </w:tc>
        <w:tc>
          <w:tcPr>
            <w:tcW w:w="109" w:type="dxa"/>
            <w:tcBorders/>
            <w:shd w:fill="CCEEFF" w:val="clear"/>
            <w:tcMar>
              <w:top w:w="0" w:type="dxa"/>
            </w:tcMar>
            <w:vAlign w:val="center"/>
          </w:tcPr>
          <w:p>
            <w:pPr>
              <w:pStyle w:val="TableContents"/>
              <w:bidi w:val="0"/>
              <w:spacing w:before="0" w:after="0"/>
              <w:ind w:left="0" w:right="0" w:hanging="0"/>
              <w:jc w:val="left"/>
              <w:rPr/>
            </w:pPr>
            <w:r>
              <w:rPr/>
              <w:t>​</w:t>
            </w:r>
          </w:p>
        </w:tc>
        <w:tc>
          <w:tcPr>
            <w:tcW w:w="1126"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3,691,145</w:t>
            </w:r>
          </w:p>
        </w:tc>
      </w:tr>
      <w:tr>
        <w:trPr/>
        <w:tc>
          <w:tcPr>
            <w:tcW w:w="3511"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reserved for issuance</w:t>
            </w:r>
          </w:p>
        </w:tc>
        <w:tc>
          <w:tcPr>
            <w:tcW w:w="109" w:type="dxa"/>
            <w:tcBorders/>
            <w:tcMar>
              <w:top w:w="0" w:type="dxa"/>
            </w:tcMar>
            <w:vAlign w:val="center"/>
          </w:tcPr>
          <w:p>
            <w:pPr>
              <w:pStyle w:val="TableContents"/>
              <w:bidi w:val="0"/>
              <w:spacing w:before="0" w:after="0"/>
              <w:ind w:left="0" w:right="0" w:hanging="0"/>
              <w:jc w:val="left"/>
              <w:rPr/>
            </w:pPr>
            <w:r>
              <w:rPr/>
              <w:t>​</w:t>
            </w:r>
          </w:p>
        </w:tc>
        <w:tc>
          <w:tcPr>
            <w:tcW w:w="1126"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4,291,821</w:t>
            </w:r>
          </w:p>
        </w:tc>
      </w:tr>
      <w:tr>
        <w:trPr/>
        <w:tc>
          <w:tcPr>
            <w:tcW w:w="3511"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granted</w:t>
            </w:r>
          </w:p>
        </w:tc>
        <w:tc>
          <w:tcPr>
            <w:tcW w:w="109" w:type="dxa"/>
            <w:tcBorders/>
            <w:shd w:fill="CCEEFF" w:val="clear"/>
            <w:tcMar>
              <w:top w:w="0" w:type="dxa"/>
            </w:tcMar>
            <w:vAlign w:val="center"/>
          </w:tcPr>
          <w:p>
            <w:pPr>
              <w:pStyle w:val="TableContents"/>
              <w:bidi w:val="0"/>
              <w:spacing w:before="0" w:after="0"/>
              <w:ind w:left="0" w:right="0" w:hanging="0"/>
              <w:jc w:val="left"/>
              <w:rPr/>
            </w:pPr>
            <w:r>
              <w:rPr/>
              <w:t>​</w:t>
            </w:r>
          </w:p>
        </w:tc>
        <w:tc>
          <w:tcPr>
            <w:tcW w:w="1126"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(1,486,125)</w:t>
            </w:r>
          </w:p>
        </w:tc>
      </w:tr>
      <w:tr>
        <w:trPr/>
        <w:tc>
          <w:tcPr>
            <w:tcW w:w="3511"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RSU’s granted</w:t>
            </w:r>
          </w:p>
        </w:tc>
        <w:tc>
          <w:tcPr>
            <w:tcW w:w="109" w:type="dxa"/>
            <w:tcBorders/>
            <w:tcMar>
              <w:top w:w="0" w:type="dxa"/>
            </w:tcMar>
            <w:vAlign w:val="center"/>
          </w:tcPr>
          <w:p>
            <w:pPr>
              <w:pStyle w:val="TableContents"/>
              <w:bidi w:val="0"/>
              <w:spacing w:before="0" w:after="0"/>
              <w:ind w:left="0" w:right="0" w:hanging="0"/>
              <w:jc w:val="left"/>
              <w:rPr/>
            </w:pPr>
            <w:r>
              <w:rPr/>
              <w:t>​</w:t>
            </w:r>
          </w:p>
        </w:tc>
        <w:tc>
          <w:tcPr>
            <w:tcW w:w="1126"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(2,337,892)</w:t>
            </w:r>
          </w:p>
        </w:tc>
      </w:tr>
      <w:tr>
        <w:trPr/>
        <w:tc>
          <w:tcPr>
            <w:tcW w:w="3511"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and RSUs forfeited / cancelled</w:t>
            </w:r>
          </w:p>
        </w:tc>
        <w:tc>
          <w:tcPr>
            <w:tcW w:w="109" w:type="dxa"/>
            <w:tcBorders/>
            <w:shd w:fill="CCEEFF" w:val="clear"/>
            <w:tcMar>
              <w:top w:w="0" w:type="dxa"/>
            </w:tcM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178,684</w:t>
            </w:r>
          </w:p>
        </w:tc>
      </w:tr>
      <w:tr>
        <w:trPr/>
        <w:tc>
          <w:tcPr>
            <w:tcW w:w="3511" w:type="dxa"/>
            <w:tcBorders/>
            <w:tcMar>
              <w:top w:w="0"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Balance March 31, 2025</w:t>
            </w:r>
          </w:p>
        </w:tc>
        <w:tc>
          <w:tcPr>
            <w:tcW w:w="109" w:type="dxa"/>
            <w:tcBorders/>
            <w:tcMar>
              <w:top w:w="0" w:type="dxa"/>
            </w:tcMar>
            <w:vAlign w:val="center"/>
          </w:tcPr>
          <w:p>
            <w:pPr>
              <w:pStyle w:val="TableContents"/>
              <w:bidi w:val="0"/>
              <w:spacing w:before="0" w:after="0"/>
              <w:ind w:left="0" w:right="0" w:hanging="0"/>
              <w:jc w:val="left"/>
              <w:rPr/>
            </w:pPr>
            <w:r>
              <w:rPr/>
              <w:t>​</w:t>
            </w:r>
          </w:p>
        </w:tc>
        <w:tc>
          <w:tcPr>
            <w:tcW w:w="1126" w:type="dxa"/>
            <w:tcBorders>
              <w:bottom w:val="double" w:sz="6" w:space="0" w:color="000000"/>
            </w:tcBorders>
            <w:tcMar>
              <w:top w:w="0" w:type="dxa"/>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4,337,633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bookmarkStart w:id="880" w:name="Tc_rOxEE-erxUasnbM6AaXWLw_6_5"/>
      <w:bookmarkStart w:id="881" w:name="Tc_mBVBaV06EkqD6qyCGuphbg_6_2"/>
      <w:bookmarkStart w:id="882" w:name="Tc_5c8UiraqokiC3mP20mHihQ_6_0"/>
      <w:bookmarkStart w:id="883" w:name="Tc_UCAZtJE1YEyI9nBnZ25QnA_5_0"/>
      <w:bookmarkStart w:id="884" w:name="Tc_vydZdsraM0uyixkMlxPvwg_4_5"/>
      <w:bookmarkStart w:id="885" w:name="Tc__GmP63bw_kKwHpZOIwLIhA_4_2"/>
      <w:bookmarkStart w:id="886" w:name="Tc_No2HQRWbXUW63ZYHD1oSaw_4_0"/>
      <w:bookmarkStart w:id="887" w:name="Tc_i3KMjH36yE-1JZTbNR3YDA_3_5"/>
      <w:bookmarkStart w:id="888" w:name="Tc_zsRFFIWhnk22jnX8PRrdiQ_3_2"/>
      <w:bookmarkStart w:id="889" w:name="Tc__EJEadXXNEq9TFJ4VaC3qA_2_5"/>
      <w:bookmarkStart w:id="890" w:name="Tc_bNlQSzF1CEGOwwLesTUTrA_2_2"/>
      <w:bookmarkStart w:id="891" w:name="Tc_iFYEFDUu3UOiFdaRuEQy0Q_1_5"/>
      <w:bookmarkStart w:id="892" w:name="Tc_xfdyBQIMPUOK0y2XThTPrg_1_2"/>
      <w:bookmarkStart w:id="893" w:name="Tc_hGovT-k1SUmSclXb4BaNwQ_5_5"/>
      <w:bookmarkStart w:id="894" w:name="Tc_Oc2HexSBYkWWyihw5qPfww_5_3"/>
      <w:bookmarkStart w:id="895" w:name="Tc_qq_vd1IzqE-cnSW8s8CawA_5_0"/>
      <w:bookmarkStart w:id="896" w:name="Tc_0hzfQ0-2yUOkYCmd52AwyQ_4_5"/>
      <w:bookmarkStart w:id="897" w:name="Tc_0R6uGnsQWEWXLwsKCPhsFQ_4_3"/>
      <w:bookmarkStart w:id="898" w:name="Tc_fL9P6xfQDkuwtULY1J2OWA_4_0"/>
      <w:bookmarkStart w:id="899" w:name="Tc_eFfNHax7YUyVV2pZEMU2iw_3_0"/>
      <w:bookmarkStart w:id="900" w:name="Tc_PmdPw46dikiOOS6KxHxcvQ_2_4"/>
      <w:bookmarkStart w:id="901" w:name="Tc_lhdszOXWFEOa0Or-IBk2zQ_2_2"/>
      <w:bookmarkStart w:id="902" w:name="Tc_hYCA6lnfjECR74YIVjolrA_2_0"/>
      <w:bookmarkStart w:id="903" w:name="Tc_KxpTCq38LESw-AZsxgfusA_1_4"/>
      <w:bookmarkStart w:id="904" w:name="Tc_9Jx7_aD7yEiIB5yiCxsZJA_1_2"/>
      <w:bookmarkStart w:id="905" w:name="Tc_BKTmMimIlESYWSsOWpvv5g_11_9"/>
      <w:bookmarkStart w:id="906" w:name="Tc_ZbW5OsuEbEWK3UyX-1DRaw_11_4"/>
      <w:bookmarkStart w:id="907" w:name="Tc_OGBx59V4N0qPtr29PYxnKA_11_0"/>
      <w:bookmarkStart w:id="908" w:name="Tc_wZzGpmMWeUSqWs4OBIYorA_10_9"/>
      <w:bookmarkStart w:id="909" w:name="Tc_Bra0S8ZcLkujph1YqCNAzQ_10_4"/>
      <w:bookmarkStart w:id="910" w:name="Tc_NvCvt5rE0EyUYB75iCmUMA_10_0"/>
      <w:bookmarkStart w:id="911" w:name="Tc_1Jb2xf_8VUSKv4bRxNi0Nw_9_10"/>
      <w:bookmarkStart w:id="912" w:name="Tc_jKqkkrXWdE2fOwaoKQy-vw_9_7"/>
      <w:bookmarkStart w:id="913" w:name="Tc_WngzwUF4bU6r2dK9lu7r0Q_9_0"/>
      <w:bookmarkStart w:id="914" w:name="Tc_Au14s3ojS0ObA0XZGppICA_8_10"/>
      <w:bookmarkStart w:id="915" w:name="Tc_xKQHCHQvTkKqWCcWnxrbPQ_8_7"/>
      <w:bookmarkStart w:id="916" w:name="Tc_FZ-kZG3eakS_-2z77mijxg_8_0"/>
      <w:bookmarkStart w:id="917" w:name="Tc_DZ6ISusdLEWQXg7Jspw-nw_7_10"/>
      <w:bookmarkStart w:id="918" w:name="Tc_p4bgkzw9bkqKS7CzB9dGyg_7_7"/>
      <w:bookmarkStart w:id="919" w:name="Tc_Yji9WYi6G0W3LbW6u9RAsw_7_0"/>
      <w:bookmarkStart w:id="920" w:name="Tc_9sV066srUEGOVqO1PTY5pA_6_9"/>
      <w:bookmarkStart w:id="921" w:name="Tc_Nc9tLWUjjk2_qhZc4UVvBg_6_4"/>
      <w:bookmarkStart w:id="922" w:name="Tc_mmYZoBm1QEyULTsRafFgQA_6_0"/>
      <w:bookmarkStart w:id="923" w:name="Tc_vb3E6osimUWz8daDoVsv9Q_5_9"/>
      <w:bookmarkStart w:id="924" w:name="Tc_FvBEZb5VrEeh0T63S6RjYA_5_7"/>
      <w:bookmarkStart w:id="925" w:name="Tc_41bHyvlmsU-4HQumh18dvQ_5_4"/>
      <w:bookmarkStart w:id="926" w:name="Tc_ACpwzmRgwUaGwR7CcpK4wQ_5_2"/>
      <w:bookmarkStart w:id="927" w:name="Tc_b0XbDbiaG0WmZ7MtdVo37g_4_9"/>
      <w:bookmarkStart w:id="928" w:name="Tc_I-SjwesKHEKebhR8PyjopQ_4_7"/>
      <w:bookmarkStart w:id="929" w:name="Tc_ivLloqACxUSc3IVn-kagnQ_3_9"/>
      <w:bookmarkStart w:id="930" w:name="Tc_AxPr9gwJoUSXJ8385Qidqg_3_7"/>
      <w:bookmarkStart w:id="931" w:name="Tc_uv2_6qLqhUKLuZKGaDjbxQ_2_9"/>
      <w:bookmarkStart w:id="932" w:name="Tc_IOHxFFN0rESJaZl2XpDb6Q_2_7"/>
      <w:bookmarkStart w:id="933" w:name="Tc_THRiMguaT0mEzJ5cm2-bcA_1_4"/>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r>
        <w:rPr>
          <w:rFonts w:ascii="Arial;Helvetica;sans-serif" w:hAnsi="Arial;Helvetica;sans-serif"/>
          <w:i/>
          <w:sz w:val="20"/>
        </w:rPr>
        <w:t>Stock Options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stock option activity for the three month period ended March 31, 2025:</w:t>
      </w:r>
    </w:p>
    <w:p>
      <w:pPr>
        <w:pStyle w:val="TextBody"/>
        <w:bidi w:val="0"/>
        <w:spacing w:before="0" w:after="200"/>
        <w:ind w:left="0" w:right="0" w:hanging="0"/>
        <w:jc w:val="left"/>
        <w:rPr/>
      </w:pPr>
      <w:r>
        <w:rPr/>
        <w:t>​</w:t>
      </w:r>
    </w:p>
    <w:tbl>
      <w:tblPr>
        <w:tblW w:w="8448" w:type="dxa"/>
        <w:jc w:val="left"/>
        <w:tblInd w:w="0" w:type="dxa"/>
        <w:tblLayout w:type="fixed"/>
        <w:tblCellMar>
          <w:top w:w="28" w:type="dxa"/>
          <w:left w:w="0" w:type="dxa"/>
          <w:bottom w:w="0" w:type="dxa"/>
          <w:right w:w="0" w:type="dxa"/>
        </w:tblCellMar>
      </w:tblPr>
      <w:tblGrid>
        <w:gridCol w:w="2866"/>
        <w:gridCol w:w="326"/>
        <w:gridCol w:w="961"/>
        <w:gridCol w:w="326"/>
        <w:gridCol w:w="357"/>
        <w:gridCol w:w="814"/>
        <w:gridCol w:w="326"/>
        <w:gridCol w:w="946"/>
        <w:gridCol w:w="326"/>
        <w:gridCol w:w="398"/>
        <w:gridCol w:w="802"/>
      </w:tblGrid>
      <w:tr>
        <w:trPr/>
        <w:tc>
          <w:tcPr>
            <w:tcW w:w="286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19910" cy="175260"/>
                      <wp:effectExtent l="0" t="0" r="0" b="0"/>
                      <wp:wrapNone/>
                      <wp:docPr id="193" name="Frame19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10235" cy="175260"/>
                      <wp:effectExtent l="0" t="0" r="0" b="0"/>
                      <wp:wrapNone/>
                      <wp:docPr id="195" name="Frame19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26695" cy="175260"/>
                      <wp:effectExtent l="0" t="0" r="0" b="0"/>
                      <wp:wrapNone/>
                      <wp:docPr id="197" name="Frame197"/>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16890" cy="175260"/>
                      <wp:effectExtent l="0" t="0" r="0" b="0"/>
                      <wp:wrapNone/>
                      <wp:docPr id="198" name="Frame198"/>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top w:val="single" w:sz="2" w:space="0" w:color="000000"/>
            </w:tcBorders>
            <w:vAlign w:val="center"/>
          </w:tcPr>
          <w:p>
            <w:pPr>
              <w:pStyle w:val="TableContents"/>
              <w:bidi w:val="0"/>
              <w:spacing w:before="0" w:after="0"/>
              <w:ind w:left="0" w:right="0" w:hanging="0"/>
              <w:jc w:val="left"/>
              <w:rPr/>
            </w:pPr>
            <w:r>
              <w:rPr/>
              <w:t>​</w: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52730" cy="175260"/>
                      <wp:effectExtent l="0" t="0" r="0" b="0"/>
                      <wp:wrapNone/>
                      <wp:docPr id="201" name="Frame201"/>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top w:val="single" w:sz="2" w:space="0" w:color="000000"/>
            </w:tcBorders>
            <w:vAlign w:val="center"/>
          </w:tcPr>
          <w:p>
            <w:pPr>
              <w:pStyle w:val="TableContents"/>
              <w:bidi w:val="0"/>
              <w:spacing w:before="0" w:after="0"/>
              <w:ind w:left="0" w:right="0" w:hanging="0"/>
              <w:jc w:val="left"/>
              <w:rPr/>
            </w:pPr>
            <w:r>
              <w:rPr/>
              <w:t>​</w:t>
            </w:r>
          </w:p>
        </w:tc>
      </w:tr>
      <w:tr>
        <w:trPr/>
        <w:tc>
          <w:tcPr>
            <w:tcW w:w="2866"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961" w:type="dxa"/>
            <w:tcBorders/>
            <w:tcMar>
              <w:top w:w="0" w:type="dxa"/>
            </w:tcMar>
            <w:vAlign w:val="center"/>
          </w:tcPr>
          <w:p>
            <w:pPr>
              <w:pStyle w:val="TableContents"/>
              <w:bidi w:val="0"/>
              <w:spacing w:before="0" w:after="0"/>
              <w:ind w:left="0" w:right="0" w:hanging="0"/>
              <w:jc w:val="center"/>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2443" w:type="dxa"/>
            <w:gridSpan w:val="4"/>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Weighted Average </w:t>
            </w:r>
          </w:p>
        </w:tc>
        <w:tc>
          <w:tcPr>
            <w:tcW w:w="326" w:type="dxa"/>
            <w:tcBorders/>
            <w:tcMar>
              <w:top w:w="0" w:type="dxa"/>
            </w:tcMar>
            <w:vAlign w:val="center"/>
          </w:tcPr>
          <w:p>
            <w:pPr>
              <w:pStyle w:val="TableContents"/>
              <w:bidi w:val="0"/>
              <w:spacing w:before="0" w:after="0"/>
              <w:ind w:left="0" w:right="0" w:hanging="0"/>
              <w:jc w:val="center"/>
              <w:rPr/>
            </w:pPr>
            <w:r>
              <w:rPr/>
              <w:t>​</w:t>
            </w:r>
          </w:p>
        </w:tc>
        <w:tc>
          <w:tcPr>
            <w:tcW w:w="1200" w:type="dxa"/>
            <w:gridSpan w:val="2"/>
            <w:tcBorders/>
            <w:tcMar>
              <w:top w:w="0" w:type="dxa"/>
            </w:tcMar>
            <w:vAlign w:val="center"/>
          </w:tcPr>
          <w:p>
            <w:pPr>
              <w:pStyle w:val="TableContents"/>
              <w:bidi w:val="0"/>
              <w:spacing w:before="0" w:after="0"/>
              <w:ind w:left="0" w:right="0" w:hanging="0"/>
              <w:jc w:val="left"/>
              <w:rPr/>
            </w:pPr>
            <w:r>
              <w:rPr/>
              <w:t>​</w:t>
            </w:r>
          </w:p>
        </w:tc>
      </w:tr>
      <w:tr>
        <w:trPr/>
        <w:tc>
          <w:tcPr>
            <w:tcW w:w="2866"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961" w:type="dxa"/>
            <w:tcBorders/>
            <w:tcMar>
              <w:top w:w="0" w:type="dxa"/>
            </w:tcMar>
            <w:vAlign w:val="center"/>
          </w:tcPr>
          <w:p>
            <w:pPr>
              <w:pStyle w:val="TableContents"/>
              <w:bidi w:val="0"/>
              <w:spacing w:before="0" w:after="0"/>
              <w:ind w:left="0" w:right="0" w:hanging="0"/>
              <w:jc w:val="center"/>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357" w:type="dxa"/>
            <w:tcBorders>
              <w:top w:val="single" w:sz="2" w:space="0" w:color="000000"/>
            </w:tcBorders>
            <w:vAlign w:val="center"/>
          </w:tcPr>
          <w:p>
            <w:pPr>
              <w:pStyle w:val="TableContents"/>
              <w:bidi w:val="0"/>
              <w:spacing w:before="0" w:after="0"/>
              <w:ind w:left="0" w:right="0" w:hanging="0"/>
              <w:jc w:val="left"/>
              <w:rPr/>
            </w:pPr>
            <w:r>
              <w:rPr/>
              <w:t>​</w:t>
            </w:r>
          </w:p>
        </w:tc>
        <w:tc>
          <w:tcPr>
            <w:tcW w:w="814" w:type="dxa"/>
            <w:tcBorders>
              <w:top w:val="single" w:sz="2" w:space="0" w:color="000000"/>
            </w:tcBorders>
            <w:vAlign w:val="center"/>
          </w:tcPr>
          <w:p>
            <w:pPr>
              <w:pStyle w:val="TableContents"/>
              <w:bidi w:val="0"/>
              <w:spacing w:before="0" w:after="0"/>
              <w:ind w:left="0" w:right="0" w:hanging="0"/>
              <w:jc w:val="center"/>
              <w:rPr/>
            </w:pPr>
            <w:r>
              <w:rPr/>
              <w:t>​</w:t>
            </w:r>
          </w:p>
        </w:tc>
        <w:tc>
          <w:tcPr>
            <w:tcW w:w="326" w:type="dxa"/>
            <w:tcBorders>
              <w:top w:val="single" w:sz="2" w:space="0" w:color="000000"/>
            </w:tcBorders>
            <w:vAlign w:val="center"/>
          </w:tcPr>
          <w:p>
            <w:pPr>
              <w:pStyle w:val="TableContents"/>
              <w:bidi w:val="0"/>
              <w:spacing w:before="0" w:after="0"/>
              <w:ind w:left="0" w:right="0" w:hanging="0"/>
              <w:jc w:val="left"/>
              <w:rPr/>
            </w:pPr>
            <w:r>
              <w:rPr/>
              <w:t>​</w:t>
            </w:r>
          </w:p>
        </w:tc>
        <w:tc>
          <w:tcPr>
            <w:tcW w:w="946" w:type="dxa"/>
            <w:tcBorders>
              <w:top w:val="single" w:sz="2" w:space="0" w:color="000000"/>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Remaining</w:t>
            </w:r>
          </w:p>
        </w:tc>
        <w:tc>
          <w:tcPr>
            <w:tcW w:w="326" w:type="dxa"/>
            <w:tcBorders/>
            <w:tcMar>
              <w:top w:w="0" w:type="dxa"/>
            </w:tcMar>
            <w:vAlign w:val="center"/>
          </w:tcPr>
          <w:p>
            <w:pPr>
              <w:pStyle w:val="TableContents"/>
              <w:bidi w:val="0"/>
              <w:spacing w:before="0" w:after="0"/>
              <w:ind w:left="0" w:right="0" w:hanging="0"/>
              <w:jc w:val="right"/>
              <w:rPr/>
            </w:pPr>
            <w:r>
              <w:rPr/>
              <w:t>​</w:t>
            </w:r>
          </w:p>
        </w:tc>
        <w:tc>
          <w:tcPr>
            <w:tcW w:w="1200" w:type="dxa"/>
            <w:gridSpan w:val="2"/>
            <w:tcBorders/>
            <w:tcMar>
              <w:top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Aggregate</w:t>
            </w:r>
          </w:p>
        </w:tc>
      </w:tr>
      <w:tr>
        <w:trPr/>
        <w:tc>
          <w:tcPr>
            <w:tcW w:w="2866"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961" w:type="dxa"/>
            <w:tcBorders/>
            <w:tcMar>
              <w:top w:w="0" w:type="dxa"/>
            </w:tcMar>
            <w:vAlign w:val="center"/>
          </w:tcPr>
          <w:p>
            <w:pPr>
              <w:pStyle w:val="TableContents"/>
              <w:bidi w:val="0"/>
              <w:spacing w:before="0" w:after="0"/>
              <w:ind w:left="0" w:right="0" w:hanging="0"/>
              <w:jc w:val="center"/>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357" w:type="dxa"/>
            <w:tcBorders/>
            <w:tcMar>
              <w:top w:w="0" w:type="dxa"/>
            </w:tcMar>
            <w:vAlign w:val="center"/>
          </w:tcPr>
          <w:p>
            <w:pPr>
              <w:pStyle w:val="TableContents"/>
              <w:bidi w:val="0"/>
              <w:spacing w:before="0" w:after="0"/>
              <w:ind w:left="0" w:right="0" w:hanging="0"/>
              <w:jc w:val="left"/>
              <w:rPr/>
            </w:pPr>
            <w:r>
              <w:rPr/>
              <w:t>​</w:t>
            </w:r>
          </w:p>
        </w:tc>
        <w:tc>
          <w:tcPr>
            <w:tcW w:w="814" w:type="dxa"/>
            <w:tcBorders/>
            <w:tcMar>
              <w:top w:w="0" w:type="dxa"/>
            </w:tcMar>
            <w:vAlign w:val="center"/>
          </w:tcPr>
          <w:p>
            <w:pPr>
              <w:pStyle w:val="TableContents"/>
              <w:bidi w:val="0"/>
              <w:spacing w:before="0" w:after="0"/>
              <w:ind w:left="0" w:right="0" w:hanging="0"/>
              <w:jc w:val="center"/>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946" w:type="dxa"/>
            <w:tcBorders/>
            <w:tcMar>
              <w:top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Contractual</w:t>
            </w:r>
          </w:p>
        </w:tc>
        <w:tc>
          <w:tcPr>
            <w:tcW w:w="326" w:type="dxa"/>
            <w:tcBorders/>
            <w:tcMar>
              <w:top w:w="0" w:type="dxa"/>
            </w:tcMar>
            <w:vAlign w:val="center"/>
          </w:tcPr>
          <w:p>
            <w:pPr>
              <w:pStyle w:val="TableContents"/>
              <w:bidi w:val="0"/>
              <w:spacing w:before="0" w:after="0"/>
              <w:ind w:left="0" w:right="0" w:hanging="0"/>
              <w:jc w:val="right"/>
              <w:rPr/>
            </w:pPr>
            <w:r>
              <w:rPr/>
              <w:t>​</w:t>
            </w:r>
          </w:p>
        </w:tc>
        <w:tc>
          <w:tcPr>
            <w:tcW w:w="1200" w:type="dxa"/>
            <w:gridSpan w:val="2"/>
            <w:tcBorders/>
            <w:tcMar>
              <w:top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Intrinsic</w:t>
            </w:r>
          </w:p>
        </w:tc>
      </w:tr>
      <w:tr>
        <w:trPr/>
        <w:tc>
          <w:tcPr>
            <w:tcW w:w="2866"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961" w:type="dxa"/>
            <w:tcBorders/>
            <w:tcMar>
              <w:top w:w="0" w:type="dxa"/>
            </w:tcMar>
            <w:vAlign w:val="center"/>
          </w:tcPr>
          <w:p>
            <w:pPr>
              <w:pStyle w:val="TableContents"/>
              <w:bidi w:val="0"/>
              <w:spacing w:before="0" w:after="0"/>
              <w:ind w:left="0" w:right="0" w:hanging="0"/>
              <w:jc w:val="center"/>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357" w:type="dxa"/>
            <w:tcBorders/>
            <w:tcMar>
              <w:top w:w="0" w:type="dxa"/>
            </w:tcMar>
            <w:vAlign w:val="center"/>
          </w:tcPr>
          <w:p>
            <w:pPr>
              <w:pStyle w:val="TableContents"/>
              <w:bidi w:val="0"/>
              <w:spacing w:before="0" w:after="0"/>
              <w:ind w:left="0" w:right="0" w:hanging="0"/>
              <w:jc w:val="left"/>
              <w:rPr/>
            </w:pPr>
            <w:r>
              <w:rPr/>
              <w:t>​</w:t>
            </w:r>
          </w:p>
        </w:tc>
        <w:tc>
          <w:tcPr>
            <w:tcW w:w="814" w:type="dxa"/>
            <w:tcBorders/>
            <w:tcMar>
              <w:top w:w="0" w:type="dxa"/>
            </w:tcMar>
            <w:vAlign w:val="center"/>
          </w:tcPr>
          <w:p>
            <w:pPr>
              <w:pStyle w:val="TableContents"/>
              <w:bidi w:val="0"/>
              <w:spacing w:before="0" w:after="0"/>
              <w:ind w:left="0" w:right="0" w:hanging="0"/>
              <w:jc w:val="center"/>
              <w:rPr/>
            </w:pPr>
            <w:r>
              <w:rPr/>
              <w:t>​</w:t>
            </w:r>
          </w:p>
        </w:tc>
        <w:tc>
          <w:tcPr>
            <w:tcW w:w="326" w:type="dxa"/>
            <w:tcBorders/>
            <w:tcMar>
              <w:top w:w="0" w:type="dxa"/>
            </w:tcMar>
            <w:vAlign w:val="center"/>
          </w:tcPr>
          <w:p>
            <w:pPr>
              <w:pStyle w:val="TableContents"/>
              <w:bidi w:val="0"/>
              <w:spacing w:before="0" w:after="0"/>
              <w:ind w:left="0" w:right="0" w:hanging="0"/>
              <w:jc w:val="left"/>
              <w:rPr/>
            </w:pPr>
            <w:r>
              <w:rPr/>
              <w:t>​</w:t>
            </w:r>
          </w:p>
        </w:tc>
        <w:tc>
          <w:tcPr>
            <w:tcW w:w="946" w:type="dxa"/>
            <w:tcBorders/>
            <w:tcMar>
              <w:top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Term</w:t>
            </w:r>
          </w:p>
        </w:tc>
        <w:tc>
          <w:tcPr>
            <w:tcW w:w="326" w:type="dxa"/>
            <w:tcBorders/>
            <w:tcMar>
              <w:top w:w="0" w:type="dxa"/>
            </w:tcMar>
            <w:vAlign w:val="center"/>
          </w:tcPr>
          <w:p>
            <w:pPr>
              <w:pStyle w:val="TableContents"/>
              <w:bidi w:val="0"/>
              <w:spacing w:before="0" w:after="0"/>
              <w:ind w:left="0" w:right="0" w:hanging="0"/>
              <w:jc w:val="right"/>
              <w:rPr/>
            </w:pPr>
            <w:r>
              <w:rPr/>
              <w:t>​</w:t>
            </w:r>
          </w:p>
        </w:tc>
        <w:tc>
          <w:tcPr>
            <w:tcW w:w="1200" w:type="dxa"/>
            <w:gridSpan w:val="2"/>
            <w:tcBorders/>
            <w:tcMar>
              <w:top w:w="0"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Value</w:t>
            </w:r>
          </w:p>
        </w:tc>
      </w:tr>
      <w:tr>
        <w:trPr/>
        <w:tc>
          <w:tcPr>
            <w:tcW w:w="2866"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Shares</w:t>
            </w:r>
          </w:p>
        </w:tc>
        <w:tc>
          <w:tcPr>
            <w:tcW w:w="326" w:type="dxa"/>
            <w:tcBorders/>
            <w:tcMar>
              <w:top w:w="0" w:type="dxa"/>
            </w:tcMar>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Exercise Price</w:t>
            </w:r>
          </w:p>
        </w:tc>
        <w:tc>
          <w:tcPr>
            <w:tcW w:w="326" w:type="dxa"/>
            <w:tcBorders/>
            <w:tcMar>
              <w:top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(years)</w:t>
            </w:r>
          </w:p>
        </w:tc>
        <w:tc>
          <w:tcPr>
            <w:tcW w:w="326" w:type="dxa"/>
            <w:tcBorders/>
            <w:tcMar>
              <w:top w:w="0" w:type="dxa"/>
            </w:tcMar>
            <w:vAlign w:val="center"/>
          </w:tcPr>
          <w:p>
            <w:pPr>
              <w:pStyle w:val="TableContents"/>
              <w:bidi w:val="0"/>
              <w:spacing w:before="0" w:after="0"/>
              <w:ind w:left="0" w:right="0" w:hanging="0"/>
              <w:jc w:val="right"/>
              <w:rPr/>
            </w:pPr>
            <w:r>
              <w:rPr/>
              <w:t>    </w:t>
            </w:r>
          </w:p>
        </w:tc>
        <w:tc>
          <w:tcPr>
            <w:tcW w:w="1200"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286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Outstanding January 1, 2025</w:t>
            </w:r>
          </w:p>
        </w:tc>
        <w:tc>
          <w:tcPr>
            <w:tcW w:w="326" w:type="dxa"/>
            <w:tcBorders/>
            <w:shd w:fill="CCEEFF" w:val="clear"/>
            <w:tcMar>
              <w:top w:w="0" w:type="dxa"/>
            </w:tcMar>
            <w:vAlign w:val="center"/>
          </w:tcPr>
          <w:p>
            <w:pPr>
              <w:pStyle w:val="TableContents"/>
              <w:bidi w:val="0"/>
              <w:spacing w:before="0" w:after="0"/>
              <w:ind w:left="0" w:right="0" w:hanging="0"/>
              <w:jc w:val="left"/>
              <w:rPr/>
            </w:pPr>
            <w:r>
              <w:rPr/>
              <w:t> </w:t>
            </w:r>
          </w:p>
        </w:tc>
        <w:tc>
          <w:tcPr>
            <w:tcW w:w="961"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5,310,229</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7"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4"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5.66</w:t>
            </w:r>
          </w:p>
        </w:tc>
        <w:tc>
          <w:tcPr>
            <w:tcW w:w="326" w:type="dxa"/>
            <w:tcBorders/>
            <w:shd w:fill="CCEEFF" w:val="clear"/>
            <w:tcMar>
              <w:top w:w="0" w:type="dxa"/>
            </w:tcMar>
            <w:vAlign w:val="center"/>
          </w:tcPr>
          <w:p>
            <w:pPr>
              <w:pStyle w:val="TableContents"/>
              <w:bidi w:val="0"/>
              <w:spacing w:before="0" w:after="0"/>
              <w:ind w:left="0" w:right="0" w:hanging="0"/>
              <w:jc w:val="left"/>
              <w:rPr/>
            </w:pPr>
            <w:r>
              <w:rPr/>
              <w:t> </w:t>
            </w:r>
          </w:p>
        </w:tc>
        <w:tc>
          <w:tcPr>
            <w:tcW w:w="946"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4.14</w:t>
            </w:r>
          </w:p>
        </w:tc>
        <w:tc>
          <w:tcPr>
            <w:tcW w:w="326" w:type="dxa"/>
            <w:tcBorders/>
            <w:shd w:fill="CCEEFF" w:val="clear"/>
            <w:tcMar>
              <w:top w:w="0" w:type="dxa"/>
            </w:tcMar>
            <w:vAlign w:val="center"/>
          </w:tcPr>
          <w:p>
            <w:pPr>
              <w:pStyle w:val="TableContents"/>
              <w:bidi w:val="0"/>
              <w:spacing w:before="0" w:after="0"/>
              <w:ind w:left="0" w:right="0" w:hanging="0"/>
              <w:jc w:val="right"/>
              <w:rPr/>
            </w:pPr>
            <w:r>
              <w:rPr/>
              <w:t>​</w:t>
            </w:r>
          </w:p>
        </w:tc>
        <w:tc>
          <w:tcPr>
            <w:tcW w:w="398"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r>
      <w:tr>
        <w:trPr/>
        <w:tc>
          <w:tcPr>
            <w:tcW w:w="2866"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tcMar>
              <w:top w:w="0" w:type="dxa"/>
            </w:tcMar>
            <w:vAlign w:val="center"/>
          </w:tcPr>
          <w:p>
            <w:pPr>
              <w:pStyle w:val="TableContents"/>
              <w:bidi w:val="0"/>
              <w:spacing w:before="0" w:after="0"/>
              <w:ind w:left="0" w:right="0" w:hanging="0"/>
              <w:jc w:val="left"/>
              <w:rPr/>
            </w:pPr>
            <w:r>
              <w:rPr/>
              <w:t> </w:t>
            </w:r>
          </w:p>
        </w:tc>
        <w:tc>
          <w:tcPr>
            <w:tcW w:w="961"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1,486,125</w:t>
            </w:r>
          </w:p>
        </w:tc>
        <w:tc>
          <w:tcPr>
            <w:tcW w:w="326" w:type="dxa"/>
            <w:tcBorders/>
            <w:tcMar>
              <w:top w:w="0" w:type="dxa"/>
            </w:tcMar>
            <w:vAlign w:val="center"/>
          </w:tcPr>
          <w:p>
            <w:pPr>
              <w:pStyle w:val="TableContents"/>
              <w:bidi w:val="0"/>
              <w:spacing w:before="0" w:after="0"/>
              <w:ind w:left="0" w:right="0" w:hanging="0"/>
              <w:jc w:val="left"/>
              <w:rPr/>
            </w:pPr>
            <w:r>
              <w:rPr/>
              <w:t>​</w:t>
            </w:r>
          </w:p>
        </w:tc>
        <w:tc>
          <w:tcPr>
            <w:tcW w:w="357" w:type="dxa"/>
            <w:tcBorders/>
            <w:tcMar>
              <w:top w:w="0" w:type="dxa"/>
            </w:tcMar>
            <w:vAlign w:val="center"/>
          </w:tcPr>
          <w:p>
            <w:pPr>
              <w:pStyle w:val="TableContents"/>
              <w:bidi w:val="0"/>
              <w:spacing w:before="0" w:after="0"/>
              <w:ind w:left="0" w:right="0" w:hanging="0"/>
              <w:jc w:val="left"/>
              <w:rPr/>
            </w:pPr>
            <w:r>
              <w:rPr/>
              <w:t> </w:t>
            </w:r>
          </w:p>
        </w:tc>
        <w:tc>
          <w:tcPr>
            <w:tcW w:w="814"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0.60</w:t>
            </w:r>
          </w:p>
        </w:tc>
        <w:tc>
          <w:tcPr>
            <w:tcW w:w="326" w:type="dxa"/>
            <w:tcBorders/>
            <w:tcMar>
              <w:top w:w="0" w:type="dxa"/>
            </w:tcMar>
            <w:vAlign w:val="center"/>
          </w:tcPr>
          <w:p>
            <w:pPr>
              <w:pStyle w:val="TableContents"/>
              <w:bidi w:val="0"/>
              <w:spacing w:before="0" w:after="0"/>
              <w:ind w:left="0" w:right="0" w:hanging="0"/>
              <w:jc w:val="left"/>
              <w:rPr/>
            </w:pPr>
            <w:r>
              <w:rPr/>
              <w:t> </w:t>
            </w:r>
          </w:p>
        </w:tc>
        <w:tc>
          <w:tcPr>
            <w:tcW w:w="946" w:type="dxa"/>
            <w:tcBorders/>
            <w:tcMar>
              <w:top w:w="0" w:type="dxa"/>
            </w:tcMar>
            <w:vAlign w:val="center"/>
          </w:tcPr>
          <w:p>
            <w:pPr>
              <w:pStyle w:val="TableContents"/>
              <w:bidi w:val="0"/>
              <w:spacing w:before="0" w:after="0"/>
              <w:ind w:left="0" w:right="0" w:hanging="0"/>
              <w:jc w:val="right"/>
              <w:rPr/>
            </w:pPr>
            <w:r>
              <w:rPr/>
              <w:t>—</w:t>
            </w:r>
          </w:p>
        </w:tc>
        <w:tc>
          <w:tcPr>
            <w:tcW w:w="326" w:type="dxa"/>
            <w:tcBorders/>
            <w:tcMar>
              <w:top w:w="0" w:type="dxa"/>
            </w:tcMar>
            <w:vAlign w:val="center"/>
          </w:tcPr>
          <w:p>
            <w:pPr>
              <w:pStyle w:val="TableContents"/>
              <w:bidi w:val="0"/>
              <w:spacing w:before="0" w:after="0"/>
              <w:ind w:left="0" w:right="0" w:hanging="0"/>
              <w:jc w:val="right"/>
              <w:rPr/>
            </w:pPr>
            <w:r>
              <w:rPr/>
              <w:t>​</w:t>
            </w:r>
          </w:p>
        </w:tc>
        <w:tc>
          <w:tcPr>
            <w:tcW w:w="398" w:type="dxa"/>
            <w:tcBorders/>
            <w:tcMar>
              <w:top w:w="0" w:type="dxa"/>
            </w:tcMar>
            <w:vAlign w:val="center"/>
          </w:tcPr>
          <w:p>
            <w:pPr>
              <w:pStyle w:val="TableContents"/>
              <w:bidi w:val="0"/>
              <w:spacing w:before="0" w:after="0"/>
              <w:ind w:left="0" w:right="0" w:hanging="0"/>
              <w:jc w:val="left"/>
              <w:rPr/>
            </w:pPr>
            <w:r>
              <w:rPr/>
              <w:t> </w:t>
            </w:r>
          </w:p>
        </w:tc>
        <w:tc>
          <w:tcPr>
            <w:tcW w:w="802" w:type="dxa"/>
            <w:tcBorders/>
            <w:tcMar>
              <w:top w:w="0" w:type="dxa"/>
            </w:tcMar>
            <w:vAlign w:val="center"/>
          </w:tcPr>
          <w:p>
            <w:pPr>
              <w:pStyle w:val="TableContents"/>
              <w:bidi w:val="0"/>
              <w:spacing w:before="0" w:after="0"/>
              <w:ind w:left="0" w:right="0" w:hanging="0"/>
              <w:jc w:val="right"/>
              <w:rPr/>
            </w:pPr>
            <w:r>
              <w:rPr/>
              <w:t>—</w:t>
            </w:r>
          </w:p>
        </w:tc>
      </w:tr>
      <w:tr>
        <w:trPr/>
        <w:tc>
          <w:tcPr>
            <w:tcW w:w="286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Exercised</w:t>
            </w:r>
          </w:p>
        </w:tc>
        <w:tc>
          <w:tcPr>
            <w:tcW w:w="326" w:type="dxa"/>
            <w:tcBorders/>
            <w:shd w:fill="CCEEFF" w:val="clear"/>
            <w:tcMar>
              <w:top w:w="0" w:type="dxa"/>
            </w:tcMar>
            <w:vAlign w:val="center"/>
          </w:tcPr>
          <w:p>
            <w:pPr>
              <w:pStyle w:val="TableContents"/>
              <w:bidi w:val="0"/>
              <w:spacing w:before="0" w:after="0"/>
              <w:ind w:left="0" w:right="0" w:hanging="0"/>
              <w:jc w:val="left"/>
              <w:rPr/>
            </w:pPr>
            <w:r>
              <w:rPr/>
              <w:t> </w:t>
            </w:r>
          </w:p>
        </w:tc>
        <w:tc>
          <w:tcPr>
            <w:tcW w:w="961"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(13,694)</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7" w:type="dxa"/>
            <w:tcBorders/>
            <w:shd w:fill="CCEEFF" w:val="clear"/>
            <w:tcMar>
              <w:top w:w="0" w:type="dxa"/>
            </w:tcMar>
            <w:vAlign w:val="center"/>
          </w:tcPr>
          <w:p>
            <w:pPr>
              <w:pStyle w:val="TableContents"/>
              <w:bidi w:val="0"/>
              <w:spacing w:before="0" w:after="0"/>
              <w:ind w:left="0" w:right="0" w:hanging="0"/>
              <w:jc w:val="left"/>
              <w:rPr/>
            </w:pPr>
            <w:r>
              <w:rPr/>
              <w:t> </w:t>
            </w:r>
          </w:p>
        </w:tc>
        <w:tc>
          <w:tcPr>
            <w:tcW w:w="814"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w:t>
            </w:r>
          </w:p>
        </w:tc>
        <w:tc>
          <w:tcPr>
            <w:tcW w:w="326" w:type="dxa"/>
            <w:tcBorders/>
            <w:shd w:fill="CCEEFF" w:val="clear"/>
            <w:tcMar>
              <w:top w:w="0" w:type="dxa"/>
            </w:tcMar>
            <w:vAlign w:val="center"/>
          </w:tcPr>
          <w:p>
            <w:pPr>
              <w:pStyle w:val="TableContents"/>
              <w:bidi w:val="0"/>
              <w:spacing w:before="0" w:after="0"/>
              <w:ind w:left="0" w:right="0" w:hanging="0"/>
              <w:jc w:val="left"/>
              <w:rPr/>
            </w:pPr>
            <w:r>
              <w:rPr/>
              <w:t> </w:t>
            </w:r>
          </w:p>
        </w:tc>
        <w:tc>
          <w:tcPr>
            <w:tcW w:w="946" w:type="dxa"/>
            <w:tcBorders/>
            <w:shd w:fill="CCEEFF" w:val="clear"/>
            <w:tcMar>
              <w:top w:w="0" w:type="dxa"/>
            </w:tcMar>
            <w:vAlign w:val="center"/>
          </w:tcPr>
          <w:p>
            <w:pPr>
              <w:pStyle w:val="TableContents"/>
              <w:bidi w:val="0"/>
              <w:spacing w:before="0" w:after="0"/>
              <w:ind w:left="0" w:right="0" w:hanging="0"/>
              <w:jc w:val="right"/>
              <w:rPr/>
            </w:pPr>
            <w:r>
              <w:rPr/>
              <w:t>—</w:t>
            </w:r>
          </w:p>
        </w:tc>
        <w:tc>
          <w:tcPr>
            <w:tcW w:w="326" w:type="dxa"/>
            <w:tcBorders/>
            <w:shd w:fill="CCEEFF" w:val="clear"/>
            <w:tcMar>
              <w:top w:w="0" w:type="dxa"/>
            </w:tcMar>
            <w:vAlign w:val="center"/>
          </w:tcPr>
          <w:p>
            <w:pPr>
              <w:pStyle w:val="TableContents"/>
              <w:bidi w:val="0"/>
              <w:spacing w:before="0" w:after="0"/>
              <w:ind w:left="0" w:right="0" w:hanging="0"/>
              <w:jc w:val="right"/>
              <w:rPr/>
            </w:pPr>
            <w:r>
              <w:rPr/>
              <w:t>​</w:t>
            </w:r>
          </w:p>
        </w:tc>
        <w:tc>
          <w:tcPr>
            <w:tcW w:w="398" w:type="dxa"/>
            <w:tcBorders/>
            <w:shd w:fill="CCEEFF" w:val="clear"/>
            <w:tcMar>
              <w:top w:w="0" w:type="dxa"/>
            </w:tcMar>
            <w:vAlign w:val="center"/>
          </w:tcPr>
          <w:p>
            <w:pPr>
              <w:pStyle w:val="TableContents"/>
              <w:bidi w:val="0"/>
              <w:spacing w:before="0" w:after="0"/>
              <w:ind w:left="0" w:right="0" w:hanging="0"/>
              <w:jc w:val="left"/>
              <w:rPr/>
            </w:pPr>
            <w:r>
              <w:rPr/>
              <w:t> </w:t>
            </w:r>
          </w:p>
        </w:tc>
        <w:tc>
          <w:tcPr>
            <w:tcW w:w="802" w:type="dxa"/>
            <w:tcBorders/>
            <w:shd w:fill="CCEEFF" w:val="clear"/>
            <w:tcMar>
              <w:top w:w="0" w:type="dxa"/>
            </w:tcMar>
            <w:vAlign w:val="center"/>
          </w:tcPr>
          <w:p>
            <w:pPr>
              <w:pStyle w:val="TableContents"/>
              <w:bidi w:val="0"/>
              <w:spacing w:before="0" w:after="0"/>
              <w:ind w:left="0" w:right="0" w:hanging="0"/>
              <w:jc w:val="right"/>
              <w:rPr/>
            </w:pPr>
            <w:r>
              <w:rPr/>
              <w:t>—</w:t>
            </w:r>
          </w:p>
        </w:tc>
      </w:tr>
      <w:tr>
        <w:trPr/>
        <w:tc>
          <w:tcPr>
            <w:tcW w:w="2866"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tcMar>
              <w:top w:w="0" w:type="dxa"/>
            </w:tcMar>
            <w:vAlign w:val="center"/>
          </w:tcPr>
          <w:p>
            <w:pPr>
              <w:pStyle w:val="TableContents"/>
              <w:bidi w:val="0"/>
              <w:spacing w:before="0" w:after="0"/>
              <w:ind w:left="0" w:right="0" w:hanging="0"/>
              <w:jc w:val="left"/>
              <w:rPr/>
            </w:pPr>
            <w:r>
              <w:rPr/>
              <w:t> </w:t>
            </w:r>
          </w:p>
        </w:tc>
        <w:tc>
          <w:tcPr>
            <w:tcW w:w="961"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(148,858)</w:t>
            </w:r>
          </w:p>
        </w:tc>
        <w:tc>
          <w:tcPr>
            <w:tcW w:w="326" w:type="dxa"/>
            <w:tcBorders/>
            <w:tcMar>
              <w:top w:w="0" w:type="dxa"/>
            </w:tcMar>
            <w:vAlign w:val="center"/>
          </w:tcPr>
          <w:p>
            <w:pPr>
              <w:pStyle w:val="TableContents"/>
              <w:bidi w:val="0"/>
              <w:spacing w:before="0" w:after="0"/>
              <w:ind w:left="0" w:right="0" w:hanging="0"/>
              <w:jc w:val="left"/>
              <w:rPr/>
            </w:pPr>
            <w:r>
              <w:rPr/>
              <w:t>​</w:t>
            </w:r>
          </w:p>
        </w:tc>
        <w:tc>
          <w:tcPr>
            <w:tcW w:w="357" w:type="dxa"/>
            <w:tcBorders/>
            <w:tcMar>
              <w:top w:w="0" w:type="dxa"/>
            </w:tcMar>
            <w:vAlign w:val="center"/>
          </w:tcPr>
          <w:p>
            <w:pPr>
              <w:pStyle w:val="TableContents"/>
              <w:bidi w:val="0"/>
              <w:spacing w:before="0" w:after="0"/>
              <w:ind w:left="0" w:right="0" w:hanging="0"/>
              <w:jc w:val="left"/>
              <w:rPr/>
            </w:pPr>
            <w:r>
              <w:rPr/>
              <w:t>​</w:t>
            </w:r>
          </w:p>
        </w:tc>
        <w:tc>
          <w:tcPr>
            <w:tcW w:w="814"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5.91</w:t>
            </w:r>
          </w:p>
        </w:tc>
        <w:tc>
          <w:tcPr>
            <w:tcW w:w="326" w:type="dxa"/>
            <w:tcBorders/>
            <w:tcMar>
              <w:top w:w="0" w:type="dxa"/>
            </w:tcMar>
            <w:vAlign w:val="center"/>
          </w:tcPr>
          <w:p>
            <w:pPr>
              <w:pStyle w:val="TableContents"/>
              <w:bidi w:val="0"/>
              <w:spacing w:before="0" w:after="0"/>
              <w:ind w:left="0" w:right="0" w:hanging="0"/>
              <w:jc w:val="left"/>
              <w:rPr/>
            </w:pPr>
            <w:r>
              <w:rPr/>
              <w:t> </w:t>
            </w:r>
          </w:p>
        </w:tc>
        <w:tc>
          <w:tcPr>
            <w:tcW w:w="946" w:type="dxa"/>
            <w:tcBorders/>
            <w:tcMar>
              <w:top w:w="0" w:type="dxa"/>
            </w:tcMar>
            <w:vAlign w:val="center"/>
          </w:tcPr>
          <w:p>
            <w:pPr>
              <w:pStyle w:val="TableContents"/>
              <w:bidi w:val="0"/>
              <w:spacing w:before="0" w:after="0"/>
              <w:ind w:left="0" w:right="0" w:hanging="0"/>
              <w:jc w:val="right"/>
              <w:rPr/>
            </w:pPr>
            <w:r>
              <w:rPr/>
              <w:t>—</w:t>
            </w:r>
          </w:p>
        </w:tc>
        <w:tc>
          <w:tcPr>
            <w:tcW w:w="326" w:type="dxa"/>
            <w:tcBorders/>
            <w:tcMar>
              <w:top w:w="0" w:type="dxa"/>
            </w:tcMar>
            <w:vAlign w:val="center"/>
          </w:tcPr>
          <w:p>
            <w:pPr>
              <w:pStyle w:val="TableContents"/>
              <w:bidi w:val="0"/>
              <w:spacing w:before="0" w:after="0"/>
              <w:ind w:left="0" w:right="0" w:hanging="0"/>
              <w:jc w:val="right"/>
              <w:rPr/>
            </w:pPr>
            <w:r>
              <w:rPr/>
              <w:t>​</w:t>
            </w:r>
          </w:p>
        </w:tc>
        <w:tc>
          <w:tcPr>
            <w:tcW w:w="398" w:type="dxa"/>
            <w:tcBorders/>
            <w:tcMar>
              <w:top w:w="0" w:type="dxa"/>
            </w:tcMar>
            <w:vAlign w:val="center"/>
          </w:tcPr>
          <w:p>
            <w:pPr>
              <w:pStyle w:val="TableContents"/>
              <w:bidi w:val="0"/>
              <w:spacing w:before="0" w:after="0"/>
              <w:ind w:left="0" w:right="0" w:hanging="0"/>
              <w:jc w:val="left"/>
              <w:rPr/>
            </w:pPr>
            <w:r>
              <w:rPr/>
              <w:t> </w:t>
            </w:r>
          </w:p>
        </w:tc>
        <w:tc>
          <w:tcPr>
            <w:tcW w:w="802" w:type="dxa"/>
            <w:tcBorders/>
            <w:tcMar>
              <w:top w:w="0" w:type="dxa"/>
            </w:tcMar>
            <w:vAlign w:val="center"/>
          </w:tcPr>
          <w:p>
            <w:pPr>
              <w:pStyle w:val="TableContents"/>
              <w:bidi w:val="0"/>
              <w:spacing w:before="0" w:after="0"/>
              <w:ind w:left="0" w:right="0" w:hanging="0"/>
              <w:jc w:val="right"/>
              <w:rPr/>
            </w:pPr>
            <w:r>
              <w:rPr/>
              <w:t>—</w:t>
            </w:r>
          </w:p>
        </w:tc>
      </w:tr>
      <w:tr>
        <w:trPr/>
        <w:tc>
          <w:tcPr>
            <w:tcW w:w="286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Outstanding, March 31, 2025</w:t>
            </w:r>
          </w:p>
        </w:tc>
        <w:tc>
          <w:tcPr>
            <w:tcW w:w="326" w:type="dxa"/>
            <w:tcBorders/>
            <w:shd w:fill="CCEEFF" w:val="clear"/>
            <w:tcMar>
              <w:top w:w="0"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6,633,802</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4"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5.53</w:t>
            </w:r>
          </w:p>
        </w:tc>
        <w:tc>
          <w:tcPr>
            <w:tcW w:w="326" w:type="dxa"/>
            <w:tcBorders/>
            <w:shd w:fill="CCEEFF" w:val="clear"/>
            <w:tcMar>
              <w:top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3.45</w:t>
            </w:r>
          </w:p>
        </w:tc>
        <w:tc>
          <w:tcPr>
            <w:tcW w:w="326" w:type="dxa"/>
            <w:tcBorders/>
            <w:shd w:fill="CCEEFF" w:val="clear"/>
            <w:tcMar>
              <w:top w:w="0" w:type="dxa"/>
            </w:tcMar>
            <w:vAlign w:val="center"/>
          </w:tcPr>
          <w:p>
            <w:pPr>
              <w:pStyle w:val="TableContents"/>
              <w:bidi w:val="0"/>
              <w:spacing w:before="0" w:after="0"/>
              <w:ind w:left="0" w:right="0" w:hanging="0"/>
              <w:jc w:val="right"/>
              <w:rPr/>
            </w:pPr>
            <w:r>
              <w:rPr/>
              <w:t>​</w:t>
            </w:r>
          </w:p>
        </w:tc>
        <w:tc>
          <w:tcPr>
            <w:tcW w:w="398"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2866" w:type="dxa"/>
            <w:tcBorders/>
            <w:tcMar>
              <w:top w:w="0"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Exercisable at March 31, 2025</w:t>
            </w:r>
          </w:p>
        </w:tc>
        <w:tc>
          <w:tcPr>
            <w:tcW w:w="326" w:type="dxa"/>
            <w:tcBorders/>
            <w:tcMar>
              <w:top w:w="0" w:type="dxa"/>
            </w:tcMar>
            <w:vAlign w:val="center"/>
          </w:tcPr>
          <w:p>
            <w:pPr>
              <w:pStyle w:val="TableContents"/>
              <w:bidi w:val="0"/>
              <w:spacing w:before="0" w:after="0"/>
              <w:ind w:left="0" w:right="0" w:hanging="0"/>
              <w:jc w:val="left"/>
              <w:rPr/>
            </w:pPr>
            <w:r>
              <w:rPr/>
              <w:t>​</w:t>
            </w:r>
          </w:p>
        </w:tc>
        <w:tc>
          <w:tcPr>
            <w:tcW w:w="961" w:type="dxa"/>
            <w:tcBorders>
              <w:bottom w:val="double" w:sz="6"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5,651,511</w:t>
            </w:r>
          </w:p>
        </w:tc>
        <w:tc>
          <w:tcPr>
            <w:tcW w:w="326" w:type="dxa"/>
            <w:tcBorders/>
            <w:tcMar>
              <w:top w:w="0" w:type="dxa"/>
            </w:tcMar>
            <w:vAlign w:val="center"/>
          </w:tcPr>
          <w:p>
            <w:pPr>
              <w:pStyle w:val="TableContents"/>
              <w:bidi w:val="0"/>
              <w:spacing w:before="0" w:after="0"/>
              <w:ind w:left="0" w:right="0" w:hanging="0"/>
              <w:jc w:val="left"/>
              <w:rPr/>
            </w:pPr>
            <w:r>
              <w:rPr/>
              <w:t>​</w:t>
            </w:r>
          </w:p>
        </w:tc>
        <w:tc>
          <w:tcPr>
            <w:tcW w:w="357" w:type="dxa"/>
            <w:tcBorders>
              <w:bottom w:val="double" w:sz="6"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4" w:type="dxa"/>
            <w:tcBorders>
              <w:bottom w:val="double" w:sz="6"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7.09</w:t>
            </w:r>
          </w:p>
        </w:tc>
        <w:tc>
          <w:tcPr>
            <w:tcW w:w="326" w:type="dxa"/>
            <w:tcBorders/>
            <w:tcMar>
              <w:top w:w="0" w:type="dxa"/>
            </w:tcMar>
            <w:vAlign w:val="center"/>
          </w:tcPr>
          <w:p>
            <w:pPr>
              <w:pStyle w:val="TableContents"/>
              <w:bidi w:val="0"/>
              <w:spacing w:before="0" w:after="0"/>
              <w:ind w:left="0" w:right="0" w:hanging="0"/>
              <w:jc w:val="left"/>
              <w:rPr/>
            </w:pPr>
            <w:r>
              <w:rPr/>
              <w:t>​</w:t>
            </w:r>
          </w:p>
        </w:tc>
        <w:tc>
          <w:tcPr>
            <w:tcW w:w="946" w:type="dxa"/>
            <w:tcBorders>
              <w:bottom w:val="double" w:sz="6" w:space="0" w:color="000000"/>
            </w:tcBorders>
            <w:tcMar>
              <w:top w:w="0" w:type="dxa"/>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5.53</w:t>
            </w:r>
          </w:p>
        </w:tc>
        <w:tc>
          <w:tcPr>
            <w:tcW w:w="326" w:type="dxa"/>
            <w:tcBorders/>
            <w:tcMar>
              <w:top w:w="0" w:type="dxa"/>
            </w:tcMar>
            <w:vAlign w:val="center"/>
          </w:tcPr>
          <w:p>
            <w:pPr>
              <w:pStyle w:val="TableContents"/>
              <w:bidi w:val="0"/>
              <w:spacing w:before="0" w:after="0"/>
              <w:ind w:left="0" w:right="0" w:hanging="0"/>
              <w:jc w:val="right"/>
              <w:rPr/>
            </w:pPr>
            <w:r>
              <w:rPr/>
              <w:t>​</w:t>
            </w:r>
          </w:p>
        </w:tc>
        <w:tc>
          <w:tcPr>
            <w:tcW w:w="398" w:type="dxa"/>
            <w:tcBorders>
              <w:bottom w:val="double" w:sz="6"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tcMar>
              <w:top w:w="0" w:type="dxa"/>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35</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weighted average grant date fair value of awards for options granted during the three months ended March 31, 2025 was $5.61. As of March 31, 2025, there was $14,952 of total unrecognized compensation expense related to unvested stock options with time-based vesting terms, which is expected to be recognized over a weighted average period of 2.78 years. The aggregate intrinsic value of options vested and exercisable as of March 31, 2025 and 2024 is calculated based on the difference between the exercise price and the fair value of our common stock. The intrinsic value of options exercised in 2025 and 2024 was $35 and $1,862, respectively.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Starting in June of 2023, the Company had sufficient historical information regarding stock trading history, and started to use the Company’s own stock volatility.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expected term of the option are based on the U.S. Treasury securities with a maturity date commensurate with the expected term of the associated award. The Company will account for actual forfeitures as they occur.</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weighted-average assumptions used to calculate the fair value of stock options granted are as follows:</w:t>
      </w:r>
    </w:p>
    <w:p>
      <w:pPr>
        <w:pStyle w:val="TextBody"/>
        <w:bidi w:val="0"/>
        <w:spacing w:before="0" w:after="0"/>
        <w:ind w:left="0" w:right="0" w:hanging="0"/>
        <w:jc w:val="left"/>
        <w:rPr/>
      </w:pPr>
      <w:r>
        <w:rPr/>
        <w:t>​</w:t>
      </w:r>
    </w:p>
    <w:tbl>
      <w:tblPr>
        <w:tblW w:w="6496" w:type="dxa"/>
        <w:jc w:val="left"/>
        <w:tblInd w:w="0" w:type="dxa"/>
        <w:tblLayout w:type="fixed"/>
        <w:tblCellMar>
          <w:top w:w="28" w:type="dxa"/>
          <w:left w:w="0" w:type="dxa"/>
          <w:bottom w:w="0" w:type="dxa"/>
          <w:right w:w="0" w:type="dxa"/>
        </w:tblCellMar>
      </w:tblPr>
      <w:tblGrid>
        <w:gridCol w:w="2641"/>
        <w:gridCol w:w="326"/>
        <w:gridCol w:w="1246"/>
        <w:gridCol w:w="406"/>
        <w:gridCol w:w="1546"/>
        <w:gridCol w:w="331"/>
      </w:tblGrid>
      <w:tr>
        <w:trPr/>
        <w:tc>
          <w:tcPr>
            <w:tcW w:w="2641"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677035" cy="175260"/>
                      <wp:effectExtent l="0" t="0" r="0" b="0"/>
                      <wp:wrapNone/>
                      <wp:docPr id="202" name="Frame202"/>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91210" cy="175260"/>
                      <wp:effectExtent l="0" t="0" r="0" b="0"/>
                      <wp:wrapNone/>
                      <wp:docPr id="204" name="Frame20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57810" cy="175260"/>
                      <wp:effectExtent l="0" t="0" r="0" b="0"/>
                      <wp:wrapNone/>
                      <wp:docPr id="205" name="Frame20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981710" cy="175260"/>
                      <wp:effectExtent l="0" t="0" r="0" b="0"/>
                      <wp:wrapNone/>
                      <wp:docPr id="206" name="Frame206"/>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tcMar>
              <w:top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0185" cy="175260"/>
                      <wp:effectExtent l="0" t="0" r="0" b="0"/>
                      <wp:wrapNone/>
                      <wp:docPr id="207" name="Frame20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2025</w:t>
            </w:r>
          </w:p>
        </w:tc>
        <w:tc>
          <w:tcPr>
            <w:tcW w:w="406" w:type="dxa"/>
            <w:tcBorders/>
            <w:tcMar>
              <w:top w:w="0" w:type="dxa"/>
            </w:tcMar>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2024</w:t>
            </w:r>
          </w:p>
        </w:tc>
        <w:tc>
          <w:tcPr>
            <w:tcW w:w="331" w:type="dxa"/>
            <w:tcBorders/>
            <w:tcMar>
              <w:top w:w="0" w:type="dxa"/>
            </w:tcMar>
            <w:vAlign w:val="center"/>
          </w:tcPr>
          <w:p>
            <w:pPr>
              <w:pStyle w:val="TableContents"/>
              <w:bidi w:val="0"/>
              <w:spacing w:before="0" w:after="0"/>
              <w:ind w:left="0" w:right="0" w:hanging="0"/>
              <w:jc w:val="left"/>
              <w:rPr/>
            </w:pPr>
            <w:r>
              <w:rPr/>
              <w:t> </w:t>
            </w:r>
          </w:p>
        </w:tc>
      </w:tr>
      <w:tr>
        <w:trPr/>
        <w:tc>
          <w:tcPr>
            <w:tcW w:w="2641"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dividend rate</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1246" w:type="dxa"/>
            <w:tcBorders/>
            <w:shd w:fill="CCEEFF" w:val="clear"/>
            <w:tcMar>
              <w:top w:w="0" w:type="dxa"/>
            </w:tcMar>
            <w:vAlign w:val="center"/>
          </w:tcPr>
          <w:p>
            <w:pPr>
              <w:pStyle w:val="TableContents"/>
              <w:bidi w:val="0"/>
              <w:spacing w:before="0" w:after="0"/>
              <w:ind w:left="0" w:right="0" w:hanging="0"/>
              <w:jc w:val="right"/>
              <w:rPr/>
            </w:pPr>
            <w:r>
              <w:rPr/>
              <w:t>—</w:t>
            </w:r>
          </w:p>
        </w:tc>
        <w:tc>
          <w:tcPr>
            <w:tcW w:w="406" w:type="dxa"/>
            <w:tcBorders/>
            <w:shd w:fill="CCEEFF" w:val="clear"/>
            <w:tcMar>
              <w:top w:w="0" w:type="dxa"/>
            </w:tcMar>
            <w:vAlign w:val="center"/>
          </w:tcPr>
          <w:p>
            <w:pPr>
              <w:pStyle w:val="TableContents"/>
              <w:bidi w:val="0"/>
              <w:spacing w:before="0" w:after="0"/>
              <w:ind w:left="0" w:right="0" w:hanging="0"/>
              <w:jc w:val="left"/>
              <w:rPr/>
            </w:pPr>
            <w:r>
              <w:rPr/>
              <w:t> </w:t>
            </w:r>
          </w:p>
        </w:tc>
        <w:tc>
          <w:tcPr>
            <w:tcW w:w="1546" w:type="dxa"/>
            <w:tcBorders/>
            <w:shd w:fill="CCEEFF" w:val="clear"/>
            <w:tcMar>
              <w:top w:w="0" w:type="dxa"/>
            </w:tcMar>
            <w:vAlign w:val="center"/>
          </w:tcPr>
          <w:p>
            <w:pPr>
              <w:pStyle w:val="TableContents"/>
              <w:bidi w:val="0"/>
              <w:spacing w:before="0" w:after="0"/>
              <w:ind w:left="0" w:right="0" w:hanging="0"/>
              <w:jc w:val="right"/>
              <w:rPr/>
            </w:pPr>
            <w:r>
              <w:rPr/>
              <w:t>—</w:t>
            </w:r>
          </w:p>
        </w:tc>
        <w:tc>
          <w:tcPr>
            <w:tcW w:w="331" w:type="dxa"/>
            <w:tcBorders/>
            <w:shd w:fill="CCEEFF" w:val="clear"/>
            <w:tcMar>
              <w:top w:w="0" w:type="dxa"/>
            </w:tcMar>
            <w:vAlign w:val="center"/>
          </w:tcPr>
          <w:p>
            <w:pPr>
              <w:pStyle w:val="TableContents"/>
              <w:bidi w:val="0"/>
              <w:spacing w:before="0" w:after="0"/>
              <w:ind w:left="0" w:right="0" w:hanging="0"/>
              <w:jc w:val="left"/>
              <w:rPr/>
            </w:pPr>
            <w:r>
              <w:rPr/>
              <w:t>​</w:t>
            </w:r>
          </w:p>
        </w:tc>
      </w:tr>
      <w:tr>
        <w:trPr/>
        <w:tc>
          <w:tcPr>
            <w:tcW w:w="2641"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option term (years)</w:t>
            </w:r>
          </w:p>
        </w:tc>
        <w:tc>
          <w:tcPr>
            <w:tcW w:w="326" w:type="dxa"/>
            <w:tcBorders/>
            <w:tcMar>
              <w:top w:w="0" w:type="dxa"/>
            </w:tcMar>
            <w:vAlign w:val="center"/>
          </w:tcPr>
          <w:p>
            <w:pPr>
              <w:pStyle w:val="TableContents"/>
              <w:bidi w:val="0"/>
              <w:spacing w:before="0" w:after="0"/>
              <w:ind w:left="0" w:right="0" w:hanging="0"/>
              <w:jc w:val="left"/>
              <w:rPr/>
            </w:pPr>
            <w:r>
              <w:rPr/>
              <w:t>​</w:t>
            </w:r>
          </w:p>
        </w:tc>
        <w:tc>
          <w:tcPr>
            <w:tcW w:w="1246"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6.08</w:t>
            </w:r>
          </w:p>
        </w:tc>
        <w:tc>
          <w:tcPr>
            <w:tcW w:w="406" w:type="dxa"/>
            <w:tcBorders/>
            <w:tcMar>
              <w:top w:w="0" w:type="dxa"/>
            </w:tcMar>
            <w:vAlign w:val="center"/>
          </w:tcPr>
          <w:p>
            <w:pPr>
              <w:pStyle w:val="TableContents"/>
              <w:bidi w:val="0"/>
              <w:spacing w:before="0" w:after="0"/>
              <w:ind w:left="0" w:right="0" w:hanging="0"/>
              <w:jc w:val="left"/>
              <w:rPr/>
            </w:pPr>
            <w:r>
              <w:rPr/>
              <w:t> </w:t>
            </w:r>
          </w:p>
        </w:tc>
        <w:tc>
          <w:tcPr>
            <w:tcW w:w="1546"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6.02</w:t>
            </w:r>
          </w:p>
        </w:tc>
        <w:tc>
          <w:tcPr>
            <w:tcW w:w="331" w:type="dxa"/>
            <w:tcBorders/>
            <w:tcMar>
              <w:top w:w="0" w:type="dxa"/>
            </w:tcMar>
            <w:vAlign w:val="center"/>
          </w:tcPr>
          <w:p>
            <w:pPr>
              <w:pStyle w:val="TableContents"/>
              <w:bidi w:val="0"/>
              <w:spacing w:before="0" w:after="0"/>
              <w:ind w:left="0" w:right="0" w:hanging="0"/>
              <w:jc w:val="left"/>
              <w:rPr/>
            </w:pPr>
            <w:r>
              <w:rPr/>
              <w:t>​</w:t>
            </w:r>
          </w:p>
        </w:tc>
      </w:tr>
      <w:tr>
        <w:trPr/>
        <w:tc>
          <w:tcPr>
            <w:tcW w:w="2641"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326" w:type="dxa"/>
            <w:tcBorders/>
            <w:shd w:fill="CCEEFF" w:val="clear"/>
            <w:tcMar>
              <w:top w:w="0" w:type="dxa"/>
            </w:tcMar>
            <w:vAlign w:val="center"/>
          </w:tcPr>
          <w:p>
            <w:pPr>
              <w:pStyle w:val="TableContents"/>
              <w:bidi w:val="0"/>
              <w:spacing w:before="0" w:after="0"/>
              <w:ind w:left="0" w:right="0" w:hanging="0"/>
              <w:jc w:val="left"/>
              <w:rPr/>
            </w:pPr>
            <w:r>
              <w:rPr/>
              <w:t>​</w:t>
            </w:r>
          </w:p>
        </w:tc>
        <w:tc>
          <w:tcPr>
            <w:tcW w:w="1246"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79.49</w:t>
            </w:r>
          </w:p>
        </w:tc>
        <w:tc>
          <w:tcPr>
            <w:tcW w:w="406"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1546" w:type="dxa"/>
            <w:tcBorders/>
            <w:shd w:fill="CCEEFF" w:val="clear"/>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78.84</w:t>
            </w:r>
          </w:p>
        </w:tc>
        <w:tc>
          <w:tcPr>
            <w:tcW w:w="331" w:type="dxa"/>
            <w:tcBorders/>
            <w:shd w:fill="CCEEFF" w:val="clear"/>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41"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326" w:type="dxa"/>
            <w:tcBorders/>
            <w:tcMar>
              <w:top w:w="0" w:type="dxa"/>
            </w:tcMar>
            <w:vAlign w:val="center"/>
          </w:tcPr>
          <w:p>
            <w:pPr>
              <w:pStyle w:val="TableContents"/>
              <w:bidi w:val="0"/>
              <w:spacing w:before="0" w:after="0"/>
              <w:ind w:left="0" w:right="0" w:hanging="0"/>
              <w:jc w:val="left"/>
              <w:rPr/>
            </w:pPr>
            <w:r>
              <w:rPr/>
              <w:t>​</w:t>
            </w:r>
          </w:p>
        </w:tc>
        <w:tc>
          <w:tcPr>
            <w:tcW w:w="1246"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3.93</w:t>
            </w:r>
          </w:p>
        </w:tc>
        <w:tc>
          <w:tcPr>
            <w:tcW w:w="406"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1546" w:type="dxa"/>
            <w:tcBorders/>
            <w:tcMar>
              <w:top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4.29</w:t>
            </w:r>
          </w:p>
        </w:tc>
        <w:tc>
          <w:tcPr>
            <w:tcW w:w="331" w:type="dxa"/>
            <w:tcBorders/>
            <w:tcMar>
              <w:top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Stock-based compensation expense recorded under ASC 718 related to stock options granted and common stock issued under the 2021 Employee Stock Purchase Plan (the “ESPP”) were allocated to research and development and general and administrative expense as follows:</w:t>
      </w:r>
    </w:p>
    <w:p>
      <w:pPr>
        <w:pStyle w:val="TextBody"/>
        <w:bidi w:val="0"/>
        <w:spacing w:before="0" w:after="0"/>
        <w:ind w:left="0" w:right="0" w:hanging="0"/>
        <w:jc w:val="left"/>
        <w:rPr/>
      </w:pPr>
      <w:r>
        <w:rPr/>
        <w:t>​</w:t>
      </w:r>
    </w:p>
    <w:tbl>
      <w:tblPr>
        <w:tblW w:w="7013" w:type="dxa"/>
        <w:jc w:val="left"/>
        <w:tblInd w:w="0" w:type="dxa"/>
        <w:tblLayout w:type="fixed"/>
        <w:tblCellMar>
          <w:top w:w="0" w:type="dxa"/>
          <w:left w:w="0" w:type="dxa"/>
          <w:bottom w:w="0" w:type="dxa"/>
          <w:right w:w="0" w:type="dxa"/>
        </w:tblCellMar>
      </w:tblPr>
      <w:tblGrid>
        <w:gridCol w:w="2956"/>
        <w:gridCol w:w="326"/>
        <w:gridCol w:w="445"/>
        <w:gridCol w:w="1235"/>
        <w:gridCol w:w="326"/>
        <w:gridCol w:w="403"/>
        <w:gridCol w:w="1322"/>
      </w:tblGrid>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12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left"/>
              <w:rPr/>
            </w:pPr>
            <w:r>
              <w:rPr/>
              <w:t>​</w:t>
            </w:r>
          </w:p>
        </w:tc>
        <w:tc>
          <w:tcPr>
            <w:tcW w:w="1322"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80"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1725"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80"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March 31, </w:t>
            </w:r>
          </w:p>
        </w:tc>
        <w:tc>
          <w:tcPr>
            <w:tcW w:w="326" w:type="dxa"/>
            <w:tcBorders/>
            <w:vAlign w:val="center"/>
          </w:tcPr>
          <w:p>
            <w:pPr>
              <w:pStyle w:val="TableContents"/>
              <w:bidi w:val="0"/>
              <w:spacing w:before="0" w:after="1"/>
              <w:ind w:left="0" w:right="0" w:hanging="0"/>
              <w:jc w:val="center"/>
              <w:rPr/>
            </w:pPr>
            <w:r>
              <w:rPr/>
              <w:t>​</w:t>
            </w:r>
          </w:p>
        </w:tc>
        <w:tc>
          <w:tcPr>
            <w:tcW w:w="1725"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March 31, </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2025</w:t>
            </w:r>
          </w:p>
        </w:tc>
        <w:tc>
          <w:tcPr>
            <w:tcW w:w="326" w:type="dxa"/>
            <w:tcBorders/>
            <w:vAlign w:val="center"/>
          </w:tcPr>
          <w:p>
            <w:pPr>
              <w:pStyle w:val="TableContents"/>
              <w:bidi w:val="0"/>
              <w:spacing w:before="0" w:after="1"/>
              <w:ind w:left="0" w:right="0" w:hanging="0"/>
              <w:jc w:val="center"/>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2024</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1"/>
              <w:ind w:left="0" w:right="0" w:hanging="0"/>
              <w:jc w:val="right"/>
              <w:rPr/>
            </w:pPr>
            <w:r>
              <w:rPr/>
              <w:t>​</w:t>
            </w:r>
          </w:p>
        </w:tc>
        <w:tc>
          <w:tcPr>
            <w:tcW w:w="44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1,580</w:t>
            </w:r>
          </w:p>
        </w:tc>
        <w:tc>
          <w:tcPr>
            <w:tcW w:w="326" w:type="dxa"/>
            <w:tcBorders/>
            <w:shd w:fill="CCEEFF" w:val="clear"/>
            <w:vAlign w:val="center"/>
          </w:tcPr>
          <w:p>
            <w:pPr>
              <w:pStyle w:val="TableContents"/>
              <w:bidi w:val="0"/>
              <w:spacing w:before="0" w:after="1"/>
              <w:ind w:left="0" w:right="0" w:hanging="0"/>
              <w:jc w:val="right"/>
              <w:rPr/>
            </w:pPr>
            <w:r>
              <w:rPr/>
              <w:t>​</w:t>
            </w:r>
          </w:p>
        </w:tc>
        <w:tc>
          <w:tcPr>
            <w:tcW w:w="4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2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1,748</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1"/>
              <w:ind w:left="0" w:right="0" w:hanging="0"/>
              <w:jc w:val="right"/>
              <w:rPr/>
            </w:pPr>
            <w:r>
              <w:rPr/>
              <w:t>​</w:t>
            </w:r>
          </w:p>
        </w:tc>
        <w:tc>
          <w:tcPr>
            <w:tcW w:w="4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846</w:t>
            </w:r>
          </w:p>
        </w:tc>
        <w:tc>
          <w:tcPr>
            <w:tcW w:w="326" w:type="dxa"/>
            <w:tcBorders/>
            <w:vAlign w:val="center"/>
          </w:tcPr>
          <w:p>
            <w:pPr>
              <w:pStyle w:val="TableContents"/>
              <w:bidi w:val="0"/>
              <w:spacing w:before="0" w:after="1"/>
              <w:ind w:left="0" w:right="0" w:hanging="0"/>
              <w:jc w:val="righ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2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1,459</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stock-based compensation</w:t>
            </w:r>
          </w:p>
        </w:tc>
        <w:tc>
          <w:tcPr>
            <w:tcW w:w="326" w:type="dxa"/>
            <w:tcBorders/>
            <w:shd w:fill="CCEEFF" w:val="clear"/>
            <w:vAlign w:val="center"/>
          </w:tcPr>
          <w:p>
            <w:pPr>
              <w:pStyle w:val="TableContents"/>
              <w:bidi w:val="0"/>
              <w:spacing w:before="0" w:after="1"/>
              <w:ind w:left="0" w:right="0" w:hanging="0"/>
              <w:jc w:val="righ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2,426</w:t>
            </w:r>
          </w:p>
        </w:tc>
        <w:tc>
          <w:tcPr>
            <w:tcW w:w="326" w:type="dxa"/>
            <w:tcBorders/>
            <w:shd w:fill="CCEEFF" w:val="clear"/>
            <w:vAlign w:val="center"/>
          </w:tcPr>
          <w:p>
            <w:pPr>
              <w:pStyle w:val="TableContents"/>
              <w:bidi w:val="0"/>
              <w:spacing w:before="0" w:after="1"/>
              <w:ind w:left="0" w:right="0" w:hanging="0"/>
              <w:jc w:val="right"/>
              <w:rPr/>
            </w:pPr>
            <w:r>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2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3,207</w:t>
            </w:r>
          </w:p>
        </w:tc>
      </w:tr>
    </w:tbl>
    <w:p>
      <w:pPr>
        <w:pStyle w:val="TextBody"/>
        <w:bidi w:val="0"/>
        <w:spacing w:before="0" w:after="200"/>
        <w:ind w:left="0" w:right="0" w:hanging="0"/>
        <w:jc w:val="left"/>
        <w:rPr>
          <w:shd w:fill="FFFF00" w:val="clear"/>
        </w:rPr>
      </w:pPr>
      <w:r>
        <w:rPr>
          <w:shd w:fill="FFFF00" w:val="clea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934" w:name="Tc_vewLqX2q8EyQq3VG3yc6JQ_7_4"/>
      <w:bookmarkStart w:id="935" w:name="Tc_R0TpC0EBukqlVQWggzivxQ_7_2"/>
      <w:bookmarkStart w:id="936" w:name="Tc_IxmoDU_B6UOQ1X4XYB7APA_7_0"/>
      <w:bookmarkStart w:id="937" w:name="Tc_01rS_R9LjUW4uknxQyYdcA_6_0"/>
      <w:bookmarkStart w:id="938" w:name="Tc_tq4uVImNQECtyC2LgPyrAw_5_5"/>
      <w:bookmarkStart w:id="939" w:name="Tc_WeYKRl9lokyE8x5MKFK4gg_5_2"/>
      <w:bookmarkStart w:id="940" w:name="Tc_pz1kVN8gPUOL0ROAER01YQ_5_0"/>
      <w:bookmarkStart w:id="941" w:name="Tc_xtc9vnRvY02TYZS2U2da8A_4_5"/>
      <w:bookmarkStart w:id="942" w:name="Tc_JVQTkdAMEEuWGkgDObptNQ_4_2"/>
      <w:bookmarkStart w:id="943" w:name="Tc_F9nqJ1HB90yoq5v5K5ZSHg_4_0"/>
      <w:bookmarkStart w:id="944" w:name="Tc_4TocE7L2a0OCthxg8MTVzg_3_4"/>
      <w:bookmarkStart w:id="945" w:name="Tc_TU1Zm_AVyUWGaJB66m17ug_3_0"/>
      <w:bookmarkStart w:id="946" w:name="Tc_vK0YoXMAvEuTo7XTGjBDqA_2_4"/>
      <w:bookmarkStart w:id="947" w:name="Tc_P5XlCVMRREyGHK0udwG5iQ_2_2"/>
      <w:bookmarkStart w:id="948" w:name="Tc_YZH7105B1EqOUyOIQpzbbw_1_4"/>
      <w:bookmarkStart w:id="949" w:name="Tc_luE-x6WFAkyEWcaqgxKq6w_7_4"/>
      <w:bookmarkStart w:id="950" w:name="Tc_PYhob-9L7kylpGhGZuuiWg_7_0"/>
      <w:bookmarkStart w:id="951" w:name="Tc_SEl89-qvx0GHpxFZJEFH1A_6_0"/>
      <w:bookmarkStart w:id="952" w:name="Tc_97q-TY_xVEOn1IDl3qMczA_5_0"/>
      <w:bookmarkStart w:id="953" w:name="Tc_gmdXLBfy-km4iWO_RhFujA_4_0"/>
      <w:bookmarkStart w:id="954" w:name="Tc_T5szae3Uz02qVh46x7ToNQ_3_4"/>
      <w:bookmarkStart w:id="955" w:name="Tc_14t1GUT7a0-GoWWJ093kNg_3_0"/>
      <w:bookmarkStart w:id="956" w:name="Tc_kDcOUs1_Kk-9Ssc8oW_3zA_2_4"/>
      <w:bookmarkStart w:id="957" w:name="Tc_Abvga08xAU-E39pZx3JJkQ_2_2"/>
      <w:bookmarkStart w:id="958" w:name="Tc_sLOYxMPfSkaM9ImNVFeuXA_1_4"/>
      <w:bookmarkStart w:id="959" w:name="Tc__5IXri1zjUuI26C9txhkAw_8_5"/>
      <w:bookmarkStart w:id="960" w:name="Tc_fAXv2pv34kKulsKpzHq3KQ_8_2"/>
      <w:bookmarkStart w:id="961" w:name="Tc_AypByi96AESzX0g1nJErpg_8_0"/>
      <w:bookmarkStart w:id="962" w:name="Tc_hww4BUIaQEao8vl52QCOpQ_7_0"/>
      <w:bookmarkStart w:id="963" w:name="Tc_Bv2PKL8QKUKfZvHKZ9Rl0A_6_0"/>
      <w:bookmarkStart w:id="964" w:name="Tc_SBgYJJnw1E-VL3UaBaRbZQ_5_0"/>
      <w:bookmarkStart w:id="965" w:name="Tc_BrXGqIblckKMI6imD9yZBg_4_5"/>
      <w:bookmarkStart w:id="966" w:name="Tc_nXrD_DP1gUWrsKhOKwh-Jw_4_0"/>
      <w:bookmarkStart w:id="967" w:name="Tc_TAm3HpzHxEmGX_gvN2qjlg_3_5"/>
      <w:bookmarkStart w:id="968" w:name="Tc_iheF4lvToUyVYY3xZEd2_A_3_2"/>
      <w:bookmarkStart w:id="969" w:name="Tc_PTkMLn_HWEaxO1A3z6Fjag_2_5"/>
      <w:bookmarkStart w:id="970" w:name="Tc_-6TbOo3yVESKF1CDomaC3Q_2_2"/>
      <w:bookmarkStart w:id="971" w:name="Tc_vsleu6zNjUeMO_OKbYPzrQ_1_5"/>
      <w:bookmarkStart w:id="972" w:name="Tc_012h7g27m0yyWtVTMiF0Yw_1_2"/>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r>
        <w:rPr>
          <w:rFonts w:ascii="Arial;Helvetica;sans-serif" w:hAnsi="Arial;Helvetica;sans-serif"/>
          <w:sz w:val="20"/>
        </w:rPr>
        <w:t>Stock-based compensation expense by award type included within the condensed consolidated statements of operations is as follows:</w:t>
      </w:r>
    </w:p>
    <w:p>
      <w:pPr>
        <w:pStyle w:val="TextBody"/>
        <w:bidi w:val="0"/>
        <w:spacing w:before="0" w:after="0"/>
        <w:ind w:left="0" w:right="0" w:hanging="0"/>
        <w:jc w:val="left"/>
        <w:rPr/>
      </w:pPr>
      <w:r>
        <w:rPr/>
        <w:t>​</w:t>
      </w:r>
    </w:p>
    <w:tbl>
      <w:tblPr>
        <w:tblW w:w="6923" w:type="dxa"/>
        <w:jc w:val="left"/>
        <w:tblInd w:w="0" w:type="dxa"/>
        <w:tblLayout w:type="fixed"/>
        <w:tblCellMar>
          <w:top w:w="28" w:type="dxa"/>
          <w:left w:w="0" w:type="dxa"/>
          <w:bottom w:w="0" w:type="dxa"/>
          <w:right w:w="0" w:type="dxa"/>
        </w:tblCellMar>
      </w:tblPr>
      <w:tblGrid>
        <w:gridCol w:w="2956"/>
        <w:gridCol w:w="326"/>
        <w:gridCol w:w="433"/>
        <w:gridCol w:w="1202"/>
        <w:gridCol w:w="326"/>
        <w:gridCol w:w="393"/>
        <w:gridCol w:w="1287"/>
      </w:tblGrid>
      <w:tr>
        <w:trPr/>
        <w:tc>
          <w:tcPr>
            <w:tcW w:w="2956" w:type="dxa"/>
            <w:tcBorders>
              <w:top w:val="single" w:sz="2" w:space="0" w:color="000000"/>
            </w:tcBorders>
            <w:vAlign w:val="center"/>
          </w:tcPr>
          <w:p>
            <w:pPr>
              <w:pStyle w:val="TableContents"/>
              <w:bidi w:val="0"/>
              <w:spacing w:before="0" w:after="1"/>
              <w:ind w:left="0" w:right="0" w:hanging="0"/>
              <w:jc w:val="left"/>
              <w:rPr/>
            </w:pPr>
            <w:r>
              <w:rPr/>
              <w:t>​</w:t>
            </w:r>
          </w:p>
        </w:tc>
        <w:tc>
          <w:tcPr>
            <w:tcW w:w="326" w:type="dxa"/>
            <w:tcBorders>
              <w:top w:val="single" w:sz="2" w:space="0" w:color="000000"/>
            </w:tcBorders>
            <w:vAlign w:val="center"/>
          </w:tcPr>
          <w:p>
            <w:pPr>
              <w:pStyle w:val="TableContents"/>
              <w:bidi w:val="0"/>
              <w:spacing w:before="0" w:after="1"/>
              <w:ind w:left="0" w:right="0" w:hanging="0"/>
              <w:jc w:val="left"/>
              <w:rPr/>
            </w:pPr>
            <w:r>
              <w:rPr/>
              <w:t>​</w:t>
            </w:r>
          </w:p>
        </w:tc>
        <w:tc>
          <w:tcPr>
            <w:tcW w:w="433" w:type="dxa"/>
            <w:tcBorders>
              <w:top w:val="single" w:sz="2" w:space="0" w:color="000000"/>
            </w:tcBorders>
            <w:vAlign w:val="center"/>
          </w:tcPr>
          <w:p>
            <w:pPr>
              <w:pStyle w:val="TableContents"/>
              <w:bidi w:val="0"/>
              <w:spacing w:before="0" w:after="1"/>
              <w:ind w:left="0" w:right="0" w:hanging="0"/>
              <w:jc w:val="left"/>
              <w:rPr/>
            </w:pPr>
            <w:r>
              <w:rPr/>
              <w:t>​</w:t>
            </w:r>
          </w:p>
        </w:tc>
        <w:tc>
          <w:tcPr>
            <w:tcW w:w="1202" w:type="dxa"/>
            <w:tcBorders>
              <w:top w:val="single" w:sz="2" w:space="0" w:color="000000"/>
            </w:tcBorders>
            <w:vAlign w:val="center"/>
          </w:tcPr>
          <w:p>
            <w:pPr>
              <w:pStyle w:val="TableContents"/>
              <w:bidi w:val="0"/>
              <w:spacing w:before="0" w:after="1"/>
              <w:ind w:left="0" w:right="0" w:hanging="0"/>
              <w:jc w:val="left"/>
              <w:rPr/>
            </w:pPr>
            <w:r>
              <w:rPr/>
              <w:t>​</w:t>
            </w:r>
          </w:p>
        </w:tc>
        <w:tc>
          <w:tcPr>
            <w:tcW w:w="326" w:type="dxa"/>
            <w:tcBorders>
              <w:top w:val="single" w:sz="2" w:space="0" w:color="000000"/>
            </w:tcBorders>
            <w:vAlign w:val="center"/>
          </w:tcPr>
          <w:p>
            <w:pPr>
              <w:pStyle w:val="TableContents"/>
              <w:bidi w:val="0"/>
              <w:spacing w:before="0" w:after="1"/>
              <w:ind w:left="0" w:right="0" w:hanging="0"/>
              <w:jc w:val="left"/>
              <w:rPr/>
            </w:pPr>
            <w:r>
              <w:rPr/>
              <w:t>​</w:t>
            </w:r>
          </w:p>
        </w:tc>
        <w:tc>
          <w:tcPr>
            <w:tcW w:w="393" w:type="dxa"/>
            <w:tcBorders>
              <w:top w:val="single" w:sz="2" w:space="0" w:color="000000"/>
            </w:tcBorders>
            <w:vAlign w:val="center"/>
          </w:tcPr>
          <w:p>
            <w:pPr>
              <w:pStyle w:val="TableContents"/>
              <w:bidi w:val="0"/>
              <w:spacing w:before="0" w:after="1"/>
              <w:ind w:left="0" w:right="0" w:hanging="0"/>
              <w:jc w:val="left"/>
              <w:rPr/>
            </w:pPr>
            <w:r>
              <w:rPr/>
              <w:t>​</w:t>
            </w:r>
          </w:p>
        </w:tc>
        <w:tc>
          <w:tcPr>
            <w:tcW w:w="1287" w:type="dxa"/>
            <w:tcBorders>
              <w:top w:val="single" w:sz="2" w:space="0" w:color="000000"/>
            </w:tcBorders>
            <w:vAlign w:val="center"/>
          </w:tcPr>
          <w:p>
            <w:pPr>
              <w:pStyle w:val="TableContents"/>
              <w:bidi w:val="0"/>
              <w:spacing w:before="0" w:after="1"/>
              <w:ind w:left="0" w:right="0" w:hanging="0"/>
              <w:jc w:val="left"/>
              <w:rPr/>
            </w:pPr>
            <w:r>
              <w:rPr/>
              <w:t>​</w:t>
            </w:r>
          </w:p>
        </w:tc>
      </w:tr>
      <w:tr>
        <w:trPr/>
        <w:tc>
          <w:tcPr>
            <w:tcW w:w="2956" w:type="dxa"/>
            <w:tcBorders/>
            <w:tcMar>
              <w:top w:w="0" w:type="dxa"/>
            </w:tcMar>
            <w:vAlign w:val="center"/>
          </w:tcPr>
          <w:p>
            <w:pPr>
              <w:pStyle w:val="TableContents"/>
              <w:bidi w:val="0"/>
              <w:spacing w:before="0" w:after="1"/>
              <w:ind w:left="0" w:right="0" w:hanging="0"/>
              <w:jc w:val="left"/>
              <w:rPr/>
            </w:pPr>
            <w:r>
              <w:rPr/>
              <w:t>​</w:t>
            </w:r>
          </w:p>
        </w:tc>
        <w:tc>
          <w:tcPr>
            <w:tcW w:w="326" w:type="dxa"/>
            <w:tcBorders/>
            <w:tcMar>
              <w:top w:w="0" w:type="dxa"/>
            </w:tcMar>
            <w:vAlign w:val="center"/>
          </w:tcPr>
          <w:p>
            <w:pPr>
              <w:pStyle w:val="TableContents"/>
              <w:bidi w:val="0"/>
              <w:spacing w:before="0" w:after="1"/>
              <w:ind w:left="0" w:right="0" w:hanging="0"/>
              <w:jc w:val="center"/>
              <w:rPr/>
            </w:pPr>
            <w:r>
              <w:rPr/>
              <w:t>​</w:t>
            </w:r>
          </w:p>
        </w:tc>
        <w:tc>
          <w:tcPr>
            <w:tcW w:w="1635" w:type="dxa"/>
            <w:gridSpan w:val="2"/>
            <w:tcBorders/>
            <w:tcMar>
              <w:top w:w="0"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Three Months Ended</w:t>
            </w:r>
          </w:p>
        </w:tc>
        <w:tc>
          <w:tcPr>
            <w:tcW w:w="326" w:type="dxa"/>
            <w:tcBorders/>
            <w:tcMar>
              <w:top w:w="0" w:type="dxa"/>
            </w:tcMar>
            <w:vAlign w:val="center"/>
          </w:tcPr>
          <w:p>
            <w:pPr>
              <w:pStyle w:val="TableContents"/>
              <w:bidi w:val="0"/>
              <w:spacing w:before="0" w:after="1"/>
              <w:ind w:left="0" w:right="0" w:hanging="0"/>
              <w:jc w:val="center"/>
              <w:rPr/>
            </w:pPr>
            <w:r>
              <w:rPr/>
              <w:t>​</w:t>
            </w:r>
          </w:p>
        </w:tc>
        <w:tc>
          <w:tcPr>
            <w:tcW w:w="1680" w:type="dxa"/>
            <w:gridSpan w:val="2"/>
            <w:tcBorders/>
            <w:tcMar>
              <w:top w:w="0"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Three Months Ended</w:t>
            </w:r>
          </w:p>
        </w:tc>
      </w:tr>
      <w:tr>
        <w:trPr/>
        <w:tc>
          <w:tcPr>
            <w:tcW w:w="2956" w:type="dxa"/>
            <w:tcBorders/>
            <w:tcMar>
              <w:top w:w="0" w:type="dxa"/>
            </w:tcMar>
            <w:vAlign w:val="center"/>
          </w:tcPr>
          <w:p>
            <w:pPr>
              <w:pStyle w:val="TableContents"/>
              <w:bidi w:val="0"/>
              <w:spacing w:before="0" w:after="1"/>
              <w:ind w:left="0" w:right="0" w:hanging="0"/>
              <w:jc w:val="left"/>
              <w:rPr/>
            </w:pPr>
            <w:r>
              <w:rPr/>
              <w:t>​</w:t>
            </w:r>
          </w:p>
        </w:tc>
        <w:tc>
          <w:tcPr>
            <w:tcW w:w="326" w:type="dxa"/>
            <w:tcBorders/>
            <w:tcMar>
              <w:top w:w="0" w:type="dxa"/>
            </w:tcMar>
            <w:vAlign w:val="center"/>
          </w:tcPr>
          <w:p>
            <w:pPr>
              <w:pStyle w:val="TableContents"/>
              <w:bidi w:val="0"/>
              <w:spacing w:before="0" w:after="1"/>
              <w:ind w:left="0" w:right="0" w:hanging="0"/>
              <w:jc w:val="center"/>
              <w:rPr/>
            </w:pPr>
            <w:r>
              <w:rPr/>
              <w:t>​</w:t>
            </w:r>
          </w:p>
        </w:tc>
        <w:tc>
          <w:tcPr>
            <w:tcW w:w="1635" w:type="dxa"/>
            <w:gridSpan w:val="2"/>
            <w:tcBorders/>
            <w:tcMar>
              <w:top w:w="0"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March 31,</w:t>
            </w:r>
          </w:p>
        </w:tc>
        <w:tc>
          <w:tcPr>
            <w:tcW w:w="326" w:type="dxa"/>
            <w:tcBorders/>
            <w:tcMar>
              <w:top w:w="0" w:type="dxa"/>
            </w:tcMar>
            <w:vAlign w:val="center"/>
          </w:tcPr>
          <w:p>
            <w:pPr>
              <w:pStyle w:val="TableContents"/>
              <w:bidi w:val="0"/>
              <w:spacing w:before="0" w:after="1"/>
              <w:ind w:left="0" w:right="0" w:hanging="0"/>
              <w:jc w:val="center"/>
              <w:rPr/>
            </w:pPr>
            <w:r>
              <w:rPr/>
              <w:t>​</w:t>
            </w:r>
          </w:p>
        </w:tc>
        <w:tc>
          <w:tcPr>
            <w:tcW w:w="1680" w:type="dxa"/>
            <w:gridSpan w:val="2"/>
            <w:tcBorders/>
            <w:tcMar>
              <w:top w:w="0"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March 31,</w:t>
            </w:r>
          </w:p>
        </w:tc>
      </w:tr>
      <w:tr>
        <w:trPr/>
        <w:tc>
          <w:tcPr>
            <w:tcW w:w="2956" w:type="dxa"/>
            <w:tcBorders/>
            <w:tcMar>
              <w:top w:w="0" w:type="dxa"/>
            </w:tcMar>
            <w:vAlign w:val="center"/>
          </w:tcPr>
          <w:p>
            <w:pPr>
              <w:pStyle w:val="TableContents"/>
              <w:bidi w:val="0"/>
              <w:spacing w:before="0" w:after="1"/>
              <w:ind w:left="0" w:right="0" w:hanging="0"/>
              <w:jc w:val="left"/>
              <w:rPr/>
            </w:pPr>
            <w:r>
              <w:rPr/>
              <w:t>​</w:t>
            </w:r>
          </w:p>
        </w:tc>
        <w:tc>
          <w:tcPr>
            <w:tcW w:w="326" w:type="dxa"/>
            <w:tcBorders/>
            <w:tcMar>
              <w:top w:w="0" w:type="dxa"/>
            </w:tcMar>
            <w:vAlign w:val="center"/>
          </w:tcPr>
          <w:p>
            <w:pPr>
              <w:pStyle w:val="TableContents"/>
              <w:bidi w:val="0"/>
              <w:spacing w:before="0" w:after="1"/>
              <w:ind w:left="0" w:right="0" w:hanging="0"/>
              <w:jc w:val="center"/>
              <w:rPr/>
            </w:pPr>
            <w:r>
              <w:rPr/>
              <w:t>    </w:t>
            </w:r>
          </w:p>
        </w:tc>
        <w:tc>
          <w:tcPr>
            <w:tcW w:w="1635" w:type="dxa"/>
            <w:gridSpan w:val="2"/>
            <w:tcBorders>
              <w:bottom w:val="single" w:sz="2" w:space="0" w:color="000000"/>
            </w:tcBorders>
            <w:tcMar>
              <w:top w:w="0" w:type="dxa"/>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2025</w:t>
            </w:r>
          </w:p>
        </w:tc>
        <w:tc>
          <w:tcPr>
            <w:tcW w:w="326" w:type="dxa"/>
            <w:tcBorders/>
            <w:tcMar>
              <w:top w:w="0" w:type="dxa"/>
            </w:tcMar>
            <w:vAlign w:val="center"/>
          </w:tcPr>
          <w:p>
            <w:pPr>
              <w:pStyle w:val="TableContents"/>
              <w:bidi w:val="0"/>
              <w:spacing w:before="0" w:after="1"/>
              <w:ind w:left="0" w:right="0" w:hanging="0"/>
              <w:jc w:val="center"/>
              <w:rPr/>
            </w:pPr>
            <w:r>
              <w:rPr/>
              <w:t>    </w:t>
            </w:r>
          </w:p>
        </w:tc>
        <w:tc>
          <w:tcPr>
            <w:tcW w:w="1680" w:type="dxa"/>
            <w:gridSpan w:val="2"/>
            <w:tcBorders>
              <w:bottom w:val="single" w:sz="2" w:space="0" w:color="000000"/>
            </w:tcBorders>
            <w:tcMar>
              <w:top w:w="0" w:type="dxa"/>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2024</w:t>
            </w:r>
          </w:p>
        </w:tc>
      </w:tr>
      <w:tr>
        <w:trPr/>
        <w:tc>
          <w:tcPr>
            <w:tcW w:w="2956" w:type="dxa"/>
            <w:tcBorders/>
            <w:shd w:fill="CCEEFF" w:val="clear"/>
            <w:tcMar>
              <w:top w:w="0"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 options</w:t>
            </w:r>
          </w:p>
        </w:tc>
        <w:tc>
          <w:tcPr>
            <w:tcW w:w="326" w:type="dxa"/>
            <w:tcBorders/>
            <w:shd w:fill="CCEEFF" w:val="clear"/>
            <w:tcMar>
              <w:top w:w="0" w:type="dxa"/>
            </w:tcMar>
            <w:vAlign w:val="center"/>
          </w:tcPr>
          <w:p>
            <w:pPr>
              <w:pStyle w:val="TableContents"/>
              <w:bidi w:val="0"/>
              <w:spacing w:before="0" w:after="1"/>
              <w:ind w:left="0" w:right="0" w:hanging="0"/>
              <w:jc w:val="right"/>
              <w:rPr/>
            </w:pPr>
            <w:r>
              <w:rPr/>
              <w:t>​</w:t>
            </w:r>
          </w:p>
        </w:tc>
        <w:tc>
          <w:tcPr>
            <w:tcW w:w="433" w:type="dxa"/>
            <w:tcBorders/>
            <w:shd w:fill="CCEEFF" w:val="clear"/>
            <w:tcMar>
              <w:top w:w="0" w:type="dxa"/>
            </w:tcMar>
            <w:vAlign w:val="center"/>
          </w:tcPr>
          <w:p>
            <w:pPr>
              <w:pStyle w:val="TableContents"/>
              <w:bidi w:val="0"/>
              <w:spacing w:before="0" w:after="1"/>
              <w:ind w:left="0" w:right="0" w:hanging="0"/>
              <w:jc w:val="left"/>
              <w:rPr/>
            </w:pPr>
            <w:r>
              <w:rPr/>
              <w:t>​</w:t>
            </w:r>
          </w:p>
        </w:tc>
        <w:tc>
          <w:tcPr>
            <w:tcW w:w="1202" w:type="dxa"/>
            <w:tcBorders/>
            <w:shd w:fill="CCEEFF" w:val="clear"/>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1,858</w:t>
            </w:r>
          </w:p>
        </w:tc>
        <w:tc>
          <w:tcPr>
            <w:tcW w:w="326" w:type="dxa"/>
            <w:tcBorders/>
            <w:shd w:fill="CCEEFF" w:val="clear"/>
            <w:tcMar>
              <w:top w:w="0" w:type="dxa"/>
            </w:tcMar>
            <w:vAlign w:val="center"/>
          </w:tcPr>
          <w:p>
            <w:pPr>
              <w:pStyle w:val="TableContents"/>
              <w:bidi w:val="0"/>
              <w:spacing w:before="0" w:after="1"/>
              <w:ind w:left="0" w:right="0" w:hanging="0"/>
              <w:jc w:val="right"/>
              <w:rPr/>
            </w:pPr>
            <w:r>
              <w:rPr/>
              <w:t>​</w:t>
            </w:r>
          </w:p>
        </w:tc>
        <w:tc>
          <w:tcPr>
            <w:tcW w:w="393" w:type="dxa"/>
            <w:tcBorders/>
            <w:shd w:fill="CCEEFF" w:val="clear"/>
            <w:tcMar>
              <w:top w:w="0"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87" w:type="dxa"/>
            <w:tcBorders/>
            <w:shd w:fill="CCEEFF" w:val="clear"/>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2,091</w:t>
            </w:r>
          </w:p>
        </w:tc>
      </w:tr>
      <w:tr>
        <w:trPr/>
        <w:tc>
          <w:tcPr>
            <w:tcW w:w="2956" w:type="dxa"/>
            <w:tcBorders/>
            <w:tcMar>
              <w:top w:w="0"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 units</w:t>
            </w:r>
          </w:p>
        </w:tc>
        <w:tc>
          <w:tcPr>
            <w:tcW w:w="326" w:type="dxa"/>
            <w:tcBorders/>
            <w:tcMar>
              <w:top w:w="0" w:type="dxa"/>
            </w:tcMar>
            <w:vAlign w:val="center"/>
          </w:tcPr>
          <w:p>
            <w:pPr>
              <w:pStyle w:val="TableContents"/>
              <w:bidi w:val="0"/>
              <w:spacing w:before="0" w:after="1"/>
              <w:ind w:left="0" w:right="0" w:hanging="0"/>
              <w:jc w:val="right"/>
              <w:rPr/>
            </w:pPr>
            <w:r>
              <w:rPr/>
              <w:t>​</w:t>
            </w:r>
          </w:p>
        </w:tc>
        <w:tc>
          <w:tcPr>
            <w:tcW w:w="433" w:type="dxa"/>
            <w:tcBorders/>
            <w:tcMar>
              <w:top w:w="0" w:type="dxa"/>
            </w:tcMar>
            <w:vAlign w:val="center"/>
          </w:tcPr>
          <w:p>
            <w:pPr>
              <w:pStyle w:val="TableContents"/>
              <w:bidi w:val="0"/>
              <w:spacing w:before="0" w:after="1"/>
              <w:ind w:left="0" w:right="0" w:hanging="0"/>
              <w:jc w:val="left"/>
              <w:rPr/>
            </w:pPr>
            <w:r>
              <w:rPr/>
              <w:t>​</w:t>
            </w:r>
          </w:p>
        </w:tc>
        <w:tc>
          <w:tcPr>
            <w:tcW w:w="1202" w:type="dxa"/>
            <w:tcBorders/>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493</w:t>
            </w:r>
          </w:p>
        </w:tc>
        <w:tc>
          <w:tcPr>
            <w:tcW w:w="326" w:type="dxa"/>
            <w:tcBorders/>
            <w:tcMar>
              <w:top w:w="0" w:type="dxa"/>
            </w:tcMar>
            <w:vAlign w:val="center"/>
          </w:tcPr>
          <w:p>
            <w:pPr>
              <w:pStyle w:val="TableContents"/>
              <w:bidi w:val="0"/>
              <w:spacing w:before="0" w:after="1"/>
              <w:ind w:left="0" w:right="0" w:hanging="0"/>
              <w:jc w:val="right"/>
              <w:rPr/>
            </w:pPr>
            <w:r>
              <w:rPr/>
              <w:t>​</w:t>
            </w:r>
          </w:p>
        </w:tc>
        <w:tc>
          <w:tcPr>
            <w:tcW w:w="393" w:type="dxa"/>
            <w:tcBorders/>
            <w:tcMar>
              <w:top w:w="0" w:type="dxa"/>
            </w:tcMar>
            <w:vAlign w:val="center"/>
          </w:tcPr>
          <w:p>
            <w:pPr>
              <w:pStyle w:val="TableContents"/>
              <w:bidi w:val="0"/>
              <w:spacing w:before="0" w:after="1"/>
              <w:ind w:left="0" w:right="0" w:hanging="0"/>
              <w:jc w:val="left"/>
              <w:rPr/>
            </w:pPr>
            <w:r>
              <w:rPr/>
              <w:t>​</w:t>
            </w:r>
          </w:p>
        </w:tc>
        <w:tc>
          <w:tcPr>
            <w:tcW w:w="1287" w:type="dxa"/>
            <w:tcBorders/>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1,014</w:t>
            </w:r>
          </w:p>
        </w:tc>
      </w:tr>
      <w:tr>
        <w:trPr/>
        <w:tc>
          <w:tcPr>
            <w:tcW w:w="2956" w:type="dxa"/>
            <w:tcBorders/>
            <w:shd w:fill="CCEEFF" w:val="clear"/>
            <w:tcMar>
              <w:top w:w="0"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 awards</w:t>
            </w:r>
          </w:p>
        </w:tc>
        <w:tc>
          <w:tcPr>
            <w:tcW w:w="326" w:type="dxa"/>
            <w:tcBorders/>
            <w:shd w:fill="CCEEFF" w:val="clear"/>
            <w:tcMar>
              <w:top w:w="0" w:type="dxa"/>
            </w:tcMar>
            <w:vAlign w:val="center"/>
          </w:tcPr>
          <w:p>
            <w:pPr>
              <w:pStyle w:val="TableContents"/>
              <w:bidi w:val="0"/>
              <w:spacing w:before="0" w:after="1"/>
              <w:ind w:left="0" w:right="0" w:hanging="0"/>
              <w:jc w:val="right"/>
              <w:rPr/>
            </w:pPr>
            <w:r>
              <w:rPr/>
              <w:t>​</w:t>
            </w:r>
          </w:p>
        </w:tc>
        <w:tc>
          <w:tcPr>
            <w:tcW w:w="433" w:type="dxa"/>
            <w:tcBorders/>
            <w:shd w:fill="CCEEFF" w:val="clear"/>
            <w:tcMar>
              <w:top w:w="0" w:type="dxa"/>
            </w:tcMar>
            <w:vAlign w:val="center"/>
          </w:tcPr>
          <w:p>
            <w:pPr>
              <w:pStyle w:val="TableContents"/>
              <w:bidi w:val="0"/>
              <w:spacing w:before="0" w:after="1"/>
              <w:ind w:left="0" w:right="0" w:hanging="0"/>
              <w:jc w:val="left"/>
              <w:rPr/>
            </w:pPr>
            <w:r>
              <w:rPr/>
              <w:t>​</w:t>
            </w:r>
          </w:p>
        </w:tc>
        <w:tc>
          <w:tcPr>
            <w:tcW w:w="1202" w:type="dxa"/>
            <w:tcBorders/>
            <w:shd w:fill="CCEEFF" w:val="clear"/>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w:t>
            </w:r>
          </w:p>
        </w:tc>
        <w:tc>
          <w:tcPr>
            <w:tcW w:w="326" w:type="dxa"/>
            <w:tcBorders/>
            <w:shd w:fill="CCEEFF" w:val="clear"/>
            <w:tcMar>
              <w:top w:w="0" w:type="dxa"/>
            </w:tcMar>
            <w:vAlign w:val="center"/>
          </w:tcPr>
          <w:p>
            <w:pPr>
              <w:pStyle w:val="TableContents"/>
              <w:bidi w:val="0"/>
              <w:spacing w:before="0" w:after="1"/>
              <w:ind w:left="0" w:right="0" w:hanging="0"/>
              <w:jc w:val="right"/>
              <w:rPr/>
            </w:pPr>
            <w:r>
              <w:rPr/>
              <w:t>​</w:t>
            </w:r>
          </w:p>
        </w:tc>
        <w:tc>
          <w:tcPr>
            <w:tcW w:w="393" w:type="dxa"/>
            <w:tcBorders/>
            <w:shd w:fill="CCEEFF" w:val="clear"/>
            <w:tcMar>
              <w:top w:w="0" w:type="dxa"/>
            </w:tcMar>
            <w:vAlign w:val="center"/>
          </w:tcPr>
          <w:p>
            <w:pPr>
              <w:pStyle w:val="TableContents"/>
              <w:bidi w:val="0"/>
              <w:spacing w:before="0" w:after="1"/>
              <w:ind w:left="0" w:right="0" w:hanging="0"/>
              <w:jc w:val="left"/>
              <w:rPr/>
            </w:pPr>
            <w:r>
              <w:rPr/>
              <w:t>​</w:t>
            </w:r>
          </w:p>
        </w:tc>
        <w:tc>
          <w:tcPr>
            <w:tcW w:w="1287" w:type="dxa"/>
            <w:tcBorders/>
            <w:shd w:fill="CCEEFF" w:val="clear"/>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w:t>
            </w:r>
          </w:p>
        </w:tc>
      </w:tr>
      <w:tr>
        <w:trPr/>
        <w:tc>
          <w:tcPr>
            <w:tcW w:w="2956" w:type="dxa"/>
            <w:tcBorders/>
            <w:tcMar>
              <w:top w:w="0"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Employee stock purchase plan</w:t>
            </w:r>
          </w:p>
        </w:tc>
        <w:tc>
          <w:tcPr>
            <w:tcW w:w="326" w:type="dxa"/>
            <w:tcBorders/>
            <w:tcMar>
              <w:top w:w="0" w:type="dxa"/>
            </w:tcMar>
            <w:vAlign w:val="center"/>
          </w:tcPr>
          <w:p>
            <w:pPr>
              <w:pStyle w:val="TableContents"/>
              <w:bidi w:val="0"/>
              <w:spacing w:before="0" w:after="1"/>
              <w:ind w:left="0" w:right="0" w:hanging="0"/>
              <w:jc w:val="right"/>
              <w:rPr/>
            </w:pPr>
            <w:r>
              <w:rPr/>
              <w:t>​</w:t>
            </w:r>
          </w:p>
        </w:tc>
        <w:tc>
          <w:tcPr>
            <w:tcW w:w="433" w:type="dxa"/>
            <w:tcBorders>
              <w:bottom w:val="single" w:sz="2" w:space="0" w:color="000000"/>
            </w:tcBorders>
            <w:tcMar>
              <w:top w:w="0" w:type="dxa"/>
              <w:bottom w:w="28" w:type="dxa"/>
            </w:tcMar>
            <w:vAlign w:val="center"/>
          </w:tcPr>
          <w:p>
            <w:pPr>
              <w:pStyle w:val="TableContents"/>
              <w:bidi w:val="0"/>
              <w:spacing w:before="0" w:after="1"/>
              <w:ind w:left="0" w:right="0" w:hanging="0"/>
              <w:jc w:val="left"/>
              <w:rPr/>
            </w:pPr>
            <w:r>
              <w:rPr/>
              <w:t>​</w:t>
            </w:r>
          </w:p>
        </w:tc>
        <w:tc>
          <w:tcPr>
            <w:tcW w:w="1202" w:type="dxa"/>
            <w:tcBorders>
              <w:bottom w:val="single" w:sz="2" w:space="0" w:color="000000"/>
            </w:tcBorders>
            <w:tcMar>
              <w:top w:w="0" w:type="dxa"/>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w:t>
            </w:r>
          </w:p>
        </w:tc>
        <w:tc>
          <w:tcPr>
            <w:tcW w:w="326" w:type="dxa"/>
            <w:tcBorders/>
            <w:tcMar>
              <w:top w:w="0" w:type="dxa"/>
            </w:tcMar>
            <w:vAlign w:val="center"/>
          </w:tcPr>
          <w:p>
            <w:pPr>
              <w:pStyle w:val="TableContents"/>
              <w:bidi w:val="0"/>
              <w:spacing w:before="0" w:after="1"/>
              <w:ind w:left="0" w:right="0" w:hanging="0"/>
              <w:jc w:val="right"/>
              <w:rPr/>
            </w:pPr>
            <w:r>
              <w:rPr/>
              <w:t>​</w:t>
            </w:r>
          </w:p>
        </w:tc>
        <w:tc>
          <w:tcPr>
            <w:tcW w:w="393" w:type="dxa"/>
            <w:tcBorders>
              <w:bottom w:val="single" w:sz="2" w:space="0" w:color="000000"/>
            </w:tcBorders>
            <w:tcMar>
              <w:top w:w="0" w:type="dxa"/>
              <w:bottom w:w="28" w:type="dxa"/>
            </w:tcMar>
            <w:vAlign w:val="center"/>
          </w:tcPr>
          <w:p>
            <w:pPr>
              <w:pStyle w:val="TableContents"/>
              <w:bidi w:val="0"/>
              <w:spacing w:before="0" w:after="1"/>
              <w:ind w:left="0" w:right="0" w:hanging="0"/>
              <w:jc w:val="left"/>
              <w:rPr/>
            </w:pPr>
            <w:r>
              <w:rPr/>
              <w:t>​</w:t>
            </w:r>
          </w:p>
        </w:tc>
        <w:tc>
          <w:tcPr>
            <w:tcW w:w="1287" w:type="dxa"/>
            <w:tcBorders>
              <w:bottom w:val="single" w:sz="2" w:space="0" w:color="000000"/>
            </w:tcBorders>
            <w:tcMar>
              <w:top w:w="0" w:type="dxa"/>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w:t>
            </w:r>
          </w:p>
        </w:tc>
      </w:tr>
      <w:tr>
        <w:trPr/>
        <w:tc>
          <w:tcPr>
            <w:tcW w:w="2956" w:type="dxa"/>
            <w:tcBorders/>
            <w:shd w:fill="CCEEFF" w:val="clear"/>
            <w:tcMar>
              <w:top w:w="0"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stock-based compensation</w:t>
            </w:r>
          </w:p>
        </w:tc>
        <w:tc>
          <w:tcPr>
            <w:tcW w:w="326" w:type="dxa"/>
            <w:tcBorders/>
            <w:shd w:fill="CCEEFF" w:val="clear"/>
            <w:tcMar>
              <w:top w:w="0" w:type="dxa"/>
            </w:tcMar>
            <w:vAlign w:val="center"/>
          </w:tcPr>
          <w:p>
            <w:pPr>
              <w:pStyle w:val="TableContents"/>
              <w:bidi w:val="0"/>
              <w:spacing w:before="0" w:after="1"/>
              <w:ind w:left="0" w:right="0" w:hanging="0"/>
              <w:jc w:val="right"/>
              <w:rPr/>
            </w:pPr>
            <w:r>
              <w:rPr/>
              <w:t>​</w:t>
            </w:r>
          </w:p>
        </w:tc>
        <w:tc>
          <w:tcPr>
            <w:tcW w:w="433" w:type="dxa"/>
            <w:tcBorders>
              <w:bottom w:val="double" w:sz="6" w:space="0" w:color="000000"/>
            </w:tcBorders>
            <w:shd w:fill="CCEEFF" w:val="clear"/>
            <w:tcMar>
              <w:top w:w="0" w:type="dxa"/>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bottom w:val="double" w:sz="6" w:space="0" w:color="000000"/>
            </w:tcBorders>
            <w:shd w:fill="CCEEFF" w:val="clear"/>
            <w:tcMar>
              <w:top w:w="0" w:type="dxa"/>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2,426</w:t>
            </w:r>
          </w:p>
        </w:tc>
        <w:tc>
          <w:tcPr>
            <w:tcW w:w="326" w:type="dxa"/>
            <w:tcBorders/>
            <w:shd w:fill="CCEEFF" w:val="clear"/>
            <w:tcMar>
              <w:top w:w="0" w:type="dxa"/>
            </w:tcMar>
            <w:vAlign w:val="center"/>
          </w:tcPr>
          <w:p>
            <w:pPr>
              <w:pStyle w:val="TableContents"/>
              <w:bidi w:val="0"/>
              <w:spacing w:before="0" w:after="1"/>
              <w:ind w:left="0" w:right="0" w:hanging="0"/>
              <w:jc w:val="right"/>
              <w:rPr/>
            </w:pPr>
            <w:r>
              <w:rPr/>
              <w:t>​</w:t>
            </w:r>
          </w:p>
        </w:tc>
        <w:tc>
          <w:tcPr>
            <w:tcW w:w="393" w:type="dxa"/>
            <w:tcBorders>
              <w:bottom w:val="double" w:sz="6" w:space="0" w:color="000000"/>
            </w:tcBorders>
            <w:shd w:fill="CCEEFF" w:val="clear"/>
            <w:tcMar>
              <w:top w:w="0" w:type="dxa"/>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87" w:type="dxa"/>
            <w:tcBorders>
              <w:bottom w:val="double" w:sz="6" w:space="0" w:color="000000"/>
            </w:tcBorders>
            <w:shd w:fill="CCEEFF" w:val="clear"/>
            <w:tcMar>
              <w:top w:w="0" w:type="dxa"/>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3,207</w:t>
            </w:r>
          </w:p>
        </w:tc>
      </w:tr>
    </w:tbl>
    <w:p>
      <w:pPr>
        <w:pStyle w:val="TextBody"/>
        <w:bidi w:val="0"/>
        <w:spacing w:before="0" w:after="200"/>
        <w:ind w:left="0" w:right="0" w:hanging="0"/>
        <w:jc w:val="left"/>
        <w:rPr>
          <w:shd w:fill="FFFF00" w:val="clear"/>
        </w:rPr>
      </w:pPr>
      <w:r>
        <w:rPr>
          <w:shd w:fill="FFFF00" w:val="clea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Restricted Stock Units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RSU activity for the three months ended March 31, 2025:</w:t>
      </w:r>
    </w:p>
    <w:p>
      <w:pPr>
        <w:pStyle w:val="TextBody"/>
        <w:bidi w:val="0"/>
        <w:spacing w:before="0" w:after="200"/>
        <w:ind w:left="0" w:right="0" w:hanging="0"/>
        <w:jc w:val="left"/>
        <w:rPr/>
      </w:pPr>
      <w:r>
        <w:rPr/>
        <w:t>​</w:t>
      </w:r>
    </w:p>
    <w:tbl>
      <w:tblPr>
        <w:tblW w:w="6550" w:type="dxa"/>
        <w:jc w:val="left"/>
        <w:tblInd w:w="0" w:type="dxa"/>
        <w:tblLayout w:type="fixed"/>
        <w:tblCellMar>
          <w:top w:w="28" w:type="dxa"/>
          <w:left w:w="0" w:type="dxa"/>
          <w:bottom w:w="0" w:type="dxa"/>
          <w:right w:w="0" w:type="dxa"/>
        </w:tblCellMar>
      </w:tblPr>
      <w:tblGrid>
        <w:gridCol w:w="3196"/>
        <w:gridCol w:w="326"/>
        <w:gridCol w:w="961"/>
        <w:gridCol w:w="326"/>
        <w:gridCol w:w="460"/>
        <w:gridCol w:w="1281"/>
      </w:tblGrid>
      <w:tr>
        <w:trPr/>
        <w:tc>
          <w:tcPr>
            <w:tcW w:w="319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29460" cy="175260"/>
                      <wp:effectExtent l="0" t="0" r="0" b="0"/>
                      <wp:wrapNone/>
                      <wp:docPr id="208" name="Frame208"/>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10235" cy="175260"/>
                      <wp:effectExtent l="0" t="0" r="0" b="0"/>
                      <wp:wrapNone/>
                      <wp:docPr id="210" name="Frame21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92100" cy="175260"/>
                      <wp:effectExtent l="0" t="0" r="0" b="0"/>
                      <wp:wrapNone/>
                      <wp:docPr id="212" name="Frame212"/>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1" w:type="dxa"/>
            <w:tcBorders>
              <w:top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813435" cy="175260"/>
                      <wp:effectExtent l="0" t="0" r="0" b="0"/>
                      <wp:wrapNone/>
                      <wp:docPr id="213" name="Frame213"/>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tcMar>
              <w:top w:w="0" w:type="dxa"/>
            </w:tcMar>
            <w:vAlign w:val="center"/>
          </w:tcPr>
          <w:p>
            <w:pPr>
              <w:pStyle w:val="TableContents"/>
              <w:bidi w:val="0"/>
              <w:spacing w:before="0" w:after="1"/>
              <w:ind w:left="0" w:right="0" w:hanging="0"/>
              <w:jc w:val="left"/>
              <w:rPr/>
            </w:pPr>
            <w:r>
              <w:rPr/>
              <w:t>​</w:t>
            </w:r>
          </w:p>
        </w:tc>
        <w:tc>
          <w:tcPr>
            <w:tcW w:w="326" w:type="dxa"/>
            <w:tcBorders/>
            <w:tcMar>
              <w:top w:w="0" w:type="dxa"/>
            </w:tcMar>
            <w:vAlign w:val="center"/>
          </w:tcPr>
          <w:p>
            <w:pPr>
              <w:pStyle w:val="TableContents"/>
              <w:bidi w:val="0"/>
              <w:spacing w:before="0" w:after="1"/>
              <w:ind w:left="0" w:right="0" w:hanging="0"/>
              <w:jc w:val="left"/>
              <w:rPr/>
            </w:pPr>
            <w:r>
              <w:rPr/>
              <w:t>    </w:t>
            </w:r>
          </w:p>
        </w:tc>
        <w:tc>
          <w:tcPr>
            <w:tcW w:w="961" w:type="dxa"/>
            <w:tcBorders/>
            <w:tcMar>
              <w:top w:w="0" w:type="dxa"/>
            </w:tcMar>
            <w:vAlign w:val="center"/>
          </w:tcPr>
          <w:p>
            <w:pPr>
              <w:pStyle w:val="TableContents"/>
              <w:bidi w:val="0"/>
              <w:spacing w:before="0" w:after="1"/>
              <w:ind w:left="0" w:right="0" w:hanging="0"/>
              <w:jc w:val="left"/>
              <w:rPr/>
            </w:pPr>
            <w:r>
              <w:rPr/>
              <w:t>​</w:t>
            </w:r>
          </w:p>
        </w:tc>
        <w:tc>
          <w:tcPr>
            <w:tcW w:w="326" w:type="dxa"/>
            <w:tcBorders/>
            <w:tcMar>
              <w:top w:w="0" w:type="dxa"/>
            </w:tcMar>
            <w:vAlign w:val="center"/>
          </w:tcPr>
          <w:p>
            <w:pPr>
              <w:pStyle w:val="TableContents"/>
              <w:bidi w:val="0"/>
              <w:spacing w:before="0" w:after="1"/>
              <w:ind w:left="0" w:right="0" w:hanging="0"/>
              <w:jc w:val="left"/>
              <w:rPr/>
            </w:pPr>
            <w:r>
              <w:rPr/>
              <w:t>    </w:t>
            </w:r>
          </w:p>
        </w:tc>
        <w:tc>
          <w:tcPr>
            <w:tcW w:w="1741" w:type="dxa"/>
            <w:gridSpan w:val="2"/>
            <w:tcBorders/>
            <w:tcMar>
              <w:top w:w="0"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Weighted Average</w:t>
            </w:r>
          </w:p>
        </w:tc>
      </w:tr>
      <w:tr>
        <w:trPr/>
        <w:tc>
          <w:tcPr>
            <w:tcW w:w="3196" w:type="dxa"/>
            <w:tcBorders/>
            <w:tcMar>
              <w:top w:w="0" w:type="dxa"/>
            </w:tcMar>
            <w:vAlign w:val="center"/>
          </w:tcPr>
          <w:p>
            <w:pPr>
              <w:pStyle w:val="TableContents"/>
              <w:bidi w:val="0"/>
              <w:spacing w:before="0" w:after="1"/>
              <w:ind w:left="0" w:right="0" w:hanging="0"/>
              <w:jc w:val="left"/>
              <w:rPr/>
            </w:pPr>
            <w:r>
              <w:rPr/>
              <w:t>​</w:t>
            </w:r>
          </w:p>
        </w:tc>
        <w:tc>
          <w:tcPr>
            <w:tcW w:w="326" w:type="dxa"/>
            <w:tcBorders/>
            <w:tcMar>
              <w:top w:w="0"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tcMar>
              <w:top w:w="0" w:type="dxa"/>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Shares</w:t>
            </w:r>
          </w:p>
        </w:tc>
        <w:tc>
          <w:tcPr>
            <w:tcW w:w="326" w:type="dxa"/>
            <w:tcBorders/>
            <w:tcMar>
              <w:top w:w="0" w:type="dxa"/>
            </w:tcMar>
            <w:vAlign w:val="center"/>
          </w:tcPr>
          <w:p>
            <w:pPr>
              <w:pStyle w:val="TableContents"/>
              <w:bidi w:val="0"/>
              <w:spacing w:before="0" w:after="1"/>
              <w:ind w:left="0" w:right="0" w:hanging="0"/>
              <w:jc w:val="left"/>
              <w:rPr/>
            </w:pPr>
            <w:r>
              <w:rPr/>
              <w:t>​</w:t>
            </w:r>
          </w:p>
        </w:tc>
        <w:tc>
          <w:tcPr>
            <w:tcW w:w="1741" w:type="dxa"/>
            <w:gridSpan w:val="2"/>
            <w:tcBorders>
              <w:bottom w:val="single" w:sz="2" w:space="0" w:color="000000"/>
            </w:tcBorders>
            <w:tcMar>
              <w:top w:w="0" w:type="dxa"/>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Grant Date Fair Value</w:t>
            </w:r>
          </w:p>
        </w:tc>
      </w:tr>
      <w:tr>
        <w:trPr/>
        <w:tc>
          <w:tcPr>
            <w:tcW w:w="3196" w:type="dxa"/>
            <w:tcBorders/>
            <w:shd w:fill="CCEEFF" w:val="clear"/>
            <w:tcMar>
              <w:top w:w="0" w:type="dxa"/>
            </w:tcMar>
            <w:vAlign w:val="center"/>
          </w:tcPr>
          <w:p>
            <w:pPr>
              <w:pStyle w:val="TableContents"/>
              <w:pBdr/>
              <w:bidi w:val="0"/>
              <w:spacing w:before="0" w:after="1"/>
              <w:ind w:left="0" w:right="0" w:hanging="0"/>
              <w:jc w:val="left"/>
              <w:rPr>
                <w:rFonts w:ascii="Arial;Helvetica;sans-serif" w:hAnsi="Arial;Helvetica;sans-serif"/>
                <w:sz w:val="20"/>
              </w:rPr>
            </w:pPr>
            <w:r>
              <w:rPr>
                <w:rFonts w:ascii="Arial;Helvetica;sans-serif" w:hAnsi="Arial;Helvetica;sans-serif"/>
                <w:sz w:val="20"/>
              </w:rPr>
              <w:t>Total Unvested December 31, 2024</w:t>
            </w:r>
          </w:p>
        </w:tc>
        <w:tc>
          <w:tcPr>
            <w:tcW w:w="326" w:type="dxa"/>
            <w:tcBorders/>
            <w:shd w:fill="CCEEFF" w:val="clear"/>
            <w:tcMar>
              <w:top w:w="0" w:type="dxa"/>
            </w:tcMar>
            <w:vAlign w:val="center"/>
          </w:tcPr>
          <w:p>
            <w:pPr>
              <w:pStyle w:val="TableContents"/>
              <w:bidi w:val="0"/>
              <w:spacing w:before="0" w:after="1"/>
              <w:ind w:left="0" w:right="0" w:hanging="0"/>
              <w:jc w:val="left"/>
              <w:rPr/>
            </w:pPr>
            <w:r>
              <w:rPr/>
              <w:t> </w:t>
            </w:r>
          </w:p>
        </w:tc>
        <w:tc>
          <w:tcPr>
            <w:tcW w:w="961" w:type="dxa"/>
            <w:tcBorders/>
            <w:shd w:fill="CCEEFF" w:val="clear"/>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2,852,909</w:t>
            </w:r>
          </w:p>
        </w:tc>
        <w:tc>
          <w:tcPr>
            <w:tcW w:w="326" w:type="dxa"/>
            <w:tcBorders/>
            <w:shd w:fill="CCEEFF" w:val="clear"/>
            <w:tcMar>
              <w:top w:w="0" w:type="dxa"/>
            </w:tcMar>
            <w:vAlign w:val="center"/>
          </w:tcPr>
          <w:p>
            <w:pPr>
              <w:pStyle w:val="TableContents"/>
              <w:bidi w:val="0"/>
              <w:spacing w:before="0" w:after="1"/>
              <w:ind w:left="0" w:right="0" w:hanging="0"/>
              <w:jc w:val="left"/>
              <w:rPr/>
            </w:pPr>
            <w:r>
              <w:rPr/>
              <w:t>​</w:t>
            </w:r>
          </w:p>
        </w:tc>
        <w:tc>
          <w:tcPr>
            <w:tcW w:w="460" w:type="dxa"/>
            <w:tcBorders/>
            <w:shd w:fill="CCEEFF" w:val="clear"/>
            <w:tcMar>
              <w:top w:w="0"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81" w:type="dxa"/>
            <w:tcBorders/>
            <w:shd w:fill="CCEEFF" w:val="clear"/>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2.83</w:t>
            </w:r>
          </w:p>
        </w:tc>
      </w:tr>
      <w:tr>
        <w:trPr/>
        <w:tc>
          <w:tcPr>
            <w:tcW w:w="3196" w:type="dxa"/>
            <w:tcBorders/>
            <w:tcMar>
              <w:top w:w="0" w:type="dxa"/>
            </w:tcMar>
            <w:vAlign w:val="center"/>
          </w:tcPr>
          <w:p>
            <w:pPr>
              <w:pStyle w:val="TableContents"/>
              <w:pBdr/>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tcMar>
              <w:top w:w="0" w:type="dxa"/>
            </w:tcMar>
            <w:vAlign w:val="center"/>
          </w:tcPr>
          <w:p>
            <w:pPr>
              <w:pStyle w:val="TableContents"/>
              <w:bidi w:val="0"/>
              <w:spacing w:before="0" w:after="1"/>
              <w:ind w:left="0" w:right="0" w:hanging="0"/>
              <w:jc w:val="left"/>
              <w:rPr/>
            </w:pPr>
            <w:r>
              <w:rPr/>
              <w:t>​</w:t>
            </w:r>
          </w:p>
        </w:tc>
        <w:tc>
          <w:tcPr>
            <w:tcW w:w="961" w:type="dxa"/>
            <w:tcBorders/>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2,337,892</w:t>
            </w:r>
          </w:p>
        </w:tc>
        <w:tc>
          <w:tcPr>
            <w:tcW w:w="326" w:type="dxa"/>
            <w:tcBorders/>
            <w:tcMar>
              <w:top w:w="0" w:type="dxa"/>
            </w:tcMar>
            <w:vAlign w:val="center"/>
          </w:tcPr>
          <w:p>
            <w:pPr>
              <w:pStyle w:val="TableContents"/>
              <w:bidi w:val="0"/>
              <w:spacing w:before="0" w:after="1"/>
              <w:ind w:left="0" w:right="0" w:hanging="0"/>
              <w:jc w:val="left"/>
              <w:rPr/>
            </w:pPr>
            <w:r>
              <w:rPr/>
              <w:t>​</w:t>
            </w:r>
          </w:p>
        </w:tc>
        <w:tc>
          <w:tcPr>
            <w:tcW w:w="460" w:type="dxa"/>
            <w:tcBorders/>
            <w:tcMar>
              <w:top w:w="0" w:type="dxa"/>
            </w:tcMar>
            <w:vAlign w:val="center"/>
          </w:tcPr>
          <w:p>
            <w:pPr>
              <w:pStyle w:val="TableContents"/>
              <w:bidi w:val="0"/>
              <w:spacing w:before="0" w:after="1"/>
              <w:ind w:left="0" w:right="0" w:hanging="0"/>
              <w:jc w:val="left"/>
              <w:rPr/>
            </w:pPr>
            <w:r>
              <w:rPr/>
              <w:t>​</w:t>
            </w:r>
          </w:p>
        </w:tc>
        <w:tc>
          <w:tcPr>
            <w:tcW w:w="1281" w:type="dxa"/>
            <w:tcBorders/>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0.60</w:t>
            </w:r>
          </w:p>
        </w:tc>
      </w:tr>
      <w:tr>
        <w:trPr/>
        <w:tc>
          <w:tcPr>
            <w:tcW w:w="3196" w:type="dxa"/>
            <w:tcBorders/>
            <w:shd w:fill="CCEEFF" w:val="clear"/>
            <w:tcMar>
              <w:top w:w="0" w:type="dxa"/>
            </w:tcMar>
            <w:vAlign w:val="center"/>
          </w:tcPr>
          <w:p>
            <w:pPr>
              <w:pStyle w:val="TableContents"/>
              <w:pBdr/>
              <w:bidi w:val="0"/>
              <w:spacing w:before="0" w:after="1"/>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shd w:fill="CCEEFF" w:val="clear"/>
            <w:tcMar>
              <w:top w:w="0" w:type="dxa"/>
            </w:tcMar>
            <w:vAlign w:val="center"/>
          </w:tcPr>
          <w:p>
            <w:pPr>
              <w:pStyle w:val="TableContents"/>
              <w:bidi w:val="0"/>
              <w:spacing w:before="0" w:after="1"/>
              <w:ind w:left="0" w:right="0" w:hanging="0"/>
              <w:jc w:val="left"/>
              <w:rPr/>
            </w:pPr>
            <w:r>
              <w:rPr/>
              <w:t>​</w:t>
            </w:r>
          </w:p>
        </w:tc>
        <w:tc>
          <w:tcPr>
            <w:tcW w:w="961" w:type="dxa"/>
            <w:tcBorders/>
            <w:shd w:fill="CCEEFF" w:val="clear"/>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(29,826)</w:t>
            </w:r>
          </w:p>
        </w:tc>
        <w:tc>
          <w:tcPr>
            <w:tcW w:w="326" w:type="dxa"/>
            <w:tcBorders/>
            <w:shd w:fill="CCEEFF" w:val="clear"/>
            <w:tcMar>
              <w:top w:w="0" w:type="dxa"/>
            </w:tcMar>
            <w:vAlign w:val="center"/>
          </w:tcPr>
          <w:p>
            <w:pPr>
              <w:pStyle w:val="TableContents"/>
              <w:bidi w:val="0"/>
              <w:spacing w:before="0" w:after="1"/>
              <w:ind w:left="0" w:right="0" w:hanging="0"/>
              <w:jc w:val="left"/>
              <w:rPr/>
            </w:pPr>
            <w:r>
              <w:rPr/>
              <w:t>​</w:t>
            </w:r>
          </w:p>
        </w:tc>
        <w:tc>
          <w:tcPr>
            <w:tcW w:w="460" w:type="dxa"/>
            <w:tcBorders/>
            <w:shd w:fill="CCEEFF" w:val="clear"/>
            <w:tcMar>
              <w:top w:w="0" w:type="dxa"/>
            </w:tcMar>
            <w:vAlign w:val="center"/>
          </w:tcPr>
          <w:p>
            <w:pPr>
              <w:pStyle w:val="TableContents"/>
              <w:bidi w:val="0"/>
              <w:spacing w:before="0" w:after="1"/>
              <w:ind w:left="0" w:right="0" w:hanging="0"/>
              <w:jc w:val="left"/>
              <w:rPr/>
            </w:pPr>
            <w:r>
              <w:rPr/>
              <w:t>​</w:t>
            </w:r>
          </w:p>
        </w:tc>
        <w:tc>
          <w:tcPr>
            <w:tcW w:w="1281" w:type="dxa"/>
            <w:tcBorders/>
            <w:shd w:fill="CCEEFF" w:val="clear"/>
            <w:tcMar>
              <w:top w:w="0"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5.01</w:t>
            </w:r>
          </w:p>
        </w:tc>
      </w:tr>
      <w:tr>
        <w:trPr/>
        <w:tc>
          <w:tcPr>
            <w:tcW w:w="3196" w:type="dxa"/>
            <w:tcBorders/>
            <w:tcMar>
              <w:top w:w="0" w:type="dxa"/>
            </w:tcMar>
            <w:vAlign w:val="center"/>
          </w:tcPr>
          <w:p>
            <w:pPr>
              <w:pStyle w:val="TableContents"/>
              <w:pBdr/>
              <w:bidi w:val="0"/>
              <w:spacing w:before="0" w:after="1"/>
              <w:ind w:left="0" w:right="0" w:hanging="0"/>
              <w:jc w:val="left"/>
              <w:rPr>
                <w:rFonts w:ascii="Arial;Helvetica;sans-serif" w:hAnsi="Arial;Helvetica;sans-serif"/>
                <w:sz w:val="20"/>
              </w:rPr>
            </w:pPr>
            <w:r>
              <w:rPr>
                <w:rFonts w:ascii="Arial;Helvetica;sans-serif" w:hAnsi="Arial;Helvetica;sans-serif"/>
                <w:sz w:val="20"/>
              </w:rPr>
              <w:t>Vested</w:t>
            </w:r>
          </w:p>
        </w:tc>
        <w:tc>
          <w:tcPr>
            <w:tcW w:w="326" w:type="dxa"/>
            <w:tcBorders/>
            <w:tcMar>
              <w:top w:w="0"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tcMar>
              <w:top w:w="0" w:type="dxa"/>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(484,190)</w:t>
            </w:r>
          </w:p>
        </w:tc>
        <w:tc>
          <w:tcPr>
            <w:tcW w:w="326" w:type="dxa"/>
            <w:tcBorders/>
            <w:tcMar>
              <w:top w:w="0" w:type="dxa"/>
            </w:tcMar>
            <w:vAlign w:val="center"/>
          </w:tcPr>
          <w:p>
            <w:pPr>
              <w:pStyle w:val="TableContents"/>
              <w:bidi w:val="0"/>
              <w:spacing w:before="0" w:after="1"/>
              <w:ind w:left="0" w:right="0" w:hanging="0"/>
              <w:jc w:val="left"/>
              <w:rPr/>
            </w:pPr>
            <w:r>
              <w:rPr/>
              <w:t>​</w:t>
            </w:r>
          </w:p>
        </w:tc>
        <w:tc>
          <w:tcPr>
            <w:tcW w:w="460" w:type="dxa"/>
            <w:tcBorders>
              <w:bottom w:val="single" w:sz="2" w:space="0" w:color="000000"/>
            </w:tcBorders>
            <w:tcMar>
              <w:top w:w="0" w:type="dxa"/>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tcMar>
              <w:top w:w="0" w:type="dxa"/>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0.75</w:t>
            </w:r>
          </w:p>
        </w:tc>
      </w:tr>
      <w:tr>
        <w:trPr/>
        <w:tc>
          <w:tcPr>
            <w:tcW w:w="3196" w:type="dxa"/>
            <w:tcBorders/>
            <w:shd w:fill="CCEEFF" w:val="clear"/>
            <w:tcMar>
              <w:top w:w="0" w:type="dxa"/>
            </w:tcMar>
            <w:vAlign w:val="center"/>
          </w:tcPr>
          <w:p>
            <w:pPr>
              <w:pStyle w:val="TableContents"/>
              <w:pBdr/>
              <w:bidi w:val="0"/>
              <w:spacing w:before="0" w:after="1"/>
              <w:ind w:left="0" w:right="0" w:hanging="0"/>
              <w:jc w:val="left"/>
              <w:rPr>
                <w:rFonts w:ascii="Arial;Helvetica;sans-serif" w:hAnsi="Arial;Helvetica;sans-serif"/>
                <w:sz w:val="20"/>
              </w:rPr>
            </w:pPr>
            <w:r>
              <w:rPr>
                <w:rFonts w:ascii="Arial;Helvetica;sans-serif" w:hAnsi="Arial;Helvetica;sans-serif"/>
                <w:sz w:val="20"/>
              </w:rPr>
              <w:t>Total Unvested March 31, 2025</w:t>
            </w:r>
          </w:p>
        </w:tc>
        <w:tc>
          <w:tcPr>
            <w:tcW w:w="326" w:type="dxa"/>
            <w:tcBorders/>
            <w:shd w:fill="CCEEFF" w:val="clear"/>
            <w:tcMar>
              <w:top w:w="0" w:type="dxa"/>
            </w:tcMar>
            <w:vAlign w:val="center"/>
          </w:tcPr>
          <w:p>
            <w:pPr>
              <w:pStyle w:val="TableContents"/>
              <w:bidi w:val="0"/>
              <w:spacing w:before="0" w:after="1"/>
              <w:ind w:left="0" w:right="0" w:hanging="0"/>
              <w:jc w:val="left"/>
              <w:rPr/>
            </w:pPr>
            <w:r>
              <w:rPr/>
              <w:t> </w:t>
            </w:r>
          </w:p>
        </w:tc>
        <w:tc>
          <w:tcPr>
            <w:tcW w:w="961" w:type="dxa"/>
            <w:tcBorders>
              <w:bottom w:val="double" w:sz="6" w:space="0" w:color="000000"/>
            </w:tcBorders>
            <w:shd w:fill="CCEEFF" w:val="clear"/>
            <w:tcMar>
              <w:top w:w="0" w:type="dxa"/>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4,676,785</w:t>
            </w:r>
          </w:p>
        </w:tc>
        <w:tc>
          <w:tcPr>
            <w:tcW w:w="326" w:type="dxa"/>
            <w:tcBorders/>
            <w:shd w:fill="CCEEFF" w:val="clear"/>
            <w:tcMar>
              <w:top w:w="0" w:type="dxa"/>
            </w:tcMar>
            <w:vAlign w:val="center"/>
          </w:tcPr>
          <w:p>
            <w:pPr>
              <w:pStyle w:val="TableContents"/>
              <w:bidi w:val="0"/>
              <w:spacing w:before="0" w:after="1"/>
              <w:ind w:left="0" w:right="0" w:hanging="0"/>
              <w:jc w:val="left"/>
              <w:rPr/>
            </w:pPr>
            <w:r>
              <w:rPr/>
              <w:t>​</w:t>
            </w:r>
          </w:p>
        </w:tc>
        <w:tc>
          <w:tcPr>
            <w:tcW w:w="460" w:type="dxa"/>
            <w:tcBorders>
              <w:bottom w:val="double" w:sz="6" w:space="0" w:color="000000"/>
            </w:tcBorders>
            <w:shd w:fill="CCEEFF" w:val="clear"/>
            <w:tcMar>
              <w:top w:w="0" w:type="dxa"/>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81" w:type="dxa"/>
            <w:tcBorders>
              <w:bottom w:val="double" w:sz="6" w:space="0" w:color="000000"/>
            </w:tcBorders>
            <w:shd w:fill="CCEEFF" w:val="clear"/>
            <w:tcMar>
              <w:top w:w="0" w:type="dxa"/>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2.83</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As of March 31, 2025, there was $5,108 of total unrecognized compensation expense related to the unvested restricted stock with time-based vesting terms, which is expected to be recognized over a weighted average period of 2.07 years.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Restricted Stock Awards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restricted stock activity as of March 31, 2025 and December 31, 2024:</w:t>
      </w:r>
    </w:p>
    <w:p>
      <w:pPr>
        <w:pStyle w:val="TextBody"/>
        <w:bidi w:val="0"/>
        <w:spacing w:before="0" w:after="0"/>
        <w:ind w:left="0" w:right="0" w:hanging="0"/>
        <w:jc w:val="left"/>
        <w:rPr/>
      </w:pPr>
      <w:r>
        <w:rPr/>
        <w:t>​</w:t>
      </w:r>
    </w:p>
    <w:tbl>
      <w:tblPr>
        <w:tblW w:w="6400" w:type="dxa"/>
        <w:jc w:val="left"/>
        <w:tblInd w:w="0" w:type="dxa"/>
        <w:tblLayout w:type="fixed"/>
        <w:tblCellMar>
          <w:top w:w="0" w:type="dxa"/>
          <w:left w:w="0" w:type="dxa"/>
          <w:bottom w:w="0" w:type="dxa"/>
          <w:right w:w="0" w:type="dxa"/>
        </w:tblCellMar>
      </w:tblPr>
      <w:tblGrid>
        <w:gridCol w:w="3196"/>
        <w:gridCol w:w="326"/>
        <w:gridCol w:w="811"/>
        <w:gridCol w:w="326"/>
        <w:gridCol w:w="460"/>
        <w:gridCol w:w="12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29460" cy="175260"/>
                      <wp:effectExtent l="0" t="0" r="0" b="0"/>
                      <wp:wrapNone/>
                      <wp:docPr id="214" name="Frame214"/>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14985" cy="175260"/>
                      <wp:effectExtent l="0" t="0" r="0" b="0"/>
                      <wp:wrapNone/>
                      <wp:docPr id="216" name="Frame21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92100" cy="175260"/>
                      <wp:effectExtent l="0" t="0" r="0" b="0"/>
                      <wp:wrapNone/>
                      <wp:docPr id="218" name="Frame218"/>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813435" cy="175260"/>
                      <wp:effectExtent l="0" t="0" r="0" b="0"/>
                      <wp:wrapNone/>
                      <wp:docPr id="219" name="Frame219"/>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8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741"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Weighted Average</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Shares</w:t>
            </w:r>
          </w:p>
        </w:tc>
        <w:tc>
          <w:tcPr>
            <w:tcW w:w="326" w:type="dxa"/>
            <w:tcBorders/>
            <w:vAlign w:val="center"/>
          </w:tcPr>
          <w:p>
            <w:pPr>
              <w:pStyle w:val="TableContents"/>
              <w:bidi w:val="0"/>
              <w:spacing w:before="0" w:after="0"/>
              <w:ind w:left="0" w:right="0" w:hanging="0"/>
              <w:jc w:val="left"/>
              <w:rPr/>
            </w:pPr>
            <w:r>
              <w:rPr/>
              <w:t>​</w:t>
            </w:r>
          </w:p>
        </w:tc>
        <w:tc>
          <w:tcPr>
            <w:tcW w:w="1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Grant Date Fair Value</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Unvested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24,734</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7.27</w:t>
            </w:r>
          </w:p>
        </w:tc>
      </w:tr>
      <w:tr>
        <w:trPr/>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281" w:type="dxa"/>
            <w:tcBorders/>
            <w:vAlign w:val="center"/>
          </w:tcPr>
          <w:p>
            <w:pPr>
              <w:pStyle w:val="TableContents"/>
              <w:bidi w:val="0"/>
              <w:spacing w:before="0" w:after="0"/>
              <w:ind w:left="0" w:right="0" w:hanging="0"/>
              <w:jc w:val="right"/>
              <w:rPr/>
            </w:pPr>
            <w:r>
              <w:rPr/>
              <w:t>—</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281" w:type="dxa"/>
            <w:tcBorders/>
            <w:shd w:fill="CCEEFF" w:val="clear"/>
            <w:vAlign w:val="center"/>
          </w:tcPr>
          <w:p>
            <w:pPr>
              <w:pStyle w:val="TableContents"/>
              <w:bidi w:val="0"/>
              <w:spacing w:before="0" w:after="0"/>
              <w:ind w:left="0" w:right="0" w:hanging="0"/>
              <w:jc w:val="right"/>
              <w:rPr/>
            </w:pPr>
            <w:r>
              <w:rPr/>
              <w:t>—</w:t>
            </w:r>
          </w:p>
        </w:tc>
      </w:tr>
      <w:tr>
        <w:trPr/>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Vested</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(24,734)</w:t>
            </w:r>
          </w:p>
        </w:tc>
        <w:tc>
          <w:tcPr>
            <w:tcW w:w="32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7.27</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Unvested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7.27</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March 31, 2025, there was no unrecognized compensation expense related to the unvested restricted stock with time-based vesting terms. All restricted stock vests over a four-year period.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Early-Exercise of Unvested Equity Awards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Certain equity award holders early exercised unvested equity awards. The cash received upon early exercise of options of $0 and $491 was recorded as a deposit liability on the Company’s balance sheet as of March 31, 2025 and March 31, 2024, respectively.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Employee Stock Purchase Plan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ESPP was adopted by the Board of Directors in May 2021. A total of 564,071 shares of common stock were initially reserved for issuance under this plan, which shall be increased, upon approval by the Board of Directors, on January 1, 2022 and each January 1 thereafter, to the lesser of (i) one percent (1%) of the outstanding shares of common stock on the last day of the immediately preceding fiscal year, or (ii) an amount determined by the Board of Directors no later than the last day of the immediately preceding fiscal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year. For 2022, the ESPP reserved shares were increased under clause (i) by 550,055 shares, effective as of January 1, 2022. For 2023 and 2024, the board waived the annual increase to the shares reserved under the ESPP. As of March 31, 2025, there were 745,518 shares available for issuance, under the ESPP.</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val="false"/>
          <w:sz w:val="24"/>
        </w:rPr>
      </w:pPr>
      <w:r>
        <w:rPr>
          <w:rFonts w:ascii="Arial;Helvetica;sans-serif" w:hAnsi="Arial;Helvetica;sans-serif"/>
          <w:b w:val="false"/>
          <w:sz w:val="24"/>
        </w:rPr>
        <w:t>Note 13—Related party transactions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License Agreements and Collaborative Agreements with Shareholder</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owns licenses and other contracts with FUJIFILM Cellular Dynamics, Inc. (“FCDI”). FCDI is a shareholder of the Company. The acquired licenses and other contracts with FCDI are as follows: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FCDI Agreements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owns a non-exclusive license agreement with FCDI. The license provides the Company with certain patents and know-how related to the reprogramming of human somatic cells to induce pluripotent stem cells (“iPSCs”) (“Reprogramming License Agreement”). Under this agreement, the Company is required to make certain developmental and regulatory milestone payments as well as royalty payments upon commercialization. Royalties are in the low single digits on the sale of all licensed products.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also owns an exclusive license agreement with FCDI (“Differentiation Licenses Agreement”). The Differentiation Licenses Agreement provides the Company with patents and know-how related to human iPSC exclusively manufactured by FCDI.</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October 2019, the Company entered into the Master Collaboration Agreement with FCDI (“Collaboration Agreement”), whereby FCDI provides certain services to the Company to develop and manufacture iPSCs and immune cells derived therefrom. FCDI provides services in accordance with the approved research plan and related research budget. The initial research plan covered the period from October 2019 through March 31, 2022. In July, 2022 the Company amended the Collaboration Agreement to extend the term through September 30, 2025, and in September 2023, the Company amended the Collaboration Agreement in connection with the Autoimmune License (as defined below).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March 2021, the Company entered into a Manufacturing Agreement with FCDI (“Manufacturing Agreement”), pursuant to which FCDI provides certain agreed upon technology transfer, process development, analytical testing and cGMP manufacturing services to the Company.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January 2022, the Company and FCDI entered into a letter agreement (the “Letter Agreement”), which amended the Reprogramming License Agreement, Differentiation License Agreement and Manufacturing Agreement (the “FCDI Agreements”) pursuant to the Company’s Research Collaboration and License Agreement with Bristol-Myers Squibb. Pursuant to the Letter Agreement, and in consideration for amending the FCDI Agreements, the Company paid to FCDI an upfront payment of $10,000 and will pay FCDI (i) a percentage of any milestone payments received by the Company under the FCDI Collaboration Agreement in respect of achievement of development or regulatory milestones specific to Japan, and (ii) a percentage of all royalties received by the Company under the FCDI Collaboration Agreement in respect of sales of products in Japan.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During the three months ended March 31, 2025 and 2024, the Company made payments of $1,517 and $2,707 and incurred research and development expenses of $1,492 and $2,666, and recorded within research and development expenses in its consolidated statements of operations and comprehensive income (loss), respectively.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Bayer Option Agreement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Bayer Health, LLC (“Bayer”)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4"/>
        </w:rPr>
      </w:pPr>
      <w:r>
        <w:rPr>
          <w:rFonts w:ascii="Arial;Helvetica;sans-serif" w:hAnsi="Arial;Helvetica;sans-serif"/>
          <w:sz w:val="24"/>
        </w:rPr>
        <w:t>Note 14 – Common Stock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At-The-Market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has a Sales Agreement (“Sales Agreement”), with Cowen and Company, LLC, or (“Cowen”) to provide for the offering, issuance and sale of up to an aggregate amount of $150,000 of common stock from time to time in “at-the-market” offerings (the “ATM Program”) pursuant to its shelf registration statement on Form S-3 (File No. 333-265975) and subject to the limitations thereof. During the quarter ended March 31, 2025, the Company did not have any sales in the ATM Program.</w:t>
      </w:r>
    </w:p>
    <w:p>
      <w:pPr>
        <w:pStyle w:val="TextBody"/>
        <w:bidi w:val="0"/>
        <w:spacing w:before="0" w:after="200"/>
        <w:ind w:left="0" w:right="0" w:hanging="0"/>
        <w:jc w:val="left"/>
        <w:rPr>
          <w:rFonts w:ascii="Arial;Helvetica;sans-serif" w:hAnsi="Arial;Helvetica;sans-serif"/>
          <w:sz w:val="24"/>
        </w:rPr>
      </w:pPr>
      <w:bookmarkStart w:id="973" w:name="_1f4906bc_aa42_4b57_90b1_d4b415cfed99"/>
      <w:bookmarkEnd w:id="973"/>
      <w:r>
        <w:rPr>
          <w:rFonts w:ascii="Arial;Helvetica;sans-serif" w:hAnsi="Arial;Helvetica;sans-serif"/>
          <w:sz w:val="24"/>
        </w:rPr>
        <w:t xml:space="preserve">Note 15—Segment Reporting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segments are identified as components of an enterprise for which separate discrete financial information is available for evaluation by the chief operating decision maker (“CODM”) in making decisions on how to allocate resources and assess performance. The Company views its operations and manages the business as one operating segment. The Company’s CODM is its Chief Executive Officer. The CODM uses research and development expenses, general and administrative expenses, and net loss as measures of profit or loss to assess performance and allocate resources, all of which are presented on the face of the financial statements. The CODM also uses a further breakdown of research and development expenses to assess performance and allocate resources as presented below:</w:t>
      </w:r>
    </w:p>
    <w:p>
      <w:pPr>
        <w:pStyle w:val="TextBody"/>
        <w:bidi w:val="0"/>
        <w:spacing w:before="0" w:after="0"/>
        <w:ind w:left="0" w:right="0" w:hanging="0"/>
        <w:jc w:val="left"/>
        <w:rPr/>
      </w:pPr>
      <w:bookmarkStart w:id="974" w:name="Tc_krPBlzV-Dka0KkmYqUMMWg_12_5"/>
      <w:bookmarkStart w:id="975" w:name="Tc_kg-BP5CvI06oDCFmoGF1qQ_12_2"/>
      <w:bookmarkStart w:id="976" w:name="Tc_-DBKeBFhjEiVsfaLvMKQvQ_12_0"/>
      <w:bookmarkStart w:id="977" w:name="Tc_93t2K1BSMkmlYAZ8VuzQnQ_11_0"/>
      <w:bookmarkStart w:id="978" w:name="Tc_d7wkwaFkW0WWSg1yzOebPQ_10_0"/>
      <w:bookmarkStart w:id="979" w:name="Tc_n7D5qPmHTESKokzTw6OxoA_9_0"/>
      <w:bookmarkStart w:id="980" w:name="Tc_ZM6kpudc7UOYdhUD4bAQqg_8_0"/>
      <w:bookmarkStart w:id="981" w:name="Tc_E9_HqySPAUe-TD6OnqXceg_7_0"/>
      <w:bookmarkStart w:id="982" w:name="Tc_8oaaIK1ovkaZ29SwvGPVAg_6_5"/>
      <w:bookmarkStart w:id="983" w:name="Tc_l9TphfGJ_EiTidGo4Lb8iw_6_2"/>
      <w:bookmarkStart w:id="984" w:name="Tc_ub5WWLQYTUC8BcntISdimg_6_0"/>
      <w:bookmarkStart w:id="985" w:name="Tc_ytMdQQD6ekuLImXy2NKDig_5_0"/>
      <w:bookmarkStart w:id="986" w:name="Tc_ujyU-z2fLEO2qBPywPypKQ_4_0"/>
      <w:bookmarkStart w:id="987" w:name="Tc_pGH700ulpEWWeLQs5pt4IA_3_5"/>
      <w:bookmarkStart w:id="988" w:name="Tc_QyspB1XDuUWc5DrS3ccvNg_3_2"/>
      <w:bookmarkStart w:id="989" w:name="Tc_lBmDf0C2x0GTl1R4EGqTuw_3_0"/>
      <w:bookmarkStart w:id="990" w:name="Tc_DphGbY_Gt0CM8DwR-A3VHA_2_5"/>
      <w:bookmarkStart w:id="991" w:name="Tc_ZIdqm1152kOM_yFIlDaWsg_2_2"/>
      <w:bookmarkStart w:id="992" w:name="Tc_eFsNt0kHoE6ijNRNlEl1Iw_1_5"/>
      <w:bookmarkStart w:id="993" w:name="Tc_PN1qOev8D0qN4rhjnlb6Dg_1_2"/>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r>
        <w:rPr/>
        <w:t>​</w:t>
      </w:r>
    </w:p>
    <w:tbl>
      <w:tblPr>
        <w:tblW w:w="7073" w:type="dxa"/>
        <w:jc w:val="left"/>
        <w:tblInd w:w="0" w:type="dxa"/>
        <w:tblLayout w:type="fixed"/>
        <w:tblCellMar>
          <w:top w:w="0" w:type="dxa"/>
          <w:left w:w="0" w:type="dxa"/>
          <w:bottom w:w="0" w:type="dxa"/>
          <w:right w:w="0" w:type="dxa"/>
        </w:tblCellMar>
      </w:tblPr>
      <w:tblGrid>
        <w:gridCol w:w="3016"/>
        <w:gridCol w:w="326"/>
        <w:gridCol w:w="352"/>
        <w:gridCol w:w="1328"/>
        <w:gridCol w:w="326"/>
        <w:gridCol w:w="341"/>
        <w:gridCol w:w="1384"/>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23520" cy="175260"/>
                      <wp:effectExtent l="0" t="0" r="0" b="0"/>
                      <wp:wrapNone/>
                      <wp:docPr id="221" name="Frame22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6535" cy="175260"/>
                      <wp:effectExtent l="0" t="0" r="0" b="0"/>
                      <wp:wrapNone/>
                      <wp:docPr id="223" name="Frame223"/>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0"/>
              <w:ind w:left="0" w:right="0" w:hanging="0"/>
              <w:jc w:val="left"/>
              <w:rPr/>
            </w:pPr>
            <w:r>
              <w:rPr/>
              <w:t>​</w:t>
            </w:r>
          </w:p>
        </w:tc>
      </w:tr>
      <w:tr>
        <w:trPr/>
        <w:tc>
          <w:tcPr>
            <w:tcW w:w="301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8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72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2025</w:t>
            </w:r>
          </w:p>
        </w:tc>
        <w:tc>
          <w:tcPr>
            <w:tcW w:w="326"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2024</w:t>
            </w:r>
          </w:p>
        </w:tc>
      </w:tr>
      <w:tr>
        <w:trPr/>
        <w:tc>
          <w:tcPr>
            <w:tcW w:w="301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Collaboration revenue</w:t>
            </w:r>
          </w:p>
        </w:tc>
        <w:tc>
          <w:tcPr>
            <w:tcW w:w="326"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109,164</w:t>
            </w:r>
          </w:p>
        </w:tc>
        <w:tc>
          <w:tcPr>
            <w:tcW w:w="326" w:type="dxa"/>
            <w:tcBorders/>
            <w:shd w:fill="CCEEFF" w:val="clear"/>
            <w:vAlign w:val="center"/>
          </w:tcPr>
          <w:p>
            <w:pPr>
              <w:pStyle w:val="TableContents"/>
              <w:bidi w:val="0"/>
              <w:spacing w:before="0" w:after="0"/>
              <w:ind w:left="0" w:right="0" w:hanging="0"/>
              <w:jc w:val="center"/>
              <w:rPr/>
            </w:pPr>
            <w:r>
              <w:rPr/>
              <w:t>​</w:t>
            </w:r>
          </w:p>
        </w:tc>
        <w:tc>
          <w:tcPr>
            <w:tcW w:w="3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855</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cost and expense:</w:t>
            </w:r>
          </w:p>
        </w:tc>
        <w:tc>
          <w:tcPr>
            <w:tcW w:w="326"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13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34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pPr>
            <w:r>
              <w:rPr/>
              <w:t>​</w:t>
            </w:r>
          </w:p>
        </w:tc>
      </w:tr>
      <w:tr>
        <w:trPr/>
        <w:tc>
          <w:tcPr>
            <w:tcW w:w="30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3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Personnel and related costs</w:t>
            </w:r>
          </w:p>
        </w:tc>
        <w:tc>
          <w:tcPr>
            <w:tcW w:w="326" w:type="dxa"/>
            <w:tcBorders/>
            <w:vAlign w:val="center"/>
          </w:tcPr>
          <w:p>
            <w:pPr>
              <w:pStyle w:val="TableContents"/>
              <w:bidi w:val="0"/>
              <w:spacing w:before="0" w:after="0"/>
              <w:ind w:left="0" w:right="0" w:hanging="0"/>
              <w:jc w:val="center"/>
              <w:rPr/>
            </w:pPr>
            <w:r>
              <w:rPr/>
              <w:t>    </w:t>
            </w:r>
          </w:p>
        </w:tc>
        <w:tc>
          <w:tcPr>
            <w:tcW w:w="35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9,984</w:t>
            </w:r>
          </w:p>
        </w:tc>
        <w:tc>
          <w:tcPr>
            <w:tcW w:w="326" w:type="dxa"/>
            <w:tcBorders/>
            <w:vAlign w:val="center"/>
          </w:tcPr>
          <w:p>
            <w:pPr>
              <w:pStyle w:val="TableContents"/>
              <w:bidi w:val="0"/>
              <w:spacing w:before="0" w:after="0"/>
              <w:ind w:left="0" w:right="0" w:hanging="0"/>
              <w:jc w:val="center"/>
              <w:rPr/>
            </w:pPr>
            <w:r>
              <w:rPr/>
              <w:t>    </w:t>
            </w:r>
          </w:p>
        </w:tc>
        <w:tc>
          <w:tcPr>
            <w:tcW w:w="3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9,761</w:t>
            </w:r>
          </w:p>
        </w:tc>
      </w:tr>
      <w:tr>
        <w:trPr/>
        <w:tc>
          <w:tcPr>
            <w:tcW w:w="30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Facility and other allocated costs</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132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5,322</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 </w:t>
            </w:r>
          </w:p>
        </w:tc>
        <w:tc>
          <w:tcPr>
            <w:tcW w:w="13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4,692</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laboratory</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9,475</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3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8,042</w:t>
            </w:r>
          </w:p>
        </w:tc>
      </w:tr>
      <w:tr>
        <w:trPr/>
        <w:tc>
          <w:tcPr>
            <w:tcW w:w="30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132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1,799</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 </w:t>
            </w:r>
          </w:p>
        </w:tc>
        <w:tc>
          <w:tcPr>
            <w:tcW w:w="13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926</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3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8,408</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8,743</w:t>
            </w:r>
          </w:p>
        </w:tc>
      </w:tr>
      <w:tr>
        <w:trPr/>
        <w:tc>
          <w:tcPr>
            <w:tcW w:w="30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segment (income)/expense</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(2,384)</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(3,247)</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w:t>
            </w:r>
          </w:p>
        </w:tc>
        <w:tc>
          <w:tcPr>
            <w:tcW w:w="326" w:type="dxa"/>
            <w:tcBorders/>
            <w:vAlign w:val="center"/>
          </w:tcPr>
          <w:p>
            <w:pPr>
              <w:pStyle w:val="TableContents"/>
              <w:bidi w:val="0"/>
              <w:spacing w:before="0" w:after="0"/>
              <w:ind w:left="0" w:right="0" w:hanging="0"/>
              <w:jc w:val="center"/>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76,560</w:t>
            </w:r>
          </w:p>
        </w:tc>
        <w:tc>
          <w:tcPr>
            <w:tcW w:w="326" w:type="dxa"/>
            <w:tcBorders/>
            <w:vAlign w:val="center"/>
          </w:tcPr>
          <w:p>
            <w:pPr>
              <w:pStyle w:val="TableContents"/>
              <w:bidi w:val="0"/>
              <w:spacing w:before="0" w:after="0"/>
              <w:ind w:left="0" w:right="0" w:hanging="0"/>
              <w:jc w:val="center"/>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8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(28,062)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Other segment (income)/expense includes interest expense, interest income, other income (expense), and provision for income taxes.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4"/>
        </w:rPr>
      </w:pPr>
      <w:r>
        <w:rPr>
          <w:rFonts w:ascii="Arial;Helvetica;sans-serif" w:hAnsi="Arial;Helvetica;sans-serif"/>
          <w:sz w:val="24"/>
        </w:rPr>
        <w:t>Note 16—Subsequent Events</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 xml:space="preserve">The Company has evaluated subsequent events through the filing of this Quarterly Report on Form 10-Q, and determined that there have been no events that have occurred that would require adjustments to our disclosures in the consolidated financial statements.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994" w:name="Managementsdiscussionandanalysisoffinanc"/>
      <w:bookmarkStart w:id="995" w:name="_b037ffe6_24b3_474d_b41f_ca6bd2b23629"/>
      <w:bookmarkEnd w:id="994"/>
      <w:bookmarkEnd w:id="995"/>
      <w:r>
        <w:rPr>
          <w:rFonts w:ascii="Arial;Helvetica;sans-serif" w:hAnsi="Arial;Helvetica;sans-serif"/>
          <w:b/>
          <w:sz w:val="20"/>
        </w:rPr>
        <w:t>Item 2. Management’s discussion and analysis of financial condition and results of operations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The following discussion and analysis should be read in conjunction with our financial statements and accompanying notes included in this Quarterly Report on Form 10-Q and the financial statements and accompanying notes thereto for the fiscal year ended December 31, 2024 and the related Management’s Discussion and Analysis of Financial Condition and Results of Operations, which are contained in our Annual Report on Form 10-K filed with the Securities and Exchange Commission (the “SEC”) on March 19, 2025 (the “Annual Report”). This Quarterly Report on Form 10-Q contains “forward-looking statements” within the meaning of Section 27A of the Securities Act and Section 21E of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a clinical-stage biotechnology company harnessing the power of allogeneic pluripotent stem cell therapies to develop potentially curative cell therapy products for autoimmune diseases and cancer. Our natural killer, or NK, and T cell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 </w:t>
      </w:r>
    </w:p>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Industry-leading iPSCs and differentiation know-how to generate immune effector cells from iPSCs, or iPSC-derived cells;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Clustered regularly interspaced short palindromic repeats, or CRISPR mediated precision gene editing that allows us to incorporate multiple transgenes and disrupt target genes intended to optimize cell product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Sophisticated protein engineering capabilities to develop proprietary next generation chimeric antigen receptors, or CARs;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proprietary Allo-Evasion™ technology intended to prevent rejection of our cell products by the host immune system, enabling the potential for persistence and re-dosing of therapy;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Cutting-edge manufacturing capabilities intended to drive scale advantages and reduce cost of goods sold, or COGs, while minimizing product development and supply risk.</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immune effector cell types we can generate from iPSCs, including iPSC-derived natural killer cells, or iNK cells, iPSC-derived </w:t>
      </w:r>
      <w:r>
        <w:rPr>
          <w:rFonts w:ascii="Symbol" w:hAnsi="Symbol"/>
          <w:sz w:val="20"/>
        </w:rPr>
        <w:t xml:space="preserve">gd </w:t>
      </w:r>
      <w:r>
        <w:rPr>
          <w:rFonts w:ascii="Arial;Helvetica;sans-serif" w:hAnsi="Arial;Helvetica;sans-serif"/>
          <w:sz w:val="20"/>
        </w:rPr>
        <w:t xml:space="preserve">T cells, or </w:t>
      </w:r>
      <w:r>
        <w:rPr>
          <w:rFonts w:ascii="Symbol" w:hAnsi="Symbol"/>
          <w:sz w:val="20"/>
        </w:rPr>
        <w:t xml:space="preserve">gd </w:t>
      </w:r>
      <w:r>
        <w:rPr>
          <w:rFonts w:ascii="Arial;Helvetica;sans-serif" w:hAnsi="Arial;Helvetica;sans-serif"/>
          <w:sz w:val="20"/>
        </w:rPr>
        <w:t xml:space="preserve">IT cells and iPSC-derived CD4+ and CD8+ </w:t>
      </w:r>
      <w:r>
        <w:rPr>
          <w:rFonts w:ascii="Symbol" w:hAnsi="Symbol"/>
          <w:sz w:val="20"/>
        </w:rPr>
        <w:t xml:space="preserve">ab </w:t>
      </w:r>
      <w:r>
        <w:rPr>
          <w:rFonts w:ascii="Arial;Helvetica;sans-serif" w:hAnsi="Arial;Helvetica;sans-serif"/>
          <w:sz w:val="20"/>
        </w:rPr>
        <w:t xml:space="preserve">T cells, or </w:t>
      </w:r>
      <w:r>
        <w:rPr>
          <w:rFonts w:ascii="Symbol" w:hAnsi="Symbol"/>
          <w:sz w:val="20"/>
        </w:rPr>
        <w:t xml:space="preserve">ab </w:t>
      </w:r>
      <w:r>
        <w:rPr>
          <w:rFonts w:ascii="Arial;Helvetica;sans-serif" w:hAnsi="Arial;Helvetica;sans-serif"/>
          <w:sz w:val="20"/>
        </w:rPr>
        <w:t xml:space="preserve">iT cells, and iPSC-derived </w:t>
      </w:r>
      <w:r>
        <w:rPr>
          <w:rFonts w:ascii="Symbol" w:hAnsi="Symbol"/>
          <w:sz w:val="20"/>
        </w:rPr>
        <w:t>b</w:t>
      </w:r>
      <w:r>
        <w:rPr>
          <w:rFonts w:ascii="Arial;Helvetica;sans-serif" w:hAnsi="Arial;Helvetica;sans-serif"/>
          <w:sz w:val="20"/>
        </w:rPr>
        <w:t xml:space="preserve"> cells. We believe this capability enables optimal matching of cell characteristics to indication,</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ensuring we target the right cell for the right indication. Further, we have developed a feeder-free, scalable process that recapitulates normal T cell development in a dish, allowing for what we believe to be the industry-first presentation of iPSC-derived CD4+ and CD8+ CAR-T cells that demonstrate αβ-like T cell function.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lead product candidate, CNTY-101, is a CAR-iNK cell therapy with six precision gene edits currently being tested in a Phase 1 clinical trial for patients with B-cell mediated autoimmune diseases. In March 2025, we announced that we have discontinued CNTY-101 evaluation in a Phase 1 clinical trial for patients with lymphoma for strategic reasons. While we remain encouraged by tolerability and clinical activity of CNTY-101 in late-stage R/R NHL, emerging data from ELiPSE-1 did not meet our threshold to be considered transformational in this patient population. </w:t>
      </w:r>
    </w:p>
    <w:p>
      <w:pPr>
        <w:pStyle w:val="TextBody"/>
        <w:bidi w:val="0"/>
        <w:spacing w:before="0" w:after="0"/>
        <w:ind w:left="0" w:right="0" w:hanging="0"/>
        <w:jc w:val="left"/>
        <w:rPr>
          <w:shd w:fill="FFFF00" w:val="clear"/>
        </w:rPr>
      </w:pPr>
      <w:r>
        <w:rPr>
          <w:shd w:fill="FFFF00" w:val="clea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March 2025, we also announced a re-prioritized pre-clinical pipeline intended to further leverage the unique capabilities and technologies we have towards transformative treatments holding strong commercial potential to treat serious diseases with high unmet need. Accordingly, in addition to our clinical stage programs, we will be focusing on three core pre-clinical programs built on our industry leading iT cell platform. We believe these programs have significant potential for differentiation in their respective categories.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CNTY-308: A CD19-targeted CAR-iT cell therapy engineered with Allo-Evasion™ 5.0 demonstrating preclinical efficacy comparable to autologous CD19 CAR-T cells. It is being developed primarily for B-cell mediated autoimmune diseases and malignancies.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CNTY-341: A CD19/CD22 dual-targeted CAR-iT cell therapy engineered with Allo-Evasion™ 5.0 which pairs dual targeting and primary T-cell-like functionality in an allogeneic cell with the goal of providing a differentiated therapy for B cell malignancies.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first solid tumor CAR iT program exploiting Nectin-4 CAR and other validated targets, engineered with Allo-Evasion™ 5.0 and additional engineering aimed at overcoming the key barriers to success in solid tumors.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also selectively expanding to non-immune effector cells where we believe there are opportunities to potentially accelerate in high-impact therapeutic areas where we believe our technology and capabilities can provide meaningful differentiation.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vision is to become a premier, fully integrated biotechnology company by developing and ultimately commercializing off-the-shelf allogeneic cell therapies that dramatically and positively transform the lives of patients suffering from life-threatening autoimmune diseases and cancers. To achieve our vision, we have assembled a world-class team with decades of collective experience in cell therapy and drug development, manufacturing, and commercialization.</w:t>
      </w:r>
    </w:p>
    <w:p>
      <w:pPr>
        <w:pStyle w:val="TextBody"/>
        <w:bidi w:val="0"/>
        <w:spacing w:before="0" w:after="0"/>
        <w:ind w:left="0" w:right="0" w:hanging="0"/>
        <w:jc w:val="left"/>
        <w:rPr>
          <w:color w:val="231F20"/>
          <w:shd w:fill="FFFF00" w:val="clear"/>
        </w:rPr>
      </w:pPr>
      <w:r>
        <w:rPr>
          <w:color w:val="231F20"/>
          <w:shd w:fill="FFFF00" w:val="clea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Based on our current business plans, we believe our cash, cash equivalents and investments as of March 31, 2025, will be sufficient for us to fund our operating expenses and capital expenditures requirements into the fourth quarter of 2026.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continue to advance our iPSC cell therapy platforms;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progress clinical development of CNTY-101 and continue preclinical development of our other product candidates;</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seek to discover and develop additional product candidates;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expand and validate our own clinical-scale current good manufacturing practices, or cGMP, facilities;</w:t>
            </w:r>
          </w:p>
        </w:tc>
      </w:tr>
    </w:tbl>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seek regulatory approvals for any of our product candidates that successfully complete clinical trials;</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expand, protect, and enforce our intellectual property portfolio;</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continue to incur costs associated with operating as a public company;</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acquire or in-license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increase our employee headcount and related expenses to support these activities.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also investing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and our other product candidates. Until such time, if ever, as we can generate significant product revenue, we expect to finance our operations with our existing cash and cash equivalents, investments, any future equity or debt financings, and upfront and milestone and royalty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License and collaboration agreements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Bristol-Myers Squibb</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January 7, 2022, we entered into a Research, Collaboration and License Agreement with Bristol-Myers Squibb Company to collaborate on the research, development and commercialization of induced pluripotent stem cell derived, engineered natural killer cell and/or gamma delta T cell programs for hematologic malignancies, initially focused on acute myeloid leukemia, and multiple myeloma, or the Collaboration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Under the terms of the Collaboration Agreement, Bristol-Myers Squibb made a non-refundable, upfront cash payment of $100 million and purchased 2,160,760 shares of our common stock at a price per share of $23.14, for an aggregate purchase price of $50.0 million.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Following an internal corporate portfolio prioritization process, Bristol-Myers Squibb notified the Company on December 12, 2024 that it would be terminating the Collaboration Agreement in its entirety without cause. The termination was effective as of March 12, 2025.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Fujifilm Cellular Dynamics, Inc. (FCDI)</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 in connection with the January 2023 Strategic Reprioritization.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Also on September 18, 2018, we entered into the non-exclusive license, or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a collaboration agreement, or the FCDI Collaboration Agreement, with FCDI pursuant to which we agreed to fund research and development work at FCDI pursuant to a research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January 7, 2022, we and FCDI entered into a letter agreement, which amends each of the FCDI agreements as further discussed in Note 14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September 22,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or the Autoimmune License.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 to also include inflammatory and autoimmune diseases.</w:t>
      </w:r>
    </w:p>
    <w:p>
      <w:pPr>
        <w:pStyle w:val="TextBody"/>
        <w:bidi w:val="0"/>
        <w:spacing w:before="0" w:after="0"/>
        <w:ind w:left="0" w:right="0" w:hanging="0"/>
        <w:jc w:val="both"/>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three months ended March 31, 2025 and 2024, we made payments of $1.5 million and $2.7 million and incurred research and development expenses of $1.5 million and $2.7 million recorded within general and administrative expenses in its consolidated statements of operations and comprehensive income (loss), respectively.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From inception of the FCDI Collaboration Agreement through March 31, 2025, we incurred $44.3 million of expenses under the FCDI Collaboration Agreement.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Components of operating results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Collaboration revenue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have not generated any revenue from product sales and do not expect to generate any revenue from the sale of products for the foreseeable future. Our revenues to date were generated through our collaboration, option and license agreement with Bristol-Myers Squibb, which was terminated, effective as of March 12, 2025. We recognize revenue over the expected performance period under this agreement. We expect that our revenue for the next several years will be derived primarily from any collaborations that we may enter into in the future. To date, we have not received any royalties under any of our existing collaboration agreements.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Operating expenses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Interest income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income consists of interest earned on our cash, cash equivalents and investment balances.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Income taxes</w:t>
      </w:r>
    </w:p>
    <w:p>
      <w:pPr>
        <w:pStyle w:val="TextBody"/>
        <w:bidi w:val="0"/>
        <w:spacing w:before="0" w:after="200"/>
        <w:ind w:left="0" w:right="0" w:hanging="0"/>
        <w:jc w:val="left"/>
        <w:rPr>
          <w:rFonts w:ascii="Arial;Helvetica;sans-serif" w:hAnsi="Arial;Helvetica;sans-serif"/>
          <w:b w:val="false"/>
          <w:sz w:val="20"/>
          <w:shd w:fill="FFFFFF" w:val="clear"/>
        </w:rPr>
      </w:pPr>
      <w:r>
        <w:rPr>
          <w:rFonts w:ascii="Arial;Helvetica;sans-serif" w:hAnsi="Arial;Helvetica;sans-serif"/>
          <w:b w:val="false"/>
          <w:sz w:val="20"/>
          <w:shd w:fill="FFFFFF" w:val="clear"/>
        </w:rPr>
        <w:t xml:space="preserve">The Company has evaluated the positive and negative evidence bearing upon its ability to realize its deferred tax assets, which primarily consist of net operating loss carryforwards. While the Company utilized a portion of its existing net operating loss carryforwards during tax year 2023, the Company has considered its history of cumulative net losses in the U.S., estimated future taxable income and prudent and feasible tax planning strategies and has concluded that it is more likely than not that the Company will not realize the benefits of its U.S. deferred tax assets. As a result, as of March 31, 2025, the Company has recorded a full valuation allowance against its net deferred tax assets, exclusive of its deferred tax liability on IPR&amp;D in the U.S.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Comparison of the three months ended March 31, 2025 and 2024.</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our results of operations for the periods presented:</w:t>
      </w:r>
    </w:p>
    <w:p>
      <w:pPr>
        <w:pStyle w:val="TextBody"/>
        <w:bidi w:val="0"/>
        <w:spacing w:before="0" w:after="0"/>
        <w:ind w:left="0" w:right="0" w:hanging="0"/>
        <w:jc w:val="left"/>
        <w:rPr/>
      </w:pPr>
      <w:r>
        <w:rPr/>
        <w:t>​</w:t>
      </w:r>
    </w:p>
    <w:tbl>
      <w:tblPr>
        <w:tblW w:w="8905" w:type="dxa"/>
        <w:jc w:val="left"/>
        <w:tblInd w:w="0" w:type="dxa"/>
        <w:tblLayout w:type="fixed"/>
        <w:tblCellMar>
          <w:top w:w="0" w:type="dxa"/>
          <w:left w:w="0" w:type="dxa"/>
          <w:bottom w:w="0" w:type="dxa"/>
          <w:right w:w="0" w:type="dxa"/>
        </w:tblCellMar>
      </w:tblPr>
      <w:tblGrid>
        <w:gridCol w:w="3496"/>
        <w:gridCol w:w="326"/>
        <w:gridCol w:w="342"/>
        <w:gridCol w:w="1293"/>
        <w:gridCol w:w="326"/>
        <w:gridCol w:w="337"/>
        <w:gridCol w:w="1298"/>
        <w:gridCol w:w="326"/>
        <w:gridCol w:w="211"/>
        <w:gridCol w:w="796"/>
        <w:gridCol w:w="154"/>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19960" cy="175260"/>
                      <wp:effectExtent l="0" t="0" r="0" b="0"/>
                      <wp:wrapNone/>
                      <wp:docPr id="224" name="Frame224"/>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7170" cy="175260"/>
                      <wp:effectExtent l="0" t="0" r="0" b="0"/>
                      <wp:wrapNone/>
                      <wp:docPr id="226" name="Frame226"/>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821055" cy="175260"/>
                      <wp:effectExtent l="0" t="0" r="0" b="0"/>
                      <wp:wrapNone/>
                      <wp:docPr id="227" name="Frame227"/>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3995" cy="175260"/>
                      <wp:effectExtent l="0" t="0" r="0" b="0"/>
                      <wp:wrapNone/>
                      <wp:docPr id="229" name="Frame229"/>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24230" cy="175260"/>
                      <wp:effectExtent l="0" t="0" r="0" b="0"/>
                      <wp:wrapNone/>
                      <wp:docPr id="230" name="Frame230"/>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05460" cy="175260"/>
                      <wp:effectExtent l="0" t="0" r="0" b="0"/>
                      <wp:wrapNone/>
                      <wp:docPr id="233" name="Frame23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97790" cy="175260"/>
                      <wp:effectExtent l="0" t="0" r="0" b="0"/>
                      <wp:wrapNone/>
                      <wp:docPr id="234" name="Frame23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3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Three Months Ended</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3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Three Months Ended</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9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2025</w:t>
            </w:r>
          </w:p>
        </w:tc>
        <w:tc>
          <w:tcPr>
            <w:tcW w:w="326" w:type="dxa"/>
            <w:tcBorders/>
            <w:vAlign w:val="center"/>
          </w:tcPr>
          <w:p>
            <w:pPr>
              <w:pStyle w:val="TableContents"/>
              <w:bidi w:val="0"/>
              <w:spacing w:before="0" w:after="0"/>
              <w:ind w:left="0" w:right="0" w:hanging="0"/>
              <w:jc w:val="center"/>
              <w:rPr/>
            </w:pPr>
            <w:r>
              <w:rPr/>
              <w:t>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March 31, 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Change</w:t>
            </w:r>
          </w:p>
        </w:tc>
        <w:tc>
          <w:tcPr>
            <w:tcW w:w="154" w:type="dxa"/>
            <w:tcBorders/>
            <w:vAlign w:val="center"/>
          </w:tcPr>
          <w:p>
            <w:pPr>
              <w:pStyle w:val="TableContents"/>
              <w:bidi w:val="0"/>
              <w:spacing w:before="0" w:after="0"/>
              <w:ind w:left="0" w:right="0" w:hanging="0"/>
              <w:jc w:val="center"/>
              <w:rPr/>
            </w:pPr>
            <w:r>
              <w:rPr/>
              <w:t>​</w:t>
            </w:r>
          </w:p>
        </w:tc>
      </w:tr>
      <w:tr>
        <w:trPr/>
        <w:tc>
          <w:tcPr>
            <w:tcW w:w="89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29" w:type="dxa"/>
            <w:gridSpan w:val="8"/>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c>
          <w:tcPr>
            <w:tcW w:w="154" w:type="dxa"/>
            <w:tcBorders/>
            <w:vAlign w:val="center"/>
          </w:tcPr>
          <w:p>
            <w:pPr>
              <w:pStyle w:val="TableContents"/>
              <w:bidi w:val="0"/>
              <w:spacing w:before="0" w:after="0"/>
              <w:ind w:left="0" w:right="0" w:hanging="0"/>
              <w:jc w:val="center"/>
              <w:rPr/>
            </w:pPr>
            <w:r>
              <w:rPr/>
              <w:t>​</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Collaboration revenue</w:t>
            </w:r>
          </w:p>
        </w:tc>
        <w:tc>
          <w:tcPr>
            <w:tcW w:w="326" w:type="dxa"/>
            <w:tcBorders/>
            <w:shd w:fill="CCEEFF" w:val="clear"/>
            <w:vAlign w:val="center"/>
          </w:tcPr>
          <w:p>
            <w:pPr>
              <w:pStyle w:val="TableContents"/>
              <w:bidi w:val="0"/>
              <w:spacing w:before="0" w:after="0"/>
              <w:ind w:left="0" w:right="0" w:hanging="0"/>
              <w:jc w:val="center"/>
              <w:rPr/>
            </w:pPr>
            <w:r>
              <w:rPr/>
              <w:t>​</w:t>
            </w:r>
          </w:p>
        </w:tc>
        <w:tc>
          <w:tcPr>
            <w:tcW w:w="34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109,164</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108,309</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w:t>
            </w:r>
          </w:p>
        </w:tc>
        <w:tc>
          <w:tcPr>
            <w:tcW w:w="12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0"/>
              <w:ind w:left="0" w:right="0" w:hanging="0"/>
              <w:jc w:val="center"/>
              <w:rPr/>
            </w:pPr>
            <w:r>
              <w:rPr/>
              <w:t>    </w:t>
            </w:r>
          </w:p>
        </w:tc>
        <w:tc>
          <w:tcPr>
            <w:tcW w:w="342"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26,580</w:t>
            </w:r>
          </w:p>
        </w:tc>
        <w:tc>
          <w:tcPr>
            <w:tcW w:w="326" w:type="dxa"/>
            <w:tcBorders/>
            <w:shd w:fill="CCEEFF" w:val="clear"/>
            <w:vAlign w:val="center"/>
          </w:tcPr>
          <w:p>
            <w:pPr>
              <w:pStyle w:val="TableContents"/>
              <w:bidi w:val="0"/>
              <w:spacing w:before="0" w:after="0"/>
              <w:ind w:left="0" w:right="0" w:hanging="0"/>
              <w:jc w:val="center"/>
              <w:rPr/>
            </w:pPr>
            <w:r>
              <w:rPr/>
              <w:t>    </w:t>
            </w:r>
          </w:p>
        </w:tc>
        <w:tc>
          <w:tcPr>
            <w:tcW w:w="337"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23,421</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3,159</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 </w:t>
            </w:r>
          </w:p>
        </w:tc>
        <w:tc>
          <w:tcPr>
            <w:tcW w:w="129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8,408</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8,743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w:t>
            </w:r>
          </w:p>
        </w:tc>
        <w:tc>
          <w:tcPr>
            <w:tcW w:w="154"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34,988</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32,164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2,824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operations</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74,176</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(31,309)</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105,485</w:t>
            </w:r>
          </w:p>
        </w:tc>
        <w:tc>
          <w:tcPr>
            <w:tcW w:w="154"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2,422</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2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3,237</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(815)</w:t>
            </w:r>
          </w:p>
        </w:tc>
        <w:tc>
          <w:tcPr>
            <w:tcW w:w="154"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income (expense)</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2,384</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3,248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(864)</w:t>
            </w:r>
          </w:p>
        </w:tc>
        <w:tc>
          <w:tcPr>
            <w:tcW w:w="154"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76,560</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(28,061)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104,621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154"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76,560</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(28,062)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104,622</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Collaboration revenue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three months ended March 31, 2025 and 2024, we recognized revenue of $109.2 million and $0.9 million under our collaboration agreement with Bristol-Myers Squibb, respectively. See Note 7 to our consolidated financial statements for additional information. The Collaboration Agreement was terminated, effective as of March 12, 2025. As such, we recognized the remaining transaction price of $109.2 million as collaboration revenue during the three months ended March 31, 2025. There will be no future collaboration revenues recognized under this collaboration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 xml:space="preserve">Research and development expenses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components of our research and development expenses for the periods presented:</w:t>
      </w:r>
    </w:p>
    <w:p>
      <w:pPr>
        <w:pStyle w:val="TextBody"/>
        <w:bidi w:val="0"/>
        <w:spacing w:before="0" w:after="200"/>
        <w:ind w:left="0" w:right="0" w:hanging="0"/>
        <w:jc w:val="left"/>
        <w:rPr/>
      </w:pPr>
      <w:r>
        <w:rPr/>
        <w:t>​</w:t>
      </w:r>
    </w:p>
    <w:tbl>
      <w:tblPr>
        <w:tblW w:w="8946" w:type="dxa"/>
        <w:jc w:val="left"/>
        <w:tblInd w:w="0" w:type="dxa"/>
        <w:tblLayout w:type="fixed"/>
        <w:tblCellMar>
          <w:top w:w="0" w:type="dxa"/>
          <w:left w:w="0" w:type="dxa"/>
          <w:bottom w:w="0" w:type="dxa"/>
          <w:right w:w="0" w:type="dxa"/>
        </w:tblCellMar>
      </w:tblPr>
      <w:tblGrid>
        <w:gridCol w:w="3706"/>
        <w:gridCol w:w="326"/>
        <w:gridCol w:w="393"/>
        <w:gridCol w:w="1287"/>
        <w:gridCol w:w="326"/>
        <w:gridCol w:w="393"/>
        <w:gridCol w:w="1287"/>
        <w:gridCol w:w="326"/>
        <w:gridCol w:w="211"/>
        <w:gridCol w:w="69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353310" cy="175260"/>
                      <wp:effectExtent l="0" t="0" r="0" b="0"/>
                      <wp:wrapNone/>
                      <wp:docPr id="235" name="Frame235"/>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9555" cy="175260"/>
                      <wp:effectExtent l="0" t="0" r="0" b="0"/>
                      <wp:wrapNone/>
                      <wp:docPr id="237" name="Frame237"/>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817245" cy="175260"/>
                      <wp:effectExtent l="0" t="0" r="0" b="0"/>
                      <wp:wrapNone/>
                      <wp:docPr id="238" name="Frame238"/>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49555" cy="175260"/>
                      <wp:effectExtent l="0" t="0" r="0" b="0"/>
                      <wp:wrapNone/>
                      <wp:docPr id="240" name="Frame240"/>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817245" cy="175260"/>
                      <wp:effectExtent l="0" t="0" r="0" b="0"/>
                      <wp:wrapNone/>
                      <wp:docPr id="241" name="Frame241"/>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38785" cy="175260"/>
                      <wp:effectExtent l="0" t="0" r="0" b="0"/>
                      <wp:wrapNone/>
                      <wp:docPr id="244" name="Frame2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80" w:type="dxa"/>
            <w:gridSpan w:val="2"/>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Three Months Ended </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80" w:type="dxa"/>
            <w:gridSpan w:val="2"/>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Three Months Ended </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March 31, 2025</w:t>
            </w:r>
          </w:p>
        </w:tc>
        <w:tc>
          <w:tcPr>
            <w:tcW w:w="326" w:type="dxa"/>
            <w:tcBorders/>
            <w:vAlign w:val="center"/>
          </w:tcPr>
          <w:p>
            <w:pPr>
              <w:pStyle w:val="TableContents"/>
              <w:bidi w:val="0"/>
              <w:spacing w:before="0" w:after="0"/>
              <w:ind w:left="0" w:right="0" w:hanging="0"/>
              <w:jc w:val="center"/>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March 31, 2024</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Change</w:t>
            </w:r>
          </w:p>
        </w:tc>
      </w:tr>
      <w:tr>
        <w:trPr/>
        <w:tc>
          <w:tcPr>
            <w:tcW w:w="8946"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c>
          <w:tcPr>
            <w:tcW w:w="4521" w:type="dxa"/>
            <w:gridSpan w:val="7"/>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3706" w:type="dxa"/>
            <w:tcBorders/>
            <w:shd w:fill="CCEEFF" w:val="clear"/>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Personnel and related costs</w:t>
            </w:r>
          </w:p>
        </w:tc>
        <w:tc>
          <w:tcPr>
            <w:tcW w:w="326" w:type="dxa"/>
            <w:tcBorders/>
            <w:shd w:fill="CCEEFF" w:val="clear"/>
            <w:vAlign w:val="center"/>
          </w:tcPr>
          <w:p>
            <w:pPr>
              <w:pStyle w:val="TableContents"/>
              <w:bidi w:val="0"/>
              <w:spacing w:before="0" w:after="0"/>
              <w:ind w:left="0" w:right="0" w:hanging="0"/>
              <w:jc w:val="center"/>
              <w:rPr/>
            </w:pPr>
            <w:r>
              <w:rPr/>
              <w:t>    </w:t>
            </w:r>
          </w:p>
        </w:tc>
        <w:tc>
          <w:tcPr>
            <w:tcW w:w="39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8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9,984</w:t>
            </w:r>
          </w:p>
        </w:tc>
        <w:tc>
          <w:tcPr>
            <w:tcW w:w="326" w:type="dxa"/>
            <w:tcBorders/>
            <w:shd w:fill="CCEEFF" w:val="clear"/>
            <w:vAlign w:val="center"/>
          </w:tcPr>
          <w:p>
            <w:pPr>
              <w:pStyle w:val="TableContents"/>
              <w:bidi w:val="0"/>
              <w:spacing w:before="0" w:after="0"/>
              <w:ind w:left="0" w:right="0" w:hanging="0"/>
              <w:jc w:val="center"/>
              <w:rPr/>
            </w:pPr>
            <w:r>
              <w:rPr/>
              <w:t>    </w:t>
            </w:r>
          </w:p>
        </w:tc>
        <w:tc>
          <w:tcPr>
            <w:tcW w:w="39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8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9,761</w:t>
            </w:r>
          </w:p>
        </w:tc>
        <w:tc>
          <w:tcPr>
            <w:tcW w:w="326" w:type="dxa"/>
            <w:tcBorders/>
            <w:shd w:fill="CCEEFF" w:val="clear"/>
            <w:vAlign w:val="center"/>
          </w:tcPr>
          <w:p>
            <w:pPr>
              <w:pStyle w:val="TableContents"/>
              <w:bidi w:val="0"/>
              <w:spacing w:before="0" w:after="0"/>
              <w:ind w:left="0" w:right="0" w:hanging="0"/>
              <w:jc w:val="center"/>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223</w:t>
            </w:r>
          </w:p>
        </w:tc>
      </w:tr>
      <w:tr>
        <w:trPr/>
        <w:tc>
          <w:tcPr>
            <w:tcW w:w="3706"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Facility and other allocated costs</w:t>
            </w:r>
          </w:p>
        </w:tc>
        <w:tc>
          <w:tcPr>
            <w:tcW w:w="326"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5,322</w:t>
            </w:r>
          </w:p>
        </w:tc>
        <w:tc>
          <w:tcPr>
            <w:tcW w:w="326"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630</w:t>
            </w:r>
          </w:p>
        </w:tc>
      </w:tr>
      <w:tr>
        <w:trPr/>
        <w:tc>
          <w:tcPr>
            <w:tcW w:w="3706" w:type="dxa"/>
            <w:tcBorders/>
            <w:shd w:fill="CCEEFF" w:val="clear"/>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laboratory</w:t>
            </w:r>
          </w:p>
        </w:tc>
        <w:tc>
          <w:tcPr>
            <w:tcW w:w="326"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128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9,475</w:t>
            </w:r>
          </w:p>
        </w:tc>
        <w:tc>
          <w:tcPr>
            <w:tcW w:w="326"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128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1,433</w:t>
            </w:r>
          </w:p>
        </w:tc>
      </w:tr>
      <w:tr>
        <w:trPr/>
        <w:tc>
          <w:tcPr>
            <w:tcW w:w="3706"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vAlign w:val="center"/>
          </w:tcPr>
          <w:p>
            <w:pPr>
              <w:pStyle w:val="TableContents"/>
              <w:bidi w:val="0"/>
              <w:spacing w:before="0" w:after="0"/>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1,799</w:t>
            </w:r>
          </w:p>
        </w:tc>
        <w:tc>
          <w:tcPr>
            <w:tcW w:w="326" w:type="dxa"/>
            <w:tcBorders/>
            <w:vAlign w:val="center"/>
          </w:tcPr>
          <w:p>
            <w:pPr>
              <w:pStyle w:val="TableContents"/>
              <w:bidi w:val="0"/>
              <w:spacing w:before="0" w:after="0"/>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873</w:t>
            </w:r>
          </w:p>
        </w:tc>
      </w:tr>
      <w:tr>
        <w:trPr/>
        <w:tc>
          <w:tcPr>
            <w:tcW w:w="3706" w:type="dxa"/>
            <w:tcBorders/>
            <w:shd w:fill="CCEEFF" w:val="clear"/>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Total research and development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26,580</w:t>
            </w:r>
          </w:p>
        </w:tc>
        <w:tc>
          <w:tcPr>
            <w:tcW w:w="326" w:type="dxa"/>
            <w:tcBorders/>
            <w:shd w:fill="CCEEFF" w:val="clear"/>
            <w:vAlign w:val="center"/>
          </w:tcPr>
          <w:p>
            <w:pPr>
              <w:pStyle w:val="TableContents"/>
              <w:bidi w:val="0"/>
              <w:spacing w:before="0" w:after="0"/>
              <w:ind w:left="0" w:right="0" w:hanging="0"/>
              <w:jc w:val="left"/>
              <w:rPr/>
            </w:pPr>
            <w:r>
              <w:rPr/>
              <w:t>​</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3,159</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Research and development expenses were $26.6 million and $23.4 million for the three months ended March 31, 2025 and 2024, respectively. The increase of $3.2 million was primarily due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increase in facility and other allocated costs of $0.7 million due to an increase in rent expense of $0.7 million related to the lease acquired in the Clade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increase of $1.6 million in research and laboratory due to increased clinical trial costs and advancing of preclinical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increase in other from collaboration costs of $0.9 million due to manufacturing our CNTY-101 product candidate performed under our collaboration with FCDI.</w:t>
            </w:r>
          </w:p>
        </w:tc>
      </w:tr>
    </w:tbl>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General and administrative expenses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 and administrative expenses were $8.4 million for the three months ended March 31, 2025 and $8.7 million for three months ended March 31, 2024. The decrease is primarily due to a decrease in salary and benefit expense.</w:t>
            </w:r>
          </w:p>
        </w:tc>
      </w:tr>
    </w:tbl>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income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income was $2.4 million and $3.2 million for the three months ended March 31, 2025 and 2024, respectively, which related to interest earned on our cash, cash equivalents, and investment balances.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Liquidity, capital resources, and capital requirements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Sources of liquidity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date, we have funded our operations from the issuance and sale of our equity securities, debt financing and collaboration revenues. Since our inception, we have raised approximately $666 million in net proceeds from the sales of our equity securities. As of March 31, 2025, we had cash, and cash equivalents of $51.9 million and investments of $134.0 million. Based on our research and development plans, we believe our existing cash, cash equivalents and investments, will be sufficient to fund our operating expenses and capital expenditures requirements into the fourth quarter of 2026. Since our inception, we have incurred significant operating losses. We have not yet commercialized any products and we do not expect to generate revenue from sales of any product candidates for a number of years, if ever. We had an accumulated deficit of $705.8 million as of March 31, 2025.</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July 2022, we entered into a Sales Agreement, with Cowen and Company, LLC or Cowen, under which we may offer and sell, from time to time in our sole discretion, shares of our common stock, having an aggregate offering price of up to $150 million through Cowen as sales agent. In February of 2024, 4,084,502 shares of common stock were issued and sold pursuant to the Sales Agreement at a weighted-average price of $4.50 per share, resulting in approximately $18.4 million in gross proceeds.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April 2024, we entered into a securities purchase agreement or, the Securities Purchase Agreement, with certain institutional accredited investors, or the Investors, pursuant to which we agreed to issue and sell to the Investors in a private placement an aggregate of 15,873,011 shares of common stock, or the Private Placement Shares, at a price of $3.78 per share, or the Private Placement. We received aggregate gross proceeds from the Private Placement of approximately $60 million, before deducting placement agent fees and offering expenses.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Future funding requirements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timing, progress, costs, and results of discovery, preclinical development, and clinical trials for our current and future product candidates;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of clinical trials required for regulatory approval of our current and future product candidates;</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timing, and outcome of regulatory review of any of our current and future product candidates;</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manufacturing clinical and commercial supplies of our current and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and timing of future commercialization activities, including manufacturing, marketing, sales, and distribution, for any of our product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revenue, if any, received from commercial sales of our product candidates for which we receive marketing approval;</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expenses to attract, hire and retain, skilled personnel;</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of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establish a commercially viable pricing structure and obtain approval for coverage and adequate reimbursement from third-party and government payors;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 of competing technological and market developments; and</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extent to which we acquire or invest in businesses, products, and technologies.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pandemics,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Cash flows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our cash flows for the periods indicated:</w:t>
      </w:r>
    </w:p>
    <w:tbl>
      <w:tblPr>
        <w:tblW w:w="10205" w:type="dxa"/>
        <w:jc w:val="left"/>
        <w:tblInd w:w="0" w:type="dxa"/>
        <w:tblLayout w:type="fixed"/>
        <w:tblCellMar>
          <w:top w:w="0" w:type="dxa"/>
          <w:left w:w="0" w:type="dxa"/>
          <w:bottom w:w="0" w:type="dxa"/>
          <w:right w:w="0" w:type="dxa"/>
        </w:tblCellMar>
      </w:tblPr>
      <w:tblGrid>
        <w:gridCol w:w="6176"/>
        <w:gridCol w:w="326"/>
        <w:gridCol w:w="347"/>
        <w:gridCol w:w="1326"/>
        <w:gridCol w:w="326"/>
        <w:gridCol w:w="338"/>
        <w:gridCol w:w="1366"/>
      </w:tblGrid>
      <w:tr>
        <w:trPr/>
        <w:tc>
          <w:tcPr>
            <w:tcW w:w="6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921760" cy="175260"/>
                      <wp:effectExtent l="0" t="0" r="0" b="0"/>
                      <wp:wrapNone/>
                      <wp:docPr id="245" name="Frame245"/>
                      <a:graphic xmlns:a="http://schemas.openxmlformats.org/drawingml/2006/main">
                        <a:graphicData uri="http://schemas.microsoft.com/office/word/2010/wordprocessingShape">
                          <wps:wsp>
                            <wps:cNvSpPr txBox="1"/>
                            <wps:spPr>
                              <a:xfrm>
                                <a:off x="0" y="0"/>
                                <a:ext cx="392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20345" cy="175260"/>
                      <wp:effectExtent l="0" t="0" r="0" b="0"/>
                      <wp:wrapNone/>
                      <wp:docPr id="247" name="Frame24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842010" cy="175260"/>
                      <wp:effectExtent l="0" t="0" r="0" b="0"/>
                      <wp:wrapNone/>
                      <wp:docPr id="248" name="Frame248"/>
                      <a:graphic xmlns:a="http://schemas.openxmlformats.org/drawingml/2006/main">
                        <a:graphicData uri="http://schemas.microsoft.com/office/word/2010/wordprocessingShape">
                          <wps:wsp>
                            <wps:cNvSpPr txBox="1"/>
                            <wps:spPr>
                              <a:xfrm>
                                <a:off x="0" y="0"/>
                                <a:ext cx="842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4630" cy="175260"/>
                      <wp:effectExtent l="0" t="0" r="0" b="0"/>
                      <wp:wrapNone/>
                      <wp:docPr id="250" name="Frame25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867410" cy="175260"/>
                      <wp:effectExtent l="0" t="0" r="0" b="0"/>
                      <wp:wrapNone/>
                      <wp:docPr id="251" name="Frame251"/>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73"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704"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617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673" w:type="dxa"/>
            <w:gridSpan w:val="2"/>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 </w:t>
            </w:r>
          </w:p>
        </w:tc>
        <w:tc>
          <w:tcPr>
            <w:tcW w:w="1704" w:type="dxa"/>
            <w:gridSpan w:val="2"/>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r>
      <w:tr>
        <w:trPr/>
        <w:tc>
          <w:tcPr>
            <w:tcW w:w="6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March 31, 2025</w:t>
            </w:r>
          </w:p>
        </w:tc>
        <w:tc>
          <w:tcPr>
            <w:tcW w:w="326" w:type="dxa"/>
            <w:tcBorders/>
            <w:vAlign w:val="center"/>
          </w:tcPr>
          <w:p>
            <w:pPr>
              <w:pStyle w:val="TableContents"/>
              <w:bidi w:val="0"/>
              <w:spacing w:before="0" w:after="1"/>
              <w:ind w:left="0" w:right="0" w:hanging="0"/>
              <w:jc w:val="center"/>
              <w:rPr/>
            </w:pPr>
            <w:r>
              <w:rPr/>
              <w:t>    </w:t>
            </w:r>
          </w:p>
        </w:tc>
        <w:tc>
          <w:tcPr>
            <w:tcW w:w="17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March 31, 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03" w:type="dxa"/>
            <w:gridSpan w:val="5"/>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61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provided by (used in):</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13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w:t>
            </w:r>
          </w:p>
        </w:tc>
        <w:tc>
          <w:tcPr>
            <w:tcW w:w="1366" w:type="dxa"/>
            <w:tcBorders/>
            <w:shd w:fill="CCEEFF" w:val="clear"/>
            <w:vAlign w:val="center"/>
          </w:tcPr>
          <w:p>
            <w:pPr>
              <w:pStyle w:val="TableContents"/>
              <w:bidi w:val="0"/>
              <w:spacing w:before="0" w:after="1"/>
              <w:ind w:left="0" w:right="0" w:hanging="0"/>
              <w:jc w:val="right"/>
              <w:rPr/>
            </w:pPr>
            <w:r>
              <w:rPr/>
              <w:t>​</w:t>
            </w:r>
          </w:p>
        </w:tc>
      </w:tr>
      <w:tr>
        <w:trPr/>
        <w:tc>
          <w:tcPr>
            <w:tcW w:w="61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(34,623)</w:t>
            </w:r>
          </w:p>
        </w:tc>
        <w:tc>
          <w:tcPr>
            <w:tcW w:w="32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6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(30,248)</w:t>
            </w:r>
          </w:p>
        </w:tc>
      </w:tr>
      <w:tr>
        <w:trPr/>
        <w:tc>
          <w:tcPr>
            <w:tcW w:w="61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 </w:t>
            </w:r>
          </w:p>
        </w:tc>
        <w:tc>
          <w:tcPr>
            <w:tcW w:w="132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27,930</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11,541</w:t>
            </w:r>
          </w:p>
        </w:tc>
      </w:tr>
      <w:tr>
        <w:trPr/>
        <w:tc>
          <w:tcPr>
            <w:tcW w:w="61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w:t>
            </w:r>
          </w:p>
        </w:tc>
        <w:tc>
          <w:tcPr>
            <w:tcW w:w="326" w:type="dxa"/>
            <w:tcBorders/>
            <w:vAlign w:val="center"/>
          </w:tcPr>
          <w:p>
            <w:pPr>
              <w:pStyle w:val="TableContents"/>
              <w:bidi w:val="0"/>
              <w:spacing w:before="0" w:after="1"/>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18,195</w:t>
            </w:r>
          </w:p>
        </w:tc>
      </w:tr>
      <w:tr>
        <w:trPr/>
        <w:tc>
          <w:tcPr>
            <w:tcW w:w="61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increase (decrease) in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(6,573)</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(512)</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Operating activities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operating activities was $34.6 million and $30.2 million for the three months ended March 31, 2025 and 2024, respectively. Net cash used in operating activities during the three months ended March 31, 2025 consisted primarily of our net income of $76.5 million and a decrease of $116.2 million in our net operating assets and liabilities, partially offset by non-cash charges of $5.0 million. The non-cash charges of $5.0 million consisted primarily of $3.2 million for depreciation expense, non-cash operating lease benefit of $0.5 million, a decrease in lease liability due to a lease termination, and stock-based compensation expense of $2.4 million, partially offset by amortization of marketable securities of $0.9 million and gain on contingent consideration liability of $0.2 million. The change in operating assets and liabilities was primarily due to a $1.2 million decrease in operating lease liability, a $109.2 million decrease in deferred revenue due to the termination of the Collaboration Agreement with Bristol-Myers Squibb, and a $6.5 million decrease in accrued expenses.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val="false"/>
          <w:color w:val="212529"/>
          <w:sz w:val="20"/>
          <w:shd w:fill="FFFFFF" w:val="clear"/>
        </w:rPr>
        <w:t>Net cash used in operating activities during the three months ended March 31, 2024 consisted primarily of our net loss of $28.0 million</w:t>
      </w:r>
      <w:r>
        <w:rPr>
          <w:rFonts w:ascii="Arial;Helvetica;sans-serif" w:hAnsi="Arial;Helvetica;sans-serif"/>
          <w:b/>
          <w:sz w:val="20"/>
        </w:rPr>
        <w:t xml:space="preserve"> </w:t>
      </w:r>
      <w:r>
        <w:rPr>
          <w:rFonts w:ascii="Arial;Helvetica;sans-serif" w:hAnsi="Arial;Helvetica;sans-serif"/>
          <w:b w:val="false"/>
          <w:color w:val="212529"/>
          <w:sz w:val="20"/>
          <w:shd w:fill="FFFFFF" w:val="clear"/>
        </w:rPr>
        <w:t>and a decrease of $9.0 million in our net operating assets and liabilities, partially offset by non-cash charges of $6.9 million. The non-cash charges of $6.8 million consisted primarily of $3.2 million for depreciation expense, non-cash operating lease of $1.5 million, and non-cash stock-based compensation expense of $3.2 million. This was partially offset by amortization of marketable securities of $1.1 million</w:t>
      </w:r>
      <w:r>
        <w:rPr>
          <w:rFonts w:ascii="Arial;Helvetica;sans-serif" w:hAnsi="Arial;Helvetica;sans-serif"/>
          <w:b/>
          <w:color w:val="212529"/>
          <w:sz w:val="20"/>
          <w:shd w:fill="FFFFFF" w:val="clear"/>
        </w:rPr>
        <w:t>.</w:t>
      </w:r>
      <w:r>
        <w:rPr>
          <w:rFonts w:ascii="Arial;Helvetica;sans-serif" w:hAnsi="Arial;Helvetica;sans-serif"/>
          <w:b/>
          <w:sz w:val="20"/>
        </w:rPr>
        <w:t xml:space="preserve"> </w:t>
      </w:r>
      <w:r>
        <w:rPr>
          <w:rFonts w:ascii="Arial;Helvetica;sans-serif" w:hAnsi="Arial;Helvetica;sans-serif"/>
          <w:b w:val="false"/>
          <w:color w:val="212529"/>
          <w:sz w:val="20"/>
          <w:shd w:fill="FFFFFF" w:val="clear"/>
        </w:rPr>
        <w:t>The change in operating assets and liabilities was primarily due to the receipt of $11.7 million of tenant reimbursement, and a $1.7 million increase in accrued expenses and other liabilities, partially offset by a $2.0 million increase in deferred revenue.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Investing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provided by investing activities was $27.9 million and $11.5 million for the three months ended March 31, 2025 and 2024, respectively. Cash provided by investing activities for the three months ended March 31, 2025 consisted primarily of the sale of fixed maturity securities, available for sale of $43.3 million, which was partially offset by purchases of fixed maturity securities of $14.9 million.</w:t>
      </w:r>
    </w:p>
    <w:p>
      <w:pPr>
        <w:pStyle w:val="TextBody"/>
        <w:bidi w:val="0"/>
        <w:spacing w:before="0" w:after="160"/>
        <w:ind w:left="0" w:right="0" w:hanging="0"/>
        <w:jc w:val="left"/>
        <w:rPr>
          <w:rFonts w:ascii="Arial;Helvetica;sans-serif" w:hAnsi="Arial;Helvetica;sans-serif"/>
          <w:b w:val="false"/>
          <w:color w:val="212529"/>
          <w:sz w:val="20"/>
          <w:shd w:fill="FFFFFF" w:val="clear"/>
        </w:rPr>
      </w:pPr>
      <w:r>
        <w:rPr>
          <w:rFonts w:ascii="Arial;Helvetica;sans-serif" w:hAnsi="Arial;Helvetica;sans-serif"/>
          <w:b w:val="false"/>
          <w:color w:val="212529"/>
          <w:sz w:val="20"/>
          <w:shd w:fill="FFFFFF" w:val="clear"/>
        </w:rPr>
        <w:t>Cash provided by investing activities for the three months ended March 31, 2024 consisted primarily of the sale of fixed maturity securities, available for sale of $47.2 million, which was partially offset by purchases of fixed maturity securities of $35.1 million and acquisition of property and equipment of $0.5 million.</w:t>
      </w:r>
    </w:p>
    <w:p>
      <w:pPr>
        <w:pStyle w:val="TextBody"/>
        <w:bidi w:val="0"/>
        <w:spacing w:before="0" w:after="160"/>
        <w:ind w:left="0" w:right="0" w:hanging="0"/>
        <w:jc w:val="left"/>
        <w:rPr>
          <w:rFonts w:ascii="Arial;Helvetica;sans-serif" w:hAnsi="Arial;Helvetica;sans-serif"/>
          <w:b w:val="false"/>
          <w:i/>
          <w:sz w:val="20"/>
        </w:rPr>
      </w:pPr>
      <w:r>
        <w:rPr>
          <w:rFonts w:ascii="Arial;Helvetica;sans-serif" w:hAnsi="Arial;Helvetica;sans-serif"/>
          <w:b w:val="false"/>
          <w:i/>
          <w:sz w:val="20"/>
        </w:rPr>
        <w:t>Financing activities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Net cash provided by financing activities was $0.1 million and $18.2 million for the three months ended March 31, 2025 and 2024, respectively. Cash provided by financing activities consisted of $0.1 million from issuance of our common stock from equity incentive plans pursuant to the exercise of employee stock options.</w:t>
      </w:r>
    </w:p>
    <w:p>
      <w:pPr>
        <w:pStyle w:val="TextBody"/>
        <w:bidi w:val="0"/>
        <w:spacing w:before="0" w:after="160"/>
        <w:ind w:left="0" w:right="0" w:hanging="0"/>
        <w:jc w:val="left"/>
        <w:rPr>
          <w:rFonts w:ascii="Arial;Helvetica;sans-serif" w:hAnsi="Arial;Helvetica;sans-serif"/>
          <w:b w:val="false"/>
          <w:color w:val="212529"/>
          <w:sz w:val="20"/>
          <w:shd w:fill="FFFFFF" w:val="clear"/>
        </w:rPr>
      </w:pPr>
      <w:r>
        <w:rPr>
          <w:rFonts w:ascii="Arial;Helvetica;sans-serif" w:hAnsi="Arial;Helvetica;sans-serif"/>
          <w:b w:val="false"/>
          <w:color w:val="212529"/>
          <w:sz w:val="20"/>
          <w:shd w:fill="FFFFFF" w:val="clear"/>
        </w:rPr>
        <w:t>Cash provided by financing activities consisted of $17.8 million from proceeds from our At-the-Market capital raise, and $0.4 million from issuance of our common stock from equity incentive plans pursuant to the exercise of employee stock options.</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 xml:space="preserve">Contractual obligations and commitments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our significant contractual obligations and commitments as of March 31, 2025:</w:t>
      </w:r>
    </w:p>
    <w:p>
      <w:pPr>
        <w:pStyle w:val="TextBody"/>
        <w:bidi w:val="0"/>
        <w:spacing w:before="0" w:after="200"/>
        <w:ind w:left="0" w:right="0" w:hanging="0"/>
        <w:jc w:val="left"/>
        <w:rPr/>
      </w:pPr>
      <w:r>
        <w:rPr/>
        <w:t>​</w:t>
      </w:r>
    </w:p>
    <w:tbl>
      <w:tblPr>
        <w:tblW w:w="8463" w:type="dxa"/>
        <w:jc w:val="left"/>
        <w:tblInd w:w="0" w:type="dxa"/>
        <w:tblLayout w:type="fixed"/>
        <w:tblCellMar>
          <w:top w:w="0" w:type="dxa"/>
          <w:left w:w="0" w:type="dxa"/>
          <w:bottom w:w="0" w:type="dxa"/>
          <w:right w:w="0" w:type="dxa"/>
        </w:tblCellMar>
      </w:tblPr>
      <w:tblGrid>
        <w:gridCol w:w="1591"/>
        <w:gridCol w:w="326"/>
        <w:gridCol w:w="211"/>
        <w:gridCol w:w="586"/>
        <w:gridCol w:w="326"/>
        <w:gridCol w:w="231"/>
        <w:gridCol w:w="760"/>
        <w:gridCol w:w="326"/>
        <w:gridCol w:w="231"/>
        <w:gridCol w:w="760"/>
        <w:gridCol w:w="326"/>
        <w:gridCol w:w="340"/>
        <w:gridCol w:w="1116"/>
        <w:gridCol w:w="326"/>
        <w:gridCol w:w="211"/>
        <w:gridCol w:w="79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010285" cy="175260"/>
                      <wp:effectExtent l="0" t="0" r="0" b="0"/>
                      <wp:wrapNone/>
                      <wp:docPr id="252" name="Frame252"/>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72110" cy="175260"/>
                      <wp:effectExtent l="0" t="0" r="0" b="0"/>
                      <wp:wrapNone/>
                      <wp:docPr id="255" name="Frame25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6685" cy="175260"/>
                      <wp:effectExtent l="0" t="0" r="0" b="0"/>
                      <wp:wrapNone/>
                      <wp:docPr id="257" name="Frame25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82600" cy="175260"/>
                      <wp:effectExtent l="0" t="0" r="0" b="0"/>
                      <wp:wrapNone/>
                      <wp:docPr id="258" name="Frame258"/>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46685" cy="175260"/>
                      <wp:effectExtent l="0" t="0" r="0" b="0"/>
                      <wp:wrapNone/>
                      <wp:docPr id="260" name="Frame26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82600" cy="175260"/>
                      <wp:effectExtent l="0" t="0" r="0" b="0"/>
                      <wp:wrapNone/>
                      <wp:docPr id="261" name="Frame261"/>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5900" cy="175260"/>
                      <wp:effectExtent l="0" t="0" r="0" b="0"/>
                      <wp:wrapNone/>
                      <wp:docPr id="263" name="Frame26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08660" cy="175260"/>
                      <wp:effectExtent l="0" t="0" r="0" b="0"/>
                      <wp:wrapNone/>
                      <wp:docPr id="264" name="Frame264"/>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05460" cy="175260"/>
                      <wp:effectExtent l="0" t="0" r="0" b="0"/>
                      <wp:wrapNone/>
                      <wp:docPr id="267" name="Frame2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6546" w:type="dxa"/>
            <w:gridSpan w:val="14"/>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Payments Due by Period</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 Year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 to 3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 to 5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More than 5 Years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Total</w:t>
            </w:r>
          </w:p>
        </w:tc>
      </w:tr>
      <w:tr>
        <w:trPr/>
        <w:tc>
          <w:tcPr>
            <w:tcW w:w="15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546" w:type="dxa"/>
            <w:gridSpan w:val="14"/>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(in thousands)</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9,656</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19,023</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20,042</w:t>
            </w:r>
          </w:p>
        </w:tc>
        <w:tc>
          <w:tcPr>
            <w:tcW w:w="326" w:type="dxa"/>
            <w:tcBorders/>
            <w:shd w:fill="CCEEFF" w:val="clear"/>
            <w:vAlign w:val="center"/>
          </w:tcPr>
          <w:p>
            <w:pPr>
              <w:pStyle w:val="TableContents"/>
              <w:bidi w:val="0"/>
              <w:spacing w:before="0" w:after="0"/>
              <w:ind w:left="0" w:right="0" w:hanging="0"/>
              <w:jc w:val="left"/>
              <w:rPr/>
            </w:pPr>
            <w:r>
              <w:rPr/>
              <w:t>    </w:t>
            </w:r>
          </w:p>
        </w:tc>
        <w:tc>
          <w:tcPr>
            <w:tcW w:w="34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33,460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82,181</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Payment obligations under our license, collaboration, and acquisition and merger agreements as of March 31, 2025 are contingent upon future events such as our achievement of pre-specified development, regulatory, and commercial milestones, or royalties on net product sales. As of March 31, 2025, the timing and likelihood of achieving the milestones and success payments and generating future product sales are uncertain and therefore, any related payments are not included in the table above. 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8 “Commitments and contingencies” for additional information.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have commitments under operating leases for certain facilities used in our operations.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JOBS Act accounting election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a company with less than $1.235 billion in revenue during our last fiscal year, we qualify as an “emerging growth company” as defined in the Jumpstart Our Business Startups Act of 2012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being required to have our registered independent public accounting firm attest to management’s assessment of our internal control over financial reporting;</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presenting reduced disclosure about our executive compensation arrangements;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being required to hold non-binding advisory votes on executive compensation or golden parachute arrangements; and,</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extended transition periods for complying with new or revised accounting standards.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Critical accounting policies and significant judgments and estimates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Refer to Note 2, Summary of Significant Accounting Policies, included in Part I, Item 1 of this Quarterly Report on Form 10-Q for a discussion of our critical accounting policies.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three months ended March 31, 2025, there were no material changes to our critical accounting policies from those described in our audited financial statements for the year ended December 31, 2024 included in our Annual Report on Form 10-K filed with the SEC on March 19, 2025, except as noted above.</w:t>
      </w:r>
    </w:p>
    <w:p>
      <w:pPr>
        <w:pStyle w:val="TextBody"/>
        <w:bidi w:val="0"/>
        <w:spacing w:before="0" w:after="200"/>
        <w:ind w:left="0" w:right="0" w:hanging="0"/>
        <w:jc w:val="left"/>
        <w:rPr>
          <w:rFonts w:ascii="Arial;Helvetica;sans-serif" w:hAnsi="Arial;Helvetica;sans-serif"/>
          <w:b/>
          <w:sz w:val="20"/>
        </w:rPr>
      </w:pPr>
      <w:bookmarkStart w:id="996" w:name="Item3QuantitativeandQualitativeDisclosur"/>
      <w:bookmarkStart w:id="997" w:name="_d7bd476f_543c_4677_95c4_26925b745743"/>
      <w:bookmarkEnd w:id="996"/>
      <w:bookmarkEnd w:id="997"/>
      <w:r>
        <w:rPr>
          <w:rFonts w:ascii="Arial;Helvetica;sans-serif" w:hAnsi="Arial;Helvetica;sans-serif"/>
          <w:b/>
          <w:sz w:val="20"/>
        </w:rPr>
        <w:t>Item 3. Quantitative and Qualitative Disclosures About Market Risk.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Interest rate risk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We had cash, cash equivalents, and restricted cash of $54.6 million as of March 31, 2025, which consisted of bank deposits and money market funds. We also had investments of $134.0 million as of March 31, 2025. </w:t>
      </w:r>
      <w:r>
        <w:rPr>
          <w:rFonts w:ascii="Arial;Helvetica;sans-serif" w:hAnsi="Arial;Helvetica;sans-serif"/>
          <w:sz w:val="20"/>
          <w:shd w:fill="FFFFFF" w:val="clear"/>
        </w:rPr>
        <w:t>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Banking Instability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Future disruptions of financial institutions where we bank or have credit arrangements, or disruptions of the financial services industry in general, could adversely affect our ability to access our cash and cash equivalents.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Effects of Inflation</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Inflation generally affects us by increasing our cost of labor and laboratory consumables. We believe that inflation has not had a material effect on our financial statements.</w:t>
      </w:r>
    </w:p>
    <w:p>
      <w:pPr>
        <w:pStyle w:val="TextBody"/>
        <w:bidi w:val="0"/>
        <w:spacing w:before="0" w:after="0"/>
        <w:ind w:left="0" w:right="0" w:hanging="0"/>
        <w:jc w:val="left"/>
        <w:rPr/>
      </w:pPr>
      <w:r>
        <w:rPr/>
        <w:t>​</w:t>
      </w:r>
    </w:p>
    <w:p>
      <w:pPr>
        <w:pStyle w:val="TextBody"/>
        <w:bidi w:val="0"/>
        <w:spacing w:before="0" w:after="180"/>
        <w:ind w:left="0" w:right="0" w:hanging="0"/>
        <w:jc w:val="left"/>
        <w:rPr>
          <w:rFonts w:ascii="Arial;Helvetica;sans-serif" w:hAnsi="Arial;Helvetica;sans-serif"/>
          <w:b/>
          <w:sz w:val="20"/>
        </w:rPr>
      </w:pPr>
      <w:bookmarkStart w:id="998" w:name="Item4ControlsandProcedures_438957"/>
      <w:bookmarkStart w:id="999" w:name="_cd9c29db_55c3_4c8d_86a5_e7ad9c45a3e6"/>
      <w:bookmarkEnd w:id="998"/>
      <w:bookmarkEnd w:id="999"/>
      <w:r>
        <w:rPr>
          <w:rFonts w:ascii="Arial;Helvetica;sans-serif" w:hAnsi="Arial;Helvetica;sans-serif"/>
          <w:b/>
          <w:sz w:val="20"/>
        </w:rPr>
        <w:t>Item 4. Controls and Procedures.</w:t>
      </w:r>
    </w:p>
    <w:p>
      <w:pPr>
        <w:pStyle w:val="TextBody"/>
        <w:bidi w:val="0"/>
        <w:spacing w:before="0" w:after="180"/>
        <w:ind w:left="0" w:right="0" w:hanging="0"/>
        <w:jc w:val="left"/>
        <w:rPr>
          <w:rFonts w:ascii="Arial;Helvetica;sans-serif" w:hAnsi="Arial;Helvetica;sans-serif"/>
          <w:b/>
          <w:i/>
          <w:sz w:val="20"/>
        </w:rPr>
      </w:pPr>
      <w:r>
        <w:rPr>
          <w:rFonts w:ascii="Arial;Helvetica;sans-serif" w:hAnsi="Arial;Helvetica;sans-serif"/>
          <w:b/>
          <w:i/>
          <w:sz w:val="20"/>
        </w:rPr>
        <w:t>Disclosure Controls and Procedures</w:t>
      </w:r>
    </w:p>
    <w:p>
      <w:pPr>
        <w:pStyle w:val="TextBody"/>
        <w:bidi w:val="0"/>
        <w:spacing w:before="0" w:after="180"/>
        <w:ind w:left="0" w:right="0" w:hanging="0"/>
        <w:jc w:val="left"/>
        <w:rPr>
          <w:rFonts w:ascii="Arial;Helvetica;sans-serif" w:hAnsi="Arial;Helvetica;sans-serif"/>
          <w:sz w:val="20"/>
        </w:rPr>
      </w:pPr>
      <w:r>
        <w:rPr>
          <w:rFonts w:ascii="Arial;Helvetica;sans-serif" w:hAnsi="Arial;Helvetica;sans-serif"/>
          <w:sz w:val="20"/>
        </w:rPr>
        <w:t>Our management, with the participation of our principal executive officer and principal financial officer, evaluated the effectiveness of our disclosures controls and procedures, as defined in Rules 13a-15(e) and 15d-15(e) under the Exchange Act, as of March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2025, our principal executive officer and principal financial officer concluded that, as of such date, our disclosure controls and procedures were effective at a reasonable assurance level.</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Changes in Internal Control over Financial Reporting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Management determined that, as of March 31, 2025, there were no changes in our internal control over financial reporting that occurred during the three months then ended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1000" w:name="PARTIIOTHERINFORMATION_986762"/>
      <w:bookmarkStart w:id="1001" w:name="_de413e34_eeef_4787_a653_6c5bf5a247b1"/>
      <w:bookmarkEnd w:id="1000"/>
      <w:bookmarkEnd w:id="1001"/>
      <w:r>
        <w:rPr>
          <w:rFonts w:ascii="Arial;Helvetica;sans-serif" w:hAnsi="Arial;Helvetica;sans-serif"/>
          <w:b/>
          <w:sz w:val="20"/>
        </w:rPr>
        <w:t>PART II—OTHER INFORMATION</w:t>
      </w:r>
    </w:p>
    <w:p>
      <w:pPr>
        <w:pStyle w:val="TextBody"/>
        <w:bidi w:val="0"/>
        <w:spacing w:before="0" w:after="200"/>
        <w:ind w:left="0" w:right="0" w:hanging="0"/>
        <w:jc w:val="left"/>
        <w:rPr>
          <w:rFonts w:ascii="Arial;Helvetica;sans-serif" w:hAnsi="Arial;Helvetica;sans-serif"/>
          <w:b/>
          <w:sz w:val="20"/>
        </w:rPr>
      </w:pPr>
      <w:bookmarkStart w:id="1002" w:name="Item1LegalProceedings_566056"/>
      <w:bookmarkEnd w:id="1002"/>
      <w:r>
        <w:rPr>
          <w:rFonts w:ascii="Arial;Helvetica;sans-serif" w:hAnsi="Arial;Helvetica;sans-serif"/>
          <w:b/>
          <w:sz w:val="20"/>
        </w:rPr>
        <w:t>Item 1. Legal Proceedings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003" w:name="Item_1A_Risk_Factors"/>
      <w:bookmarkStart w:id="1004" w:name="_a0d46a8a_6c72_405f_a9f5_cfdea53f9ea4"/>
      <w:bookmarkEnd w:id="1003"/>
      <w:bookmarkEnd w:id="1004"/>
      <w:r>
        <w:rPr>
          <w:rFonts w:ascii="Arial;Helvetica;sans-serif" w:hAnsi="Arial;Helvetica;sans-serif"/>
          <w:b/>
          <w:sz w:val="20"/>
        </w:rPr>
        <w:t>Item 1A. Risk Factors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There have been no material changes in our risk factors from those disclosed in our Annual Report on Form 10-K for the year ended December 31, 2024.</w:t>
      </w:r>
    </w:p>
    <w:p>
      <w:pPr>
        <w:pStyle w:val="TextBody"/>
        <w:bidi w:val="0"/>
        <w:spacing w:before="0" w:after="200"/>
        <w:ind w:left="0" w:right="0" w:hanging="0"/>
        <w:jc w:val="left"/>
        <w:rPr>
          <w:rFonts w:ascii="Arial;Helvetica;sans-serif" w:hAnsi="Arial;Helvetica;sans-serif"/>
          <w:b/>
          <w:sz w:val="20"/>
        </w:rPr>
      </w:pPr>
      <w:bookmarkStart w:id="1005" w:name="Item2UnregisteredSalesofEquitySecurities"/>
      <w:bookmarkStart w:id="1006" w:name="_997890"/>
      <w:bookmarkStart w:id="1007" w:name="Item2Unregistered"/>
      <w:bookmarkStart w:id="1008" w:name="_9e879971_3449_43de_be3f_93a1574ff212"/>
      <w:bookmarkStart w:id="1009" w:name="_Item_2._Unregistered"/>
      <w:bookmarkEnd w:id="1005"/>
      <w:bookmarkEnd w:id="1006"/>
      <w:bookmarkEnd w:id="1007"/>
      <w:bookmarkEnd w:id="1008"/>
      <w:bookmarkEnd w:id="1009"/>
      <w:r>
        <w:rPr>
          <w:rFonts w:ascii="Arial;Helvetica;sans-serif" w:hAnsi="Arial;Helvetica;sans-serif"/>
          <w:b/>
          <w:sz w:val="20"/>
        </w:rPr>
        <w:t>Item 2. Unregistered Sales of Equity Securities, Use of Proceeds, and Issuer Purchases of Equity Securities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Recent Sales of Unregistered Securities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There were no unregistered sales of equity securities during the period covered by this report.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Repurchase of Shares of Company Equity Securities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00"/>
        <w:ind w:left="0" w:right="0" w:hanging="0"/>
        <w:jc w:val="left"/>
        <w:rPr>
          <w:rFonts w:ascii="Arial;Helvetica;sans-serif" w:hAnsi="Arial;Helvetica;sans-serif"/>
          <w:b/>
          <w:sz w:val="20"/>
        </w:rPr>
      </w:pPr>
      <w:bookmarkStart w:id="1010" w:name="Item3DefaultsUponSeniorSecurities_4467"/>
      <w:bookmarkStart w:id="1011" w:name="_187f0f8e_657d_41f8_87ed_e3fa73c0fd07"/>
      <w:bookmarkEnd w:id="1010"/>
      <w:bookmarkEnd w:id="1011"/>
      <w:r>
        <w:rPr>
          <w:rFonts w:ascii="Arial;Helvetica;sans-serif" w:hAnsi="Arial;Helvetica;sans-serif"/>
          <w:b/>
          <w:sz w:val="20"/>
        </w:rPr>
        <w:t>Item 3. Defaults Upon Senior Securities.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00"/>
        <w:ind w:left="0" w:right="0" w:hanging="0"/>
        <w:jc w:val="left"/>
        <w:rPr>
          <w:rFonts w:ascii="Arial;Helvetica;sans-serif" w:hAnsi="Arial;Helvetica;sans-serif"/>
          <w:b/>
          <w:sz w:val="20"/>
        </w:rPr>
      </w:pPr>
      <w:bookmarkStart w:id="1012" w:name="Item4MineSafetyDisclosures_830481"/>
      <w:bookmarkStart w:id="1013" w:name="_f0f3675f_89b3_405c_ab31_1863d45e2c21"/>
      <w:bookmarkEnd w:id="1012"/>
      <w:bookmarkEnd w:id="1013"/>
      <w:r>
        <w:rPr>
          <w:rFonts w:ascii="Arial;Helvetica;sans-serif" w:hAnsi="Arial;Helvetica;sans-serif"/>
          <w:b/>
          <w:sz w:val="20"/>
        </w:rPr>
        <w:t>Item 4. Mine Safety Disclosures.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00"/>
        <w:ind w:left="0" w:right="0" w:hanging="0"/>
        <w:jc w:val="left"/>
        <w:rPr>
          <w:rFonts w:ascii="Arial;Helvetica;sans-serif" w:hAnsi="Arial;Helvetica;sans-serif"/>
          <w:b/>
          <w:sz w:val="20"/>
        </w:rPr>
      </w:pPr>
      <w:bookmarkStart w:id="1014" w:name="Item5OtherInformation_669179"/>
      <w:bookmarkStart w:id="1015" w:name="_3d50a6ef_c7d5_43ff_8818_6fa8af183075"/>
      <w:bookmarkEnd w:id="1014"/>
      <w:bookmarkEnd w:id="1015"/>
      <w:r>
        <w:rPr>
          <w:rFonts w:ascii="Arial;Helvetica;sans-serif" w:hAnsi="Arial;Helvetica;sans-serif"/>
          <w:b/>
          <w:sz w:val="20"/>
        </w:rPr>
        <w:t>Item 5. Other Information.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Rule 10b5-1 Trading Plans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quarter ended March 31, 2025, none of our directors or officers (as defined in Rule 16a-1 under the Exchange Act) adopted or terminated a "Rule 10b5-1 trading arrangement" or "non-Rule 10b5-1 trading arrangement" (as those terms are defined in Item 408 of Regulation S-K).</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1016" w:name="Item6Exhibits_9962"/>
      <w:bookmarkStart w:id="1017" w:name="_7f63c8e4_3351_400d_b9ae_9f99419cff51"/>
      <w:bookmarkEnd w:id="1016"/>
      <w:bookmarkEnd w:id="1017"/>
      <w:r>
        <w:rPr>
          <w:rFonts w:ascii="Arial;Helvetica;sans-serif" w:hAnsi="Arial;Helvetica;sans-serif"/>
          <w:b/>
          <w:sz w:val="20"/>
        </w:rPr>
        <w:t>Item 6. Exhibits.</w:t>
      </w:r>
    </w:p>
    <w:tbl>
      <w:tblPr>
        <w:tblW w:w="10205" w:type="dxa"/>
        <w:jc w:val="left"/>
        <w:tblInd w:w="0" w:type="dxa"/>
        <w:tblLayout w:type="fixed"/>
        <w:tblCellMar>
          <w:top w:w="0" w:type="dxa"/>
          <w:left w:w="0" w:type="dxa"/>
          <w:bottom w:w="0" w:type="dxa"/>
          <w:right w:w="0" w:type="dxa"/>
        </w:tblCellMar>
      </w:tblPr>
      <w:tblGrid>
        <w:gridCol w:w="820"/>
        <w:gridCol w:w="326"/>
        <w:gridCol w:w="9059"/>
      </w:tblGrid>
      <w:tr>
        <w:trPr/>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20700" cy="29210"/>
                      <wp:effectExtent l="0" t="0" r="0" b="0"/>
                      <wp:wrapNone/>
                      <wp:docPr id="268" name="Frame268"/>
                      <a:graphic xmlns:a="http://schemas.openxmlformats.org/drawingml/2006/main">
                        <a:graphicData uri="http://schemas.microsoft.com/office/word/2010/wordprocessingShape">
                          <wps:wsp>
                            <wps:cNvSpPr txBox="1"/>
                            <wps:spPr>
                              <a:xfrm>
                                <a:off x="0" y="0"/>
                                <a:ext cx="5207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29210"/>
                      <wp:effectExtent l="0" t="0" r="0" b="0"/>
                      <wp:wrapNone/>
                      <wp:docPr id="269" name="Frame269"/>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752465" cy="29210"/>
                      <wp:effectExtent l="0" t="0" r="0" b="0"/>
                      <wp:wrapNone/>
                      <wp:docPr id="270" name="Frame270"/>
                      <a:graphic xmlns:a="http://schemas.openxmlformats.org/drawingml/2006/main">
                        <a:graphicData uri="http://schemas.microsoft.com/office/word/2010/wordprocessingShape">
                          <wps:wsp>
                            <wps:cNvSpPr txBox="1"/>
                            <wps:spPr>
                              <a:xfrm>
                                <a:off x="0" y="0"/>
                                <a:ext cx="57524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2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Number</w:t>
            </w:r>
          </w:p>
        </w:tc>
        <w:tc>
          <w:tcPr>
            <w:tcW w:w="326" w:type="dxa"/>
            <w:tcBorders>
              <w:bottom w:val="single" w:sz="2" w:space="0" w:color="FFFFFF"/>
            </w:tcBorders>
            <w:tcMar>
              <w:bottom w:w="28" w:type="dxa"/>
            </w:tcMar>
            <w:vAlign w:val="center"/>
          </w:tcPr>
          <w:p>
            <w:pPr>
              <w:pStyle w:val="TableContents"/>
              <w:bidi w:val="0"/>
              <w:spacing w:before="0" w:after="0"/>
              <w:ind w:left="0" w:right="0" w:hanging="0"/>
              <w:jc w:val="left"/>
              <w:rPr/>
            </w:pPr>
            <w:r>
              <w:rPr/>
              <w:t>    </w:t>
            </w:r>
          </w:p>
        </w:tc>
        <w:tc>
          <w:tcPr>
            <w:tcW w:w="905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59" w:type="dxa"/>
            <w:tcBorders/>
            <w:vAlign w:val="center"/>
          </w:tcPr>
          <w:p>
            <w:pPr>
              <w:pStyle w:val="TableContents"/>
              <w:bidi w:val="0"/>
              <w:spacing w:before="0" w:after="0"/>
              <w:ind w:left="0" w:right="0" w:hanging="0"/>
              <w:jc w:val="left"/>
              <w:rPr/>
            </w:pPr>
            <w:r>
              <w:rPr/>
              <w:t>​</w:t>
            </w:r>
          </w:p>
        </w:tc>
      </w:tr>
      <w:tr>
        <w:trPr/>
        <w:tc>
          <w:tcPr>
            <w:tcW w:w="8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059" w:type="dxa"/>
            <w:tcBorders/>
            <w:vAlign w:val="center"/>
          </w:tcPr>
          <w:p>
            <w:pPr>
              <w:pStyle w:val="TableContents"/>
              <w:bidi w:val="0"/>
              <w:spacing w:before="0" w:after="0"/>
              <w:ind w:left="0" w:right="0" w:hanging="0"/>
              <w:jc w:val="left"/>
              <w:rPr/>
            </w:pPr>
            <w:hyperlink w:anchor="ipsc-20250331xex31d1.htm">
              <w:r>
                <w:rPr>
                  <w:rStyle w:val="InternetLink"/>
                  <w:rFonts w:ascii="Arial;Helvetica;sans-serif" w:hAnsi="Arial;Helvetica;san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8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059" w:type="dxa"/>
            <w:tcBorders/>
            <w:vAlign w:val="center"/>
          </w:tcPr>
          <w:p>
            <w:pPr>
              <w:pStyle w:val="TableContents"/>
              <w:bidi w:val="0"/>
              <w:spacing w:before="0" w:after="0"/>
              <w:ind w:left="0" w:right="0" w:hanging="0"/>
              <w:jc w:val="left"/>
              <w:rPr/>
            </w:pPr>
            <w:hyperlink w:anchor="ipsc-20250331xex31d2.htm">
              <w:r>
                <w:rPr>
                  <w:rStyle w:val="InternetLink"/>
                  <w:rFonts w:ascii="Arial;Helvetica;sans-serif" w:hAnsi="Arial;Helvetica;san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8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059" w:type="dxa"/>
            <w:tcBorders/>
            <w:vAlign w:val="center"/>
          </w:tcPr>
          <w:p>
            <w:pPr>
              <w:pStyle w:val="TableContents"/>
              <w:bidi w:val="0"/>
              <w:spacing w:before="0" w:after="0"/>
              <w:ind w:left="0" w:right="0" w:hanging="0"/>
              <w:jc w:val="left"/>
              <w:rPr/>
            </w:pPr>
            <w:hyperlink w:anchor="ipsc-20250331xex32d1.htm">
              <w:r>
                <w:rPr>
                  <w:rStyle w:val="InternetLink"/>
                  <w:rFonts w:ascii="Arial;Helvetica;sans-serif" w:hAnsi="Arial;Helvetica;san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8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326" w:type="dxa"/>
            <w:tcBorders/>
            <w:vAlign w:val="center"/>
          </w:tcPr>
          <w:p>
            <w:pPr>
              <w:pStyle w:val="TableContents"/>
              <w:bidi w:val="0"/>
              <w:spacing w:before="0" w:after="0"/>
              <w:ind w:left="0" w:right="0" w:hanging="0"/>
              <w:jc w:val="left"/>
              <w:rPr/>
            </w:pPr>
            <w:r>
              <w:rPr/>
              <w:t>​</w:t>
            </w:r>
          </w:p>
        </w:tc>
        <w:tc>
          <w:tcPr>
            <w:tcW w:w="9059" w:type="dxa"/>
            <w:tcBorders/>
            <w:vAlign w:val="center"/>
          </w:tcPr>
          <w:p>
            <w:pPr>
              <w:pStyle w:val="TableContents"/>
              <w:bidi w:val="0"/>
              <w:spacing w:before="0" w:after="0"/>
              <w:ind w:left="0" w:right="0" w:hanging="0"/>
              <w:jc w:val="left"/>
              <w:rPr/>
            </w:pPr>
            <w:hyperlink w:anchor="ipsc-20250331xex32d2.htm">
              <w:r>
                <w:rPr>
                  <w:rStyle w:val="InternetLink"/>
                  <w:rFonts w:ascii="Arial;Helvetica;sans-serif" w:hAnsi="Arial;Helvetica;san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8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05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(the instance document does not appear in the Interactive Data File because its XBRL tags are embedded within the Inline XBRL document)</w:t>
            </w:r>
          </w:p>
        </w:tc>
      </w:tr>
      <w:tr>
        <w:trPr/>
        <w:tc>
          <w:tcPr>
            <w:tcW w:w="8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05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Inline </w:t>
            </w:r>
            <w:r>
              <w:rPr>
                <w:rFonts w:ascii="Arial;Helvetica;sans-serif" w:hAnsi="Arial;Helvetica;sans-serif"/>
                <w:sz w:val="20"/>
                <w:shd w:fill="FFFFFF" w:val="clear"/>
              </w:rPr>
              <w:t>XBRL Taxonomy Extension Schema</w:t>
            </w:r>
          </w:p>
        </w:tc>
      </w:tr>
      <w:tr>
        <w:trPr/>
        <w:tc>
          <w:tcPr>
            <w:tcW w:w="8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05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w:t>
            </w:r>
          </w:p>
        </w:tc>
      </w:tr>
      <w:tr>
        <w:trPr/>
        <w:tc>
          <w:tcPr>
            <w:tcW w:w="8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05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Definition Linkbase</w:t>
            </w:r>
          </w:p>
        </w:tc>
      </w:tr>
      <w:tr>
        <w:trPr/>
        <w:tc>
          <w:tcPr>
            <w:tcW w:w="8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05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Label Linkbase</w:t>
            </w:r>
          </w:p>
        </w:tc>
      </w:tr>
      <w:tr>
        <w:trPr/>
        <w:tc>
          <w:tcPr>
            <w:tcW w:w="8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05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w:t>
            </w:r>
          </w:p>
        </w:tc>
      </w:tr>
      <w:tr>
        <w:trPr/>
        <w:tc>
          <w:tcPr>
            <w:tcW w:w="8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26" w:type="dxa"/>
            <w:tcBorders/>
            <w:vAlign w:val="center"/>
          </w:tcPr>
          <w:p>
            <w:pPr>
              <w:pStyle w:val="TableContents"/>
              <w:bidi w:val="0"/>
              <w:spacing w:before="0" w:after="0"/>
              <w:ind w:left="0" w:right="0" w:hanging="0"/>
              <w:jc w:val="left"/>
              <w:rPr/>
            </w:pPr>
            <w:r>
              <w:rPr/>
              <w:t>​</w:t>
            </w:r>
          </w:p>
        </w:tc>
        <w:tc>
          <w:tcPr>
            <w:tcW w:w="905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 cover page from Century Therapeutics, Inc. Quarterly Report on Form 10-Q for the quarter ended March 31, 2025, formatted in Inline XBRL and contained in Exhibit 101</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10009" w:type="dxa"/>
            <w:tcBorders/>
            <w:vAlign w:val="center"/>
          </w:tcPr>
          <w:p>
            <w:pPr>
              <w:pStyle w:val="TableContents"/>
              <w:bidi w:val="0"/>
              <w:spacing w:before="0" w:after="283"/>
              <w:ind w:left="0" w:right="0" w:hanging="0"/>
              <w:jc w:val="left"/>
              <w:rPr>
                <w:sz w:val="4"/>
                <w:szCs w:val="4"/>
              </w:rPr>
            </w:pPr>
            <w:r>
              <w:rPr>
                <w:sz w:val="4"/>
                <w:szCs w:val="4"/>
              </w:rPr>
            </w:r>
          </w:p>
        </w:tc>
      </w:tr>
      <w:tr>
        <w:trPr/>
        <w:tc>
          <w:tcPr>
            <w:tcW w:w="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0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1018" w:name="Signatures_894745"/>
      <w:bookmarkStart w:id="1019" w:name="_922e6aec_a8e5_4741_a0fd_e7bd72956daf"/>
      <w:bookmarkEnd w:id="1018"/>
      <w:bookmarkEnd w:id="1019"/>
      <w:r>
        <w:rPr>
          <w:rFonts w:ascii="Arial;Helvetica;sans-serif" w:hAnsi="Arial;Helvetica;sans-serif"/>
          <w:b/>
          <w:sz w:val="20"/>
        </w:rPr>
        <w:t>SIGNATURES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as amended, the registrant has duly caused this Quarterly Report on Form 10-Q to be signed on its behalf by the undersigned thereunto duly authorized.</w:t>
      </w:r>
    </w:p>
    <w:tbl>
      <w:tblPr>
        <w:tblW w:w="5793" w:type="dxa"/>
        <w:jc w:val="left"/>
        <w:tblInd w:w="0" w:type="dxa"/>
        <w:tblLayout w:type="fixed"/>
        <w:tblCellMar>
          <w:top w:w="0" w:type="dxa"/>
          <w:left w:w="0" w:type="dxa"/>
          <w:bottom w:w="0" w:type="dxa"/>
          <w:right w:w="0" w:type="dxa"/>
        </w:tblCellMar>
      </w:tblPr>
      <w:tblGrid>
        <w:gridCol w:w="1831"/>
        <w:gridCol w:w="406"/>
        <w:gridCol w:w="3556"/>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162685" cy="175260"/>
                      <wp:effectExtent l="0" t="0" r="0" b="0"/>
                      <wp:wrapNone/>
                      <wp:docPr id="271" name="Frame271"/>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57810" cy="175260"/>
                      <wp:effectExtent l="0" t="0" r="0" b="0"/>
                      <wp:wrapNone/>
                      <wp:docPr id="272" name="Frame27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58060" cy="175260"/>
                      <wp:effectExtent l="0" t="0" r="0" b="0"/>
                      <wp:wrapNone/>
                      <wp:docPr id="273" name="Frame273"/>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96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Century Therapeutics, Inc.</w:t>
            </w:r>
          </w:p>
        </w:tc>
      </w:tr>
      <w:tr>
        <w:trPr/>
        <w:tc>
          <w:tcPr>
            <w:tcW w:w="1831" w:type="dxa"/>
            <w:tcBorders/>
            <w:vAlign w:val="center"/>
          </w:tcPr>
          <w:p>
            <w:pPr>
              <w:pStyle w:val="TableContents"/>
              <w:bidi w:val="0"/>
              <w:spacing w:before="0" w:after="0"/>
              <w:ind w:left="0" w:right="0" w:hanging="0"/>
              <w:jc w:val="left"/>
              <w:rPr/>
            </w:pPr>
            <w:r>
              <w:rPr/>
              <w:t>​</w:t>
            </w:r>
          </w:p>
        </w:tc>
        <w:tc>
          <w:tcPr>
            <w:tcW w:w="3962" w:type="dxa"/>
            <w:gridSpan w:val="2"/>
            <w:tcBorders/>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May 15, 2025</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5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Brent Pfeiffenberger, PharmD, MBA</w:t>
            </w:r>
          </w:p>
        </w:tc>
      </w:tr>
      <w:tr>
        <w:trPr/>
        <w:tc>
          <w:tcPr>
            <w:tcW w:w="18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5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Brent Pfeiffenberger, PharmD, MBA</w:t>
            </w:r>
          </w:p>
        </w:tc>
      </w:tr>
      <w:tr>
        <w:trPr/>
        <w:tc>
          <w:tcPr>
            <w:tcW w:w="18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5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Chief Executive Officer</w:t>
            </w:r>
          </w:p>
        </w:tc>
      </w:tr>
      <w:tr>
        <w:trPr/>
        <w:tc>
          <w:tcPr>
            <w:tcW w:w="18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5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(Principal Executive Officer)</w:t>
            </w:r>
          </w:p>
        </w:tc>
      </w:tr>
      <w:tr>
        <w:trPr/>
        <w:tc>
          <w:tcPr>
            <w:tcW w:w="18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shd w:fill="FFFF00" w:val="clear"/>
              </w:rPr>
            </w:pPr>
            <w:r>
              <w:rPr>
                <w:shd w:fill="FFFF00" w:val="clear"/>
              </w:rPr>
              <w:t>​</w:t>
            </w:r>
          </w:p>
        </w:tc>
        <w:tc>
          <w:tcPr>
            <w:tcW w:w="3556"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8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May 15, 2025</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5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Morgan Conn, PhD</w:t>
            </w:r>
          </w:p>
        </w:tc>
      </w:tr>
      <w:tr>
        <w:trPr/>
        <w:tc>
          <w:tcPr>
            <w:tcW w:w="18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shd w:fill="FFFF00" w:val="clear"/>
              </w:rPr>
            </w:pPr>
            <w:r>
              <w:rPr>
                <w:shd w:fill="FFFF00" w:val="clear"/>
              </w:rPr>
              <w:t>​</w:t>
            </w:r>
          </w:p>
        </w:tc>
        <w:tc>
          <w:tcPr>
            <w:tcW w:w="355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Morgan Conn</w:t>
            </w:r>
          </w:p>
        </w:tc>
      </w:tr>
      <w:tr>
        <w:trPr/>
        <w:tc>
          <w:tcPr>
            <w:tcW w:w="18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shd w:fill="FFFF00" w:val="clear"/>
              </w:rPr>
            </w:pPr>
            <w:r>
              <w:rPr>
                <w:shd w:fill="FFFF00" w:val="clear"/>
              </w:rPr>
              <w:t>​</w:t>
            </w:r>
          </w:p>
        </w:tc>
        <w:tc>
          <w:tcPr>
            <w:tcW w:w="35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Chief Financial Officer</w:t>
            </w:r>
          </w:p>
        </w:tc>
      </w:tr>
      <w:tr>
        <w:trPr/>
        <w:tc>
          <w:tcPr>
            <w:tcW w:w="1831"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shd w:fill="FFFF00" w:val="clear"/>
              </w:rPr>
            </w:pPr>
            <w:r>
              <w:rPr>
                <w:shd w:fill="FFFF00" w:val="clear"/>
              </w:rPr>
              <w:t>​</w:t>
            </w:r>
          </w:p>
        </w:tc>
        <w:tc>
          <w:tcPr>
            <w:tcW w:w="35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(Principal Financial Officer)</w:t>
            </w:r>
          </w:p>
        </w:tc>
      </w:tr>
    </w:tbl>
    <w:p>
      <w:pPr>
        <w:pStyle w:val="TextBody"/>
        <w:pBdr/>
        <w:bidi w:val="0"/>
        <w:spacing w:before="0" w:after="20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0"/>
        <w:ind w:left="0" w:right="0" w:hanging="0"/>
        <w:jc w:val="left"/>
        <w:rPr/>
      </w:pPr>
      <w:bookmarkStart w:id="1020" w:name="ipsc-20250331xex31d1.htm"/>
      <w:bookmarkStart w:id="1021" w:name="ksipsc20250331xex31d1"/>
      <w:bookmarkEnd w:id="1020"/>
      <w:bookmarkEnd w:id="1021"/>
      <w:r>
        <w:rPr/>
        <w:t>​</w:t>
      </w:r>
      <w:r>
        <w:br w:type="page"/>
      </w:r>
    </w:p>
    <w:p>
      <w:pPr>
        <w:pStyle w:val="TextBody"/>
        <w:pBdr/>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pBdr/>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 Brent Pfeiffenberger, certify that:</w:t>
      </w:r>
    </w:p>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51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of Century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p>
      <w:pPr>
        <w:pStyle w:val="TextBody"/>
        <w:bidi w:val="0"/>
        <w:spacing w:before="0" w:after="0"/>
        <w:ind w:left="0" w:right="0" w:hanging="0"/>
        <w:jc w:val="left"/>
        <w:rPr/>
      </w:pPr>
      <w:r>
        <w:rPr/>
        <w:t>​</w:t>
      </w:r>
    </w:p>
    <w:tbl>
      <w:tblPr>
        <w:tblW w:w="3425" w:type="dxa"/>
        <w:jc w:val="left"/>
        <w:tblInd w:w="0" w:type="dxa"/>
        <w:tblLayout w:type="fixed"/>
        <w:tblCellMar>
          <w:top w:w="0" w:type="dxa"/>
          <w:left w:w="0" w:type="dxa"/>
          <w:bottom w:w="0" w:type="dxa"/>
          <w:right w:w="0" w:type="dxa"/>
        </w:tblCellMar>
      </w:tblPr>
      <w:tblGrid>
        <w:gridCol w:w="124"/>
        <w:gridCol w:w="3301"/>
      </w:tblGrid>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Brent Pfeiffenberger, PharmD, MBA</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Brent Pfeiffenberger, PharmD, MBA</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022" w:name="ipsc-20250331xex31d2.htm"/>
      <w:bookmarkStart w:id="1023" w:name="ksipsc20250331xex31d2"/>
      <w:bookmarkEnd w:id="1022"/>
      <w:bookmarkEnd w:id="1023"/>
      <w:r>
        <w:rPr/>
        <w:t>​</w:t>
      </w:r>
      <w:r>
        <w:br w:type="page"/>
      </w:r>
    </w:p>
    <w:p>
      <w:pPr>
        <w:pStyle w:val="TextBody"/>
        <w:pBdr/>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Morgan Conn, certify that:</w:t>
      </w:r>
    </w:p>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51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of Century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p>
      <w:pPr>
        <w:pStyle w:val="TextBody"/>
        <w:bidi w:val="0"/>
        <w:spacing w:before="0" w:after="0"/>
        <w:ind w:left="0" w:right="0" w:hanging="0"/>
        <w:jc w:val="left"/>
        <w:rPr/>
      </w:pPr>
      <w:r>
        <w:rPr/>
        <w:t>​</w:t>
      </w:r>
    </w:p>
    <w:tbl>
      <w:tblPr>
        <w:tblW w:w="2540" w:type="dxa"/>
        <w:jc w:val="left"/>
        <w:tblInd w:w="0" w:type="dxa"/>
        <w:tblLayout w:type="fixed"/>
        <w:tblCellMar>
          <w:top w:w="0" w:type="dxa"/>
          <w:left w:w="0" w:type="dxa"/>
          <w:bottom w:w="0" w:type="dxa"/>
          <w:right w:w="0" w:type="dxa"/>
        </w:tblCellMar>
      </w:tblPr>
      <w:tblGrid>
        <w:gridCol w:w="124"/>
        <w:gridCol w:w="2416"/>
      </w:tblGrid>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Morgan Conn</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Morgan Conn</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1024" w:name="ipsc-20250331xex32d1.htm"/>
      <w:bookmarkStart w:id="1025" w:name="ksipsc20250331xex32d1"/>
      <w:bookmarkEnd w:id="1024"/>
      <w:bookmarkEnd w:id="1025"/>
      <w:r>
        <w:rPr>
          <w:rFonts w:ascii="Times New Roman;Times;serif" w:hAnsi="Times New Roman;Times;serif"/>
          <w:b/>
          <w:sz w:val="20"/>
        </w:rPr>
        <w:t>Exhibit 32.1</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pBd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of Century Therapeutics, Inc. (the “Company”) on Form 10-Q for the quarter ended March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pBdr/>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pBdr/>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15, 2025</w:t>
      </w:r>
    </w:p>
    <w:p>
      <w:pPr>
        <w:pStyle w:val="TextBody"/>
        <w:bidi w:val="0"/>
        <w:spacing w:before="0" w:after="0"/>
        <w:ind w:left="0" w:right="0" w:hanging="0"/>
        <w:jc w:val="left"/>
        <w:rPr/>
      </w:pPr>
      <w:r>
        <w:rPr/>
        <w:t>​</w:t>
      </w:r>
    </w:p>
    <w:tbl>
      <w:tblPr>
        <w:tblW w:w="3425" w:type="dxa"/>
        <w:jc w:val="left"/>
        <w:tblInd w:w="0" w:type="dxa"/>
        <w:tblLayout w:type="fixed"/>
        <w:tblCellMar>
          <w:top w:w="0" w:type="dxa"/>
          <w:left w:w="0" w:type="dxa"/>
          <w:bottom w:w="0" w:type="dxa"/>
          <w:right w:w="0" w:type="dxa"/>
        </w:tblCellMar>
      </w:tblPr>
      <w:tblGrid>
        <w:gridCol w:w="124"/>
        <w:gridCol w:w="3301"/>
      </w:tblGrid>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Brent Pfeiffenberger, PharmD, MBA</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Brent Pfeiffenberger, PharmD, MBA</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1026" w:name="ipsc-20250331xex32d2.htm"/>
      <w:bookmarkStart w:id="1027" w:name="ksipsc20250331xex32d2"/>
      <w:bookmarkEnd w:id="1026"/>
      <w:bookmarkEnd w:id="1027"/>
      <w:r>
        <w:rPr>
          <w:rFonts w:ascii="Times New Roman;Times;serif" w:hAnsi="Times New Roman;Times;serif"/>
          <w:b/>
          <w:sz w:val="20"/>
        </w:rPr>
        <w:t>Exhibit 32.2</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pBd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of Century Therapeutics, Inc. (the “Company”) on Form 10-Q for the quarter ended March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pBdr/>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pBdr/>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15, 2025</w:t>
      </w:r>
    </w:p>
    <w:p>
      <w:pPr>
        <w:pStyle w:val="TextBody"/>
        <w:bidi w:val="0"/>
        <w:spacing w:before="0" w:after="0"/>
        <w:ind w:left="0" w:right="0" w:hanging="0"/>
        <w:jc w:val="left"/>
        <w:rPr/>
      </w:pPr>
      <w:r>
        <w:rPr/>
        <w:t>​</w:t>
      </w:r>
    </w:p>
    <w:tbl>
      <w:tblPr>
        <w:tblW w:w="2540" w:type="dxa"/>
        <w:jc w:val="left"/>
        <w:tblInd w:w="0" w:type="dxa"/>
        <w:tblLayout w:type="fixed"/>
        <w:tblCellMar>
          <w:top w:w="0" w:type="dxa"/>
          <w:left w:w="0" w:type="dxa"/>
          <w:bottom w:w="0" w:type="dxa"/>
          <w:right w:w="0" w:type="dxa"/>
        </w:tblCellMar>
      </w:tblPr>
      <w:tblGrid>
        <w:gridCol w:w="124"/>
        <w:gridCol w:w="2416"/>
      </w:tblGrid>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Morgan Conn</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Morgan Conn</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20641</Words>
  <Characters>117510</Characters>
  <CharactersWithSpaces>139072</CharactersWithSpaces>
  <Paragraphs>4351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