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201930</wp:posOffset>
            </wp:positionH>
            <wp:positionV relativeFrom="page">
              <wp:posOffset>276225</wp:posOffset>
            </wp:positionV>
            <wp:extent cx="714438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307340</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43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151765</wp:posOffset>
            </wp:positionV>
            <wp:extent cx="71443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146050</wp:posOffset>
            </wp:positionV>
            <wp:extent cx="71443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Century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43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p>
      <w:pPr>
        <w:spacing w:after="0" w:line="397"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4"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3"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6"/>
          <w:szCs w:val="16"/>
          <w:b w:val="1"/>
          <w:bCs w:val="1"/>
          <w:color w:val="auto"/>
        </w:rPr>
        <w:t>001-40498</w:t>
      </w:r>
    </w:p>
    <w:p>
      <w:pPr>
        <w:spacing w:after="0" w:line="34"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84-2040295</w:t>
      </w:r>
    </w:p>
    <w:p>
      <w:pPr>
        <w:spacing w:after="0" w:line="34"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6"/>
          <w:szCs w:val="16"/>
          <w:color w:val="auto"/>
        </w:rPr>
        <w:t>(I.R.S. Employer</w:t>
      </w:r>
    </w:p>
    <w:p>
      <w:pPr>
        <w:spacing w:after="0" w:line="1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88" w:lineRule="exact"/>
        <w:rPr>
          <w:sz w:val="24"/>
          <w:szCs w:val="24"/>
          <w:color w:val="auto"/>
        </w:rPr>
      </w:pPr>
    </w:p>
    <w:p>
      <w:pPr>
        <w:sectPr>
          <w:pgSz w:w="11900" w:h="16838" w:orient="portrait"/>
          <w:cols w:equalWidth="0" w:num="3">
            <w:col w:w="4020" w:space="720"/>
            <w:col w:w="3380" w:space="720"/>
            <w:col w:w="2400"/>
          </w:cols>
          <w:pgMar w:left="320" w:top="650" w:right="339" w:bottom="1440" w:gutter="0" w:footer="0" w:header="0"/>
          <w:type w:val="continuous"/>
        </w:sectPr>
      </w:pPr>
    </w:p>
    <w:p>
      <w:pPr>
        <w:jc w:val="center"/>
        <w:ind w:right="1900"/>
        <w:spacing w:after="0"/>
        <w:rPr>
          <w:sz w:val="20"/>
          <w:szCs w:val="20"/>
          <w:color w:val="auto"/>
        </w:rPr>
      </w:pPr>
      <w:r>
        <w:rPr>
          <w:rFonts w:ascii="Times New Roman" w:cs="Times New Roman" w:eastAsia="Times New Roman" w:hAnsi="Times New Roman"/>
          <w:sz w:val="16"/>
          <w:szCs w:val="16"/>
          <w:b w:val="1"/>
          <w:bCs w:val="1"/>
          <w:color w:val="auto"/>
        </w:rPr>
        <w:t>3675 Market Street</w:t>
      </w:r>
    </w:p>
    <w:p>
      <w:pPr>
        <w:spacing w:after="0" w:line="34"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6"/>
          <w:szCs w:val="16"/>
          <w:b w:val="1"/>
          <w:bCs w:val="1"/>
          <w:color w:val="auto"/>
        </w:rPr>
        <w:t>Philadelphia, Pennsylvania</w:t>
      </w:r>
    </w:p>
    <w:p>
      <w:pPr>
        <w:spacing w:after="0" w:line="1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6"/>
          <w:szCs w:val="16"/>
          <w:b w:val="1"/>
          <w:bCs w:val="1"/>
          <w:color w:val="auto"/>
        </w:rPr>
        <w:t>19104</w:t>
      </w:r>
    </w:p>
    <w:p>
      <w:pPr>
        <w:spacing w:after="0" w:line="34"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6"/>
          <w:szCs w:val="16"/>
          <w:color w:val="auto"/>
        </w:rPr>
        <w:t>(Zip Code)</w:t>
      </w:r>
    </w:p>
    <w:p>
      <w:pPr>
        <w:spacing w:after="0" w:line="188" w:lineRule="exact"/>
        <w:rPr>
          <w:sz w:val="24"/>
          <w:szCs w:val="24"/>
          <w:color w:val="auto"/>
        </w:rPr>
      </w:pPr>
    </w:p>
    <w:p>
      <w:pPr>
        <w:sectPr>
          <w:pgSz w:w="11900" w:h="16838" w:orient="portrait"/>
          <w:cols w:equalWidth="0" w:num="2">
            <w:col w:w="7420" w:space="720"/>
            <w:col w:w="3100"/>
          </w:cols>
          <w:pgMar w:left="320" w:top="65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(267) 817-5790</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140335</wp:posOffset>
            </wp:positionV>
            <wp:extent cx="71443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394" w:lineRule="exact"/>
        <w:rPr>
          <w:sz w:val="24"/>
          <w:szCs w:val="24"/>
          <w:color w:val="auto"/>
        </w:rPr>
      </w:pPr>
    </w:p>
    <w:p>
      <w:pPr>
        <w:ind w:right="240"/>
        <w:spacing w:after="0" w:line="295"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38" w:lineRule="exact"/>
        <w:rPr>
          <w:sz w:val="24"/>
          <w:szCs w:val="24"/>
          <w:color w:val="auto"/>
        </w:rPr>
      </w:pPr>
    </w:p>
    <w:p>
      <w:pPr>
        <w:ind w:left="440" w:hanging="438"/>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0" w:lineRule="exact"/>
        <w:rPr>
          <w:rFonts w:ascii="MS PGothic" w:cs="MS PGothic" w:eastAsia="MS PGothic" w:hAnsi="MS PGothic"/>
          <w:sz w:val="16"/>
          <w:szCs w:val="16"/>
          <w:color w:val="auto"/>
        </w:rPr>
      </w:pPr>
    </w:p>
    <w:p>
      <w:pPr>
        <w:ind w:left="440" w:hanging="438"/>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 w:lineRule="exact"/>
        <w:rPr>
          <w:rFonts w:ascii="MS PGothic" w:cs="MS PGothic" w:eastAsia="MS PGothic" w:hAnsi="MS PGothic"/>
          <w:sz w:val="16"/>
          <w:szCs w:val="16"/>
          <w:color w:val="auto"/>
        </w:rPr>
      </w:pPr>
    </w:p>
    <w:p>
      <w:pPr>
        <w:ind w:left="440" w:hanging="438"/>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 w:lineRule="exact"/>
        <w:rPr>
          <w:rFonts w:ascii="MS PGothic" w:cs="MS PGothic" w:eastAsia="MS PGothic" w:hAnsi="MS PGothic"/>
          <w:sz w:val="16"/>
          <w:szCs w:val="16"/>
          <w:color w:val="auto"/>
        </w:rPr>
      </w:pPr>
    </w:p>
    <w:p>
      <w:pPr>
        <w:ind w:left="440" w:hanging="438"/>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372"/>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Exchange on Which</w:t>
            </w:r>
          </w:p>
        </w:tc>
      </w:tr>
      <w:tr>
        <w:trPr>
          <w:trHeight w:val="217"/>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r>
      <w:tr>
        <w:trPr>
          <w:trHeight w:val="210"/>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24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IPSC</w:t>
            </w:r>
          </w:p>
        </w:tc>
        <w:tc>
          <w:tcPr>
            <w:tcW w:w="22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59" w:lineRule="exact"/>
        <w:rPr>
          <w:sz w:val="24"/>
          <w:szCs w:val="24"/>
          <w:color w:val="auto"/>
        </w:rPr>
      </w:pPr>
    </w:p>
    <w:p>
      <w:pPr>
        <w:ind w:right="40"/>
        <w:spacing w:after="0" w:line="29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2" w:lineRule="exact"/>
        <w:rPr>
          <w:sz w:val="24"/>
          <w:szCs w:val="24"/>
          <w:color w:val="auto"/>
        </w:rPr>
      </w:pPr>
    </w:p>
    <w:p>
      <w:pPr>
        <w:ind w:left="92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ind w:right="460"/>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1443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137795</wp:posOffset>
            </wp:positionV>
            <wp:extent cx="714438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419100</wp:posOffset>
            </wp:positionV>
            <wp:extent cx="71443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type w:val="continuous"/>
        </w:sectPr>
      </w:pPr>
    </w:p>
    <w:bookmarkStart w:id="1" w:name="page2"/>
    <w:bookmarkEnd w:id="1"/>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6"/>
          <w:szCs w:val="16"/>
          <w:b w:val="1"/>
          <w:bCs w:val="1"/>
          <w:u w:val="single" w:color="auto"/>
          <w:color w:val="auto"/>
        </w:rPr>
        <w:t>Regulation FD Disclosure</w:t>
      </w:r>
    </w:p>
    <w:p>
      <w:pPr>
        <w:spacing w:after="0" w:line="213" w:lineRule="exact"/>
        <w:rPr>
          <w:sz w:val="20"/>
          <w:szCs w:val="20"/>
          <w:color w:val="auto"/>
        </w:rPr>
      </w:pPr>
    </w:p>
    <w:p>
      <w:pPr>
        <w:jc w:val="both"/>
        <w:ind w:right="240"/>
        <w:spacing w:after="0" w:line="276" w:lineRule="auto"/>
        <w:rPr>
          <w:sz w:val="20"/>
          <w:szCs w:val="20"/>
          <w:color w:val="auto"/>
        </w:rPr>
      </w:pPr>
      <w:r>
        <w:rPr>
          <w:rFonts w:ascii="Times New Roman" w:cs="Times New Roman" w:eastAsia="Times New Roman" w:hAnsi="Times New Roman"/>
          <w:sz w:val="16"/>
          <w:szCs w:val="16"/>
          <w:color w:val="auto"/>
        </w:rPr>
        <w:t>On January 9, 2022, Century Therapeutics, Inc. (the “Company”) updated information reflected in a slide presentation, which is attached as Exhibit 99.1 to this Current Report on Form 8-K and is incorporated herein by reference. Representatives of the Company will use the updated presentation in various meetings with investors from time to time.</w:t>
      </w:r>
    </w:p>
    <w:p>
      <w:pPr>
        <w:spacing w:after="0" w:line="15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The information contained in this Item 7.01 (including Exhibit 99.1) is being furnished and shall not be deemed “filed” for purposes of Section 18 of the Exchange Act, as amended (the “Exchange Act”),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7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6"/>
          <w:szCs w:val="16"/>
          <w:b w:val="1"/>
          <w:bCs w:val="1"/>
          <w:u w:val="single" w:color="auto"/>
          <w:color w:val="auto"/>
        </w:rPr>
        <w:t>Other Events</w:t>
      </w:r>
    </w:p>
    <w:p>
      <w:pPr>
        <w:spacing w:after="0" w:line="213"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16"/>
          <w:szCs w:val="16"/>
          <w:color w:val="auto"/>
        </w:rPr>
        <w:t>On January 5, 2023, the Company issued a press release announcing its plan for internal portfolio prioritization to extend its cash runway into 2026. A copy of the press release is furnished as Exhibit 99.2 to this Current Report on Form 8-K and is incorporated herein by reference.</w:t>
      </w:r>
    </w:p>
    <w:p>
      <w:pPr>
        <w:spacing w:after="0" w:line="13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u w:val="single" w:color="auto"/>
          <w:color w:val="auto"/>
        </w:rPr>
        <w:t>Financial Statements and Exhibits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17"/>
        </w:trPr>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349"/>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Investor Presentation of Century Therapeutics, Inc., dated January 9, 2022</w:t>
            </w:r>
          </w:p>
        </w:tc>
      </w:tr>
      <w:tr>
        <w:trPr>
          <w:trHeight w:val="373"/>
        </w:trPr>
        <w:tc>
          <w:tcPr>
            <w:tcW w:w="2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Press Release of Century Therapeutics, Inc., dated January 5, 2023</w:t>
            </w:r>
          </w:p>
        </w:tc>
        <w:tc>
          <w:tcPr>
            <w:tcW w:w="480" w:type="dxa"/>
            <w:vAlign w:val="bottom"/>
            <w:tcBorders>
              <w:top w:val="single" w:sz="8" w:color="0000EE"/>
            </w:tcBorders>
          </w:tcPr>
          <w:p>
            <w:pPr>
              <w:spacing w:after="0"/>
              <w:rPr>
                <w:sz w:val="24"/>
                <w:szCs w:val="24"/>
                <w:color w:val="auto"/>
              </w:rPr>
            </w:pPr>
          </w:p>
        </w:tc>
        <w:tc>
          <w:tcPr>
            <w:tcW w:w="5460" w:type="dxa"/>
            <w:vAlign w:val="bottom"/>
          </w:tcPr>
          <w:p>
            <w:pPr>
              <w:spacing w:after="0"/>
              <w:rPr>
                <w:sz w:val="24"/>
                <w:szCs w:val="24"/>
                <w:color w:val="auto"/>
              </w:rPr>
            </w:pPr>
          </w:p>
        </w:tc>
      </w:tr>
      <w:tr>
        <w:trPr>
          <w:trHeight w:val="41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614"/>
        </w:trPr>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3"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CENTURY THERAPEUTICS, INC.</w:t>
      </w:r>
    </w:p>
    <w:p>
      <w:pPr>
        <w:spacing w:after="0" w:line="213" w:lineRule="exact"/>
        <w:rPr>
          <w:sz w:val="20"/>
          <w:szCs w:val="20"/>
          <w:color w:val="auto"/>
        </w:rPr>
      </w:pPr>
    </w:p>
    <w:tbl>
      <w:tblPr>
        <w:tblLayout w:type="fixed"/>
        <w:tblInd w:w="564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Osvaldo Flores, Ph.D.</w:t>
            </w:r>
          </w:p>
        </w:tc>
      </w:tr>
      <w:tr>
        <w:trPr>
          <w:trHeight w:val="180"/>
        </w:trPr>
        <w:tc>
          <w:tcPr>
            <w:tcW w:w="5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Name:</w:t>
            </w:r>
          </w:p>
        </w:tc>
        <w:tc>
          <w:tcPr>
            <w:tcW w:w="504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color w:val="auto"/>
              </w:rPr>
              <w:t>Osvaldo Flores, Ph.D.</w:t>
            </w: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January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408940</wp:posOffset>
            </wp:positionV>
            <wp:extent cx="71443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3" w:name="page4"/>
    <w:bookmarkEnd w:id="3"/>
    <w:p>
      <w:pPr>
        <w:ind w:left="85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153670</wp:posOffset>
            </wp:positionV>
            <wp:extent cx="6894830" cy="4067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0" w:num="1">
            <w:col w:w="9340"/>
          </w:cols>
          <w:pgMar w:left="1440" w:top="328" w:right="11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264795</wp:posOffset>
            </wp:positionH>
            <wp:positionV relativeFrom="page">
              <wp:posOffset>88900</wp:posOffset>
            </wp:positionV>
            <wp:extent cx="6894830" cy="4067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9483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137795</wp:posOffset>
            </wp:positionV>
            <wp:extent cx="2014220" cy="5854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14220" cy="585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Century Therapeutics Announces Internal Portfolio Prioritization to Extend Cash Runway Into 2026</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January 5, 2023</w:t>
      </w:r>
    </w:p>
    <w:p>
      <w:pPr>
        <w:spacing w:after="0" w:line="208" w:lineRule="exact"/>
        <w:rPr>
          <w:sz w:val="20"/>
          <w:szCs w:val="20"/>
          <w:color w:val="auto"/>
        </w:rPr>
      </w:pPr>
    </w:p>
    <w:p>
      <w:pPr>
        <w:ind w:left="3860" w:right="920" w:hanging="3755"/>
        <w:spacing w:after="0" w:line="298" w:lineRule="auto"/>
        <w:tabs>
          <w:tab w:leader="none" w:pos="209" w:val="left"/>
        </w:tabs>
        <w:numPr>
          <w:ilvl w:val="1"/>
          <w:numId w:val="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Prioritization allows for acceleration of key programs including CNTY-107 in Nectin-4+ tumors, while de-prioritizing further investment in CNTY-103 for glioblastoma -</w:t>
      </w:r>
    </w:p>
    <w:p>
      <w:pPr>
        <w:spacing w:after="0" w:line="133" w:lineRule="exact"/>
        <w:rPr>
          <w:rFonts w:ascii="Times New Roman" w:cs="Times New Roman" w:eastAsia="Times New Roman" w:hAnsi="Times New Roman"/>
          <w:sz w:val="16"/>
          <w:szCs w:val="16"/>
          <w:i w:val="1"/>
          <w:iCs w:val="1"/>
          <w:color w:val="auto"/>
        </w:rPr>
      </w:pPr>
    </w:p>
    <w:p>
      <w:pPr>
        <w:ind w:left="2580" w:hanging="101"/>
        <w:spacing w:after="0"/>
        <w:tabs>
          <w:tab w:leader="none" w:pos="2580" w:val="left"/>
        </w:tabs>
        <w:numPr>
          <w:ilvl w:val="2"/>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Employee headcount reduced by approximately 25 percent, extending cash runway into 2026 -</w:t>
      </w:r>
    </w:p>
    <w:p>
      <w:pPr>
        <w:spacing w:after="0" w:line="209" w:lineRule="exact"/>
        <w:rPr>
          <w:rFonts w:ascii="Times New Roman" w:cs="Times New Roman" w:eastAsia="Times New Roman" w:hAnsi="Times New Roman"/>
          <w:sz w:val="16"/>
          <w:szCs w:val="16"/>
          <w:color w:val="auto"/>
        </w:rPr>
      </w:pPr>
    </w:p>
    <w:p>
      <w:pPr>
        <w:ind w:left="100" w:hanging="89"/>
        <w:spacing w:after="0"/>
        <w:tabs>
          <w:tab w:leader="none" w:pos="1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Phase 1 study of CNTY-101, Company's lead candidate targeting CD19, in relapsed/refractory B-cell lymphoma remains on track; No impact to partnered programs with</w:t>
      </w:r>
    </w:p>
    <w:p>
      <w:pPr>
        <w:spacing w:after="0" w:line="32" w:lineRule="exact"/>
        <w:rPr>
          <w:rFonts w:ascii="Times New Roman" w:cs="Times New Roman" w:eastAsia="Times New Roman" w:hAnsi="Times New Roman"/>
          <w:sz w:val="16"/>
          <w:szCs w:val="16"/>
          <w:color w:val="auto"/>
        </w:rPr>
      </w:pPr>
    </w:p>
    <w:p>
      <w:pPr>
        <w:ind w:left="4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Bristol Myers Squibb -</w:t>
      </w:r>
    </w:p>
    <w:p>
      <w:pPr>
        <w:spacing w:after="0" w:line="192" w:lineRule="exact"/>
        <w:rPr>
          <w:sz w:val="20"/>
          <w:szCs w:val="20"/>
          <w:color w:val="auto"/>
        </w:rPr>
      </w:pPr>
    </w:p>
    <w:p>
      <w:pPr>
        <w:ind w:left="20" w:right="260"/>
        <w:spacing w:after="0" w:line="264" w:lineRule="auto"/>
        <w:rPr>
          <w:sz w:val="20"/>
          <w:szCs w:val="20"/>
          <w:color w:val="auto"/>
        </w:rPr>
      </w:pPr>
      <w:r>
        <w:rPr>
          <w:rFonts w:ascii="Times New Roman" w:cs="Times New Roman" w:eastAsia="Times New Roman" w:hAnsi="Times New Roman"/>
          <w:sz w:val="16"/>
          <w:szCs w:val="16"/>
          <w:color w:val="auto"/>
        </w:rPr>
        <w:t xml:space="preserve">PHILADELPHIA, Jan. 05, 2023 (GLOBE NEWSWIRE) -- </w:t>
      </w:r>
      <w:r>
        <w:rPr>
          <w:rFonts w:ascii="Times New Roman" w:cs="Times New Roman" w:eastAsia="Times New Roman" w:hAnsi="Times New Roman"/>
          <w:sz w:val="16"/>
          <w:szCs w:val="16"/>
          <w:u w:val="single" w:color="auto"/>
          <w:color w:val="auto"/>
        </w:rPr>
        <w:t>Century Therapeutics</w:t>
      </w:r>
      <w:r>
        <w:rPr>
          <w:rFonts w:ascii="Times New Roman" w:cs="Times New Roman" w:eastAsia="Times New Roman" w:hAnsi="Times New Roman"/>
          <w:sz w:val="16"/>
          <w:szCs w:val="16"/>
          <w:color w:val="auto"/>
        </w:rPr>
        <w:t xml:space="preserve"> (NASDAQ: IPSC), an innovative biotechnology company developing induced pluripotent stem cell (iPSC)-derived cell therapies in immuno-oncology, today announced a new internal portfolio prioritization and capital allocation strategy that is expected to extend cash runway into 2026. The resulting changes include de-prioritizing investment in CNTY-103 for glioblastoma as well as a discovery program in hematologic malignancies. The Company will focus on CNTY-101 and will prioritize key programs, including one follow-on product candidate for lymphoma, CNTY-102, and CNTY-107, a product candidate for Nectin-4+ tumors. In addition, Century will continue its partnered programs with Bristol Myers Squibb with no impact to previous guidance on timelines.</w:t>
      </w:r>
    </w:p>
    <w:p>
      <w:pPr>
        <w:spacing w:after="0" w:line="163" w:lineRule="exact"/>
        <w:rPr>
          <w:sz w:val="20"/>
          <w:szCs w:val="20"/>
          <w:color w:val="auto"/>
        </w:rPr>
      </w:pPr>
    </w:p>
    <w:p>
      <w:pPr>
        <w:ind w:left="20" w:right="420"/>
        <w:spacing w:after="0" w:line="269" w:lineRule="auto"/>
        <w:rPr>
          <w:sz w:val="20"/>
          <w:szCs w:val="20"/>
          <w:color w:val="auto"/>
        </w:rPr>
      </w:pPr>
      <w:r>
        <w:rPr>
          <w:rFonts w:ascii="Times New Roman" w:cs="Times New Roman" w:eastAsia="Times New Roman" w:hAnsi="Times New Roman"/>
          <w:sz w:val="16"/>
          <w:szCs w:val="16"/>
          <w:color w:val="auto"/>
        </w:rPr>
        <w:t>The strategic initiative allows the Company to reduce its headcount by approximately 25 percent, providing an estimated greater than 3-year cash runway to fund operations. These strategic changes will allow the Company to focus on delivering upon key milestones in the development of candidates that the Company believes have a higher probability of technical success and best-in-class potential. As a result of the operational restructuring, lab operations in Seattle and Hamilton will be closed and research activities will be consolidated in Philadelphia.</w:t>
      </w:r>
    </w:p>
    <w:p>
      <w:pPr>
        <w:spacing w:after="0" w:line="159" w:lineRule="exact"/>
        <w:rPr>
          <w:sz w:val="20"/>
          <w:szCs w:val="20"/>
          <w:color w:val="auto"/>
        </w:rPr>
      </w:pPr>
    </w:p>
    <w:p>
      <w:pPr>
        <w:ind w:left="20" w:right="120" w:hanging="11"/>
        <w:spacing w:after="0" w:line="269" w:lineRule="auto"/>
        <w:rPr>
          <w:sz w:val="20"/>
          <w:szCs w:val="20"/>
          <w:color w:val="auto"/>
        </w:rPr>
      </w:pPr>
      <w:r>
        <w:rPr>
          <w:rFonts w:ascii="Times New Roman" w:cs="Times New Roman" w:eastAsia="Times New Roman" w:hAnsi="Times New Roman"/>
          <w:sz w:val="16"/>
          <w:szCs w:val="16"/>
          <w:color w:val="auto"/>
        </w:rPr>
        <w:t>“As our confidence in the disruptive potential of our technology platform and prioritized pipeline programs continues to increase, we have implemented these cost saving measures to right size the organization and further extend our cash runway to enable achievement of key milestones,” said Lalo Flores, Ph.D., Chief Executive Officer, Century Therapeutics. “As a result, we are losing many valued colleagues, which is an incredibly difficult decision, and we would like to thank each of them for their contributions.”</w:t>
      </w:r>
    </w:p>
    <w:p>
      <w:pPr>
        <w:spacing w:after="0" w:line="159" w:lineRule="exact"/>
        <w:rPr>
          <w:sz w:val="20"/>
          <w:szCs w:val="20"/>
          <w:color w:val="auto"/>
        </w:rPr>
      </w:pPr>
    </w:p>
    <w:p>
      <w:pPr>
        <w:ind w:left="20" w:right="340"/>
        <w:spacing w:after="0" w:line="276" w:lineRule="auto"/>
        <w:rPr>
          <w:sz w:val="20"/>
          <w:szCs w:val="20"/>
          <w:color w:val="auto"/>
        </w:rPr>
      </w:pPr>
      <w:r>
        <w:rPr>
          <w:rFonts w:ascii="Times New Roman" w:cs="Times New Roman" w:eastAsia="Times New Roman" w:hAnsi="Times New Roman"/>
          <w:sz w:val="16"/>
          <w:szCs w:val="16"/>
          <w:color w:val="auto"/>
        </w:rPr>
        <w:t>Concurrent with today’s announcement, the Company also announced that Hy Levitsky, M.D., Ph.D., President of Research and Development, has tendered his resignation, effective January 31, 2023. Dr. Levitsky’s leadership responsibilities will be assumed by Luis Borges, Ph.D., Chief Scientific Officer and Adrienne Farid, Ph.D., Chief Operations Officer and Head of Early Development.</w:t>
      </w:r>
    </w:p>
    <w:p>
      <w:pPr>
        <w:spacing w:after="0" w:line="152" w:lineRule="exact"/>
        <w:rPr>
          <w:sz w:val="20"/>
          <w:szCs w:val="20"/>
          <w:color w:val="auto"/>
        </w:rPr>
      </w:pPr>
    </w:p>
    <w:p>
      <w:pPr>
        <w:ind w:left="20" w:right="520" w:hanging="11"/>
        <w:spacing w:after="0" w:line="295" w:lineRule="auto"/>
        <w:rPr>
          <w:sz w:val="20"/>
          <w:szCs w:val="20"/>
          <w:color w:val="auto"/>
        </w:rPr>
      </w:pPr>
      <w:r>
        <w:rPr>
          <w:rFonts w:ascii="Times New Roman" w:cs="Times New Roman" w:eastAsia="Times New Roman" w:hAnsi="Times New Roman"/>
          <w:sz w:val="16"/>
          <w:szCs w:val="16"/>
          <w:color w:val="auto"/>
        </w:rPr>
        <w:t>“I am pleased to have been part of the Century team during its formative years and I am tremendously proud of the progress the Company has made, leaving it well positioned for future success,” said Dr. Levitsky. “I leave Century with continued confidence in the vision for next-generation iPSC-derived cell therapies.”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behalf of the entire team, I would like to thank Hy Levitsky for his valuable contributions to the Company,” Dr. Flores said.</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Strategy Update</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Based on the outcomes of the strategic portfolio prioritization, the Company will focus on the following: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CNTY-101: lead product candidate targeting CD19 for relapsed/refractory B-cell lymphoma</w:t>
      </w:r>
    </w:p>
    <w:p>
      <w:pPr>
        <w:spacing w:after="0" w:line="210" w:lineRule="exact"/>
        <w:rPr>
          <w:sz w:val="20"/>
          <w:szCs w:val="20"/>
          <w:color w:val="auto"/>
        </w:rPr>
      </w:pPr>
    </w:p>
    <w:p>
      <w:pPr>
        <w:ind w:left="520" w:right="300" w:hanging="227"/>
        <w:spacing w:after="0" w:line="276" w:lineRule="auto"/>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CNTY-101 is an iPSC-derived chimeric antigen receptor iPSC-derived NK (CAR-iNK) cell therapy candidate that has been engineered to include core Allo-Evasion™ edits, express a CD19 CAR, soluble IL-15, and an EGFR safety switch. The first sites for the ELiPSE-1 Phase 1 trial are activated and are currently recruiting patients. The first patient is expected to be enrolled imminently.</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CNTY-102: multi-specific product candidate for relapsed/refractory B-cell lymphoma and other B-cell malignancies</w:t>
      </w:r>
    </w:p>
    <w:p>
      <w:pPr>
        <w:spacing w:after="0" w:line="210" w:lineRule="exact"/>
        <w:rPr>
          <w:sz w:val="20"/>
          <w:szCs w:val="20"/>
          <w:color w:val="auto"/>
        </w:rPr>
      </w:pPr>
    </w:p>
    <w:p>
      <w:pPr>
        <w:ind w:left="520" w:right="180" w:hanging="227"/>
        <w:spacing w:after="0" w:line="288" w:lineRule="auto"/>
        <w:tabs>
          <w:tab w:leader="none" w:pos="5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CNTY-102 is an iPSC-derived CAR gamma delta iT cell therapy candidate that will simultaneously target CD19 and a second antigen. This product candidate is designed to increase depth and durability of response by eliminating the effect of CD19 antigen loss that has been observed as a factor limiting treatment durability.</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CNTY-107: gamma delta iT product candidate for the treatment of solid tumors expressing Nectin-4</w:t>
      </w:r>
    </w:p>
    <w:p>
      <w:pPr>
        <w:spacing w:after="0" w:line="210" w:lineRule="exact"/>
        <w:rPr>
          <w:sz w:val="20"/>
          <w:szCs w:val="20"/>
          <w:color w:val="auto"/>
        </w:rPr>
      </w:pPr>
    </w:p>
    <w:p>
      <w:pPr>
        <w:jc w:val="both"/>
        <w:ind w:left="520" w:right="180" w:hanging="227"/>
        <w:spacing w:after="0" w:line="276" w:lineRule="auto"/>
        <w:tabs>
          <w:tab w:leader="none" w:pos="5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CNTY-107 is a first-in-class iPSC-derived Nectin-4 CAR gamma delta T-cell therapy product candidate that will be engineered with multiple features to provide several mechanisms for tumor killing. As presented at the Company’s virtual Research and Development Day on November 11, 2022, the product candidate will include core Allo-Evasion™ edits and other features to provide cytokine support, enhance tumor cell killing and cell fitness.</w:t>
      </w:r>
    </w:p>
    <w:p>
      <w:pPr>
        <w:spacing w:after="0" w:line="152" w:lineRule="exact"/>
        <w:rPr>
          <w:sz w:val="20"/>
          <w:szCs w:val="20"/>
          <w:color w:val="auto"/>
        </w:rPr>
      </w:pPr>
    </w:p>
    <w:p>
      <w:pPr>
        <w:ind w:left="20" w:right="980"/>
        <w:spacing w:after="0" w:line="295" w:lineRule="auto"/>
        <w:rPr>
          <w:sz w:val="20"/>
          <w:szCs w:val="20"/>
          <w:color w:val="auto"/>
        </w:rPr>
      </w:pPr>
      <w:r>
        <w:rPr>
          <w:rFonts w:ascii="Times New Roman" w:cs="Times New Roman" w:eastAsia="Times New Roman" w:hAnsi="Times New Roman"/>
          <w:sz w:val="16"/>
          <w:szCs w:val="16"/>
          <w:color w:val="auto"/>
        </w:rPr>
        <w:t>The Company continues its strategic research collaboration with Bristol Myers Squibb for CNTY-104 in acute myeloid leukemia and CNTY-106 in multiple myeloma. These programs are not impacted by the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363220</wp:posOffset>
            </wp:positionV>
            <wp:extent cx="714438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6"/>
          <w:szCs w:val="16"/>
          <w:b w:val="1"/>
          <w:bCs w:val="1"/>
          <w:color w:val="auto"/>
        </w:rPr>
        <w:t>About Century Therapeutics</w:t>
      </w:r>
    </w:p>
    <w:p>
      <w:pPr>
        <w:spacing w:after="0" w:line="213" w:lineRule="exact"/>
        <w:rPr>
          <w:sz w:val="20"/>
          <w:szCs w:val="20"/>
          <w:color w:val="auto"/>
        </w:rPr>
      </w:pPr>
    </w:p>
    <w:p>
      <w:pPr>
        <w:ind w:left="20" w:right="60"/>
        <w:spacing w:after="0" w:line="264" w:lineRule="auto"/>
        <w:rPr>
          <w:sz w:val="20"/>
          <w:szCs w:val="20"/>
          <w:color w:val="auto"/>
        </w:rPr>
      </w:pPr>
      <w:r>
        <w:rPr>
          <w:rFonts w:ascii="Times New Roman" w:cs="Times New Roman" w:eastAsia="Times New Roman" w:hAnsi="Times New Roman"/>
          <w:sz w:val="16"/>
          <w:szCs w:val="16"/>
          <w:color w:val="auto"/>
        </w:rPr>
        <w:t xml:space="preserve">Century Therapeutics (NASDAQ: IPSC) is harnessing the power of adult stem cells to develop curative cell therapy products for cancer that we believe will allow us to overcome the limitations of first-generation cell therapies. Our genetically engineered, iPSC-derived iNK and iT cell product candidates are designed to specifically target hematologic and solid tumor cancers.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care. For more information on Century Therapeutics please visit </w:t>
      </w:r>
      <w:r>
        <w:rPr>
          <w:rFonts w:ascii="Times New Roman" w:cs="Times New Roman" w:eastAsia="Times New Roman" w:hAnsi="Times New Roman"/>
          <w:sz w:val="16"/>
          <w:szCs w:val="16"/>
          <w:u w:val="single" w:color="auto"/>
          <w:color w:val="auto"/>
        </w:rPr>
        <w:t>www.centurytx.com</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Century Therapeutics Forward-Looking Statement</w:t>
      </w:r>
    </w:p>
    <w:p>
      <w:pPr>
        <w:spacing w:after="0" w:line="213" w:lineRule="exact"/>
        <w:rPr>
          <w:sz w:val="20"/>
          <w:szCs w:val="20"/>
          <w:color w:val="auto"/>
        </w:rPr>
      </w:pPr>
    </w:p>
    <w:p>
      <w:pPr>
        <w:ind w:firstLine="12"/>
        <w:spacing w:after="0" w:line="258"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obtain FDA acceptance for our future IND submissions and commence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the COVID-19 pandemic, geopolitical issues and inflation on our business and operations, supply chain and labor force; the performance of third parties in connection with the development of our product candidates, including third parties conducting our future clinical trials as well as third-party suppliers and manufacturers; our ability to successfully commercialize our product candidates and develop sales and marketing capabilities, if our product candidates are approved;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For More Information:</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Company: Elizabeth Krutoholow – </w:t>
      </w:r>
      <w:r>
        <w:rPr>
          <w:rFonts w:ascii="Times New Roman" w:cs="Times New Roman" w:eastAsia="Times New Roman" w:hAnsi="Times New Roman"/>
          <w:sz w:val="16"/>
          <w:szCs w:val="16"/>
          <w:u w:val="single" w:color="auto"/>
          <w:color w:val="auto"/>
        </w:rPr>
        <w:t>investor.relations@centurytx.com</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Investors: Melissa Forst/Maghan Meyers – </w:t>
      </w:r>
      <w:r>
        <w:rPr>
          <w:rFonts w:ascii="Times New Roman" w:cs="Times New Roman" w:eastAsia="Times New Roman" w:hAnsi="Times New Roman"/>
          <w:sz w:val="16"/>
          <w:szCs w:val="16"/>
          <w:u w:val="single" w:color="auto"/>
          <w:color w:val="auto"/>
        </w:rPr>
        <w:t>century@argotpartners.com</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Media: Joshua R. Mansbach – </w:t>
      </w:r>
      <w:r>
        <w:rPr>
          <w:rFonts w:ascii="Times New Roman" w:cs="Times New Roman" w:eastAsia="Times New Roman" w:hAnsi="Times New Roman"/>
          <w:sz w:val="16"/>
          <w:szCs w:val="16"/>
          <w:u w:val="single" w:color="auto"/>
          <w:color w:val="auto"/>
        </w:rPr>
        <w:t>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398145</wp:posOffset>
            </wp:positionV>
            <wp:extent cx="714438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sectPr>
      <w:pgSz w:w="11900" w:h="16838" w:orient="portrait"/>
      <w:cols w:equalWidth="0" w:num="1">
        <w:col w:w="11240"/>
      </w:cols>
      <w:pgMar w:left="320" w:top="8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2023-01-09T06:04:47Z</dcterms:created>
  <dcterms:modified xsi:type="dcterms:W3CDTF">2023-01-09T06:04:47Z</dcterms:modified>
</cp:coreProperties>
</file>