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16510</wp:posOffset>
            </wp:positionV>
            <wp:extent cx="5709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9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9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9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660" w:right="9360" w:hanging="4"/>
        <w:spacing w:after="0" w:line="225" w:lineRule="exact"/>
        <w:tabs>
          <w:tab w:leader="none" w:pos="8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3"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of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0" w:firstLine="648"/>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900" w:val="left"/>
        </w:tabs>
        <w:rPr>
          <w:sz w:val="20"/>
          <w:szCs w:val="20"/>
          <w:color w:val="auto"/>
        </w:rPr>
      </w:pPr>
      <w:r>
        <w:rPr>
          <w:rFonts w:ascii="Arial" w:cs="Arial" w:eastAsia="Arial" w:hAnsi="Arial"/>
          <w:sz w:val="18"/>
          <w:szCs w:val="18"/>
          <w:b w:val="1"/>
          <w:bCs w:val="1"/>
          <w:color w:val="auto"/>
        </w:rPr>
        <w:t>CUSIP No. 15673T100</w:t>
      </w:r>
      <w:r>
        <w:rPr>
          <w:sz w:val="20"/>
          <w:szCs w:val="20"/>
          <w:color w:val="auto"/>
        </w:rPr>
        <w:tab/>
      </w:r>
      <w:r>
        <w:rPr>
          <w:rFonts w:ascii="Arial" w:cs="Arial" w:eastAsia="Arial" w:hAnsi="Arial"/>
          <w:sz w:val="15"/>
          <w:szCs w:val="15"/>
          <w:b w:val="1"/>
          <w:bCs w:val="1"/>
          <w:color w:val="auto"/>
        </w:rPr>
        <w:t>Page 2 of 7 Pages</w:t>
      </w:r>
    </w:p>
    <w:p>
      <w:pPr>
        <w:spacing w:after="0" w:line="270" w:lineRule="exact"/>
        <w:rPr>
          <w:sz w:val="20"/>
          <w:szCs w:val="20"/>
          <w:color w:val="auto"/>
        </w:rPr>
      </w:pPr>
    </w:p>
    <w:p>
      <w:pPr>
        <w:ind w:left="680" w:right="8640" w:hanging="672"/>
        <w:spacing w:after="0" w:line="431" w:lineRule="auto"/>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Bayer Aktiengesellschaft</w:t>
      </w:r>
    </w:p>
    <w:p>
      <w:pPr>
        <w:spacing w:after="0" w:line="1" w:lineRule="exact"/>
        <w:rPr>
          <w:rFonts w:ascii="Arial" w:cs="Arial" w:eastAsia="Arial" w:hAnsi="Arial"/>
          <w:sz w:val="16"/>
          <w:szCs w:val="16"/>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1" w:lineRule="exact"/>
        <w:rPr>
          <w:rFonts w:ascii="Arial" w:cs="Arial" w:eastAsia="Arial" w:hAnsi="Arial"/>
          <w:sz w:val="18"/>
          <w:szCs w:val="18"/>
          <w:color w:val="auto"/>
        </w:rPr>
      </w:pPr>
    </w:p>
    <w:p>
      <w:pPr>
        <w:ind w:left="4160" w:hanging="237"/>
        <w:spacing w:after="0" w:line="207" w:lineRule="exact"/>
        <w:tabs>
          <w:tab w:leader="none" w:pos="4160" w:val="left"/>
        </w:tabs>
        <w:numPr>
          <w:ilvl w:val="2"/>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4180" w:hanging="257"/>
        <w:spacing w:after="0" w:line="207" w:lineRule="exact"/>
        <w:tabs>
          <w:tab w:leader="none" w:pos="4180" w:val="left"/>
        </w:tabs>
        <w:numPr>
          <w:ilvl w:val="2"/>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680" w:right="7940" w:hanging="672"/>
        <w:spacing w:after="0" w:line="383"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040" w:hanging="682"/>
        <w:spacing w:after="0"/>
        <w:tabs>
          <w:tab w:leader="none" w:pos="2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-970915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-1948180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40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40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79"/>
              </w:rPr>
              <w:t>6.</w:t>
            </w:r>
          </w:p>
        </w:tc>
        <w:tc>
          <w:tcPr>
            <w:tcW w:w="9480" w:type="dxa"/>
            <w:vAlign w:val="bottom"/>
          </w:tcPr>
          <w:p>
            <w:pPr>
              <w:ind w:left="2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12,675,838</w:t>
            </w:r>
          </w:p>
        </w:tc>
        <w:tc>
          <w:tcPr>
            <w:tcW w:w="0" w:type="dxa"/>
            <w:vAlign w:val="bottom"/>
          </w:tcPr>
          <w:p>
            <w:pPr>
              <w:spacing w:after="0"/>
              <w:rPr>
                <w:sz w:val="1"/>
                <w:szCs w:val="1"/>
                <w:color w:val="auto"/>
              </w:rPr>
            </w:pP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color w:val="auto"/>
              </w:rPr>
              <w:t>Each Reporting</w:t>
            </w:r>
          </w:p>
        </w:tc>
        <w:tc>
          <w:tcPr>
            <w:tcW w:w="40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79"/>
              </w:rPr>
              <w:t>7.</w:t>
            </w:r>
          </w:p>
        </w:tc>
        <w:tc>
          <w:tcPr>
            <w:tcW w:w="9480" w:type="dxa"/>
            <w:vAlign w:val="bottom"/>
          </w:tcPr>
          <w:p>
            <w:pPr>
              <w:ind w:left="28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400" w:type="dxa"/>
            <w:vAlign w:val="bottom"/>
          </w:tcPr>
          <w:p>
            <w:pPr>
              <w:spacing w:after="0"/>
              <w:rPr>
                <w:sz w:val="20"/>
                <w:szCs w:val="20"/>
                <w:color w:val="auto"/>
              </w:rPr>
            </w:pPr>
          </w:p>
        </w:tc>
        <w:tc>
          <w:tcPr>
            <w:tcW w:w="948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40" w:right="7340" w:hanging="682"/>
        <w:spacing w:after="0" w:line="383" w:lineRule="auto"/>
        <w:tabs>
          <w:tab w:leader="none" w:pos="2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12,675,838</w:t>
      </w:r>
    </w:p>
    <w:p>
      <w:pPr>
        <w:spacing w:after="0" w:line="1" w:lineRule="exact"/>
        <w:rPr>
          <w:rFonts w:ascii="Arial" w:cs="Arial" w:eastAsia="Arial" w:hAnsi="Arial"/>
          <w:sz w:val="18"/>
          <w:szCs w:val="18"/>
          <w:color w:val="auto"/>
        </w:rPr>
      </w:pPr>
    </w:p>
    <w:p>
      <w:pPr>
        <w:ind w:left="680" w:right="5760" w:hanging="672"/>
        <w:spacing w:after="0" w:line="38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12,675,838</w:t>
      </w:r>
    </w:p>
    <w:p>
      <w:pPr>
        <w:ind w:left="680" w:right="5280" w:hanging="672"/>
        <w:spacing w:after="0" w:line="38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Not Applicable</w:t>
      </w:r>
    </w:p>
    <w:p>
      <w:pPr>
        <w:ind w:left="680" w:right="6760" w:hanging="672"/>
        <w:spacing w:after="0" w:line="31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23.2%</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680" w:right="8700" w:hanging="672"/>
        <w:spacing w:after="0" w:line="509"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-1012190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-1432560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-1852295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-2272665</wp:posOffset>
            </wp:positionV>
            <wp:extent cx="62750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54" w:lineRule="exact"/>
        <w:rPr>
          <w:sz w:val="20"/>
          <w:szCs w:val="20"/>
          <w:color w:val="auto"/>
        </w:rPr>
      </w:pPr>
    </w:p>
    <w:p>
      <w:pPr>
        <w:ind w:right="300" w:firstLine="8"/>
        <w:spacing w:after="0" w:line="235" w:lineRule="auto"/>
        <w:tabs>
          <w:tab w:leader="none" w:pos="112"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This percentage is based on 54,641,380 shares of common stock, $0.0001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Century Therapeutics, Inc.,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outstanding as of November 8, 2021, as reported in the Issuer's Quarterly Report on Form 10-Q for the quarterly period ended September 30, 2021 (the “</w:t>
      </w:r>
      <w:r>
        <w:rPr>
          <w:rFonts w:ascii="Arial" w:cs="Arial" w:eastAsia="Arial" w:hAnsi="Arial"/>
          <w:sz w:val="16"/>
          <w:szCs w:val="16"/>
          <w:b w:val="1"/>
          <w:bCs w:val="1"/>
          <w:color w:val="auto"/>
        </w:rPr>
        <w:t>Form 10-Q</w:t>
      </w:r>
      <w:r>
        <w:rPr>
          <w:rFonts w:ascii="Arial" w:cs="Arial" w:eastAsia="Arial" w:hAnsi="Arial"/>
          <w:sz w:val="16"/>
          <w:szCs w:val="16"/>
          <w:color w:val="auto"/>
        </w:rPr>
        <w:t>”), as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9900" w:val="left"/>
        </w:tabs>
        <w:rPr>
          <w:sz w:val="20"/>
          <w:szCs w:val="20"/>
          <w:color w:val="auto"/>
        </w:rPr>
      </w:pPr>
      <w:r>
        <w:rPr>
          <w:rFonts w:ascii="Arial" w:cs="Arial" w:eastAsia="Arial" w:hAnsi="Arial"/>
          <w:sz w:val="18"/>
          <w:szCs w:val="18"/>
          <w:b w:val="1"/>
          <w:bCs w:val="1"/>
          <w:color w:val="auto"/>
        </w:rPr>
        <w:t>CUSIP No. 15673T100</w:t>
      </w:r>
      <w:r>
        <w:rPr>
          <w:sz w:val="20"/>
          <w:szCs w:val="20"/>
          <w:color w:val="auto"/>
        </w:rPr>
        <w:tab/>
      </w:r>
      <w:r>
        <w:rPr>
          <w:rFonts w:ascii="Arial" w:cs="Arial" w:eastAsia="Arial" w:hAnsi="Arial"/>
          <w:sz w:val="15"/>
          <w:szCs w:val="15"/>
          <w:b w:val="1"/>
          <w:bCs w:val="1"/>
          <w:color w:val="auto"/>
        </w:rPr>
        <w:t>Page 3 of 7 Pages</w:t>
      </w:r>
    </w:p>
    <w:p>
      <w:pPr>
        <w:spacing w:after="0" w:line="243" w:lineRule="exact"/>
        <w:rPr>
          <w:sz w:val="20"/>
          <w:szCs w:val="20"/>
          <w:color w:val="auto"/>
        </w:rPr>
      </w:pPr>
    </w:p>
    <w:p>
      <w:pPr>
        <w:ind w:left="680" w:right="8360" w:hanging="672"/>
        <w:spacing w:after="0" w:line="431"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 Bayer World Investments B.V.</w:t>
      </w:r>
    </w:p>
    <w:p>
      <w:pPr>
        <w:spacing w:after="0" w:line="1" w:lineRule="exact"/>
        <w:rPr>
          <w:rFonts w:ascii="Arial" w:cs="Arial" w:eastAsia="Arial" w:hAnsi="Arial"/>
          <w:sz w:val="16"/>
          <w:szCs w:val="16"/>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1" w:lineRule="exact"/>
        <w:rPr>
          <w:rFonts w:ascii="Arial" w:cs="Arial" w:eastAsia="Arial" w:hAnsi="Arial"/>
          <w:sz w:val="18"/>
          <w:szCs w:val="18"/>
          <w:color w:val="auto"/>
        </w:rPr>
      </w:pPr>
    </w:p>
    <w:p>
      <w:pPr>
        <w:ind w:left="4160" w:hanging="237"/>
        <w:spacing w:after="0" w:line="207" w:lineRule="exact"/>
        <w:tabs>
          <w:tab w:leader="none" w:pos="4160" w:val="left"/>
        </w:tabs>
        <w:numPr>
          <w:ilvl w:val="2"/>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4180" w:hanging="257"/>
        <w:spacing w:after="0" w:line="207" w:lineRule="exact"/>
        <w:tabs>
          <w:tab w:leader="none" w:pos="4180" w:val="left"/>
        </w:tabs>
        <w:numPr>
          <w:ilvl w:val="2"/>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680" w:right="7940" w:hanging="672"/>
        <w:spacing w:after="0" w:line="38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The Netherlands</w:t>
      </w:r>
    </w:p>
    <w:p>
      <w:pPr>
        <w:spacing w:after="0" w:line="1" w:lineRule="exact"/>
        <w:rPr>
          <w:rFonts w:ascii="Arial" w:cs="Arial" w:eastAsia="Arial" w:hAnsi="Arial"/>
          <w:sz w:val="18"/>
          <w:szCs w:val="18"/>
          <w:color w:val="auto"/>
        </w:rPr>
      </w:pPr>
    </w:p>
    <w:p>
      <w:pPr>
        <w:ind w:left="2040" w:hanging="682"/>
        <w:spacing w:after="0"/>
        <w:tabs>
          <w:tab w:leader="none" w:pos="2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-970915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-1948180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40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40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79"/>
              </w:rPr>
              <w:t>6.</w:t>
            </w:r>
          </w:p>
        </w:tc>
        <w:tc>
          <w:tcPr>
            <w:tcW w:w="9480" w:type="dxa"/>
            <w:vAlign w:val="bottom"/>
          </w:tcPr>
          <w:p>
            <w:pPr>
              <w:ind w:left="2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12,675,838</w:t>
            </w:r>
          </w:p>
        </w:tc>
        <w:tc>
          <w:tcPr>
            <w:tcW w:w="0" w:type="dxa"/>
            <w:vAlign w:val="bottom"/>
          </w:tcPr>
          <w:p>
            <w:pPr>
              <w:spacing w:after="0"/>
              <w:rPr>
                <w:sz w:val="1"/>
                <w:szCs w:val="1"/>
                <w:color w:val="auto"/>
              </w:rPr>
            </w:pP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color w:val="auto"/>
              </w:rPr>
              <w:t>Each Reporting</w:t>
            </w:r>
          </w:p>
        </w:tc>
        <w:tc>
          <w:tcPr>
            <w:tcW w:w="40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79"/>
              </w:rPr>
              <w:t>7.</w:t>
            </w:r>
          </w:p>
        </w:tc>
        <w:tc>
          <w:tcPr>
            <w:tcW w:w="9480" w:type="dxa"/>
            <w:vAlign w:val="bottom"/>
          </w:tcPr>
          <w:p>
            <w:pPr>
              <w:ind w:left="28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400" w:type="dxa"/>
            <w:vAlign w:val="bottom"/>
          </w:tcPr>
          <w:p>
            <w:pPr>
              <w:spacing w:after="0"/>
              <w:rPr>
                <w:sz w:val="20"/>
                <w:szCs w:val="20"/>
                <w:color w:val="auto"/>
              </w:rPr>
            </w:pPr>
          </w:p>
        </w:tc>
        <w:tc>
          <w:tcPr>
            <w:tcW w:w="948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40" w:right="7340" w:hanging="682"/>
        <w:spacing w:after="0" w:line="383" w:lineRule="auto"/>
        <w:tabs>
          <w:tab w:leader="none" w:pos="2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12,675,838</w:t>
      </w:r>
    </w:p>
    <w:p>
      <w:pPr>
        <w:spacing w:after="0" w:line="1" w:lineRule="exact"/>
        <w:rPr>
          <w:rFonts w:ascii="Arial" w:cs="Arial" w:eastAsia="Arial" w:hAnsi="Arial"/>
          <w:sz w:val="18"/>
          <w:szCs w:val="18"/>
          <w:color w:val="auto"/>
        </w:rPr>
      </w:pPr>
    </w:p>
    <w:p>
      <w:pPr>
        <w:ind w:left="680" w:right="5760" w:hanging="672"/>
        <w:spacing w:after="0" w:line="38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12,675,838</w:t>
      </w:r>
    </w:p>
    <w:p>
      <w:pPr>
        <w:ind w:left="680" w:right="5280" w:hanging="672"/>
        <w:spacing w:after="0" w:line="38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Not Applicable</w:t>
      </w:r>
    </w:p>
    <w:p>
      <w:pPr>
        <w:ind w:left="680" w:right="6760" w:hanging="672"/>
        <w:spacing w:after="0" w:line="31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23.2%</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color w:val="auto"/>
        </w:rPr>
      </w:pP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-1270635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-1690370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-2110740</wp:posOffset>
            </wp:positionV>
            <wp:extent cx="6275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2" w:lineRule="exact"/>
        <w:rPr>
          <w:sz w:val="20"/>
          <w:szCs w:val="20"/>
          <w:color w:val="auto"/>
        </w:rPr>
      </w:pPr>
    </w:p>
    <w:p>
      <w:pPr>
        <w:ind w:right="160" w:firstLine="8"/>
        <w:spacing w:after="0" w:line="207" w:lineRule="auto"/>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22"/>
          <w:szCs w:val="22"/>
          <w:color w:val="auto"/>
        </w:rPr>
        <w:t>This percentage is based on 54,641,380 shares of the Issuer’s Common Stock outstanding as of November 8, 2021, as reported in the Issuer's Form 10-Q, as filed with the SEC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15673T100</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7 Pages</w:t>
      </w:r>
    </w:p>
    <w:p>
      <w:pPr>
        <w:spacing w:after="0" w:line="693" w:lineRule="exact"/>
        <w:rPr>
          <w:sz w:val="20"/>
          <w:szCs w:val="20"/>
          <w:color w:val="auto"/>
        </w:rPr>
      </w:pPr>
    </w:p>
    <w:p>
      <w:pPr>
        <w:sectPr>
          <w:pgSz w:w="11900" w:h="16838" w:orient="portrait"/>
          <w:cols w:equalWidth="0" w:num="2">
            <w:col w:w="9200" w:space="720"/>
            <w:col w:w="1320"/>
          </w:cols>
          <w:pgMar w:left="320" w:top="931" w:right="339" w:bottom="1440" w:gutter="0" w:footer="0" w:header="0"/>
        </w:sectPr>
      </w:pPr>
    </w:p>
    <w:p>
      <w:pPr>
        <w:spacing w:after="0" w:line="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Century Therapeutics, Inc. (the “</w:t>
      </w:r>
      <w:r>
        <w:rPr>
          <w:rFonts w:ascii="Arial" w:cs="Arial" w:eastAsia="Arial" w:hAnsi="Arial"/>
          <w:sz w:val="16"/>
          <w:szCs w:val="16"/>
          <w:b w:val="1"/>
          <w:bCs w:val="1"/>
          <w:color w:val="auto"/>
        </w:rPr>
        <w:t>Issuer</w:t>
      </w:r>
      <w:r>
        <w:rPr>
          <w:rFonts w:ascii="Arial" w:cs="Arial" w:eastAsia="Arial" w:hAnsi="Arial"/>
          <w:sz w:val="16"/>
          <w:szCs w:val="16"/>
          <w:color w:val="auto"/>
        </w:rPr>
        <w:t>”)</w:t>
      </w:r>
    </w:p>
    <w:p>
      <w:pPr>
        <w:sectPr>
          <w:pgSz w:w="11900" w:h="16838" w:orient="portrait"/>
          <w:cols w:equalWidth="0" w:num="1">
            <w:col w:w="11240"/>
          </w:cols>
          <w:pgMar w:left="320" w:top="931"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720" w:space="580"/>
            <w:col w:w="9940"/>
          </w:cols>
          <w:pgMar w:left="320" w:top="931"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3675 Market Street, Philadelphia, Pennsylvania 19104</w:t>
      </w:r>
    </w:p>
    <w:p>
      <w:pPr>
        <w:sectPr>
          <w:pgSz w:w="11900" w:h="16838" w:orient="portrait"/>
          <w:cols w:equalWidth="0" w:num="1">
            <w:col w:w="11240"/>
          </w:cols>
          <w:pgMar w:left="320" w:top="93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211" w:lineRule="exact"/>
        <w:rPr>
          <w:sz w:val="20"/>
          <w:szCs w:val="20"/>
          <w:color w:val="auto"/>
        </w:rPr>
      </w:pPr>
    </w:p>
    <w:p>
      <w:pPr>
        <w:sectPr>
          <w:pgSz w:w="11900" w:h="16838" w:orient="portrait"/>
          <w:cols w:equalWidth="0" w:num="2">
            <w:col w:w="720" w:space="580"/>
            <w:col w:w="9940"/>
          </w:cols>
          <w:pgMar w:left="320" w:top="931" w:right="339" w:bottom="1440" w:gutter="0" w:footer="0" w:header="0"/>
          <w:type w:val="continuous"/>
        </w:sectPr>
      </w:pPr>
    </w:p>
    <w:p>
      <w:pPr>
        <w:spacing w:after="0" w:line="37" w:lineRule="exact"/>
        <w:rPr>
          <w:sz w:val="20"/>
          <w:szCs w:val="20"/>
          <w:color w:val="auto"/>
        </w:rPr>
      </w:pPr>
    </w:p>
    <w:p>
      <w:pPr>
        <w:ind w:left="1300" w:right="960"/>
        <w:spacing w:after="0" w:line="282" w:lineRule="auto"/>
        <w:rPr>
          <w:sz w:val="20"/>
          <w:szCs w:val="20"/>
          <w:color w:val="auto"/>
        </w:rPr>
      </w:pPr>
      <w:r>
        <w:rPr>
          <w:rFonts w:ascii="Arial" w:cs="Arial" w:eastAsia="Arial" w:hAnsi="Arial"/>
          <w:sz w:val="18"/>
          <w:szCs w:val="18"/>
          <w:color w:val="auto"/>
        </w:rPr>
        <w:t>This Schedule 13G is being jointly filed by Bayer Aktiengesellschaft (“</w:t>
      </w:r>
      <w:r>
        <w:rPr>
          <w:rFonts w:ascii="Arial" w:cs="Arial" w:eastAsia="Arial" w:hAnsi="Arial"/>
          <w:sz w:val="18"/>
          <w:szCs w:val="18"/>
          <w:b w:val="1"/>
          <w:bCs w:val="1"/>
          <w:color w:val="auto"/>
        </w:rPr>
        <w:t>Bayer</w:t>
      </w:r>
      <w:r>
        <w:rPr>
          <w:rFonts w:ascii="Arial" w:cs="Arial" w:eastAsia="Arial" w:hAnsi="Arial"/>
          <w:sz w:val="18"/>
          <w:szCs w:val="18"/>
          <w:color w:val="auto"/>
        </w:rPr>
        <w:t>”) and Bayer World Investments B.V. (“</w:t>
      </w:r>
      <w:r>
        <w:rPr>
          <w:rFonts w:ascii="Arial" w:cs="Arial" w:eastAsia="Arial" w:hAnsi="Arial"/>
          <w:sz w:val="18"/>
          <w:szCs w:val="18"/>
          <w:b w:val="1"/>
          <w:bCs w:val="1"/>
          <w:color w:val="auto"/>
        </w:rPr>
        <w:t>BWI</w:t>
      </w:r>
      <w:r>
        <w:rPr>
          <w:rFonts w:ascii="Arial" w:cs="Arial" w:eastAsia="Arial" w:hAnsi="Arial"/>
          <w:sz w:val="18"/>
          <w:szCs w:val="18"/>
          <w:color w:val="auto"/>
        </w:rPr>
        <w:t>”) (collectively, the “</w:t>
      </w:r>
      <w:r>
        <w:rPr>
          <w:rFonts w:ascii="Arial" w:cs="Arial" w:eastAsia="Arial" w:hAnsi="Arial"/>
          <w:sz w:val="18"/>
          <w:szCs w:val="18"/>
          <w:b w:val="1"/>
          <w:bCs w:val="1"/>
          <w:color w:val="auto"/>
        </w:rPr>
        <w:t>Reporting Persons</w:t>
      </w:r>
      <w:r>
        <w:rPr>
          <w:rFonts w:ascii="Arial" w:cs="Arial" w:eastAsia="Arial" w:hAnsi="Arial"/>
          <w:sz w:val="18"/>
          <w:szCs w:val="18"/>
          <w:color w:val="auto"/>
        </w:rPr>
        <w:t>”).</w:t>
      </w:r>
    </w:p>
    <w:p>
      <w:pPr>
        <w:sectPr>
          <w:pgSz w:w="11900" w:h="16838" w:orient="portrait"/>
          <w:cols w:equalWidth="0" w:num="1">
            <w:col w:w="11240"/>
          </w:cols>
          <w:pgMar w:left="320" w:top="931"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222" w:lineRule="exact"/>
        <w:rPr>
          <w:sz w:val="20"/>
          <w:szCs w:val="20"/>
          <w:color w:val="auto"/>
        </w:rPr>
      </w:pPr>
    </w:p>
    <w:p>
      <w:pPr>
        <w:sectPr>
          <w:pgSz w:w="11900" w:h="16838" w:orient="portrait"/>
          <w:cols w:equalWidth="0" w:num="2">
            <w:col w:w="720" w:space="580"/>
            <w:col w:w="9940"/>
          </w:cols>
          <w:pgMar w:left="320" w:top="931"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business address for Bayer is Bayerwerk, Gebaeude W11, Kaiser-Wilhelm-Allee 1, Leverkusen, Germany 51373.</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business address for BWI is Energieweg 1, Mijdrecht, The Netherlands 3641RG.</w:t>
      </w:r>
    </w:p>
    <w:p>
      <w:pPr>
        <w:sectPr>
          <w:pgSz w:w="11900" w:h="16838" w:orient="portrait"/>
          <w:cols w:equalWidth="0" w:num="1">
            <w:col w:w="11240"/>
          </w:cols>
          <w:pgMar w:left="320" w:top="93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211" w:lineRule="exact"/>
        <w:rPr>
          <w:sz w:val="20"/>
          <w:szCs w:val="20"/>
          <w:color w:val="auto"/>
        </w:rPr>
      </w:pPr>
    </w:p>
    <w:p>
      <w:pPr>
        <w:sectPr>
          <w:pgSz w:w="11900" w:h="16838" w:orient="portrait"/>
          <w:cols w:equalWidth="0" w:num="2">
            <w:col w:w="700" w:space="600"/>
            <w:col w:w="9940"/>
          </w:cols>
          <w:pgMar w:left="320" w:top="931"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Reporting Persons are citizens of:</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Bayer — Germany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BWI — The Netherlands</w:t>
      </w:r>
    </w:p>
    <w:p>
      <w:pPr>
        <w:sectPr>
          <w:pgSz w:w="11900" w:h="16838" w:orient="portrait"/>
          <w:cols w:equalWidth="0" w:num="1">
            <w:col w:w="11240"/>
          </w:cols>
          <w:pgMar w:left="320" w:top="931"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222" w:lineRule="exact"/>
        <w:rPr>
          <w:sz w:val="20"/>
          <w:szCs w:val="20"/>
          <w:color w:val="auto"/>
        </w:rPr>
      </w:pPr>
    </w:p>
    <w:p>
      <w:pPr>
        <w:sectPr>
          <w:pgSz w:w="11900" w:h="16838" w:orient="portrait"/>
          <w:cols w:equalWidth="0" w:num="2">
            <w:col w:w="720" w:space="580"/>
            <w:col w:w="9940"/>
          </w:cols>
          <w:pgMar w:left="320" w:top="931" w:right="3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Common Stock, par value $0.0001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ectPr>
          <w:pgSz w:w="11900" w:h="16838" w:orient="portrait"/>
          <w:cols w:equalWidth="0" w:num="1">
            <w:col w:w="11240"/>
          </w:cols>
          <w:pgMar w:left="320" w:top="931"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200" w:lineRule="exact"/>
        <w:rPr>
          <w:sz w:val="20"/>
          <w:szCs w:val="20"/>
          <w:color w:val="auto"/>
        </w:rPr>
      </w:pPr>
    </w:p>
    <w:p>
      <w:pPr>
        <w:sectPr>
          <w:pgSz w:w="11900" w:h="16838" w:orient="portrait"/>
          <w:cols w:equalWidth="0" w:num="2">
            <w:col w:w="700" w:space="600"/>
            <w:col w:w="9940"/>
          </w:cols>
          <w:pgMar w:left="320" w:top="931"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15673T100</w:t>
      </w:r>
    </w:p>
    <w:p>
      <w:pPr>
        <w:sectPr>
          <w:pgSz w:w="11900" w:h="16838" w:orient="portrait"/>
          <w:cols w:equalWidth="0" w:num="1">
            <w:col w:w="11240"/>
          </w:cols>
          <w:pgMar w:left="320" w:top="93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Filing pursuant to Rules 13d-1(b) or 13d-2(b) or (c)</w:t>
      </w:r>
    </w:p>
    <w:p>
      <w:pPr>
        <w:spacing w:after="0" w:line="211" w:lineRule="exact"/>
        <w:rPr>
          <w:sz w:val="20"/>
          <w:szCs w:val="20"/>
          <w:color w:val="auto"/>
        </w:rPr>
      </w:pPr>
    </w:p>
    <w:p>
      <w:pPr>
        <w:sectPr>
          <w:pgSz w:w="11900" w:h="16838" w:orient="portrait"/>
          <w:cols w:equalWidth="0" w:num="2">
            <w:col w:w="580" w:space="720"/>
            <w:col w:w="9940"/>
          </w:cols>
          <w:pgMar w:left="320" w:top="931"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931"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80" w:space="720"/>
            <w:col w:w="9940"/>
          </w:cols>
          <w:pgMar w:left="320" w:top="931" w:right="339" w:bottom="1440" w:gutter="0" w:footer="0" w:header="0"/>
          <w:type w:val="continuous"/>
        </w:sectPr>
      </w:pPr>
    </w:p>
    <w:p>
      <w:pPr>
        <w:spacing w:after="0" w:line="41" w:lineRule="exact"/>
        <w:rPr>
          <w:sz w:val="20"/>
          <w:szCs w:val="20"/>
          <w:color w:val="auto"/>
        </w:rPr>
      </w:pPr>
    </w:p>
    <w:p>
      <w:pPr>
        <w:ind w:right="260" w:firstLine="656"/>
        <w:spacing w:after="0" w:line="263" w:lineRule="auto"/>
        <w:tabs>
          <w:tab w:leader="none" w:pos="12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BWI is the direct beneficial owner of an aggregate of 12,675,838 shares of Common Stock, which represents 23.2% of the Issuer’s outstanding Common Stock based upon 54,641,380 shares outstanding on November 8, 2021 as reported by the Issuer in its Form 10-Q as filed with the SEC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spacing w:after="0"/>
        <w:tabs>
          <w:tab w:leader="none" w:pos="9900" w:val="left"/>
        </w:tabs>
        <w:rPr>
          <w:sz w:val="20"/>
          <w:szCs w:val="20"/>
          <w:color w:val="auto"/>
        </w:rPr>
      </w:pPr>
      <w:r>
        <w:rPr>
          <w:rFonts w:ascii="Arial" w:cs="Arial" w:eastAsia="Arial" w:hAnsi="Arial"/>
          <w:sz w:val="18"/>
          <w:szCs w:val="18"/>
          <w:b w:val="1"/>
          <w:bCs w:val="1"/>
          <w:color w:val="auto"/>
        </w:rPr>
        <w:t>CUSIP No. 15673T100</w:t>
      </w:r>
      <w:r>
        <w:rPr>
          <w:sz w:val="20"/>
          <w:szCs w:val="20"/>
          <w:color w:val="auto"/>
        </w:rPr>
        <w:tab/>
      </w:r>
      <w:r>
        <w:rPr>
          <w:rFonts w:ascii="Arial" w:cs="Arial" w:eastAsia="Arial" w:hAnsi="Arial"/>
          <w:sz w:val="15"/>
          <w:szCs w:val="15"/>
          <w:b w:val="1"/>
          <w:bCs w:val="1"/>
          <w:color w:val="auto"/>
        </w:rPr>
        <w:t>Page 5 of 7 Pages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BWI is an indirect, wholly owned subsidiary of Bayer. Accordingly, Bayer may be deemed to be an indirect beneficial owner of the shares of Common Stock beneficially owned directly by BWI.</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Bayer — 23.2%</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BWI — 23.2%</w:t>
      </w:r>
    </w:p>
    <w:p>
      <w:pPr>
        <w:spacing w:after="0" w:line="23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Bayer — 12,675,838</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BWI — 12,675,838</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(iii) Sole power to dispose or to direct the disposition of: 0</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Bayer — 12,675,838</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BWI — 12,675,838</w:t>
      </w:r>
    </w:p>
    <w:p>
      <w:pPr>
        <w:sectPr>
          <w:pgSz w:w="11900" w:h="16838" w:orient="portrait"/>
          <w:cols w:equalWidth="0" w:num="1">
            <w:col w:w="11240"/>
          </w:cols>
          <w:pgMar w:left="320" w:top="904"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904"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904"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ind w:left="19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904"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904"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904"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sectPr>
          <w:pgSz w:w="11900" w:h="16838" w:orient="portrait"/>
          <w:cols w:equalWidth="0" w:num="2">
            <w:col w:w="640" w:space="660"/>
            <w:col w:w="9940"/>
          </w:cols>
          <w:pgMar w:left="320" w:top="904" w:right="339" w:bottom="1440" w:gutter="0" w:footer="0" w:header="0"/>
          <w:type w:val="continuous"/>
        </w:sectPr>
      </w:pPr>
    </w:p>
    <w:p>
      <w:pPr>
        <w:spacing w:after="0" w:line="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 w:name="page6"/>
    <w:bookmarkEnd w:id="5"/>
    <w:p>
      <w:pPr>
        <w:spacing w:after="0"/>
        <w:tabs>
          <w:tab w:leader="none" w:pos="9900" w:val="left"/>
        </w:tabs>
        <w:rPr>
          <w:sz w:val="20"/>
          <w:szCs w:val="20"/>
          <w:color w:val="auto"/>
        </w:rPr>
      </w:pPr>
      <w:r>
        <w:rPr>
          <w:rFonts w:ascii="Arial" w:cs="Arial" w:eastAsia="Arial" w:hAnsi="Arial"/>
          <w:sz w:val="18"/>
          <w:szCs w:val="18"/>
          <w:b w:val="1"/>
          <w:bCs w:val="1"/>
          <w:color w:val="auto"/>
        </w:rPr>
        <w:t>CUSIP No. 15673T100</w:t>
      </w:r>
      <w:r>
        <w:rPr>
          <w:sz w:val="20"/>
          <w:szCs w:val="20"/>
          <w:color w:val="auto"/>
        </w:rPr>
        <w:tab/>
      </w:r>
      <w:r>
        <w:rPr>
          <w:rFonts w:ascii="Arial" w:cs="Arial" w:eastAsia="Arial" w:hAnsi="Arial"/>
          <w:sz w:val="15"/>
          <w:szCs w:val="15"/>
          <w:b w:val="1"/>
          <w:bCs w:val="1"/>
          <w:color w:val="auto"/>
        </w:rPr>
        <w:t>Page 6 of 7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BAYER AKTIENGESELLSCHAFT</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Deny-Jean Silny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Deny-Jean Silny, Head of Legal Mergers &amp; Acquisitions</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BAYER WORLD INVESTMENTS B.V.</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Patrick Lennaerts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Patrick Lennaerts,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spacing w:after="0"/>
        <w:tabs>
          <w:tab w:leader="none" w:pos="9900" w:val="left"/>
        </w:tabs>
        <w:rPr>
          <w:sz w:val="20"/>
          <w:szCs w:val="20"/>
          <w:color w:val="auto"/>
        </w:rPr>
      </w:pPr>
      <w:r>
        <w:rPr>
          <w:rFonts w:ascii="Arial" w:cs="Arial" w:eastAsia="Arial" w:hAnsi="Arial"/>
          <w:sz w:val="18"/>
          <w:szCs w:val="18"/>
          <w:b w:val="1"/>
          <w:bCs w:val="1"/>
          <w:color w:val="auto"/>
        </w:rPr>
        <w:t>CUSIP No. 15673T100</w:t>
      </w:r>
      <w:r>
        <w:rPr>
          <w:sz w:val="20"/>
          <w:szCs w:val="20"/>
          <w:color w:val="auto"/>
        </w:rPr>
        <w:tab/>
      </w:r>
      <w:r>
        <w:rPr>
          <w:rFonts w:ascii="Arial" w:cs="Arial" w:eastAsia="Arial" w:hAnsi="Arial"/>
          <w:sz w:val="15"/>
          <w:szCs w:val="15"/>
          <w:b w:val="1"/>
          <w:bCs w:val="1"/>
          <w:color w:val="auto"/>
        </w:rPr>
        <w:t>Page 7 of 7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Filing Agreement, dated February 11, 2022, by and between Bayer Aktiengesellschaft and Bayer World Investments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hereby agree to jointly prepare and file with the United States Securities and Exchange Commission this Schedule 13G and any future amendments hereto (including amendments on Schedule 13D or Schedule 13G, as applicable) reporting each of the undersigned’s ownership of securities of Century Therapeutics, Inc., and hereby affirm that such Schedule 13G is being filed on behalf of each of the undersigned pursuant to and in accordance with the provisions of Rule 13d-1(k) under the Securities Exchange Act of 1934, as amended.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BAYER AKTIENGESELLSCHAFT</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Deny-Jean Silny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Deny-Jean Silny, Head of Legal Mergers &amp; Acquisitions</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BAYER WORLD INVESTMENTS B.V.</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Patrick Lennaerts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Patrick Lennaerts,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8"/>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6">
    <w:nsid w:val="4DB127F8"/>
    <w:multiLevelType w:val="hybridMultilevel"/>
    <w:lvl w:ilvl="0">
      <w:lvlJc w:val="left"/>
      <w:lvlText w:val="%1"/>
      <w:numFmt w:val="decimal"/>
      <w:start w:val="1"/>
    </w:lvl>
    <w:lvl w:ilvl="1">
      <w:lvlJc w:val="left"/>
      <w:lvlText w:val="%2."/>
      <w:numFmt w:val="decimal"/>
      <w:start w:val="8"/>
    </w:lvl>
  </w:abstractNum>
  <w:abstractNum w:abstractNumId="7">
    <w:nsid w:val="216231B"/>
    <w:multiLevelType w:val="hybridMultilevel"/>
    <w:lvl w:ilvl="0">
      <w:lvlJc w:val="left"/>
      <w:lvlText w:val="%1."/>
      <w:numFmt w:val="decimal"/>
      <w:start w:val="9"/>
    </w:lvl>
    <w:lvl w:ilvl="1">
      <w:lvlJc w:val="left"/>
      <w:lvlText w:val="%2"/>
      <w:numFmt w:val="decimal"/>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2022-02-12T03:09:03Z</dcterms:created>
  <dcterms:modified xsi:type="dcterms:W3CDTF">2022-02-12T03:09:03Z</dcterms:modified>
</cp:coreProperties>
</file>