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2836</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360" w:space="720"/>
            <w:col w:w="2460"/>
          </w:cols>
          <w:pgMar w:left="320" w:top="706" w:right="339" w:bottom="1440" w:gutter="0" w:footer="0" w:header="0"/>
          <w:type w:val="continuous"/>
        </w:sectPr>
      </w:pPr>
    </w:p>
    <w:p>
      <w:pPr>
        <w:spacing w:after="0" w:line="18"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19104</w:t>
      </w:r>
    </w:p>
    <w:p>
      <w:pPr>
        <w:spacing w:after="0" w:line="50" w:lineRule="exact"/>
        <w:rPr>
          <w:sz w:val="24"/>
          <w:szCs w:val="24"/>
          <w:color w:val="auto"/>
        </w:rPr>
      </w:pPr>
    </w:p>
    <w:p>
      <w:pPr>
        <w:sectPr>
          <w:pgSz w:w="11900" w:h="16838" w:orient="portrait"/>
          <w:cols w:equalWidth="0" w:num="2">
            <w:col w:w="7540" w:space="720"/>
            <w:col w:w="2980"/>
          </w:cols>
          <w:pgMar w:left="320" w:top="706" w:right="339" w:bottom="1440" w:gutter="0" w:footer="0" w:header="0"/>
          <w:type w:val="continuous"/>
        </w:sectPr>
      </w:pPr>
    </w:p>
    <w:p>
      <w:pPr>
        <w:ind w:left="1780"/>
        <w:spacing w:after="0"/>
        <w:rPr>
          <w:sz w:val="20"/>
          <w:szCs w:val="20"/>
          <w:color w:val="auto"/>
        </w:rPr>
      </w:pPr>
      <w:r>
        <w:rPr>
          <w:rFonts w:ascii="Arial" w:cs="Arial" w:eastAsia="Arial" w:hAnsi="Arial"/>
          <w:sz w:val="16"/>
          <w:szCs w:val="16"/>
          <w:b w:val="1"/>
          <w:bCs w:val="1"/>
          <w:color w:val="auto"/>
        </w:rPr>
        <w:t>Philadelphia, Pennsylvania</w:t>
      </w:r>
    </w:p>
    <w:p>
      <w:pPr>
        <w:sectPr>
          <w:pgSz w:w="11900" w:h="16838" w:orient="portrait"/>
          <w:cols w:equalWidth="0" w:num="1">
            <w:col w:w="11240"/>
          </w:cols>
          <w:pgMar w:left="320" w:top="706" w:right="339" w:bottom="1440" w:gutter="0" w:footer="0" w:header="0"/>
          <w:type w:val="continuous"/>
        </w:sectPr>
      </w:pPr>
    </w:p>
    <w:p>
      <w:pPr>
        <w:spacing w:after="0" w:line="32"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12"/>
        <w:spacing w:after="0" w:line="498"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Certificate of Incorporation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2021, Century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a Second Amended and Restated Certificate of Incorporation (the “</w:t>
      </w:r>
      <w:r>
        <w:rPr>
          <w:rFonts w:ascii="Arial" w:cs="Arial" w:eastAsia="Arial" w:hAnsi="Arial"/>
          <w:sz w:val="18"/>
          <w:szCs w:val="18"/>
          <w:u w:val="single" w:color="auto"/>
          <w:color w:val="auto"/>
        </w:rPr>
        <w:t>Restated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with the Secretary of State of the State of Delaware in connection with the closing of the Company’s initial public offering of shares of its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 The Company’s board of directors and stockholders previously approved the Restated Certificate to be effective upon the closing of the IPO.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Restated Certificate amends and restates the Company’s certificate of incorporation in its entirety to, among other things:</w:t>
      </w:r>
    </w:p>
    <w:p>
      <w:pPr>
        <w:spacing w:after="0" w:line="225"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increase the authorized number of shares of common stock to 300,000,000 shares;</w:t>
      </w:r>
    </w:p>
    <w:p>
      <w:pPr>
        <w:spacing w:after="0" w:line="225"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eliminate all references to the previously existing convertible preferred stock;</w:t>
      </w:r>
    </w:p>
    <w:p>
      <w:pPr>
        <w:spacing w:after="0" w:line="225" w:lineRule="exact"/>
        <w:rPr>
          <w:sz w:val="20"/>
          <w:szCs w:val="20"/>
          <w:color w:val="auto"/>
        </w:rPr>
      </w:pPr>
    </w:p>
    <w:p>
      <w:pPr>
        <w:jc w:val="both"/>
        <w:ind w:left="1460" w:hanging="485"/>
        <w:spacing w:after="0" w:line="277" w:lineRule="auto"/>
        <w:tabs>
          <w:tab w:leader="none" w:pos="1440" w:val="left"/>
        </w:tabs>
        <w:rPr>
          <w:sz w:val="20"/>
          <w:szCs w:val="20"/>
          <w:color w:val="auto"/>
        </w:rPr>
      </w:pPr>
      <w:r>
        <w:rPr>
          <w:rFonts w:ascii="Arial" w:cs="Arial" w:eastAsia="Arial" w:hAnsi="Arial"/>
          <w:sz w:val="18"/>
          <w:szCs w:val="18"/>
          <w:color w:val="auto"/>
        </w:rPr>
        <w:t>(iii).</w:t>
        <w:tab/>
        <w:t>authorize 10,000,000 shares of undesignated preferred stock that may be issued from time to time by the Company’s board of directors in one or more series;</w:t>
      </w:r>
    </w:p>
    <w:p>
      <w:pPr>
        <w:spacing w:after="0" w:line="1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establish a classified board of directors, divided into three classes, each of whose members will serve for staggered three-year terms;</w:t>
      </w:r>
    </w:p>
    <w:p>
      <w:pPr>
        <w:spacing w:after="0" w:line="225" w:lineRule="exact"/>
        <w:rPr>
          <w:sz w:val="20"/>
          <w:szCs w:val="20"/>
          <w:color w:val="auto"/>
        </w:rPr>
      </w:pPr>
    </w:p>
    <w:p>
      <w:pPr>
        <w:jc w:val="both"/>
        <w:ind w:left="1460" w:hanging="485"/>
        <w:spacing w:after="0" w:line="248" w:lineRule="auto"/>
        <w:tabs>
          <w:tab w:leader="none" w:pos="144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7"/>
          <w:szCs w:val="17"/>
          <w:color w:val="auto"/>
        </w:rPr>
        <w:t>require that any amendment or repeal of the Company’s amended and restated bylaws of the Company (the “</w:t>
      </w:r>
      <w:r>
        <w:rPr>
          <w:rFonts w:ascii="Arial" w:cs="Arial" w:eastAsia="Arial" w:hAnsi="Arial"/>
          <w:sz w:val="17"/>
          <w:szCs w:val="17"/>
          <w:u w:val="single" w:color="auto"/>
          <w:color w:val="auto"/>
        </w:rPr>
        <w:t>Amended and Restated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Bylaws</w:t>
      </w:r>
      <w:r>
        <w:rPr>
          <w:rFonts w:ascii="Arial" w:cs="Arial" w:eastAsia="Arial" w:hAnsi="Arial"/>
          <w:sz w:val="17"/>
          <w:szCs w:val="17"/>
          <w:color w:val="auto"/>
        </w:rPr>
        <w:t>”) receive the affirmative vote of the holders of not less than 66</w:t>
      </w:r>
      <w:r>
        <w:rPr>
          <w:rFonts w:ascii="Arial" w:cs="Arial" w:eastAsia="Arial" w:hAnsi="Arial"/>
          <w:sz w:val="28"/>
          <w:szCs w:val="28"/>
          <w:color w:val="auto"/>
          <w:vertAlign w:val="superscript"/>
        </w:rPr>
        <w:t>2/3%</w:t>
      </w:r>
      <w:r>
        <w:rPr>
          <w:rFonts w:ascii="Arial" w:cs="Arial" w:eastAsia="Arial" w:hAnsi="Arial"/>
          <w:sz w:val="17"/>
          <w:szCs w:val="17"/>
          <w:color w:val="auto"/>
        </w:rPr>
        <w:t xml:space="preserve"> of the outstanding shares of capital stock entitled to vote on such amendment, voting together as a single class, unless the board of directors recommends stockholders approve for such amendment or repeal, in which case such amendment or repeal shall only require a majority of the outstanding shares of capital stock entitled to vote on such amendment or repeal, voting together as a single class;</w:t>
      </w:r>
    </w:p>
    <w:p>
      <w:pPr>
        <w:spacing w:after="0" w:line="196" w:lineRule="exact"/>
        <w:rPr>
          <w:sz w:val="20"/>
          <w:szCs w:val="20"/>
          <w:color w:val="auto"/>
        </w:rPr>
      </w:pPr>
    </w:p>
    <w:p>
      <w:pPr>
        <w:jc w:val="both"/>
        <w:ind w:left="1460" w:hanging="485"/>
        <w:spacing w:after="0" w:line="263" w:lineRule="auto"/>
        <w:tabs>
          <w:tab w:leader="none" w:pos="1440" w:val="left"/>
        </w:tabs>
        <w:rPr>
          <w:sz w:val="20"/>
          <w:szCs w:val="20"/>
          <w:color w:val="auto"/>
        </w:rPr>
      </w:pPr>
      <w:r>
        <w:rPr>
          <w:rFonts w:ascii="Arial" w:cs="Arial" w:eastAsia="Arial" w:hAnsi="Arial"/>
          <w:sz w:val="35"/>
          <w:szCs w:val="35"/>
          <w:color w:val="auto"/>
          <w:vertAlign w:val="superscript"/>
        </w:rPr>
        <w:t>(vi).</w:t>
      </w:r>
      <w:r>
        <w:rPr>
          <w:sz w:val="20"/>
          <w:szCs w:val="20"/>
          <w:color w:val="auto"/>
        </w:rPr>
        <w:tab/>
      </w:r>
      <w:r>
        <w:rPr>
          <w:rFonts w:ascii="Arial" w:cs="Arial" w:eastAsia="Arial" w:hAnsi="Arial"/>
          <w:sz w:val="16"/>
          <w:szCs w:val="16"/>
          <w:color w:val="auto"/>
        </w:rPr>
        <w:t>require that any amendment or repeal of the Restated Certificate receive the affirmative vote of the holders of not less than 66</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of the outstanding shares of capital stock, entitled to vote on such amendment or repeal, to adopt, amend, or repeal provisions in the Restated Certificate relating to (a) the amendment of the Restated Certificate or amendment of the Amended and Restated Bylaws, (b) stockholder action, (c) election and removal of directors, (d) limitations on liability and (e) exclusive forum for proceedings;</w:t>
      </w:r>
    </w:p>
    <w:p>
      <w:pPr>
        <w:spacing w:after="0" w:line="188" w:lineRule="exact"/>
        <w:rPr>
          <w:sz w:val="20"/>
          <w:szCs w:val="20"/>
          <w:color w:val="auto"/>
        </w:rPr>
      </w:pPr>
    </w:p>
    <w:p>
      <w:pPr>
        <w:jc w:val="both"/>
        <w:ind w:left="1460" w:hanging="485"/>
        <w:spacing w:after="0" w:line="191" w:lineRule="auto"/>
        <w:rPr>
          <w:sz w:val="20"/>
          <w:szCs w:val="20"/>
          <w:color w:val="auto"/>
        </w:rPr>
      </w:pPr>
      <w:r>
        <w:rPr>
          <w:rFonts w:ascii="Arial" w:cs="Arial" w:eastAsia="Arial" w:hAnsi="Arial"/>
          <w:sz w:val="35"/>
          <w:szCs w:val="35"/>
          <w:color w:val="auto"/>
          <w:vertAlign w:val="superscript"/>
        </w:rPr>
        <w:t>(vii).</w:t>
      </w:r>
      <w:r>
        <w:rPr>
          <w:rFonts w:ascii="Arial" w:cs="Arial" w:eastAsia="Arial" w:hAnsi="Arial"/>
          <w:sz w:val="18"/>
          <w:szCs w:val="18"/>
          <w:color w:val="auto"/>
        </w:rPr>
        <w:t xml:space="preserve"> provide that directors may be removed from office only for cause by the affirmative vote of the holders of at least 66</w:t>
      </w:r>
      <w:r>
        <w:rPr>
          <w:rFonts w:ascii="Arial" w:cs="Arial" w:eastAsia="Arial" w:hAnsi="Arial"/>
          <w:sz w:val="29"/>
          <w:szCs w:val="29"/>
          <w:color w:val="auto"/>
          <w:vertAlign w:val="superscript"/>
        </w:rPr>
        <w:t>2/3%</w:t>
      </w:r>
      <w:r>
        <w:rPr>
          <w:rFonts w:ascii="Arial" w:cs="Arial" w:eastAsia="Arial" w:hAnsi="Arial"/>
          <w:sz w:val="18"/>
          <w:szCs w:val="18"/>
          <w:color w:val="auto"/>
        </w:rPr>
        <w:t xml:space="preserve"> of the voting power of all then outstanding shares of capital stock then entitled to vote on the election of such directors;</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(viii). eliminate the ability of the Company’s stockholders to call a special take action by written consent in lieu of a meeting;</w:t>
      </w:r>
    </w:p>
    <w:p>
      <w:pPr>
        <w:spacing w:after="0" w:line="225" w:lineRule="exact"/>
        <w:rPr>
          <w:sz w:val="20"/>
          <w:szCs w:val="20"/>
          <w:color w:val="auto"/>
        </w:rPr>
      </w:pPr>
    </w:p>
    <w:p>
      <w:pPr>
        <w:jc w:val="both"/>
        <w:ind w:left="1460" w:hanging="485"/>
        <w:spacing w:after="0" w:line="277" w:lineRule="auto"/>
        <w:tabs>
          <w:tab w:leader="none" w:pos="1440" w:val="left"/>
        </w:tabs>
        <w:rPr>
          <w:sz w:val="20"/>
          <w:szCs w:val="20"/>
          <w:color w:val="auto"/>
        </w:rPr>
      </w:pPr>
      <w:r>
        <w:rPr>
          <w:rFonts w:ascii="Arial" w:cs="Arial" w:eastAsia="Arial" w:hAnsi="Arial"/>
          <w:sz w:val="18"/>
          <w:szCs w:val="18"/>
          <w:color w:val="auto"/>
        </w:rPr>
        <w:t>(ix).</w:t>
        <w:tab/>
        <w:t>provide that special meetings may only be called by the Board of Directors of the Company or its Chairperson, or the Chief Executive Officer of the Company; and</w:t>
      </w:r>
    </w:p>
    <w:p>
      <w:pPr>
        <w:spacing w:after="0" w:line="170" w:lineRule="exact"/>
        <w:rPr>
          <w:sz w:val="20"/>
          <w:szCs w:val="20"/>
          <w:color w:val="auto"/>
        </w:rPr>
      </w:pPr>
    </w:p>
    <w:p>
      <w:pPr>
        <w:jc w:val="both"/>
        <w:ind w:left="1460" w:hanging="485"/>
        <w:spacing w:after="0" w:line="301" w:lineRule="auto"/>
        <w:tabs>
          <w:tab w:leader="none" w:pos="144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designate the Court of Chancery of the State of Delaware to be the sole and exclusive forum, unless the Company otherwise provides written consent, for certain legal actions and proceedings against the Company, provided that, the exclusive forum provision will not apply to claims or causes of action brought to enforce a duty or liability created by the Securities Act of 1933, as amended, or the Securities Exchange Act of 1934, as amended or any other claim for which the federal courts have exclusive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amendments made in the Restated Certificate is qualified by reference to the Restated Certificate, a copy of which is attached hereto as Exhibit 3.1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Bylaws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22, 2021, in connection with the closing of the IPO, the Amended and Restated Bylaws, previously approved by the Company’s board of directors to become effective upon the closing of the IPO, became effective. The Amended and Restated Bylaws amend and restate the Company’s bylaws in their entirety to, among other things: (i) establish procedures relating to the presentation of stockholder proposals at stockholder meetings; (ii) establish procedures relating to the nomination of directors; and (iii) conform to the amended provisions of the Restated Certificate.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amendments made in the Amended and Restated Bylaws is qualified by reference to the Amended and Restated Bylaws, a copy of which is attached hereto as Exhibit 3.2 and is incorporated herein by reference.</w:t>
      </w:r>
    </w:p>
    <w:p>
      <w:pPr>
        <w:spacing w:after="0" w:line="1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4420" w:type="dxa"/>
            <w:vAlign w:val="bottom"/>
          </w:tcPr>
          <w:p>
            <w:pPr>
              <w:spacing w:after="0"/>
              <w:rPr>
                <w:sz w:val="20"/>
                <w:szCs w:val="20"/>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240" w:type="dxa"/>
            <w:vAlign w:val="bottom"/>
            <w:tcBorders>
              <w:top w:val="single" w:sz="8" w:color="auto"/>
            </w:tcBorders>
            <w:gridSpan w:val="2"/>
          </w:tcPr>
          <w:p>
            <w:pPr>
              <w:ind w:lef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Second Amended and Restated Certificate of Incorporation of Century Therapeutics, Inc.</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Amended and Restated Bylaws of Century Therapeutics, Inc.</w:t>
              </w:r>
            </w:hyperlink>
          </w:p>
        </w:tc>
      </w:tr>
      <w:tr>
        <w:trPr>
          <w:trHeight w:val="695"/>
        </w:trPr>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20" w:type="dxa"/>
            <w:vAlign w:val="bottom"/>
            <w:tcBorders>
              <w:top w:val="single" w:sz="8" w:color="0000EE"/>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rPr>
          <w:sz w:val="20"/>
          <w:szCs w:val="20"/>
          <w:color w:val="auto"/>
        </w:rPr>
      </w:pPr>
      <w:r>
        <w:rPr>
          <w:rFonts w:ascii="Arial" w:cs="Arial" w:eastAsia="Arial" w:hAnsi="Arial"/>
          <w:sz w:val="18"/>
          <w:szCs w:val="18"/>
          <w:color w:val="auto"/>
        </w:rPr>
        <w:t>Date: June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Century Therapeutics, Inc., a corporation organized and existing under the laws of the State of Delaware (the “Corporation”), hereby certifies as follows:</w:t>
      </w:r>
    </w:p>
    <w:p>
      <w:pPr>
        <w:spacing w:after="0" w:line="170" w:lineRule="exact"/>
        <w:rPr>
          <w:sz w:val="20"/>
          <w:szCs w:val="20"/>
          <w:color w:val="auto"/>
        </w:rPr>
      </w:pPr>
    </w:p>
    <w:p>
      <w:pPr>
        <w:ind w:firstLine="1304"/>
        <w:spacing w:after="0" w:line="277" w:lineRule="auto"/>
        <w:tabs>
          <w:tab w:leader="none" w:pos="17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Corporation is Century Therapeutics, Inc. The date of the filing of its original Certificate of Incorporation with the Secretary of State of the State of Delaware was February 25, 2021.</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“Certificate”) amends, restates and integrates the provisions of the Amended and Restated Certificate of Incorporation, and was duly adopted in accordance with the provisions of Sections 242 and 245 of the General Corporation Law of the State of Delaware (the “DGCL”).</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Certificate was approved by the holders of the requisite number of shares of this Corporation in accordance with Section 228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DGCL.</w:t>
      </w:r>
    </w:p>
    <w:p>
      <w:pPr>
        <w:spacing w:after="0" w:line="210" w:lineRule="exact"/>
        <w:rPr>
          <w:rFonts w:ascii="Arial" w:cs="Arial" w:eastAsia="Arial" w:hAnsi="Arial"/>
          <w:sz w:val="16"/>
          <w:szCs w:val="16"/>
          <w:color w:val="auto"/>
        </w:rPr>
      </w:pPr>
    </w:p>
    <w:p>
      <w:pPr>
        <w:ind w:firstLine="1304"/>
        <w:spacing w:after="0" w:line="277" w:lineRule="auto"/>
        <w:tabs>
          <w:tab w:leader="none" w:pos="17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text of the Second Amended and Restated Certificate of Incorporation is hereby amended and restated in its entirety to provide as herein set forth in full.</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Century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1313 N Market St # 5100, in the City of Wilmington, County of New Castle, 19801. The name of its registered agent at such address is PHS Corporate Services, Inc.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as the same exists or as may hereafter be amended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310,000,000 of which (i) 300,000,000 shares shall be a class designated as common stock, par value $0.0001 per share (the “Common Stock”), and (ii) 10,000,000 shares shall be a class designated as undesignated preferred stock, par value $0.0001 per share (the “Undesignated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1296"/>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70" w:lineRule="exact"/>
        <w:rPr>
          <w:sz w:val="20"/>
          <w:szCs w:val="20"/>
          <w:color w:val="auto"/>
        </w:rPr>
      </w:pPr>
    </w:p>
    <w:p>
      <w:pPr>
        <w:ind w:left="5180" w:hanging="569"/>
        <w:spacing w:after="0"/>
        <w:tabs>
          <w:tab w:leader="none" w:pos="5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70" w:lineRule="exact"/>
        <w:rPr>
          <w:sz w:val="20"/>
          <w:szCs w:val="20"/>
          <w:color w:val="auto"/>
        </w:rPr>
      </w:pPr>
    </w:p>
    <w:p>
      <w:pPr>
        <w:jc w:val="both"/>
        <w:ind w:firstLine="1952"/>
        <w:spacing w:after="0" w:line="254" w:lineRule="auto"/>
        <w:tabs>
          <w:tab w:leader="none" w:pos="2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Arial" w:cs="Arial" w:eastAsia="Arial" w:hAnsi="Arial"/>
          <w:sz w:val="18"/>
          <w:szCs w:val="18"/>
          <w:color w:val="auto"/>
        </w:rPr>
      </w:pPr>
    </w:p>
    <w:p>
      <w:pPr>
        <w:jc w:val="both"/>
        <w:ind w:firstLine="1952"/>
        <w:spacing w:after="0" w:line="263" w:lineRule="auto"/>
        <w:tabs>
          <w:tab w:leader="none" w:pos="2423"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subject to the requirements of applicable law; and</w:t>
      </w:r>
    </w:p>
    <w:p>
      <w:pPr>
        <w:spacing w:after="0" w:line="183" w:lineRule="exact"/>
        <w:rPr>
          <w:rFonts w:ascii="Arial" w:cs="Arial" w:eastAsia="Arial" w:hAnsi="Arial"/>
          <w:sz w:val="18"/>
          <w:szCs w:val="18"/>
          <w:color w:val="auto"/>
        </w:rPr>
      </w:pPr>
    </w:p>
    <w:p>
      <w:pPr>
        <w:ind w:firstLine="1952"/>
        <w:spacing w:after="0" w:line="277" w:lineRule="auto"/>
        <w:tabs>
          <w:tab w:leader="none" w:pos="2413"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170" w:lineRule="exact"/>
        <w:rPr>
          <w:rFonts w:ascii="Arial" w:cs="Arial" w:eastAsia="Arial" w:hAnsi="Arial"/>
          <w:sz w:val="18"/>
          <w:szCs w:val="18"/>
          <w:color w:val="auto"/>
        </w:rPr>
      </w:pPr>
    </w:p>
    <w:p>
      <w:pPr>
        <w:ind w:left="4340" w:hanging="509"/>
        <w:spacing w:after="0"/>
        <w:tabs>
          <w:tab w:leader="none" w:pos="4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UNDESIGNATED 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the DGCL,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 Action</w:t>
      </w:r>
    </w:p>
    <w:p>
      <w:pPr>
        <w:spacing w:after="0" w:line="225" w:lineRule="exact"/>
        <w:rPr>
          <w:sz w:val="20"/>
          <w:szCs w:val="20"/>
          <w:color w:val="auto"/>
        </w:rPr>
      </w:pPr>
    </w:p>
    <w:p>
      <w:pPr>
        <w:jc w:val="both"/>
        <w:ind w:firstLine="1304"/>
        <w:spacing w:after="0" w:line="263" w:lineRule="auto"/>
        <w:tabs>
          <w:tab w:leader="none" w:pos="167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67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(i) the Board of Directors acting pursuant to a resolution approved by the affirmative vote of a majority of the Directors then in office, (ii) the Chairperson of the Board, or (iii) the Chief Executive Officer of the Corporation,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67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 of the Corporation (the “Bylaws”).</w:t>
      </w:r>
    </w:p>
    <w:p>
      <w:pPr>
        <w:spacing w:after="0" w:line="183" w:lineRule="exact"/>
        <w:rPr>
          <w:rFonts w:ascii="Arial" w:cs="Arial" w:eastAsia="Arial" w:hAnsi="Arial"/>
          <w:sz w:val="18"/>
          <w:szCs w:val="18"/>
          <w:color w:val="auto"/>
        </w:rPr>
      </w:pPr>
    </w:p>
    <w:p>
      <w:pPr>
        <w:ind w:left="1680" w:hanging="376"/>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Cumulative Voting</w:t>
      </w:r>
      <w:r>
        <w:rPr>
          <w:rFonts w:ascii="Arial" w:cs="Arial" w:eastAsia="Arial" w:hAnsi="Arial"/>
          <w:sz w:val="18"/>
          <w:szCs w:val="18"/>
          <w:color w:val="auto"/>
        </w:rPr>
        <w:t>. There shall be no cumulative voting.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firstLine="1304"/>
        <w:spacing w:after="0" w:line="277" w:lineRule="auto"/>
        <w:tabs>
          <w:tab w:leader="none" w:pos="167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70" w:lineRule="exact"/>
        <w:rPr>
          <w:rFonts w:ascii="Arial" w:cs="Arial" w:eastAsia="Arial" w:hAnsi="Arial"/>
          <w:sz w:val="18"/>
          <w:szCs w:val="18"/>
          <w:color w:val="auto"/>
        </w:rPr>
      </w:pPr>
    </w:p>
    <w:p>
      <w:pPr>
        <w:ind w:left="1680" w:hanging="376"/>
        <w:spacing w:after="0"/>
        <w:tabs>
          <w:tab w:leader="none" w:pos="16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shall so provide.</w:t>
      </w:r>
    </w:p>
    <w:p>
      <w:pPr>
        <w:spacing w:after="0" w:line="236" w:lineRule="exact"/>
        <w:rPr>
          <w:rFonts w:ascii="Arial" w:cs="Arial" w:eastAsia="Arial" w:hAnsi="Arial"/>
          <w:sz w:val="17"/>
          <w:szCs w:val="17"/>
          <w:color w:val="auto"/>
        </w:rPr>
      </w:pPr>
    </w:p>
    <w:p>
      <w:pPr>
        <w:jc w:val="both"/>
        <w:ind w:firstLine="1304"/>
        <w:spacing w:after="0" w:line="269" w:lineRule="auto"/>
        <w:tabs>
          <w:tab w:leader="none" w:pos="167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Such classes shall be as nearly equal in number of Directors as reasonably possible. The Board of Directors shall assign Directors into classes at the time the classification becomes effective. The initial Class I Directors shall serve for a term expiring at the first annual meeting of stockholders to be held after the filing of this Certificate, the initial Class II Directors shall serve for a term expiring at the second annual meeting of stockholders to be held after the filing of this Certificate, and the initial Class III Directors shall serve for a term expiring at the third annual meeting of stockholders to be held after the filing of this Certificate.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296"/>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jc w:val="both"/>
        <w:ind w:firstLine="1304"/>
        <w:spacing w:after="0" w:line="269" w:lineRule="auto"/>
        <w:tabs>
          <w:tab w:leader="none" w:pos="225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1" w:lineRule="exact"/>
        <w:rPr>
          <w:rFonts w:ascii="Arial" w:cs="Arial" w:eastAsia="Arial" w:hAnsi="Arial"/>
          <w:sz w:val="17"/>
          <w:szCs w:val="17"/>
          <w:color w:val="auto"/>
        </w:rPr>
      </w:pPr>
    </w:p>
    <w:p>
      <w:pPr>
        <w:jc w:val="both"/>
        <w:ind w:firstLine="1304"/>
        <w:spacing w:after="0" w:line="309" w:lineRule="auto"/>
        <w:tabs>
          <w:tab w:leader="none" w:pos="234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only with cause. Subject to the rights, if any, of any series of Undesignated Preferred Stock and any limitations imposed by law, any individual director or the entire Board of Directors may be removed from office with cause by the affirmative vote of the holders of at least 66</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of the voting power of all then outstanding shares of capital stock of the Corporation entitled to vote on the election of such directors.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79" w:lineRule="auto"/>
        <w:rPr>
          <w:sz w:val="20"/>
          <w:szCs w:val="20"/>
          <w:color w:val="auto"/>
        </w:rPr>
      </w:pPr>
      <w:r>
        <w:rPr>
          <w:rFonts w:ascii="Arial" w:cs="Arial" w:eastAsia="Arial" w:hAnsi="Arial"/>
          <w:sz w:val="17"/>
          <w:szCs w:val="17"/>
          <w:color w:val="auto"/>
        </w:rPr>
        <w:t>As more fully set forth in the Bylaws, the Corporation may indemnify to the fullest extent permitted by the DGCL any person made or threatened to be made a party to an action or proceeding, whether criminal, civil, administrative, arbitrative or investigative, by reason of the fact that he, she, his or her testator or intestate is or was a Director, officer, employee or agent at the request of the Corporation or any predecessor to the Corporation or serves or served at any other legal entity as a Director, officer, employee or agent at the request of the Corporation.</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Bylaws</w:t>
      </w:r>
    </w:p>
    <w:p>
      <w:pPr>
        <w:spacing w:after="0" w:line="225" w:lineRule="exact"/>
        <w:rPr>
          <w:sz w:val="20"/>
          <w:szCs w:val="20"/>
          <w:color w:val="auto"/>
        </w:rPr>
      </w:pPr>
    </w:p>
    <w:p>
      <w:pPr>
        <w:ind w:firstLine="1304"/>
        <w:spacing w:after="0" w:line="277" w:lineRule="auto"/>
        <w:tabs>
          <w:tab w:leader="none" w:pos="167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or any provision or provisions thereof,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ind w:left="1680" w:hanging="376"/>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The Bylaws of the Corporation may be amended or repealed at any annual meeting of stockholders,</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or special meeting of stockholders called for such purpose, by the affirmative vote of at least 66</w:t>
      </w:r>
      <w:r>
        <w:rPr>
          <w:rFonts w:ascii="Arial" w:cs="Arial" w:eastAsia="Arial" w:hAnsi="Arial"/>
          <w:sz w:val="28"/>
          <w:szCs w:val="28"/>
          <w:color w:val="auto"/>
          <w:vertAlign w:val="superscript"/>
        </w:rPr>
        <w:t>2/3%</w:t>
      </w:r>
      <w:r>
        <w:rPr>
          <w:rFonts w:ascii="Arial" w:cs="Arial" w:eastAsia="Arial" w:hAnsi="Arial"/>
          <w:sz w:val="17"/>
          <w:szCs w:val="17"/>
          <w:color w:val="auto"/>
        </w:rPr>
        <w:t xml:space="preserve"> of the outstanding shares of capital stock entitled to vote on such amendment or repeal,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Exclusive Forum</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claim or cause of action brought on behalf of the Corporation; (ii) any claim or cause of action for breach of fiduciary duty owed by any current or former director, officer or other employee, agent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this Certificate or the Bylaws of the Corporation (as each may be amended from time to time); (iv) any claim or cause of action seeking to interpret, apply, enforce or determine the validity of this Certificate or the Bylaws of the Corporation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 affairs doctrine or otherwise related to the corporation’s internal affairs, in all cases to the fullest extent permitted by law and subject to the court having personal jurisdiction over the indispensable parties named as defendants. Article IX shall not apply to claims or causes of action brought to enforce a duty or liability created by the Securities Act of 1933, as amended (the “1933 Act”) Act or the Securities Exchange Act of 1934, as amended or any other claim for which the federal courts have exclusive jurisdiction.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7"/>
          <w:szCs w:val="17"/>
          <w:color w:val="auto"/>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affirmative vote of not less than 66</w:t>
      </w:r>
      <w:r>
        <w:rPr>
          <w:rFonts w:ascii="Arial" w:cs="Arial" w:eastAsia="Arial" w:hAnsi="Arial"/>
          <w:sz w:val="28"/>
          <w:szCs w:val="28"/>
          <w:color w:val="auto"/>
          <w:vertAlign w:val="superscript"/>
        </w:rPr>
        <w:t>2/3%</w:t>
      </w:r>
      <w:r>
        <w:rPr>
          <w:rFonts w:ascii="Arial" w:cs="Arial" w:eastAsia="Arial" w:hAnsi="Arial"/>
          <w:sz w:val="17"/>
          <w:szCs w:val="17"/>
          <w:color w:val="auto"/>
        </w:rPr>
        <w:t xml:space="preserve"> of the outstanding shares of capital stock entitled to vote on such amendment or repeal shall be required to amend or repeal any provision of Article V, Article VI, Article VII, Article VIII, Article IX or Article X of this Certificate.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color w:val="auto"/>
        </w:rPr>
        <w:t>THIS AMENDED AND RESTATED CERTIFICATE OF INCORPORATION is executed as of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June, 2021.</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CENTURY THERAPEUTICS, INC.</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Osvaldo Flores, Ph.D.</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[SIGNATURE PAGE TO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1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provided that the Board of Directors may in its sole discretion determine that the meeting shall not be held at any place, but may instead be held solely by means of remote communication pursuant to as authorized by Section 211(a) of the General Corporation Law of the State of Delaware (the “DGCL”) and Section 6.11 of these Bylaws.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225" w:lineRule="exact"/>
        <w:rPr>
          <w:sz w:val="20"/>
          <w:szCs w:val="20"/>
          <w:color w:val="auto"/>
        </w:rPr>
      </w:pPr>
    </w:p>
    <w:p>
      <w:pPr>
        <w:ind w:left="2820" w:hanging="868"/>
        <w:spacing w:after="0"/>
        <w:tabs>
          <w:tab w:leader="none" w:pos="28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89" w:lineRule="auto"/>
        <w:tabs>
          <w:tab w:leader="none" w:pos="3665" w:val="left"/>
        </w:tabs>
        <w:numPr>
          <w:ilvl w:val="1"/>
          <w:numId w:val="9"/>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Section 1.2(a)(2)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2600"/>
        <w:spacing w:after="0" w:line="286" w:lineRule="auto"/>
        <w:tabs>
          <w:tab w:leader="none" w:pos="37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(ii) of Section 1.2(a)(1)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67" w:lineRule="exact"/>
        <w:rPr>
          <w:rFonts w:ascii="Arial" w:cs="Arial" w:eastAsia="Arial" w:hAnsi="Arial"/>
          <w:sz w:val="16"/>
          <w:szCs w:val="16"/>
          <w:color w:val="auto"/>
        </w:rPr>
      </w:pPr>
    </w:p>
    <w:p>
      <w:pPr>
        <w:jc w:val="both"/>
        <w:ind w:firstLine="3248"/>
        <w:spacing w:after="0" w:line="259" w:lineRule="auto"/>
        <w:tabs>
          <w:tab w:leader="none" w:pos="373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6" w:lineRule="exact"/>
        <w:rPr>
          <w:rFonts w:ascii="Arial" w:cs="Arial" w:eastAsia="Arial" w:hAnsi="Arial"/>
          <w:sz w:val="18"/>
          <w:szCs w:val="18"/>
          <w:color w:val="auto"/>
        </w:rPr>
      </w:pPr>
    </w:p>
    <w:p>
      <w:pPr>
        <w:jc w:val="both"/>
        <w:ind w:firstLine="3248"/>
        <w:spacing w:after="0" w:line="279" w:lineRule="auto"/>
        <w:tabs>
          <w:tab w:leader="none" w:pos="37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such business includes a proposal to amend these Bylaws, the language of the proposed amendment) the reasons for conducting such business at the meeting, and any material interest in such business of each Proposing Person (as defined below);</w:t>
      </w:r>
    </w:p>
    <w:p>
      <w:pPr>
        <w:spacing w:after="0" w:line="171" w:lineRule="exact"/>
        <w:rPr>
          <w:rFonts w:ascii="Arial" w:cs="Arial" w:eastAsia="Arial" w:hAnsi="Arial"/>
          <w:sz w:val="17"/>
          <w:szCs w:val="17"/>
          <w:color w:val="auto"/>
        </w:rPr>
      </w:pPr>
    </w:p>
    <w:p>
      <w:pPr>
        <w:jc w:val="both"/>
        <w:ind w:firstLine="3248"/>
        <w:spacing w:after="0" w:line="284" w:lineRule="auto"/>
        <w:tabs>
          <w:tab w:leader="none" w:pos="3727" w:val="left"/>
        </w:tabs>
        <w:numPr>
          <w:ilvl w:val="1"/>
          <w:numId w:val="10"/>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3248"/>
        <w:spacing w:after="0" w:line="293" w:lineRule="auto"/>
        <w:tabs>
          <w:tab w:leader="none" w:pos="37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64" w:lineRule="exact"/>
        <w:rPr>
          <w:rFonts w:ascii="Arial" w:cs="Arial" w:eastAsia="Arial" w:hAnsi="Arial"/>
          <w:sz w:val="16"/>
          <w:szCs w:val="16"/>
          <w:color w:val="auto"/>
        </w:rPr>
      </w:pPr>
    </w:p>
    <w:p>
      <w:pPr>
        <w:jc w:val="both"/>
        <w:ind w:firstLine="3248"/>
        <w:spacing w:after="0" w:line="275" w:lineRule="auto"/>
        <w:tabs>
          <w:tab w:leader="none" w:pos="37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1.2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2600"/>
        <w:spacing w:after="0" w:line="285" w:lineRule="auto"/>
        <w:tabs>
          <w:tab w:leader="none" w:pos="34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be eligible to be a nominee of any stockholder for election or reelection as a director of the Corporation, a person must deliver (in accordance with the time periods prescribed for nominations of persons for election to the Board of Directors by stockholders under this Section 1.2)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all information relating to such person that would be required to be disclosed in solicitations of proxies by the Corporation for election of such person as a director in an election contest, or is otherwise required, in each case pursuant to Regulation 14A under the Exchange Act, and a written representation and agreement (in the form provided by the Secretary upon written request) that such individual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(2)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(d) consents to being named as a nominee in the Corporation’s proxy statement pursuant to Rule 14a-4(d) under the Exchange Act and any associated proxy card of the Corporation and agrees to serve if elected as a director.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2600"/>
        <w:spacing w:after="0" w:line="271" w:lineRule="auto"/>
        <w:tabs>
          <w:tab w:leader="none" w:pos="3733"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and any person providing information pursuant to Section 1.2(a)(3) shall, in each case, further update and supplement such notice and information, if necessary, so that the information (including, without limitation, the Material Ownership Interests information) provided or required to be provided therein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78" w:lineRule="exact"/>
        <w:rPr>
          <w:rFonts w:ascii="Arial" w:cs="Arial" w:eastAsia="Arial" w:hAnsi="Arial"/>
          <w:sz w:val="17"/>
          <w:szCs w:val="17"/>
          <w:color w:val="auto"/>
        </w:rPr>
      </w:pPr>
    </w:p>
    <w:p>
      <w:pPr>
        <w:jc w:val="both"/>
        <w:ind w:firstLine="2600"/>
        <w:spacing w:after="0" w:line="254" w:lineRule="auto"/>
        <w:tabs>
          <w:tab w:leader="none" w:pos="35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Section 1.2(a)(2)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Section 1.2(a)(2),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94" w:lineRule="exact"/>
        <w:rPr>
          <w:rFonts w:ascii="Arial" w:cs="Arial" w:eastAsia="Arial" w:hAnsi="Arial"/>
          <w:sz w:val="18"/>
          <w:szCs w:val="18"/>
          <w:color w:val="auto"/>
        </w:rPr>
      </w:pPr>
    </w:p>
    <w:p>
      <w:pPr>
        <w:ind w:left="2840" w:hanging="888"/>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0"/>
        <w:spacing w:after="0" w:line="289" w:lineRule="auto"/>
        <w:tabs>
          <w:tab w:leader="none" w:pos="35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right="20" w:firstLine="2600"/>
        <w:spacing w:after="0" w:line="263" w:lineRule="auto"/>
        <w:tabs>
          <w:tab w:leader="none" w:pos="34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3" w:lineRule="exact"/>
        <w:rPr>
          <w:rFonts w:ascii="Arial" w:cs="Arial" w:eastAsia="Arial" w:hAnsi="Arial"/>
          <w:sz w:val="18"/>
          <w:szCs w:val="18"/>
          <w:color w:val="auto"/>
        </w:rPr>
      </w:pPr>
    </w:p>
    <w:p>
      <w:pPr>
        <w:jc w:val="both"/>
        <w:ind w:firstLine="2600"/>
        <w:spacing w:after="0" w:line="254" w:lineRule="auto"/>
        <w:tabs>
          <w:tab w:leader="none" w:pos="35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Section 1.2,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94" w:lineRule="exact"/>
        <w:rPr>
          <w:rFonts w:ascii="Arial" w:cs="Arial" w:eastAsia="Arial" w:hAnsi="Arial"/>
          <w:sz w:val="18"/>
          <w:szCs w:val="18"/>
          <w:color w:val="auto"/>
        </w:rPr>
      </w:pPr>
    </w:p>
    <w:p>
      <w:pPr>
        <w:jc w:val="both"/>
        <w:ind w:firstLine="2600"/>
        <w:spacing w:after="0" w:line="263" w:lineRule="auto"/>
        <w:tabs>
          <w:tab w:leader="none" w:pos="34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firstLine="2600"/>
        <w:spacing w:after="0" w:line="286" w:lineRule="auto"/>
        <w:tabs>
          <w:tab w:leader="none" w:pos="34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w:t>
      </w:r>
    </w:p>
    <w:p>
      <w:pPr>
        <w:spacing w:after="0" w:line="1" w:lineRule="exact"/>
        <w:rPr>
          <w:rFonts w:ascii="Arial" w:cs="Arial" w:eastAsia="Arial" w:hAnsi="Arial"/>
          <w:sz w:val="16"/>
          <w:szCs w:val="16"/>
          <w:color w:val="auto"/>
        </w:rPr>
      </w:pPr>
    </w:p>
    <w:p>
      <w:pPr>
        <w:ind w:right="20" w:firstLine="8"/>
        <w:spacing w:after="0" w:line="260"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any series of Undesignated Preferred Stock (as defined in the Certificate (as defined below)) to elect directors under specified circumstances.</w:t>
      </w:r>
    </w:p>
    <w:p>
      <w:pPr>
        <w:spacing w:after="0" w:line="18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(i) the Board of Directors acting pursuant to a resolution approved by the affirmative vote of a majority of the Directors then in office, (ii) the Chairperson of the Board (as defined below) or (iii) the Chief Executive Officer of the Corporation.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Section 1.1 of these Bylaws, in which case such special meeting in lieu thereof shall be deemed an Annual Meeting for purposes of these Bylaws and the provisions of Section 1.2 of these Bylaws shall govern such special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1300"/>
        <w:spacing w:after="0"/>
        <w:tabs>
          <w:tab w:leader="none" w:pos="25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Notice of Meetings; Adjournments</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73" w:lineRule="auto"/>
        <w:tabs>
          <w:tab w:leader="none" w:pos="2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177" w:lineRule="exact"/>
        <w:rPr>
          <w:rFonts w:ascii="Arial" w:cs="Arial" w:eastAsia="Arial" w:hAnsi="Arial"/>
          <w:sz w:val="17"/>
          <w:szCs w:val="17"/>
          <w:color w:val="auto"/>
        </w:rPr>
      </w:pPr>
    </w:p>
    <w:p>
      <w:pPr>
        <w:ind w:right="20" w:firstLine="1952"/>
        <w:spacing w:after="0" w:line="277" w:lineRule="auto"/>
        <w:tabs>
          <w:tab w:leader="none" w:pos="24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3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6" w:lineRule="exact"/>
        <w:rPr>
          <w:rFonts w:ascii="Arial" w:cs="Arial" w:eastAsia="Arial" w:hAnsi="Arial"/>
          <w:sz w:val="18"/>
          <w:szCs w:val="18"/>
          <w:color w:val="auto"/>
        </w:rPr>
      </w:pPr>
    </w:p>
    <w:p>
      <w:pPr>
        <w:jc w:val="both"/>
        <w:ind w:firstLine="1952"/>
        <w:spacing w:after="0" w:line="257" w:lineRule="auto"/>
        <w:tabs>
          <w:tab w:leader="none" w:pos="24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1.2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87" w:lineRule="exact"/>
        <w:rPr>
          <w:rFonts w:ascii="Arial" w:cs="Arial" w:eastAsia="Arial" w:hAnsi="Arial"/>
          <w:sz w:val="18"/>
          <w:szCs w:val="18"/>
          <w:color w:val="auto"/>
        </w:rPr>
      </w:pPr>
    </w:p>
    <w:p>
      <w:pPr>
        <w:jc w:val="both"/>
        <w:ind w:firstLine="1952"/>
        <w:spacing w:after="0" w:line="269" w:lineRule="auto"/>
        <w:tabs>
          <w:tab w:leader="none" w:pos="2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1.4.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w:t>
      </w:r>
    </w:p>
    <w:p>
      <w:pPr>
        <w:jc w:val="both"/>
        <w:ind w:firstLine="8"/>
        <w:spacing w:after="0" w:line="287" w:lineRule="auto"/>
        <w:tabs>
          <w:tab w:leader="none" w:pos="238"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person, (ii) by written proxy or (iii) by a transmission permitted by Section 212 of the DGCL. Any copy, facsimile telecommunication or other reliable reproduction of the writing or transmission permitted by Section 212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of stockholders, subject to the rights of the holders of one or more series of preferred stock of the Corporation,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7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296"/>
        <w:spacing w:after="0" w:line="290"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Presiding Officer</w:t>
      </w:r>
      <w:r>
        <w:rPr>
          <w:rFonts w:ascii="Arial" w:cs="Arial" w:eastAsia="Arial" w:hAnsi="Arial"/>
          <w:sz w:val="16"/>
          <w:szCs w:val="16"/>
          <w:color w:val="auto"/>
        </w:rPr>
        <w:t>. The Board of Directors shall designate a representative to preside over all Annual Meetings or special meetings of stockholders; provided that if the Board of Directors does not so designate such a presiding officer, then the Chairperson of the Board of Directors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1.4 and 1.5 of this Article I. The order of business and all other matters of procedure at any meeting of the stockholders shall be determined by the presiding officer.</w:t>
      </w:r>
    </w:p>
    <w:p>
      <w:pPr>
        <w:spacing w:after="0" w:line="16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director need be a stockholder of the Corporation.</w:t>
      </w:r>
    </w:p>
    <w:p>
      <w:pPr>
        <w:spacing w:after="0" w:line="225"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Vacancies in the Board of Directors shall be filled in the manner provided in the Certificate.</w:t>
      </w:r>
    </w:p>
    <w:p>
      <w:pPr>
        <w:spacing w:after="0" w:line="225"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only in the manner provided in the Certificate.</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Resignation</w:t>
      </w:r>
      <w:r>
        <w:rPr>
          <w:rFonts w:ascii="Arial" w:cs="Arial" w:eastAsia="Arial" w:hAnsi="Arial"/>
          <w:sz w:val="17"/>
          <w:szCs w:val="17"/>
          <w:color w:val="auto"/>
        </w:rPr>
        <w:t>. A director may resign at any time by giving written notice to the Chairperson of the Board, if one is elected, the Chief Executive Officer, the President or the Secretary. A resignation shall be effective upon receipt, unless the resignation otherwise provides.</w:t>
      </w:r>
    </w:p>
    <w:p>
      <w:pPr>
        <w:spacing w:after="0" w:line="14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Regular Meetings</w:t>
      </w:r>
      <w:r>
        <w:rPr>
          <w:rFonts w:ascii="Arial" w:cs="Arial" w:eastAsia="Arial" w:hAnsi="Arial"/>
          <w:sz w:val="17"/>
          <w:szCs w:val="17"/>
          <w:color w:val="auto"/>
        </w:rPr>
        <w:t>. The regular annual meeting of the Board of Directors may be held, without notice other than this Section 2.7,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Chairperson of the Board, if one is elected, or the President or Chief Executive Officer. The person calling any such special meeting of the Board of Directors may fix the hour, date and place thereof.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Chief Executive Officer or such other officer designated by the Chairperson of the Board, if one is elected, or the President or Chief Executive Officer. Notice of any special meeting of the Board of Directors shall be given to each director in person, by telephone, or by electronic mail or other form of electronic communication, sent to his or her business or home address, at least forty-eight (48) hours in advance of the meeting. Such notice shall be deemed to be delivered when hand-delivered to such address, read to such director by telephone, or dispatched or transmitted if sent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296"/>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Manner of Participation</w:t>
      </w:r>
      <w:r>
        <w:rPr>
          <w:rFonts w:ascii="Arial" w:cs="Arial" w:eastAsia="Arial" w:hAnsi="Arial"/>
          <w:sz w:val="17"/>
          <w:szCs w:val="17"/>
          <w:color w:val="auto"/>
        </w:rPr>
        <w:t>. Unless otherwise restricted by the Certificate or these Bylaws, members of the Board of Directors, or any committee designated by the Board of Directors, may participate in a meeting of the Board of Directors, or any committee, by means of teleconference, virtual conference or other communications equipment by means of which all persons participating in the meeting can hear each other, and such participation in a meeting pursuant to this Bylaw shall constitute presence in person at the meeting.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Chairperson of the Board shall preside over all meetings of the Board of Directors and the chairperson of each committee of the Board of Directors shall preside over all meetings of the respective committee. If the Chairperson of the Board or chairperson of such committee of the Board of Directors is unable to preside or is absent, the Board of Directors shall designate an alternate representative to preside over a meeting of the Board of Directors, or committee meeting, as applicable.</w:t>
      </w:r>
    </w:p>
    <w:p>
      <w:pPr>
        <w:spacing w:after="0" w:line="18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provided that for the avoidance of doubt, any meeting of a committee of the Board shall follow the notice procedures set forth in Section 2.9.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right="20" w:firstLine="1296"/>
        <w:spacing w:after="0" w:line="286"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Chief Executive Officer, a Secretary and such other officers, including, without limitation, a Chairperson of the Board of Directors, a Treasurer and one or more Vice Presidents, Assistant Vice Presidents, Assistant Treasurers and Assistant Secretaries, as the Board of Directors may determine.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shall elect, from time to time at a regular or special meeting of the Board of Directors, the President, the Chief Executive Officer, and the Secretary. Other officers may be elected by the Board of Directors at any regular or special meeting of the Board of Directors.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his or her successor is elected and qualified or until his or her earlier resignation or removal.</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the Board of Directors may remove any officer with or without cause by the affirmative vote of a majority of the directors then in office.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xml:space="preserve"> In the event of the absence or disability of any officer, the Board of Directors may designate another officer to act temporarily in place of such absent or disabled officer.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ind w:left="1300"/>
        <w:spacing w:after="0"/>
        <w:tabs>
          <w:tab w:leader="none" w:pos="23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Any vacancy in any office may be filled for the unexpired portion of the term by the Board of Directors.</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President; Chief Executive Officer.</w:t>
      </w:r>
      <w:r>
        <w:rPr>
          <w:rFonts w:ascii="Arial" w:cs="Arial" w:eastAsia="Arial" w:hAnsi="Arial"/>
          <w:sz w:val="18"/>
          <w:szCs w:val="18"/>
          <w:color w:val="auto"/>
        </w:rPr>
        <w:t xml:space="preserve">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9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Subject to the provisions of Section 2.14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and any Assistant Vice President shall have such powers and shall perform such duties as the Board of Directors or the Chief Executive Officer may from time to time designate.</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1296"/>
        <w:spacing w:after="0" w:line="263"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Corporation’s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7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1296"/>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Record Holders.</w:t>
      </w:r>
      <w:r>
        <w:rPr>
          <w:rFonts w:ascii="Arial" w:cs="Arial" w:eastAsia="Arial" w:hAnsi="Arial"/>
          <w:sz w:val="18"/>
          <w:szCs w:val="18"/>
          <w:color w:val="auto"/>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color w:val="auto"/>
        </w:rPr>
        <w:t>Definitions. For purposes of this Article:</w:t>
      </w:r>
    </w:p>
    <w:p>
      <w:pPr>
        <w:spacing w:after="0" w:line="225" w:lineRule="exact"/>
        <w:rPr>
          <w:sz w:val="20"/>
          <w:szCs w:val="20"/>
          <w:color w:val="auto"/>
        </w:rPr>
      </w:pPr>
    </w:p>
    <w:p>
      <w:pPr>
        <w:ind w:left="2860" w:hanging="908"/>
        <w:spacing w:after="0"/>
        <w:tabs>
          <w:tab w:leader="none" w:pos="2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serving or has served (i) as a Director of the Corporation,</w:t>
      </w:r>
    </w:p>
    <w:p>
      <w:pPr>
        <w:spacing w:after="0" w:line="46" w:lineRule="exact"/>
        <w:rPr>
          <w:rFonts w:ascii="Arial" w:cs="Arial" w:eastAsia="Arial" w:hAnsi="Arial"/>
          <w:sz w:val="16"/>
          <w:szCs w:val="16"/>
          <w:color w:val="auto"/>
        </w:rPr>
      </w:pPr>
    </w:p>
    <w:p>
      <w:pPr>
        <w:jc w:val="both"/>
        <w:ind w:firstLine="8"/>
        <w:spacing w:after="0" w:line="288" w:lineRule="auto"/>
        <w:tabs>
          <w:tab w:leader="none" w:pos="2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5.1(a),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2400" w:hanging="448"/>
        <w:spacing w:after="0"/>
        <w:tabs>
          <w:tab w:leader="none" w:pos="2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 means any person who serves or has served the Corporation as a director on the Board of Directors;</w:t>
      </w:r>
    </w:p>
    <w:p>
      <w:pPr>
        <w:spacing w:after="0" w:line="225" w:lineRule="exact"/>
        <w:rPr>
          <w:rFonts w:ascii="Arial" w:cs="Arial" w:eastAsia="Arial" w:hAnsi="Arial"/>
          <w:sz w:val="18"/>
          <w:szCs w:val="18"/>
          <w:color w:val="auto"/>
        </w:rPr>
      </w:pPr>
    </w:p>
    <w:p>
      <w:pPr>
        <w:ind w:firstLine="1952"/>
        <w:spacing w:after="0" w:line="277" w:lineRule="auto"/>
        <w:tabs>
          <w:tab w:leader="none" w:pos="23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70" w:lineRule="exact"/>
        <w:rPr>
          <w:rFonts w:ascii="Arial" w:cs="Arial" w:eastAsia="Arial" w:hAnsi="Arial"/>
          <w:sz w:val="18"/>
          <w:szCs w:val="18"/>
          <w:color w:val="auto"/>
        </w:rPr>
      </w:pPr>
    </w:p>
    <w:p>
      <w:pPr>
        <w:jc w:val="both"/>
        <w:ind w:firstLine="1952"/>
        <w:spacing w:after="0" w:line="255" w:lineRule="auto"/>
        <w:tabs>
          <w:tab w:leader="none" w:pos="24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92" w:lineRule="exact"/>
        <w:rPr>
          <w:rFonts w:ascii="Arial" w:cs="Arial" w:eastAsia="Arial" w:hAnsi="Arial"/>
          <w:sz w:val="18"/>
          <w:szCs w:val="18"/>
          <w:color w:val="auto"/>
        </w:rPr>
      </w:pPr>
    </w:p>
    <w:p>
      <w:pPr>
        <w:ind w:left="2400" w:hanging="448"/>
        <w:spacing w:after="0"/>
        <w:tabs>
          <w:tab w:leader="none" w:pos="2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“Liabilities” means judgments, damages, liabilities, losses, penalties, excise taxes, fines and amounts paid in settlement;</w:t>
      </w:r>
    </w:p>
    <w:p>
      <w:pPr>
        <w:spacing w:after="0" w:line="248" w:lineRule="exact"/>
        <w:rPr>
          <w:rFonts w:ascii="Arial" w:cs="Arial" w:eastAsia="Arial" w:hAnsi="Arial"/>
          <w:sz w:val="16"/>
          <w:szCs w:val="16"/>
          <w:color w:val="auto"/>
        </w:rPr>
      </w:pPr>
    </w:p>
    <w:p>
      <w:pPr>
        <w:ind w:firstLine="1952"/>
        <w:spacing w:after="0" w:line="277" w:lineRule="auto"/>
        <w:tabs>
          <w:tab w:leader="none" w:pos="24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“Officer” means any person who serves or has served the Corporation as an officer of the Corporation appointed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 of Directors;</w:t>
      </w:r>
    </w:p>
    <w:p>
      <w:pPr>
        <w:spacing w:after="0" w:line="210" w:lineRule="exact"/>
        <w:rPr>
          <w:rFonts w:ascii="Arial" w:cs="Arial" w:eastAsia="Arial" w:hAnsi="Arial"/>
          <w:sz w:val="16"/>
          <w:szCs w:val="16"/>
          <w:color w:val="auto"/>
        </w:rPr>
      </w:pPr>
    </w:p>
    <w:p>
      <w:pPr>
        <w:ind w:firstLine="1952"/>
        <w:spacing w:after="0" w:line="308" w:lineRule="auto"/>
        <w:tabs>
          <w:tab w:leader="none" w:pos="24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46" w:lineRule="exact"/>
        <w:rPr>
          <w:rFonts w:ascii="Arial" w:cs="Arial" w:eastAsia="Arial" w:hAnsi="Arial"/>
          <w:sz w:val="17"/>
          <w:szCs w:val="17"/>
          <w:color w:val="auto"/>
        </w:rPr>
      </w:pPr>
    </w:p>
    <w:p>
      <w:pPr>
        <w:jc w:val="both"/>
        <w:ind w:firstLine="1952"/>
        <w:spacing w:after="0" w:line="257" w:lineRule="auto"/>
        <w:tabs>
          <w:tab w:leader="none" w:pos="2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59" w:lineRule="auto"/>
        <w:tabs>
          <w:tab w:leader="none" w:pos="29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operation of Section 5.4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5.2.</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2600"/>
        <w:spacing w:after="0" w:line="293" w:lineRule="auto"/>
        <w:tabs>
          <w:tab w:leader="none" w:pos="304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64" w:lineRule="exact"/>
        <w:rPr>
          <w:rFonts w:ascii="Arial" w:cs="Arial" w:eastAsia="Arial" w:hAnsi="Arial"/>
          <w:sz w:val="16"/>
          <w:szCs w:val="16"/>
          <w:color w:val="auto"/>
        </w:rPr>
      </w:pPr>
    </w:p>
    <w:p>
      <w:pPr>
        <w:jc w:val="both"/>
        <w:ind w:firstLine="2600"/>
        <w:spacing w:after="0" w:line="289" w:lineRule="auto"/>
        <w:tabs>
          <w:tab w:leader="none" w:pos="304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66" w:lineRule="exact"/>
        <w:rPr>
          <w:rFonts w:ascii="Arial" w:cs="Arial" w:eastAsia="Arial" w:hAnsi="Arial"/>
          <w:sz w:val="16"/>
          <w:szCs w:val="16"/>
          <w:color w:val="auto"/>
        </w:rPr>
      </w:pPr>
    </w:p>
    <w:p>
      <w:pPr>
        <w:jc w:val="both"/>
        <w:ind w:firstLine="2600"/>
        <w:spacing w:after="0" w:line="263" w:lineRule="auto"/>
        <w:tabs>
          <w:tab w:leader="none" w:pos="304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of indemnification provided by this Section 5.2 shall continue as to a Director or Officer after he or she has ceased to be a Director or Officer and shall inure to the benefit of his or her heirs, executors, administrators and personal representatives.</w:t>
      </w:r>
    </w:p>
    <w:p>
      <w:pPr>
        <w:spacing w:after="0" w:line="183" w:lineRule="exact"/>
        <w:rPr>
          <w:rFonts w:ascii="Arial" w:cs="Arial" w:eastAsia="Arial" w:hAnsi="Arial"/>
          <w:sz w:val="18"/>
          <w:szCs w:val="18"/>
          <w:color w:val="auto"/>
        </w:rPr>
      </w:pPr>
    </w:p>
    <w:p>
      <w:pPr>
        <w:jc w:val="both"/>
        <w:ind w:firstLine="2600"/>
        <w:spacing w:after="0" w:line="257" w:lineRule="auto"/>
        <w:tabs>
          <w:tab w:leader="none" w:pos="304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6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5.4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8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Advancement of Expenses to Directors Prior to Final Disposition</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53" w:lineRule="auto"/>
        <w:tabs>
          <w:tab w:leader="none" w:pos="23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96" w:lineRule="exact"/>
        <w:rPr>
          <w:rFonts w:ascii="Arial" w:cs="Arial" w:eastAsia="Arial" w:hAnsi="Arial"/>
          <w:sz w:val="18"/>
          <w:szCs w:val="18"/>
          <w:color w:val="auto"/>
        </w:rPr>
      </w:pPr>
    </w:p>
    <w:p>
      <w:pPr>
        <w:jc w:val="both"/>
        <w:ind w:firstLine="1952"/>
        <w:spacing w:after="0" w:line="272" w:lineRule="auto"/>
        <w:tabs>
          <w:tab w:leader="none" w:pos="24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952"/>
        <w:spacing w:after="0" w:line="263" w:lineRule="auto"/>
        <w:tabs>
          <w:tab w:leader="none" w:pos="31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Advancement of Expenses to Officers and Non-Officer Employees Prior to Final Disposition</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54" w:lineRule="auto"/>
        <w:tabs>
          <w:tab w:leader="none" w:pos="23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94" w:lineRule="exact"/>
        <w:rPr>
          <w:rFonts w:ascii="Arial" w:cs="Arial" w:eastAsia="Arial" w:hAnsi="Arial"/>
          <w:sz w:val="18"/>
          <w:szCs w:val="18"/>
          <w:color w:val="auto"/>
        </w:rPr>
      </w:pPr>
    </w:p>
    <w:p>
      <w:pPr>
        <w:jc w:val="both"/>
        <w:ind w:right="20" w:firstLine="1952"/>
        <w:spacing w:after="0" w:line="263" w:lineRule="auto"/>
        <w:tabs>
          <w:tab w:leader="none" w:pos="24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Contractual Nature of Rights</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88" w:lineRule="auto"/>
        <w:tabs>
          <w:tab w:leader="none" w:pos="23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2900" w:hanging="948"/>
        <w:spacing w:after="0"/>
        <w:tabs>
          <w:tab w:leader="none" w:pos="2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w:t>
      </w:r>
    </w:p>
    <w:p>
      <w:pPr>
        <w:spacing w:after="0" w:line="34" w:lineRule="exact"/>
        <w:rPr>
          <w:rFonts w:ascii="Arial" w:cs="Arial" w:eastAsia="Arial" w:hAnsi="Arial"/>
          <w:sz w:val="17"/>
          <w:szCs w:val="17"/>
          <w:color w:val="auto"/>
        </w:rPr>
      </w:pPr>
    </w:p>
    <w:p>
      <w:pPr>
        <w:jc w:val="both"/>
        <w:ind w:firstLine="8"/>
        <w:spacing w:after="0" w:line="290" w:lineRule="auto"/>
        <w:tabs>
          <w:tab w:leader="none" w:pos="3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63" w:lineRule="exact"/>
        <w:rPr>
          <w:rFonts w:ascii="Arial" w:cs="Arial" w:eastAsia="Arial" w:hAnsi="Arial"/>
          <w:sz w:val="16"/>
          <w:szCs w:val="16"/>
          <w:color w:val="auto"/>
        </w:rPr>
      </w:pPr>
    </w:p>
    <w:p>
      <w:pPr>
        <w:ind w:firstLine="1952"/>
        <w:spacing w:after="0" w:line="277" w:lineRule="auto"/>
        <w:tabs>
          <w:tab w:leader="none" w:pos="28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225"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a committee of the Board of Directors may authorize.</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Chairperson of the Board, if one is elected, the Chief Executive Officer,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Corporate Records</w:t>
      </w:r>
      <w:r>
        <w:rPr>
          <w:rFonts w:ascii="Arial" w:cs="Arial" w:eastAsia="Arial" w:hAnsi="Arial"/>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Fourth Amended and Restated Certificate of Incorporation of the Corporation, as amended and/or restated and in effect from time to time.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296"/>
        <w:spacing w:after="0" w:line="267"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Exclusive Jurisdiction of Delaware Courts</w:t>
      </w:r>
      <w:r>
        <w:rPr>
          <w:rFonts w:ascii="Arial" w:cs="Arial" w:eastAsia="Arial" w:hAnsi="Arial"/>
          <w:sz w:val="17"/>
          <w:szCs w:val="17"/>
          <w:color w:val="auto"/>
        </w:rPr>
        <w:t>. Unless the Corporation consents in writing to the selection of an alternative forum, the Court of Chancery of the State of Delaware (or,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claim or cause of action brought on behalf of the Corporation; (ii) any claim or cause of action for breach of fiduciary duty owed by any current or former director, officer or other employee, agent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the Certificate or these Bylaws (as each may be amended from time to time); (iv) any claim or cause of action seeking to interpret, apply, enforce or determine the validity of the Certificate or these Bylaws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 affairs doctrine or otherwise related to the corporation’s internal affairs, in all cases to the fullest extent permitted by law and subject to the court having personal jurisdiction over the indispensable parties named as defendants. This Section 6.8 shall not apply to claims or causes of action brought to enforce a duty or liability created by the Securities Act of 1933, as amended (the “1933 Act”) Act or the Exchange Act or any other claim for which the federal courts have exclusive jurisdiction.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Amendment of Bylaws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7" w:lineRule="auto"/>
        <w:tabs>
          <w:tab w:leader="none" w:pos="24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These Bylaws may be amended or repealed at any Annual Meeting, or special meeting of</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stockholders called for such purpose in accordance with these Bylaws, by the affirmative vote of at least sixty-six and two thirds percent (66</w:t>
      </w:r>
      <w:r>
        <w:rPr>
          <w:rFonts w:ascii="Arial" w:cs="Arial" w:eastAsia="Arial" w:hAnsi="Arial"/>
          <w:sz w:val="28"/>
          <w:szCs w:val="28"/>
          <w:color w:val="auto"/>
          <w:vertAlign w:val="superscript"/>
        </w:rPr>
        <w:t>2/3%</w:t>
      </w:r>
      <w:r>
        <w:rPr>
          <w:rFonts w:ascii="Arial" w:cs="Arial" w:eastAsia="Arial" w:hAnsi="Arial"/>
          <w:sz w:val="17"/>
          <w:szCs w:val="17"/>
          <w:color w:val="auto"/>
        </w:rPr>
        <w:t>)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20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4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Meeting Attendance via Remote Communication Equipment</w:t>
      </w:r>
      <w:r>
        <w:rPr>
          <w:rFonts w:ascii="Arial" w:cs="Arial" w:eastAsia="Arial" w:hAnsi="Arial"/>
          <w:sz w:val="16"/>
          <w:szCs w:val="16"/>
          <w:color w:val="auto"/>
        </w:rPr>
        <w:t>. If authorized by the Board of Directors in its sole discretion, and subject to such guidelines and procedures as the Board may adopt, stockholders entitled to vote at an Annual Meeting or special meeting of stockholders and proxy holders not physically present at an Annual Meeting or special meeting of stockholders may, by means of remote communication: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2820" w:hanging="868"/>
        <w:spacing w:after="0"/>
        <w:tabs>
          <w:tab w:leader="none" w:pos="2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31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Adopted June 22, 2021 and effective as of June 22,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1)"/>
      <w:numFmt w:val="lowerLetter"/>
      <w:start w:val="1"/>
    </w:lvl>
    <w:lvl w:ilvl="1">
      <w:lvlJc w:val="left"/>
      <w:lvlText w:val="(%2)"/>
      <w:numFmt w:val="upperLetter"/>
      <w:start w:val="2"/>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Letter"/>
      <w:start w:val="1"/>
    </w:lvl>
    <w:lvl w:ilvl="1">
      <w:lvlJc w:val="left"/>
      <w:lvlText w:val="(%2)"/>
      <w:numFmt w:val="decimal"/>
      <w:start w:val="1"/>
    </w:lvl>
  </w:abstractNum>
  <w:abstractNum w:abstractNumId="9">
    <w:nsid w:val="436C6125"/>
    <w:multiLevelType w:val="hybridMultilevel"/>
    <w:lvl w:ilvl="0">
      <w:lvlJc w:val="left"/>
      <w:lvlText w:val="(%1)"/>
      <w:numFmt w:val="decimal"/>
      <w:start w:val="2"/>
    </w:lvl>
    <w:lvl w:ilvl="1">
      <w:lvlJc w:val="left"/>
      <w:lvlText w:val="(%2)"/>
      <w:numFmt w:val="upperLetter"/>
      <w:start w:val="1"/>
    </w:lvl>
  </w:abstractNum>
  <w:abstractNum w:abstractNumId="10">
    <w:nsid w:val="628C895D"/>
    <w:multiLevelType w:val="hybridMultilevel"/>
    <w:lvl w:ilvl="0">
      <w:lvlJc w:val="left"/>
      <w:lvlText w:val="(%1)"/>
      <w:numFmt w:val="upperLetter"/>
      <w:start w:val="4"/>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lowerLetter"/>
      <w:start w:val="1"/>
    </w:lvl>
    <w:lvl w:ilvl="1">
      <w:lvlJc w:val="left"/>
      <w:lvlText w:val="(%2)"/>
      <w:numFmt w:val="decimal"/>
      <w:start w:val="4"/>
    </w:lvl>
  </w:abstractNum>
  <w:abstractNum w:abstractNumId="13">
    <w:nsid w:val="2443A858"/>
    <w:multiLevelType w:val="hybridMultilevel"/>
    <w:lvl w:ilvl="0">
      <w:lvlJc w:val="left"/>
      <w:lvlText w:val="(%1)"/>
      <w:numFmt w:val="lowerLetter"/>
      <w:start w:val="2"/>
    </w:lvl>
    <w:lvl w:ilvl="1">
      <w:lvlJc w:val="left"/>
      <w:lvlText w:val="(%2)"/>
      <w:numFmt w:val="decimal"/>
      <w:start w:val="1"/>
    </w:lvl>
  </w:abstractNum>
  <w:abstractNum w:abstractNumId="14">
    <w:nsid w:val="2D1D5AE9"/>
    <w:multiLevelType w:val="hybridMultilevel"/>
    <w:lvl w:ilvl="0">
      <w:lvlJc w:val="left"/>
      <w:lvlText w:val="%1"/>
      <w:numFmt w:val="lowerRoman"/>
      <w:start w:val="1"/>
    </w:lvl>
    <w:lvl w:ilvl="1">
      <w:lvlJc w:val="left"/>
      <w:lvlText w:val="(%2)"/>
      <w:numFmt w:val="decimal"/>
      <w:start w:val="2"/>
    </w:lvl>
  </w:abstractNum>
  <w:abstractNum w:abstractNumId="15">
    <w:nsid w:val="6763845E"/>
    <w:multiLevelType w:val="hybridMultilevel"/>
    <w:lvl w:ilvl="0">
      <w:lvlJc w:val="left"/>
      <w:lvlText w:val="(%1)"/>
      <w:numFmt w:val="lowerRoman"/>
      <w:start w:val="2"/>
    </w:lvl>
    <w:lvl w:ilvl="1">
      <w:lvlJc w:val="left"/>
      <w:lvlText w:val="%2"/>
      <w:numFmt w:val="decimal"/>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lowerLetter"/>
      <w:start w:val="1"/>
    </w:lvl>
    <w:lvl w:ilvl="1">
      <w:lvlJc w:val="left"/>
      <w:lvlText w:val="(%2)"/>
      <w:numFmt w:val="lowerLetter"/>
      <w:start w:val="1"/>
    </w:lvl>
  </w:abstractNum>
  <w:abstractNum w:abstractNumId="19">
    <w:nsid w:val="4353D0CD"/>
    <w:multiLevelType w:val="hybridMultilevel"/>
    <w:lvl w:ilvl="0">
      <w:lvlJc w:val="left"/>
      <w:lvlText w:val="(%1)"/>
      <w:numFmt w:val="lowerLetter"/>
      <w:start w:val="35"/>
    </w:lvl>
    <w:lvl w:ilvl="1">
      <w:lvlJc w:val="left"/>
      <w:lvlText w:val="%2"/>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2"/>
    </w:lvl>
  </w:abstractNum>
  <w:abstractNum w:abstractNumId="28">
    <w:nsid w:val="8138641"/>
    <w:multiLevelType w:val="hybridMultilevel"/>
    <w:lvl w:ilvl="0">
      <w:lvlJc w:val="left"/>
      <w:lvlText w:val="(%1)"/>
      <w:numFmt w:val="decimal"/>
      <w:start w:val="60"/>
    </w:lvl>
    <w:lvl w:ilvl="1">
      <w:lvlJc w:val="left"/>
      <w:lvlText w:val="(%2)"/>
      <w:numFmt w:val="lowerLetter"/>
      <w:start w:val="3"/>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2021-06-25T15:36:58Z</dcterms:created>
  <dcterms:modified xsi:type="dcterms:W3CDTF">2021-06-25T15:36:58Z</dcterms:modified>
</cp:coreProperties>
</file>