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Pfeiffenberger Brent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19104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02/02/2026</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w w:val="94"/>
              </w:rPr>
              <w:t>475,000</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3,797,990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1.84</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02/02/2026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945,000</w:t>
            </w:r>
          </w:p>
        </w:tc>
        <w:tc>
          <w:tcPr>
            <w:tcW w:w="28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02/02/2036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945,000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945,000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Issuer common stock. The RSUs vest 25% on February 2, 2027,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February 2, 2027, with the remaining 75% vesting in 36 equal monthly installments, subject to the Reporting Person's continued service through each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02/04/2026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116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2026-02-04T15:32:36Z</dcterms:created>
  <dcterms:modified xsi:type="dcterms:W3CDTF">2026-02-04T15:32:36Z</dcterms:modified>
</cp:coreProperties>
</file>