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189865</wp:posOffset>
            </wp:positionH>
            <wp:positionV relativeFrom="page">
              <wp:posOffset>240030</wp:posOffset>
            </wp:positionV>
            <wp:extent cx="716851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8515" cy="12700"/>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265430</wp:posOffset>
            </wp:positionV>
            <wp:extent cx="71685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8515" cy="635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6851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8515" cy="6350"/>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16851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8515" cy="6350"/>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June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6851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8515" cy="635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Century Therapeutics,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685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8515" cy="6350"/>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p>
      <w:pPr>
        <w:spacing w:after="0" w:line="32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4"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3"/>
          <w:szCs w:val="13"/>
          <w:color w:val="auto"/>
        </w:rPr>
        <w:t>(State or other jurisdiction of</w:t>
      </w:r>
    </w:p>
    <w:p>
      <w:pPr>
        <w:spacing w:after="0" w:line="9"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3"/>
          <w:szCs w:val="13"/>
          <w:b w:val="1"/>
          <w:bCs w:val="1"/>
          <w:color w:val="auto"/>
        </w:rPr>
        <w:t>001-40498</w:t>
      </w:r>
    </w:p>
    <w:p>
      <w:pPr>
        <w:spacing w:after="0" w:line="24"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3"/>
          <w:szCs w:val="13"/>
          <w:b w:val="1"/>
          <w:bCs w:val="1"/>
          <w:color w:val="auto"/>
        </w:rPr>
        <w:t>84-2040295</w:t>
      </w:r>
    </w:p>
    <w:p>
      <w:pPr>
        <w:spacing w:after="0" w:line="24"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3"/>
          <w:szCs w:val="13"/>
          <w:color w:val="auto"/>
        </w:rPr>
        <w:t>(I.R.S. Employer</w:t>
      </w:r>
    </w:p>
    <w:p>
      <w:pPr>
        <w:spacing w:after="0" w:line="9"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153" w:lineRule="exact"/>
        <w:rPr>
          <w:sz w:val="24"/>
          <w:szCs w:val="24"/>
          <w:color w:val="auto"/>
        </w:rPr>
      </w:pPr>
    </w:p>
    <w:p>
      <w:pPr>
        <w:sectPr>
          <w:pgSz w:w="11900" w:h="16838" w:orient="portrait"/>
          <w:cols w:equalWidth="0" w:num="3">
            <w:col w:w="4320" w:space="720"/>
            <w:col w:w="3240" w:space="720"/>
            <w:col w:w="2280"/>
          </w:cols>
          <w:pgMar w:left="300" w:top="550" w:right="319" w:bottom="1440" w:gutter="0" w:footer="0" w:header="0"/>
          <w:type w:val="continuous"/>
        </w:sectPr>
      </w:pPr>
    </w:p>
    <w:p>
      <w:pPr>
        <w:jc w:val="center"/>
        <w:ind w:right="1580"/>
        <w:spacing w:after="0"/>
        <w:rPr>
          <w:sz w:val="20"/>
          <w:szCs w:val="20"/>
          <w:color w:val="auto"/>
        </w:rPr>
      </w:pPr>
      <w:r>
        <w:rPr>
          <w:rFonts w:ascii="Times New Roman" w:cs="Times New Roman" w:eastAsia="Times New Roman" w:hAnsi="Times New Roman"/>
          <w:sz w:val="13"/>
          <w:szCs w:val="13"/>
          <w:b w:val="1"/>
          <w:bCs w:val="1"/>
          <w:color w:val="auto"/>
        </w:rPr>
        <w:t>3675 Market Street</w:t>
      </w:r>
    </w:p>
    <w:p>
      <w:pPr>
        <w:spacing w:after="0" w:line="24"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3"/>
          <w:szCs w:val="13"/>
          <w:b w:val="1"/>
          <w:bCs w:val="1"/>
          <w:color w:val="auto"/>
        </w:rPr>
        <w:t>Philadelphia, Pennsylvania</w:t>
      </w:r>
    </w:p>
    <w:p>
      <w:pPr>
        <w:spacing w:after="0" w:line="9"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3"/>
          <w:szCs w:val="13"/>
          <w:b w:val="1"/>
          <w:bCs w:val="1"/>
          <w:color w:val="auto"/>
        </w:rPr>
        <w:t>19104</w:t>
      </w:r>
    </w:p>
    <w:p>
      <w:pPr>
        <w:spacing w:after="0" w:line="24"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3"/>
          <w:szCs w:val="13"/>
          <w:color w:val="auto"/>
        </w:rPr>
        <w:t>(Zip Code)</w:t>
      </w:r>
    </w:p>
    <w:p>
      <w:pPr>
        <w:spacing w:after="0" w:line="153" w:lineRule="exact"/>
        <w:rPr>
          <w:sz w:val="24"/>
          <w:szCs w:val="24"/>
          <w:color w:val="auto"/>
        </w:rPr>
      </w:pPr>
    </w:p>
    <w:p>
      <w:pPr>
        <w:sectPr>
          <w:pgSz w:w="11900" w:h="16838" w:orient="portrait"/>
          <w:cols w:equalWidth="0" w:num="2">
            <w:col w:w="7800" w:space="720"/>
            <w:col w:w="2760"/>
          </w:cols>
          <w:pgMar w:left="300" w:top="550"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(267) 817-5790</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16851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8515" cy="6350"/>
                    </a:xfrm>
                    <a:prstGeom prst="rect">
                      <a:avLst/>
                    </a:prstGeom>
                    <a:noFill/>
                  </pic:spPr>
                </pic:pic>
              </a:graphicData>
            </a:graphic>
          </wp:anchor>
        </w:drawing>
      </w:r>
    </w:p>
    <w:p>
      <w:pPr>
        <w:spacing w:after="0" w:line="31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440" w:hanging="437"/>
        <w:spacing w:after="0"/>
        <w:tabs>
          <w:tab w:leader="none" w:pos="4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23" w:lineRule="exact"/>
        <w:rPr>
          <w:rFonts w:ascii="MS PGothic" w:cs="MS PGothic" w:eastAsia="MS PGothic" w:hAnsi="MS PGothic"/>
          <w:sz w:val="13"/>
          <w:szCs w:val="13"/>
          <w:color w:val="auto"/>
        </w:rPr>
      </w:pPr>
    </w:p>
    <w:p>
      <w:pPr>
        <w:ind w:left="440" w:hanging="437"/>
        <w:spacing w:after="0"/>
        <w:tabs>
          <w:tab w:leader="none" w:pos="4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9" w:lineRule="exact"/>
        <w:rPr>
          <w:rFonts w:ascii="MS PGothic" w:cs="MS PGothic" w:eastAsia="MS PGothic" w:hAnsi="MS PGothic"/>
          <w:sz w:val="13"/>
          <w:szCs w:val="13"/>
          <w:color w:val="auto"/>
        </w:rPr>
      </w:pPr>
    </w:p>
    <w:p>
      <w:pPr>
        <w:ind w:left="440" w:hanging="437"/>
        <w:spacing w:after="0"/>
        <w:tabs>
          <w:tab w:leader="none" w:pos="4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9" w:lineRule="exact"/>
        <w:rPr>
          <w:rFonts w:ascii="MS PGothic" w:cs="MS PGothic" w:eastAsia="MS PGothic" w:hAnsi="MS PGothic"/>
          <w:sz w:val="13"/>
          <w:szCs w:val="13"/>
          <w:color w:val="auto"/>
        </w:rPr>
      </w:pPr>
    </w:p>
    <w:p>
      <w:pPr>
        <w:ind w:left="440" w:hanging="437"/>
        <w:spacing w:after="0"/>
        <w:tabs>
          <w:tab w:leader="none" w:pos="4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9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0" w:type="dxa"/>
            <w:vAlign w:val="bottom"/>
          </w:tcPr>
          <w:p>
            <w:pPr>
              <w:spacing w:after="0"/>
              <w:rPr>
                <w:sz w:val="14"/>
                <w:szCs w:val="14"/>
                <w:color w:val="auto"/>
              </w:rPr>
            </w:pPr>
          </w:p>
        </w:tc>
      </w:tr>
      <w:tr>
        <w:trPr>
          <w:trHeight w:val="302"/>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Exchange on Which</w:t>
            </w:r>
          </w:p>
        </w:tc>
      </w:tr>
      <w:tr>
        <w:trPr>
          <w:trHeight w:val="173"/>
        </w:trPr>
        <w:tc>
          <w:tcPr>
            <w:tcW w:w="20" w:type="dxa"/>
            <w:vAlign w:val="bottom"/>
          </w:tcPr>
          <w:p>
            <w:pPr>
              <w:spacing w:after="0"/>
              <w:rPr>
                <w:sz w:val="15"/>
                <w:szCs w:val="15"/>
                <w:color w:val="auto"/>
              </w:rPr>
            </w:pPr>
          </w:p>
        </w:tc>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Registered</w:t>
            </w:r>
          </w:p>
        </w:tc>
      </w:tr>
      <w:tr>
        <w:trPr>
          <w:trHeight w:val="164"/>
        </w:trPr>
        <w:tc>
          <w:tcPr>
            <w:tcW w:w="20" w:type="dxa"/>
            <w:vAlign w:val="bottom"/>
          </w:tcPr>
          <w:p>
            <w:pPr>
              <w:spacing w:after="0"/>
              <w:rPr>
                <w:sz w:val="14"/>
                <w:szCs w:val="14"/>
                <w:color w:val="auto"/>
              </w:rPr>
            </w:pPr>
          </w:p>
        </w:tc>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Stock, par value $0.0001 per share</w:t>
            </w:r>
          </w:p>
        </w:tc>
        <w:tc>
          <w:tcPr>
            <w:tcW w:w="120" w:type="dxa"/>
            <w:vAlign w:val="bottom"/>
          </w:tcPr>
          <w:p>
            <w:pPr>
              <w:spacing w:after="0"/>
              <w:rPr>
                <w:sz w:val="14"/>
                <w:szCs w:val="14"/>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IPSC</w:t>
            </w:r>
          </w:p>
        </w:tc>
        <w:tc>
          <w:tcPr>
            <w:tcW w:w="100" w:type="dxa"/>
            <w:vAlign w:val="bottom"/>
          </w:tcPr>
          <w:p>
            <w:pPr>
              <w:spacing w:after="0"/>
              <w:rPr>
                <w:sz w:val="14"/>
                <w:szCs w:val="14"/>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Nasdaq Global Select Market</w:t>
            </w:r>
          </w:p>
        </w:tc>
      </w:tr>
    </w:tbl>
    <w:p>
      <w:pPr>
        <w:spacing w:after="0" w:line="131"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7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ind w:right="4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16851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851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110490</wp:posOffset>
            </wp:positionV>
            <wp:extent cx="7168515"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851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337185</wp:posOffset>
            </wp:positionV>
            <wp:extent cx="716851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8515" cy="6350"/>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u w:val="single" w:color="auto"/>
          <w:color w:val="auto"/>
        </w:rPr>
        <w:t>Regulation FD Disclosure</w:t>
      </w:r>
    </w:p>
    <w:p>
      <w:pPr>
        <w:spacing w:after="0" w:line="170" w:lineRule="exact"/>
        <w:rPr>
          <w:sz w:val="20"/>
          <w:szCs w:val="20"/>
          <w:color w:val="auto"/>
        </w:rPr>
      </w:pPr>
    </w:p>
    <w:p>
      <w:pPr>
        <w:ind w:right="600" w:firstLine="476"/>
        <w:spacing w:after="0" w:line="290" w:lineRule="auto"/>
        <w:rPr>
          <w:sz w:val="20"/>
          <w:szCs w:val="20"/>
          <w:color w:val="auto"/>
        </w:rPr>
      </w:pPr>
      <w:r>
        <w:rPr>
          <w:rFonts w:ascii="Times New Roman" w:cs="Times New Roman" w:eastAsia="Times New Roman" w:hAnsi="Times New Roman"/>
          <w:sz w:val="13"/>
          <w:szCs w:val="13"/>
          <w:color w:val="auto"/>
        </w:rPr>
        <w:t>On June 13, 2022, Century Therapeutics, Inc. (the “Company”) updated information reflected in a slide presentation, which is attached as Exhibit 99.1 to this Current Report on Form 8-K and is incorporated herein by reference. Representatives of the Company will use the updated presentation in various meetings with investors from time to time.</w:t>
      </w:r>
    </w:p>
    <w:p>
      <w:pPr>
        <w:spacing w:after="0" w:line="115" w:lineRule="exact"/>
        <w:rPr>
          <w:sz w:val="20"/>
          <w:szCs w:val="20"/>
          <w:color w:val="auto"/>
        </w:rPr>
      </w:pPr>
    </w:p>
    <w:p>
      <w:pPr>
        <w:ind w:right="80" w:firstLine="476"/>
        <w:spacing w:after="0" w:line="272" w:lineRule="auto"/>
        <w:rPr>
          <w:sz w:val="20"/>
          <w:szCs w:val="20"/>
          <w:color w:val="auto"/>
        </w:rPr>
      </w:pPr>
      <w:r>
        <w:rPr>
          <w:rFonts w:ascii="Times New Roman" w:cs="Times New Roman" w:eastAsia="Times New Roman" w:hAnsi="Times New Roman"/>
          <w:sz w:val="13"/>
          <w:szCs w:val="13"/>
          <w:color w:val="auto"/>
        </w:rPr>
        <w:t>The information contained in this Item 7.01 (including Exhibit 99.1) is being furnished and shall not be deemed “filed” for purposes of Section 18 of the Exchange Act, as amended (the “Exchange Act”),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2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u w:val="single" w:color="auto"/>
          <w:color w:val="auto"/>
        </w:rPr>
        <w:t>Financial Statements and Exhibits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 Exhibits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exhibit is being furnished herewith: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840" w:type="dxa"/>
            <w:vAlign w:val="bottom"/>
          </w:tcPr>
          <w:p>
            <w:pPr>
              <w:spacing w:after="0"/>
              <w:rPr>
                <w:sz w:val="13"/>
                <w:szCs w:val="13"/>
                <w:color w:val="auto"/>
              </w:rPr>
            </w:pPr>
          </w:p>
        </w:tc>
        <w:tc>
          <w:tcPr>
            <w:tcW w:w="6200" w:type="dxa"/>
            <w:vAlign w:val="bottom"/>
          </w:tcPr>
          <w:p>
            <w:pPr>
              <w:spacing w:after="0"/>
              <w:rPr>
                <w:sz w:val="13"/>
                <w:szCs w:val="13"/>
                <w:color w:val="auto"/>
              </w:rPr>
            </w:pPr>
          </w:p>
        </w:tc>
      </w:tr>
      <w:tr>
        <w:trPr>
          <w:trHeight w:val="173"/>
        </w:trPr>
        <w:tc>
          <w:tcPr>
            <w:tcW w:w="12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3840" w:type="dxa"/>
            <w:vAlign w:val="bottom"/>
          </w:tcPr>
          <w:p>
            <w:pPr>
              <w:spacing w:after="0"/>
              <w:rPr>
                <w:sz w:val="15"/>
                <w:szCs w:val="15"/>
                <w:color w:val="auto"/>
              </w:rPr>
            </w:pPr>
          </w:p>
        </w:tc>
        <w:tc>
          <w:tcPr>
            <w:tcW w:w="620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277"/>
        </w:trPr>
        <w:tc>
          <w:tcPr>
            <w:tcW w:w="24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6"/>
              </w:rPr>
              <w:t>99.</w:t>
            </w:r>
            <w:r>
              <w:rPr>
                <w:rFonts w:ascii="Times New Roman" w:cs="Times New Roman" w:eastAsia="Times New Roman" w:hAnsi="Times New Roman"/>
                <w:sz w:val="13"/>
                <w:szCs w:val="13"/>
                <w:u w:val="single" w:color="auto"/>
                <w:color w:val="0000EE"/>
                <w:w w:val="96"/>
              </w:rPr>
              <w:t>1</w:t>
            </w: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rPr>
              <w:t>Investor Presentation of Century Therapeutics, Inc., dated June 13, 2022</w:t>
            </w:r>
          </w:p>
        </w:tc>
        <w:tc>
          <w:tcPr>
            <w:tcW w:w="6200" w:type="dxa"/>
            <w:vAlign w:val="bottom"/>
            <w:tcBorders>
              <w:top w:val="single" w:sz="8" w:color="auto"/>
            </w:tcBorders>
          </w:tcPr>
          <w:p>
            <w:pPr>
              <w:spacing w:after="0"/>
              <w:rPr>
                <w:sz w:val="24"/>
                <w:szCs w:val="24"/>
                <w:color w:val="auto"/>
              </w:rPr>
            </w:pPr>
          </w:p>
        </w:tc>
      </w:tr>
      <w:tr>
        <w:trPr>
          <w:trHeight w:val="327"/>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r>
        <w:trPr>
          <w:trHeight w:val="317"/>
        </w:trPr>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00"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b w:val="1"/>
          <w:bCs w:val="1"/>
          <w:color w:val="auto"/>
        </w:rPr>
        <w:t>CENTURY THERAPEUTICS, INC.</w:t>
      </w:r>
    </w:p>
    <w:p>
      <w:pPr>
        <w:spacing w:after="0" w:line="170" w:lineRule="exact"/>
        <w:rPr>
          <w:sz w:val="20"/>
          <w:szCs w:val="20"/>
          <w:color w:val="auto"/>
        </w:rPr>
      </w:pPr>
    </w:p>
    <w:tbl>
      <w:tblPr>
        <w:tblLayout w:type="fixed"/>
        <w:tblInd w:w="5660" w:type="dxa"/>
        <w:tblCellMar>
          <w:top w:w="0" w:type="dxa"/>
          <w:left w:w="0" w:type="dxa"/>
          <w:bottom w:w="0" w:type="dxa"/>
          <w:right w:w="0" w:type="dxa"/>
        </w:tblCellMar>
      </w:tblPr>
      <w:tr>
        <w:trPr>
          <w:trHeight w:val="172"/>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Osvaldo Flores, Ph.D.</w:t>
            </w:r>
          </w:p>
        </w:tc>
      </w:tr>
      <w:tr>
        <w:trPr>
          <w:trHeight w:val="145"/>
        </w:trPr>
        <w:tc>
          <w:tcPr>
            <w:tcW w:w="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Name:</w:t>
            </w:r>
          </w:p>
        </w:tc>
        <w:tc>
          <w:tcPr>
            <w:tcW w:w="50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Osvaldo Flores, Ph.D.</w:t>
            </w:r>
          </w:p>
        </w:tc>
      </w:tr>
      <w:tr>
        <w:trPr>
          <w:trHeight w:val="172"/>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June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6851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8515" cy="6350"/>
                    </a:xfrm>
                    <a:prstGeom prst="rect">
                      <a:avLst/>
                    </a:prstGeom>
                    <a:noFill/>
                  </pic:spPr>
                </pic:pic>
              </a:graphicData>
            </a:graphic>
          </wp:anchor>
        </w:drawing>
      </w:r>
    </w:p>
    <w:p>
      <w:pPr>
        <w:sectPr>
          <w:pgSz w:w="11900" w:h="16838" w:orient="portrait"/>
          <w:cols w:equalWidth="0" w:num="1">
            <w:col w:w="11280"/>
          </w:cols>
          <w:pgMar w:left="300" w:top="700" w:right="319" w:bottom="1440" w:gutter="0" w:footer="0" w:header="0"/>
        </w:sectPr>
      </w:pPr>
    </w:p>
    <w:bookmarkStart w:id="3" w:name="page4"/>
    <w:bookmarkEnd w:id="3"/>
    <w:p>
      <w:pPr>
        <w:ind w:left="9460"/>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5088255</wp:posOffset>
            </wp:positionV>
            <wp:extent cx="679132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1325" cy="19050"/>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379095</wp:posOffset>
            </wp:positionH>
            <wp:positionV relativeFrom="page">
              <wp:posOffset>5060950</wp:posOffset>
            </wp:positionV>
            <wp:extent cx="679132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9132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379095</wp:posOffset>
            </wp:positionH>
            <wp:positionV relativeFrom="page">
              <wp:posOffset>5060950</wp:posOffset>
            </wp:positionV>
            <wp:extent cx="679132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132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29755" cy="4991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9755" cy="49911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2022-06-13T15:27:07Z</dcterms:created>
  <dcterms:modified xsi:type="dcterms:W3CDTF">2022-06-13T15:27:07Z</dcterms:modified>
</cp:coreProperties>
</file>