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Pfeiffenberger Brent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Century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IPSC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05/16/2025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jc w:val="right"/>
              <w:ind w:right="643"/>
              <w:spacing w:after="0"/>
              <w:rPr>
                <w:sz w:val="20"/>
                <w:szCs w:val="20"/>
                <w:color w:val="auto"/>
              </w:rPr>
            </w:pPr>
            <w:r>
              <w:rPr>
                <w:rFonts w:ascii="Times New Roman" w:cs="Times New Roman" w:eastAsia="Times New Roman" w:hAnsi="Times New Roman"/>
                <w:sz w:val="17"/>
                <w:szCs w:val="17"/>
                <w:color w:val="0000FF"/>
              </w:rPr>
              <w:t>19104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05/16/2025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29,552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0.546</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1,682,258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Douglas Carr, Attorney-in-  </w:t>
      </w:r>
      <w:r>
        <w:rPr>
          <w:rFonts w:ascii="Times New Roman" w:cs="Times New Roman" w:eastAsia="Times New Roman" w:hAnsi="Times New Roman"/>
          <w:sz w:val="33"/>
          <w:szCs w:val="33"/>
          <w:color w:val="0000FF"/>
          <w:vertAlign w:val="subscript"/>
        </w:rPr>
        <w:t>05/20/2025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1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01162"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2025-05-20T15:25:44Z</dcterms:created>
  <dcterms:modified xsi:type="dcterms:W3CDTF">2025-05-20T15:25:44Z</dcterms:modified>
</cp:coreProperties>
</file>